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2C904" w14:textId="77777777" w:rsidR="00EA43D6" w:rsidRPr="0093125D" w:rsidRDefault="00000000">
      <w:pPr>
        <w:spacing w:before="1240" w:after="160"/>
        <w:jc w:val="center"/>
        <w:rPr>
          <w:color w:val="0F243E" w:themeColor="text2" w:themeShade="80"/>
          <w:sz w:val="22"/>
          <w:szCs w:val="20"/>
        </w:rPr>
      </w:pPr>
      <w:r w:rsidRPr="0093125D">
        <w:rPr>
          <w:b/>
          <w:color w:val="0F243E" w:themeColor="text2" w:themeShade="80"/>
          <w:sz w:val="32"/>
          <w:szCs w:val="20"/>
        </w:rPr>
        <w:t>LCHS7009</w:t>
      </w:r>
    </w:p>
    <w:p w14:paraId="16464E09" w14:textId="77777777" w:rsidR="00EA43D6" w:rsidRPr="0093125D" w:rsidRDefault="00000000">
      <w:pPr>
        <w:spacing w:after="280"/>
        <w:jc w:val="center"/>
        <w:rPr>
          <w:color w:val="0F243E" w:themeColor="text2" w:themeShade="80"/>
          <w:sz w:val="16"/>
          <w:szCs w:val="14"/>
        </w:rPr>
      </w:pPr>
      <w:r w:rsidRPr="0093125D">
        <w:rPr>
          <w:b/>
          <w:color w:val="0F243E" w:themeColor="text2" w:themeShade="80"/>
          <w:sz w:val="32"/>
          <w:szCs w:val="14"/>
        </w:rPr>
        <w:t>POPULATION HEALTH AND</w:t>
      </w:r>
      <w:r w:rsidRPr="0093125D">
        <w:rPr>
          <w:b/>
          <w:color w:val="0F243E" w:themeColor="text2" w:themeShade="80"/>
          <w:sz w:val="32"/>
          <w:szCs w:val="14"/>
        </w:rPr>
        <w:br/>
        <w:t>DIGITAL HEALTH PROMOTION</w:t>
      </w:r>
    </w:p>
    <w:tbl>
      <w:tblPr>
        <w:tblW w:w="0" w:type="auto"/>
        <w:jc w:val="center"/>
        <w:shd w:val="clear" w:color="auto" w:fill="E36C0A" w:themeFill="accent6" w:themeFillShade="BF"/>
        <w:tblLayout w:type="fixed"/>
        <w:tblLook w:val="04A0" w:firstRow="1" w:lastRow="0" w:firstColumn="1" w:lastColumn="0" w:noHBand="0" w:noVBand="1"/>
      </w:tblPr>
      <w:tblGrid>
        <w:gridCol w:w="10166"/>
      </w:tblGrid>
      <w:tr w:rsidR="00EA43D6" w14:paraId="1DCC146E" w14:textId="77777777" w:rsidTr="0093125D">
        <w:trPr>
          <w:cantSplit/>
          <w:jc w:val="center"/>
        </w:trPr>
        <w:tc>
          <w:tcPr>
            <w:tcW w:w="10166" w:type="dxa"/>
            <w:shd w:val="clear" w:color="auto" w:fill="E36C0A" w:themeFill="accent6" w:themeFillShade="BF"/>
            <w:tcMar>
              <w:top w:w="170" w:type="dxa"/>
              <w:left w:w="140" w:type="dxa"/>
              <w:bottom w:w="170" w:type="dxa"/>
              <w:right w:w="140" w:type="dxa"/>
            </w:tcMar>
          </w:tcPr>
          <w:p w14:paraId="222C6FDC" w14:textId="77777777" w:rsidR="00EA43D6" w:rsidRPr="0093125D" w:rsidRDefault="00000000">
            <w:pPr>
              <w:jc w:val="center"/>
              <w:rPr>
                <w:sz w:val="32"/>
                <w:szCs w:val="18"/>
              </w:rPr>
            </w:pPr>
            <w:r w:rsidRPr="0093125D">
              <w:rPr>
                <w:b/>
                <w:color w:val="FFFFFF"/>
                <w:sz w:val="32"/>
                <w:szCs w:val="18"/>
              </w:rPr>
              <w:t>COMPONENT 1 - TWO BLOGS</w:t>
            </w:r>
          </w:p>
        </w:tc>
      </w:tr>
    </w:tbl>
    <w:p w14:paraId="39387AB5" w14:textId="77777777" w:rsidR="00EA43D6" w:rsidRPr="0093125D" w:rsidRDefault="00000000">
      <w:pPr>
        <w:spacing w:before="440" w:after="160"/>
        <w:jc w:val="center"/>
      </w:pPr>
      <w:r w:rsidRPr="0093125D">
        <w:rPr>
          <w:i/>
          <w:sz w:val="26"/>
        </w:rPr>
        <w:t>Digital health promotion interventions: critical evaluation and original design</w:t>
      </w:r>
    </w:p>
    <w:tbl>
      <w:tblPr>
        <w:tblW w:w="0" w:type="auto"/>
        <w:jc w:val="center"/>
        <w:tblLayout w:type="fixed"/>
        <w:tblLook w:val="04A0" w:firstRow="1" w:lastRow="0" w:firstColumn="1" w:lastColumn="0" w:noHBand="0" w:noVBand="1"/>
      </w:tblPr>
      <w:tblGrid>
        <w:gridCol w:w="2376"/>
        <w:gridCol w:w="7200"/>
      </w:tblGrid>
      <w:tr w:rsidR="00EA43D6" w:rsidRPr="0093125D" w14:paraId="33B16075"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46C834D1" w14:textId="77777777" w:rsidR="00EA43D6" w:rsidRPr="0093125D" w:rsidRDefault="00000000">
            <w:pPr>
              <w:spacing w:after="0"/>
              <w:rPr>
                <w:szCs w:val="24"/>
              </w:rPr>
            </w:pPr>
            <w:r w:rsidRPr="0093125D">
              <w:rPr>
                <w:b/>
                <w:szCs w:val="24"/>
              </w:rPr>
              <w:t>Student name</w:t>
            </w:r>
          </w:p>
        </w:tc>
        <w:tc>
          <w:tcPr>
            <w:tcW w:w="7200" w:type="dxa"/>
            <w:shd w:val="clear" w:color="auto" w:fill="F7F9F9"/>
            <w:tcMar>
              <w:top w:w="115" w:type="dxa"/>
              <w:left w:w="100" w:type="dxa"/>
              <w:bottom w:w="115" w:type="dxa"/>
              <w:right w:w="100" w:type="dxa"/>
            </w:tcMar>
          </w:tcPr>
          <w:p w14:paraId="099EFF36" w14:textId="0D9F3983" w:rsidR="00EA43D6" w:rsidRPr="0093125D" w:rsidRDefault="00A23DAC">
            <w:pPr>
              <w:spacing w:after="0"/>
              <w:rPr>
                <w:szCs w:val="24"/>
              </w:rPr>
            </w:pPr>
            <w:r w:rsidRPr="00A23DAC">
              <w:rPr>
                <w:szCs w:val="24"/>
              </w:rPr>
              <w:t>Priyanka Ashokbhai Kakadiya</w:t>
            </w:r>
          </w:p>
        </w:tc>
      </w:tr>
      <w:tr w:rsidR="00EA43D6" w:rsidRPr="0093125D" w14:paraId="7C2E1D29"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36CE37EE" w14:textId="77777777" w:rsidR="00EA43D6" w:rsidRPr="0093125D" w:rsidRDefault="00000000">
            <w:pPr>
              <w:spacing w:after="0"/>
              <w:rPr>
                <w:szCs w:val="24"/>
              </w:rPr>
            </w:pPr>
            <w:r w:rsidRPr="0093125D">
              <w:rPr>
                <w:b/>
                <w:szCs w:val="24"/>
              </w:rPr>
              <w:t>Student ID number</w:t>
            </w:r>
          </w:p>
        </w:tc>
        <w:tc>
          <w:tcPr>
            <w:tcW w:w="7200" w:type="dxa"/>
            <w:shd w:val="clear" w:color="auto" w:fill="F7F9F9"/>
            <w:tcMar>
              <w:top w:w="115" w:type="dxa"/>
              <w:left w:w="100" w:type="dxa"/>
              <w:bottom w:w="115" w:type="dxa"/>
              <w:right w:w="100" w:type="dxa"/>
            </w:tcMar>
          </w:tcPr>
          <w:p w14:paraId="20446D9F" w14:textId="7ADA758A" w:rsidR="00EA43D6" w:rsidRPr="0093125D" w:rsidRDefault="00A23DAC">
            <w:pPr>
              <w:spacing w:after="0"/>
              <w:rPr>
                <w:szCs w:val="24"/>
              </w:rPr>
            </w:pPr>
            <w:r w:rsidRPr="00A23DAC">
              <w:rPr>
                <w:szCs w:val="24"/>
              </w:rPr>
              <w:t>2527512</w:t>
            </w:r>
          </w:p>
        </w:tc>
      </w:tr>
      <w:tr w:rsidR="00EA43D6" w:rsidRPr="0093125D" w14:paraId="33548C5A"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1021BB23" w14:textId="77777777" w:rsidR="00EA43D6" w:rsidRPr="0093125D" w:rsidRDefault="00000000">
            <w:pPr>
              <w:spacing w:after="0"/>
              <w:rPr>
                <w:szCs w:val="24"/>
              </w:rPr>
            </w:pPr>
            <w:r w:rsidRPr="0093125D">
              <w:rPr>
                <w:b/>
                <w:szCs w:val="24"/>
              </w:rPr>
              <w:t>Programme</w:t>
            </w:r>
          </w:p>
        </w:tc>
        <w:tc>
          <w:tcPr>
            <w:tcW w:w="7200" w:type="dxa"/>
            <w:shd w:val="clear" w:color="auto" w:fill="F7F9F9"/>
            <w:tcMar>
              <w:top w:w="115" w:type="dxa"/>
              <w:left w:w="100" w:type="dxa"/>
              <w:bottom w:w="115" w:type="dxa"/>
              <w:right w:w="100" w:type="dxa"/>
            </w:tcMar>
          </w:tcPr>
          <w:p w14:paraId="7914F053" w14:textId="77777777" w:rsidR="00EA43D6" w:rsidRPr="0093125D" w:rsidRDefault="00000000">
            <w:pPr>
              <w:spacing w:after="0"/>
              <w:rPr>
                <w:szCs w:val="24"/>
              </w:rPr>
            </w:pPr>
            <w:r w:rsidRPr="0093125D">
              <w:rPr>
                <w:szCs w:val="24"/>
              </w:rPr>
              <w:t>MSc Public Health and Social Care in Practice</w:t>
            </w:r>
          </w:p>
        </w:tc>
      </w:tr>
      <w:tr w:rsidR="00EA43D6" w:rsidRPr="0093125D" w14:paraId="7284CF3C"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4D991743" w14:textId="77777777" w:rsidR="00EA43D6" w:rsidRPr="0093125D" w:rsidRDefault="00000000">
            <w:pPr>
              <w:spacing w:after="0"/>
              <w:rPr>
                <w:szCs w:val="24"/>
              </w:rPr>
            </w:pPr>
            <w:r w:rsidRPr="0093125D">
              <w:rPr>
                <w:b/>
                <w:szCs w:val="24"/>
              </w:rPr>
              <w:t>Module</w:t>
            </w:r>
          </w:p>
        </w:tc>
        <w:tc>
          <w:tcPr>
            <w:tcW w:w="7200" w:type="dxa"/>
            <w:shd w:val="clear" w:color="auto" w:fill="F7F9F9"/>
            <w:tcMar>
              <w:top w:w="115" w:type="dxa"/>
              <w:left w:w="100" w:type="dxa"/>
              <w:bottom w:w="115" w:type="dxa"/>
              <w:right w:w="100" w:type="dxa"/>
            </w:tcMar>
          </w:tcPr>
          <w:p w14:paraId="051E3285" w14:textId="77777777" w:rsidR="00EA43D6" w:rsidRPr="0093125D" w:rsidRDefault="00000000">
            <w:pPr>
              <w:spacing w:after="0"/>
              <w:rPr>
                <w:szCs w:val="24"/>
              </w:rPr>
            </w:pPr>
            <w:r w:rsidRPr="0093125D">
              <w:rPr>
                <w:szCs w:val="24"/>
              </w:rPr>
              <w:t>LCHS7009 - Population Health and Digital Health Promotion</w:t>
            </w:r>
          </w:p>
        </w:tc>
      </w:tr>
      <w:tr w:rsidR="00EA43D6" w:rsidRPr="0093125D" w14:paraId="660337F7"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6C0F3677" w14:textId="77777777" w:rsidR="00EA43D6" w:rsidRPr="0093125D" w:rsidRDefault="00000000">
            <w:pPr>
              <w:spacing w:after="0"/>
              <w:rPr>
                <w:szCs w:val="24"/>
              </w:rPr>
            </w:pPr>
            <w:r w:rsidRPr="0093125D">
              <w:rPr>
                <w:b/>
                <w:szCs w:val="24"/>
              </w:rPr>
              <w:t>Lecturer</w:t>
            </w:r>
          </w:p>
        </w:tc>
        <w:tc>
          <w:tcPr>
            <w:tcW w:w="7200" w:type="dxa"/>
            <w:shd w:val="clear" w:color="auto" w:fill="F7F9F9"/>
            <w:tcMar>
              <w:top w:w="115" w:type="dxa"/>
              <w:left w:w="100" w:type="dxa"/>
              <w:bottom w:w="115" w:type="dxa"/>
              <w:right w:w="100" w:type="dxa"/>
            </w:tcMar>
          </w:tcPr>
          <w:p w14:paraId="1EA9753C" w14:textId="77777777" w:rsidR="00EA43D6" w:rsidRPr="0093125D" w:rsidRDefault="00000000">
            <w:pPr>
              <w:spacing w:after="0"/>
              <w:rPr>
                <w:szCs w:val="24"/>
              </w:rPr>
            </w:pPr>
            <w:r w:rsidRPr="0093125D">
              <w:rPr>
                <w:szCs w:val="24"/>
              </w:rPr>
              <w:t>Dr Raheela Shaikh</w:t>
            </w:r>
          </w:p>
        </w:tc>
      </w:tr>
      <w:tr w:rsidR="00EA43D6" w:rsidRPr="0093125D" w14:paraId="05DDB662" w14:textId="77777777" w:rsidTr="0093125D">
        <w:trPr>
          <w:cantSplit/>
          <w:jc w:val="center"/>
        </w:trPr>
        <w:tc>
          <w:tcPr>
            <w:tcW w:w="2376" w:type="dxa"/>
            <w:shd w:val="clear" w:color="auto" w:fill="C2D69B" w:themeFill="accent3" w:themeFillTint="99"/>
            <w:tcMar>
              <w:top w:w="115" w:type="dxa"/>
              <w:left w:w="100" w:type="dxa"/>
              <w:bottom w:w="115" w:type="dxa"/>
              <w:right w:w="100" w:type="dxa"/>
            </w:tcMar>
          </w:tcPr>
          <w:p w14:paraId="2486EF46" w14:textId="77777777" w:rsidR="00EA43D6" w:rsidRPr="0093125D" w:rsidRDefault="00000000">
            <w:pPr>
              <w:spacing w:after="0"/>
              <w:rPr>
                <w:szCs w:val="24"/>
              </w:rPr>
            </w:pPr>
            <w:r w:rsidRPr="0093125D">
              <w:rPr>
                <w:b/>
                <w:szCs w:val="24"/>
              </w:rPr>
              <w:t>Submission deadline</w:t>
            </w:r>
          </w:p>
        </w:tc>
        <w:tc>
          <w:tcPr>
            <w:tcW w:w="7200" w:type="dxa"/>
            <w:shd w:val="clear" w:color="auto" w:fill="F7F9F9"/>
            <w:tcMar>
              <w:top w:w="115" w:type="dxa"/>
              <w:left w:w="100" w:type="dxa"/>
              <w:bottom w:w="115" w:type="dxa"/>
              <w:right w:w="100" w:type="dxa"/>
            </w:tcMar>
          </w:tcPr>
          <w:p w14:paraId="67962386" w14:textId="77777777" w:rsidR="00EA43D6" w:rsidRPr="0093125D" w:rsidRDefault="00000000">
            <w:pPr>
              <w:spacing w:after="0"/>
              <w:rPr>
                <w:szCs w:val="24"/>
              </w:rPr>
            </w:pPr>
            <w:r w:rsidRPr="0093125D">
              <w:rPr>
                <w:szCs w:val="24"/>
              </w:rPr>
              <w:t>27 November 2026, 14:00 (2:00 PM)</w:t>
            </w:r>
          </w:p>
        </w:tc>
      </w:tr>
    </w:tbl>
    <w:p w14:paraId="25AA73E4" w14:textId="77777777" w:rsidR="00EA43D6" w:rsidRPr="0093125D" w:rsidRDefault="00000000">
      <w:pPr>
        <w:spacing w:before="480"/>
        <w:jc w:val="center"/>
      </w:pPr>
      <w:r w:rsidRPr="0093125D">
        <w:rPr>
          <w:b/>
          <w:sz w:val="22"/>
        </w:rPr>
        <w:t>BLOG 1  |  NHS ACTIVE 10</w:t>
      </w:r>
      <w:r w:rsidRPr="0093125D">
        <w:rPr>
          <w:b/>
          <w:sz w:val="22"/>
        </w:rPr>
        <w:br/>
        <w:t>BLOG 2  |  MOVEBREAK: PROPOSED WORKPLACE INTERVENTION</w:t>
      </w:r>
    </w:p>
    <w:p w14:paraId="172CC4B4" w14:textId="77777777" w:rsidR="00EA43D6" w:rsidRDefault="00000000">
      <w:r>
        <w:br w:type="page"/>
      </w:r>
    </w:p>
    <w:p w14:paraId="2B82DCD2" w14:textId="77777777" w:rsidR="00EA43D6" w:rsidRPr="0093125D" w:rsidRDefault="00000000">
      <w:pPr>
        <w:spacing w:before="40" w:after="40"/>
      </w:pPr>
      <w:r w:rsidRPr="0093125D">
        <w:rPr>
          <w:b/>
          <w:sz w:val="22"/>
        </w:rPr>
        <w:lastRenderedPageBreak/>
        <w:t>BLOG 1</w:t>
      </w:r>
    </w:p>
    <w:p w14:paraId="565E3D4E" w14:textId="77777777" w:rsidR="00EA43D6" w:rsidRPr="0093125D" w:rsidRDefault="00000000">
      <w:pPr>
        <w:pStyle w:val="Heading1"/>
      </w:pPr>
      <w:r w:rsidRPr="0093125D">
        <w:rPr>
          <w:rFonts w:eastAsia="Times New Roman"/>
        </w:rPr>
        <w:t>Can the NHS Active 10 App Help Inactive Adults Become More Active? A Critical Evaluation</w:t>
      </w:r>
    </w:p>
    <w:p w14:paraId="204F3CC7" w14:textId="6228976A" w:rsidR="00EA43D6" w:rsidRPr="0093125D" w:rsidRDefault="00000000" w:rsidP="00123E74">
      <w:pPr>
        <w:rPr>
          <w:i/>
          <w:iCs/>
        </w:rPr>
      </w:pPr>
      <w:r w:rsidRPr="0093125D">
        <w:rPr>
          <w:i/>
          <w:iCs/>
        </w:rPr>
        <w:t>Existing digital health promotion technology | Physical inactivity and brisk walking</w:t>
      </w:r>
    </w:p>
    <w:p w14:paraId="24AC6595" w14:textId="77777777" w:rsidR="00123E74" w:rsidRPr="0093125D" w:rsidRDefault="00123E74" w:rsidP="00123E74">
      <w:pPr>
        <w:rPr>
          <w:b/>
          <w:bCs/>
        </w:rPr>
      </w:pPr>
      <w:r w:rsidRPr="0093125D">
        <w:rPr>
          <w:b/>
          <w:bCs/>
        </w:rPr>
        <w:t>Why is this important?</w:t>
      </w:r>
    </w:p>
    <w:p w14:paraId="04C1C366" w14:textId="77777777" w:rsidR="00123E74" w:rsidRPr="0093125D" w:rsidRDefault="00123E74" w:rsidP="00123E74">
      <w:r w:rsidRPr="0093125D">
        <w:t>Lack of exercise increases the likelihood of having cardiovascular disease, type 2 diabetes, and poor mental health. According to guidance from the UK, adults are supposed to aim for at least 150 minutes of moderate activities per week (Department of Health and Social Care, 2026). However, 31% of the world's adult population failed to meet this recommendation in 2022 (World Health Organization, 2024).</w:t>
      </w:r>
    </w:p>
    <w:p w14:paraId="1871D15C" w14:textId="77777777" w:rsidR="00123E74" w:rsidRPr="0093125D" w:rsidRDefault="00123E74" w:rsidP="00123E74">
      <w:pPr>
        <w:rPr>
          <w:b/>
          <w:bCs/>
        </w:rPr>
      </w:pPr>
      <w:r w:rsidRPr="0093125D">
        <w:rPr>
          <w:b/>
          <w:bCs/>
        </w:rPr>
        <w:t>How does Active 10 work?</w:t>
      </w:r>
    </w:p>
    <w:p w14:paraId="61797DD4" w14:textId="77777777" w:rsidR="00123E74" w:rsidRPr="0093125D" w:rsidRDefault="00123E74" w:rsidP="00123E74">
      <w:r w:rsidRPr="0093125D">
        <w:t>The current NHS Active 10 application is designed to monitor brisk walking and provide users with a ten-minute target and feedback and set goals (NHS, n.d.). In other words, it enables to quantify walking and present exercise as a feasible habit rather than making people go to the gym.</w:t>
      </w:r>
    </w:p>
    <w:p w14:paraId="6E6C45D0" w14:textId="77777777" w:rsidR="00123E74" w:rsidRPr="0093125D" w:rsidRDefault="00123E74" w:rsidP="00123E74">
      <w:pPr>
        <w:rPr>
          <w:b/>
          <w:bCs/>
        </w:rPr>
      </w:pPr>
      <w:r w:rsidRPr="0093125D">
        <w:rPr>
          <w:b/>
          <w:bCs/>
        </w:rPr>
        <w:t>Does it work?</w:t>
      </w:r>
    </w:p>
    <w:p w14:paraId="171B8761" w14:textId="5ED00C14" w:rsidR="00123E74" w:rsidRPr="0093125D" w:rsidRDefault="00123E74" w:rsidP="00123E74">
      <w:r w:rsidRPr="0093125D">
        <w:t>According to the findings of a time-series study that examined 201,668 users, on the day of downloading the NHS Active 10 app users increased their brisk walking by 9 minutes daily (Yerrakalva et al., 2025). It also increased to 30 months among users providing regular data. Nonetheless, due to the absence of comparison group, there may be various factors at play. Furthermore, engagement has been reducing: only 21% of users have kept using the application for more than a year. Thus, it is promising, but the effectiveness has not been proven yet.</w:t>
      </w:r>
    </w:p>
    <w:p w14:paraId="29DB134C" w14:textId="77777777" w:rsidR="00123E74" w:rsidRPr="0093125D" w:rsidRDefault="00123E74" w:rsidP="00123E74">
      <w:pPr>
        <w:rPr>
          <w:b/>
          <w:bCs/>
        </w:rPr>
      </w:pPr>
      <w:r w:rsidRPr="0093125D">
        <w:rPr>
          <w:b/>
          <w:bCs/>
        </w:rPr>
        <w:t>Critical verdict and next step</w:t>
      </w:r>
    </w:p>
    <w:p w14:paraId="6E1BFCDA" w14:textId="2088596B" w:rsidR="00123E74" w:rsidRPr="0093125D" w:rsidRDefault="00123E74" w:rsidP="00123E74">
      <w:r w:rsidRPr="0093125D">
        <w:t>Active 10 is free and scalable and uses a popular form of activity. Still, it requires access to a compatible phone and cannot address such obstacles as unsafe routes, disability, childcare responsibilities, and lack of time. Gamified health applications showed some improvement in physical activity compared to non-gamified ones in 36 trials, but results were diverse depending on the outcomes (Nishi et al., 2024). One can use this app in conjunction with safe walking places, groups and follow-ups. Evaluation must focus on long-term exercise and equality (Hub, 2020).</w:t>
      </w:r>
    </w:p>
    <w:tbl>
      <w:tblPr>
        <w:tblW w:w="5000" w:type="pct"/>
        <w:tblLook w:val="04A0" w:firstRow="1" w:lastRow="0" w:firstColumn="1" w:lastColumn="0" w:noHBand="0" w:noVBand="1"/>
      </w:tblPr>
      <w:tblGrid>
        <w:gridCol w:w="9306"/>
      </w:tblGrid>
      <w:tr w:rsidR="00EA43D6" w:rsidRPr="0093125D" w14:paraId="6D0A6B26" w14:textId="77777777" w:rsidTr="00E77CED">
        <w:trPr>
          <w:cantSplit/>
        </w:trPr>
        <w:tc>
          <w:tcPr>
            <w:tcW w:w="5000" w:type="pct"/>
            <w:shd w:val="clear" w:color="auto" w:fill="FFF5D9"/>
            <w:tcMar>
              <w:top w:w="95" w:type="dxa"/>
              <w:left w:w="140" w:type="dxa"/>
              <w:bottom w:w="95" w:type="dxa"/>
              <w:right w:w="140" w:type="dxa"/>
            </w:tcMar>
          </w:tcPr>
          <w:p w14:paraId="1ADB604F" w14:textId="77777777" w:rsidR="00EA43D6" w:rsidRPr="0093125D" w:rsidRDefault="00000000">
            <w:pPr>
              <w:spacing w:after="0"/>
            </w:pPr>
            <w:r w:rsidRPr="0093125D">
              <w:rPr>
                <w:b/>
                <w:sz w:val="18"/>
              </w:rPr>
              <w:lastRenderedPageBreak/>
              <w:t xml:space="preserve">CRITICAL TAKEAWAY  </w:t>
            </w:r>
            <w:r w:rsidRPr="0093125D">
              <w:rPr>
                <w:sz w:val="18"/>
              </w:rPr>
              <w:t>The evidence supports promise, not certainty: initial gains are meaningful, but sustained engagement and equitable access remain key tests.</w:t>
            </w:r>
          </w:p>
        </w:tc>
      </w:tr>
    </w:tbl>
    <w:p w14:paraId="43BD7057" w14:textId="129A7C3D" w:rsidR="00EA43D6" w:rsidRPr="0093125D" w:rsidRDefault="00E77CED">
      <w:pPr>
        <w:spacing w:before="80" w:after="20"/>
      </w:pPr>
      <w:r w:rsidRPr="0093125D">
        <w:rPr>
          <w:noProof/>
        </w:rPr>
        <w:drawing>
          <wp:inline distT="0" distB="0" distL="0" distR="0" wp14:anchorId="016AFE70" wp14:editId="060C94E6">
            <wp:extent cx="5902960" cy="1968560"/>
            <wp:effectExtent l="0" t="0" r="2540" b="0"/>
            <wp:docPr id="8262053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8124" cy="1973617"/>
                    </a:xfrm>
                    <a:prstGeom prst="rect">
                      <a:avLst/>
                    </a:prstGeom>
                    <a:noFill/>
                  </pic:spPr>
                </pic:pic>
              </a:graphicData>
            </a:graphic>
          </wp:inline>
        </w:drawing>
      </w:r>
    </w:p>
    <w:p w14:paraId="6F696694" w14:textId="77777777" w:rsidR="00E77CED" w:rsidRPr="0093125D" w:rsidRDefault="00E77CED" w:rsidP="00E77CED">
      <w:pPr>
        <w:jc w:val="center"/>
      </w:pPr>
      <w:r w:rsidRPr="0093125D">
        <w:rPr>
          <w:b/>
          <w:bCs/>
        </w:rPr>
        <w:t>Figure 1.</w:t>
      </w:r>
      <w:r w:rsidRPr="0093125D">
        <w:t xml:space="preserve"> Active 10 intervention pathway </w:t>
      </w:r>
    </w:p>
    <w:p w14:paraId="43415993" w14:textId="292E9086" w:rsidR="00E77CED" w:rsidRPr="0093125D" w:rsidRDefault="00E77CED" w:rsidP="00E77CED">
      <w:pPr>
        <w:jc w:val="center"/>
        <w:rPr>
          <w:b/>
          <w:szCs w:val="24"/>
        </w:rPr>
      </w:pPr>
      <w:r w:rsidRPr="00CC23EF">
        <w:rPr>
          <w:b/>
          <w:bCs/>
        </w:rPr>
        <w:t>Source:</w:t>
      </w:r>
      <w:r w:rsidRPr="0093125D">
        <w:t xml:space="preserve"> self-developed illustration.</w:t>
      </w:r>
    </w:p>
    <w:p w14:paraId="16AC547D" w14:textId="566030EA" w:rsidR="00E77CED" w:rsidRPr="0093125D" w:rsidRDefault="00E77CED" w:rsidP="00E77CED">
      <w:pPr>
        <w:rPr>
          <w:b/>
          <w:szCs w:val="24"/>
        </w:rPr>
      </w:pPr>
      <w:r w:rsidRPr="0093125D">
        <w:rPr>
          <w:noProof/>
        </w:rPr>
        <w:drawing>
          <wp:inline distT="0" distB="0" distL="0" distR="0" wp14:anchorId="2CA1AFD6" wp14:editId="3E1D3574">
            <wp:extent cx="5381625" cy="5067300"/>
            <wp:effectExtent l="0" t="0" r="9525" b="0"/>
            <wp:docPr id="11613720" name="Picture 1" descr="Evaluation of the NHS active 10 walking app intervention through time-series analysis in 201,688 individuals | npj Digital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aluation of the NHS active 10 walking app intervention through time-series analysis in 201,688 individuals | npj Digital Medic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1625" cy="5067300"/>
                    </a:xfrm>
                    <a:prstGeom prst="rect">
                      <a:avLst/>
                    </a:prstGeom>
                    <a:noFill/>
                    <a:ln>
                      <a:noFill/>
                    </a:ln>
                  </pic:spPr>
                </pic:pic>
              </a:graphicData>
            </a:graphic>
          </wp:inline>
        </w:drawing>
      </w:r>
    </w:p>
    <w:p w14:paraId="6CA6951C" w14:textId="4DB332A1" w:rsidR="00E77CED" w:rsidRPr="0093125D" w:rsidRDefault="00E77CED" w:rsidP="00E77CED">
      <w:pPr>
        <w:jc w:val="center"/>
        <w:rPr>
          <w:b/>
          <w:szCs w:val="24"/>
          <w:lang w:val="en-IN"/>
        </w:rPr>
      </w:pPr>
      <w:r w:rsidRPr="0093125D">
        <w:rPr>
          <w:b/>
          <w:szCs w:val="24"/>
          <w:lang w:val="en-IN"/>
        </w:rPr>
        <w:lastRenderedPageBreak/>
        <w:t xml:space="preserve">Figure 2. </w:t>
      </w:r>
      <w:r w:rsidRPr="0093125D">
        <w:rPr>
          <w:bCs/>
          <w:szCs w:val="24"/>
          <w:lang w:val="en-IN"/>
        </w:rPr>
        <w:t>Observed changes in daily brisk and non-brisk walking before and after downloading the NHS Active 10 app.</w:t>
      </w:r>
    </w:p>
    <w:p w14:paraId="60F752B9" w14:textId="0B94F5CE" w:rsidR="00E77CED" w:rsidRPr="0093125D" w:rsidRDefault="00E77CED" w:rsidP="00E77CED">
      <w:pPr>
        <w:jc w:val="center"/>
        <w:rPr>
          <w:b/>
          <w:szCs w:val="24"/>
          <w:lang w:val="en-IN"/>
        </w:rPr>
      </w:pPr>
      <w:r w:rsidRPr="0093125D">
        <w:rPr>
          <w:b/>
          <w:szCs w:val="24"/>
          <w:lang w:val="en-IN"/>
        </w:rPr>
        <w:t xml:space="preserve">Source: </w:t>
      </w:r>
      <w:r w:rsidRPr="0093125D">
        <w:rPr>
          <w:bCs/>
          <w:szCs w:val="24"/>
          <w:lang w:val="en-IN"/>
        </w:rPr>
        <w:t>Yerrakalva et al. (2025), Figure 1.</w:t>
      </w:r>
    </w:p>
    <w:p w14:paraId="172EB04A" w14:textId="77777777" w:rsidR="000D0459" w:rsidRDefault="00000000" w:rsidP="000D0459">
      <w:r w:rsidRPr="00E77CED">
        <w:rPr>
          <w:b/>
          <w:szCs w:val="24"/>
        </w:rPr>
        <w:t xml:space="preserve">Explore the technology: </w:t>
      </w:r>
      <w:hyperlink r:id="rId10">
        <w:r w:rsidRPr="00E77CED">
          <w:rPr>
            <w:color w:val="176B70"/>
            <w:szCs w:val="24"/>
            <w:u w:val="single"/>
          </w:rPr>
          <w:t>NHS Better Health - How to be more active</w:t>
        </w:r>
      </w:hyperlink>
    </w:p>
    <w:p w14:paraId="4461F92C" w14:textId="486649EC" w:rsidR="00EA43D6" w:rsidRPr="000D0459" w:rsidRDefault="00000000" w:rsidP="000D0459">
      <w:pPr>
        <w:rPr>
          <w:b/>
          <w:bCs/>
        </w:rPr>
      </w:pPr>
      <w:r w:rsidRPr="000D0459">
        <w:rPr>
          <w:b/>
          <w:bCs/>
        </w:rPr>
        <w:t>References - Blog 1</w:t>
      </w:r>
    </w:p>
    <w:p w14:paraId="1FD28931" w14:textId="77777777" w:rsidR="00EA43D6" w:rsidRDefault="00000000" w:rsidP="00E77CED">
      <w:r>
        <w:t xml:space="preserve">Department of Health and Social Care (2026) ‘UK Chief Medical Officers’ physical activity guidelines’. Updated 10 July 2026. Available at: </w:t>
      </w:r>
      <w:hyperlink r:id="rId11">
        <w:r>
          <w:rPr>
            <w:color w:val="176B70"/>
            <w:u w:val="single"/>
          </w:rPr>
          <w:t>https://www.gov.uk/government/publications/physical-activity-guidelines-uk-chief-medical-officers-report/uk-chief-medical-officers-physical-activity-guidelines</w:t>
        </w:r>
      </w:hyperlink>
      <w:r>
        <w:t xml:space="preserve"> (Accessed: 17 October 2026).</w:t>
      </w:r>
    </w:p>
    <w:p w14:paraId="6AE5D0E0" w14:textId="77777777" w:rsidR="00EA43D6" w:rsidRDefault="00000000" w:rsidP="00E77CED">
      <w:r>
        <w:t xml:space="preserve">NHS (n.d.) ‘How to be more active’. Available at: </w:t>
      </w:r>
      <w:hyperlink r:id="rId12">
        <w:r>
          <w:rPr>
            <w:color w:val="176B70"/>
            <w:u w:val="single"/>
          </w:rPr>
          <w:t>https://www.nhs.uk/better-health/get-active/how-to-be-more-active/</w:t>
        </w:r>
      </w:hyperlink>
      <w:r>
        <w:t xml:space="preserve"> (Accessed: 17 October 2026).</w:t>
      </w:r>
    </w:p>
    <w:p w14:paraId="0D8B046F" w14:textId="77777777" w:rsidR="00EA43D6" w:rsidRDefault="00000000" w:rsidP="00E77CED">
      <w:r>
        <w:t xml:space="preserve">Nishi, S.K., Kavanagh, M.E., Ramboanga, K., Ayoub-Charette, S., Modol, S., Dias, G.M., Kendall, C.W.C., Sievenpiper, J.L. and Chiavaroli, L. (2024) ‘Effect of digital health applications with or without gamification on physical activity and cardiometabolic risk factors: a systematic review and meta-analysis of randomized controlled trials’, eClinicalMedicine, 76, 102798. Available at: </w:t>
      </w:r>
      <w:hyperlink r:id="rId13">
        <w:r>
          <w:rPr>
            <w:color w:val="176B70"/>
            <w:u w:val="single"/>
          </w:rPr>
          <w:t>https://doi.org/10.1016/j.eclinm.2024.102798</w:t>
        </w:r>
      </w:hyperlink>
      <w:r>
        <w:t>.</w:t>
      </w:r>
    </w:p>
    <w:p w14:paraId="2935CEE6" w14:textId="77777777" w:rsidR="00EA43D6" w:rsidRDefault="00000000" w:rsidP="00E77CED">
      <w:r>
        <w:t xml:space="preserve">World Health Organization (2024) ‘Physical activity’. Fact sheet, 26 June. Available at: </w:t>
      </w:r>
      <w:hyperlink r:id="rId14">
        <w:r>
          <w:rPr>
            <w:color w:val="176B70"/>
            <w:u w:val="single"/>
          </w:rPr>
          <w:t>https://www.who.int/news-room/fact-sheets/detail/physical-activity</w:t>
        </w:r>
      </w:hyperlink>
      <w:r>
        <w:t xml:space="preserve"> (Accessed: 17 October 2026).</w:t>
      </w:r>
    </w:p>
    <w:p w14:paraId="104F065B" w14:textId="77777777" w:rsidR="00EA43D6" w:rsidRDefault="00000000" w:rsidP="00E77CED">
      <w:r>
        <w:t xml:space="preserve">Yerrakalva, D., Hajna, S., Brage, S. et al. (2025) ‘Evaluation of the NHS active 10 walking app intervention through time-series analysis in 201,688 individuals’, npj Digital Medicine, 8, 441. Available at: </w:t>
      </w:r>
      <w:hyperlink r:id="rId15">
        <w:r>
          <w:rPr>
            <w:color w:val="176B70"/>
            <w:u w:val="single"/>
          </w:rPr>
          <w:t>https://doi.org/10.1038/s41746-025-01785-x</w:t>
        </w:r>
      </w:hyperlink>
      <w:r>
        <w:t>.</w:t>
      </w:r>
    </w:p>
    <w:p w14:paraId="0448BF28" w14:textId="77777777" w:rsidR="00EA43D6" w:rsidRDefault="00000000">
      <w:r>
        <w:br w:type="page"/>
      </w:r>
    </w:p>
    <w:p w14:paraId="75DA1980" w14:textId="77777777" w:rsidR="00EA43D6" w:rsidRPr="0093125D" w:rsidRDefault="00000000">
      <w:pPr>
        <w:spacing w:before="40" w:after="40"/>
      </w:pPr>
      <w:r w:rsidRPr="0093125D">
        <w:rPr>
          <w:b/>
          <w:sz w:val="22"/>
        </w:rPr>
        <w:lastRenderedPageBreak/>
        <w:t>BLOG 2</w:t>
      </w:r>
    </w:p>
    <w:p w14:paraId="4B1137A3" w14:textId="77777777" w:rsidR="00EA43D6" w:rsidRDefault="00000000">
      <w:pPr>
        <w:pStyle w:val="Heading1"/>
      </w:pPr>
      <w:r>
        <w:rPr>
          <w:rFonts w:eastAsia="Times New Roman"/>
        </w:rPr>
        <w:t>MoveBreak: Designing a Digital Intervention to Reduce Prolonged Sitting Among UK Office Workers</w:t>
      </w:r>
    </w:p>
    <w:p w14:paraId="6E905708" w14:textId="77777777" w:rsidR="00EA43D6" w:rsidRDefault="00000000">
      <w:pPr>
        <w:spacing w:after="140"/>
      </w:pPr>
      <w:r>
        <w:rPr>
          <w:i/>
          <w:color w:val="526473"/>
          <w:sz w:val="20"/>
        </w:rPr>
        <w:t>Original proposed digital health promotion intervention | Sedentary behaviour at work</w:t>
      </w:r>
    </w:p>
    <w:p w14:paraId="6FBE2566" w14:textId="77777777" w:rsidR="00F43311" w:rsidRPr="00F43311" w:rsidRDefault="00F43311" w:rsidP="00F43311">
      <w:pPr>
        <w:rPr>
          <w:b/>
          <w:bCs/>
        </w:rPr>
      </w:pPr>
      <w:r w:rsidRPr="00F43311">
        <w:rPr>
          <w:b/>
          <w:bCs/>
        </w:rPr>
        <w:t>Why is this needed?</w:t>
      </w:r>
    </w:p>
    <w:p w14:paraId="6CADB921" w14:textId="77777777" w:rsidR="00F43311" w:rsidRDefault="00F43311" w:rsidP="00F43311">
      <w:r>
        <w:t>Workplace prolonged sitting is a health risk. Updated UK guidelines recommend reducing sedentary time and interrupting long sedentary bouts with at least some light activity (Department of Health and Social Care, 2026). The WHO also lists sedentary behaviour as an area relevant to health risks (World Health Organization, 2020).</w:t>
      </w:r>
    </w:p>
    <w:p w14:paraId="5FA42996" w14:textId="77777777" w:rsidR="00F43311" w:rsidRPr="00F43311" w:rsidRDefault="00F43311" w:rsidP="00F43311">
      <w:pPr>
        <w:rPr>
          <w:b/>
          <w:bCs/>
        </w:rPr>
      </w:pPr>
      <w:r w:rsidRPr="00F43311">
        <w:rPr>
          <w:b/>
          <w:bCs/>
        </w:rPr>
        <w:t>What is MoveBreak?</w:t>
      </w:r>
    </w:p>
    <w:p w14:paraId="37DC5069" w14:textId="77777777" w:rsidR="00F43311" w:rsidRDefault="00F43311" w:rsidP="00F43311">
      <w:r>
        <w:t>MoveBreak is a suggested smartphone and desktop intervention, not a current product. Users schedule times for moving notifications, pick two-minute routines accessible to them, track their weekly trends and participate in optional team challenges. Schedule-aware notifications can be turned off during meetings, and managers will see only aggregated team-level data.</w:t>
      </w:r>
    </w:p>
    <w:p w14:paraId="1A059BB9" w14:textId="77777777" w:rsidR="00F43311" w:rsidRPr="00F43311" w:rsidRDefault="00F43311" w:rsidP="00F43311">
      <w:pPr>
        <w:rPr>
          <w:b/>
          <w:bCs/>
        </w:rPr>
      </w:pPr>
      <w:r w:rsidRPr="00F43311">
        <w:rPr>
          <w:b/>
          <w:bCs/>
        </w:rPr>
        <w:t>Expected impact: from a behavioural perspective</w:t>
      </w:r>
    </w:p>
    <w:p w14:paraId="6433B7EF" w14:textId="77777777" w:rsidR="00F43311" w:rsidRDefault="00F43311" w:rsidP="00F43311">
      <w:r>
        <w:t>COM-B model posits that a behaviour requires capability, opportunity and motivation (Michie, van Stralen and West, 2011). MoveBreak facilitates capability through demonstrations and exercises suitable for seated workers; opportunity through scheduling calendar gaps and manager-permitted breaks; and motivation through small goals and feedback. A meta-analysis in 2024 found 30 minutes reduction in sitting time per eight-hour workday, with great variability between studies (Parés-Salomón et al., 2024).</w:t>
      </w:r>
    </w:p>
    <w:p w14:paraId="2F2440B7" w14:textId="77777777" w:rsidR="00F43311" w:rsidRPr="00F43311" w:rsidRDefault="00F43311" w:rsidP="00F43311">
      <w:pPr>
        <w:rPr>
          <w:b/>
          <w:bCs/>
        </w:rPr>
      </w:pPr>
      <w:r w:rsidRPr="00F43311">
        <w:rPr>
          <w:b/>
          <w:bCs/>
        </w:rPr>
        <w:t>Critical risks and next steps</w:t>
      </w:r>
    </w:p>
    <w:p w14:paraId="72CF05FD" w14:textId="693EE47B" w:rsidR="00F43311" w:rsidRDefault="00F43311" w:rsidP="00F43311">
      <w:r>
        <w:t>The app may get ignored amid heavy workload; notifications can be annoying, and tracking – intrusive. There is evidence that gamification usually results in minor effects on physical activity, so team challenges should be optional (Nishi et al., 2024). Design MoveBreak together with workers of different professions and capabilities, minimize data collection, provide non-smartphone alternatives and gain permission for break from the manager. Pilot for eight weeks, measure sitting time using a validated tool and gather user feedback. Success means reduced sitting time, not number of app log-ins.</w:t>
      </w:r>
    </w:p>
    <w:p w14:paraId="1F67E47A" w14:textId="42C0A036" w:rsidR="00EA43D6" w:rsidRDefault="00000000">
      <w:pPr>
        <w:pStyle w:val="Heading2"/>
        <w:spacing w:before="0"/>
      </w:pPr>
      <w:r>
        <w:rPr>
          <w:rFonts w:eastAsia="Times New Roman"/>
        </w:rPr>
        <w:lastRenderedPageBreak/>
        <w:t>MoveBreak design concept and implementation plan</w:t>
      </w:r>
    </w:p>
    <w:p w14:paraId="6FB4D1E4" w14:textId="4B3E7C51" w:rsidR="00EA43D6" w:rsidRDefault="00192C60" w:rsidP="00192C60">
      <w:r>
        <w:rPr>
          <w:noProof/>
        </w:rPr>
        <w:drawing>
          <wp:inline distT="0" distB="0" distL="0" distR="0" wp14:anchorId="28A6A9B8" wp14:editId="0D98554A">
            <wp:extent cx="5798820" cy="3865880"/>
            <wp:effectExtent l="0" t="0" r="0" b="1270"/>
            <wp:docPr id="18063892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98820" cy="3865880"/>
                    </a:xfrm>
                    <a:prstGeom prst="rect">
                      <a:avLst/>
                    </a:prstGeom>
                    <a:noFill/>
                  </pic:spPr>
                </pic:pic>
              </a:graphicData>
            </a:graphic>
          </wp:inline>
        </w:drawing>
      </w:r>
    </w:p>
    <w:p w14:paraId="6C1EABB2" w14:textId="7FB7C013" w:rsidR="000D0459" w:rsidRDefault="00000000" w:rsidP="000D0459">
      <w:pPr>
        <w:jc w:val="center"/>
      </w:pPr>
      <w:r w:rsidRPr="000D0459">
        <w:rPr>
          <w:b/>
          <w:bCs/>
        </w:rPr>
        <w:t>Figure 3.</w:t>
      </w:r>
      <w:r>
        <w:t xml:space="preserve"> MoveBreak user-facing concept interface.</w:t>
      </w:r>
    </w:p>
    <w:p w14:paraId="06E5132A" w14:textId="4742E381" w:rsidR="00EA43D6" w:rsidRDefault="00000000" w:rsidP="000D0459">
      <w:pPr>
        <w:jc w:val="center"/>
      </w:pPr>
      <w:r w:rsidRPr="00CC23EF">
        <w:rPr>
          <w:b/>
          <w:bCs/>
        </w:rPr>
        <w:t>Source:</w:t>
      </w:r>
      <w:r>
        <w:t xml:space="preserve"> Self-developed; illustrative proposal, not a live product.</w:t>
      </w:r>
    </w:p>
    <w:p w14:paraId="1D1CE523" w14:textId="77777777" w:rsidR="00EA43D6" w:rsidRDefault="00000000">
      <w:pPr>
        <w:pStyle w:val="Heading2"/>
        <w:spacing w:before="60" w:after="40"/>
      </w:pPr>
      <w:r>
        <w:rPr>
          <w:rFonts w:eastAsia="Times New Roman"/>
        </w:rPr>
        <w:t>Behaviour change model and implementation safeguards</w:t>
      </w:r>
    </w:p>
    <w:p w14:paraId="788F3000" w14:textId="09A37846" w:rsidR="00EA43D6" w:rsidRDefault="00192C60">
      <w:pPr>
        <w:spacing w:before="20" w:after="20"/>
        <w:jc w:val="center"/>
      </w:pPr>
      <w:r>
        <w:rPr>
          <w:noProof/>
        </w:rPr>
        <w:drawing>
          <wp:inline distT="0" distB="0" distL="0" distR="0" wp14:anchorId="1A7996A8" wp14:editId="46D6927A">
            <wp:extent cx="5716270" cy="1906302"/>
            <wp:effectExtent l="0" t="0" r="0" b="0"/>
            <wp:docPr id="7315583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5557" cy="1912734"/>
                    </a:xfrm>
                    <a:prstGeom prst="rect">
                      <a:avLst/>
                    </a:prstGeom>
                    <a:noFill/>
                  </pic:spPr>
                </pic:pic>
              </a:graphicData>
            </a:graphic>
          </wp:inline>
        </w:drawing>
      </w:r>
    </w:p>
    <w:p w14:paraId="5FA17249" w14:textId="77777777" w:rsidR="000D0459" w:rsidRDefault="00000000" w:rsidP="000D0459">
      <w:pPr>
        <w:jc w:val="center"/>
        <w:rPr>
          <w:iCs/>
        </w:rPr>
      </w:pPr>
      <w:r w:rsidRPr="000D0459">
        <w:rPr>
          <w:b/>
          <w:bCs/>
          <w:iCs/>
        </w:rPr>
        <w:t>Figure 4.</w:t>
      </w:r>
      <w:r w:rsidRPr="000D0459">
        <w:rPr>
          <w:iCs/>
        </w:rPr>
        <w:t xml:space="preserve"> Applying COM-B to the proposed MoveBreak intervention.  </w:t>
      </w:r>
    </w:p>
    <w:p w14:paraId="28316A5C" w14:textId="66C2F0EC" w:rsidR="00EA43D6" w:rsidRPr="000D0459" w:rsidRDefault="00000000" w:rsidP="000D0459">
      <w:pPr>
        <w:jc w:val="center"/>
        <w:rPr>
          <w:iCs/>
        </w:rPr>
      </w:pPr>
      <w:r w:rsidRPr="00CC23EF">
        <w:rPr>
          <w:b/>
          <w:bCs/>
          <w:iCs/>
        </w:rPr>
        <w:t>Source:</w:t>
      </w:r>
      <w:r w:rsidRPr="000D0459">
        <w:rPr>
          <w:iCs/>
        </w:rPr>
        <w:t xml:space="preserve"> Self-developed, informed by Michie, van Stralen and West (2011).</w:t>
      </w:r>
    </w:p>
    <w:p w14:paraId="0ACA16BA" w14:textId="77777777" w:rsidR="00EA43D6" w:rsidRDefault="00000000">
      <w:pPr>
        <w:pStyle w:val="Heading2"/>
      </w:pPr>
      <w:r>
        <w:rPr>
          <w:rFonts w:eastAsia="Times New Roman"/>
        </w:rPr>
        <w:lastRenderedPageBreak/>
        <w:t>Implementation risks and practical mitigations</w:t>
      </w:r>
    </w:p>
    <w:tbl>
      <w:tblPr>
        <w:tblStyle w:val="TableGrid"/>
        <w:tblW w:w="5000" w:type="pct"/>
        <w:jc w:val="center"/>
        <w:tblLook w:val="04A0" w:firstRow="1" w:lastRow="0" w:firstColumn="1" w:lastColumn="0" w:noHBand="0" w:noVBand="1"/>
      </w:tblPr>
      <w:tblGrid>
        <w:gridCol w:w="4068"/>
        <w:gridCol w:w="5128"/>
      </w:tblGrid>
      <w:tr w:rsidR="00EA43D6" w:rsidRPr="00E77CED" w14:paraId="53A08692" w14:textId="77777777" w:rsidTr="000D0459">
        <w:trPr>
          <w:cantSplit/>
          <w:jc w:val="center"/>
        </w:trPr>
        <w:tc>
          <w:tcPr>
            <w:tcW w:w="2212" w:type="pct"/>
            <w:shd w:val="clear" w:color="auto" w:fill="17324D"/>
            <w:tcMar>
              <w:top w:w="65" w:type="dxa"/>
              <w:left w:w="85" w:type="dxa"/>
              <w:bottom w:w="65" w:type="dxa"/>
              <w:right w:w="85" w:type="dxa"/>
            </w:tcMar>
          </w:tcPr>
          <w:p w14:paraId="05D6A61B" w14:textId="77777777" w:rsidR="00EA43D6" w:rsidRPr="00E77CED" w:rsidRDefault="00000000" w:rsidP="000D0459">
            <w:pPr>
              <w:jc w:val="center"/>
              <w:rPr>
                <w:szCs w:val="24"/>
              </w:rPr>
            </w:pPr>
            <w:r w:rsidRPr="00E77CED">
              <w:rPr>
                <w:b/>
                <w:color w:val="FFFFFF"/>
                <w:szCs w:val="24"/>
              </w:rPr>
              <w:t>Risk</w:t>
            </w:r>
          </w:p>
        </w:tc>
        <w:tc>
          <w:tcPr>
            <w:tcW w:w="2788" w:type="pct"/>
            <w:shd w:val="clear" w:color="auto" w:fill="17324D"/>
            <w:tcMar>
              <w:top w:w="65" w:type="dxa"/>
              <w:left w:w="85" w:type="dxa"/>
              <w:bottom w:w="65" w:type="dxa"/>
              <w:right w:w="85" w:type="dxa"/>
            </w:tcMar>
          </w:tcPr>
          <w:p w14:paraId="16AF06B2" w14:textId="77777777" w:rsidR="00EA43D6" w:rsidRPr="00E77CED" w:rsidRDefault="00000000" w:rsidP="000D0459">
            <w:pPr>
              <w:jc w:val="center"/>
              <w:rPr>
                <w:szCs w:val="24"/>
              </w:rPr>
            </w:pPr>
            <w:r w:rsidRPr="00E77CED">
              <w:rPr>
                <w:b/>
                <w:color w:val="FFFFFF"/>
                <w:szCs w:val="24"/>
              </w:rPr>
              <w:t>Design response</w:t>
            </w:r>
          </w:p>
        </w:tc>
      </w:tr>
      <w:tr w:rsidR="00EA43D6" w:rsidRPr="00E77CED" w14:paraId="71EC7DD2" w14:textId="77777777" w:rsidTr="000D0459">
        <w:trPr>
          <w:cantSplit/>
          <w:jc w:val="center"/>
        </w:trPr>
        <w:tc>
          <w:tcPr>
            <w:tcW w:w="2212" w:type="pct"/>
            <w:shd w:val="clear" w:color="auto" w:fill="F3F7F7"/>
            <w:tcMar>
              <w:top w:w="60" w:type="dxa"/>
              <w:left w:w="80" w:type="dxa"/>
              <w:bottom w:w="60" w:type="dxa"/>
              <w:right w:w="80" w:type="dxa"/>
            </w:tcMar>
          </w:tcPr>
          <w:p w14:paraId="505779D0" w14:textId="77777777" w:rsidR="00EA43D6" w:rsidRPr="00E77CED" w:rsidRDefault="00000000" w:rsidP="000D0459">
            <w:pPr>
              <w:spacing w:after="0" w:line="240" w:lineRule="auto"/>
              <w:jc w:val="center"/>
              <w:rPr>
                <w:szCs w:val="24"/>
              </w:rPr>
            </w:pPr>
            <w:r w:rsidRPr="00E77CED">
              <w:rPr>
                <w:szCs w:val="24"/>
              </w:rPr>
              <w:t>Reminder fatigue or workload pressure</w:t>
            </w:r>
          </w:p>
        </w:tc>
        <w:tc>
          <w:tcPr>
            <w:tcW w:w="2788" w:type="pct"/>
            <w:shd w:val="clear" w:color="auto" w:fill="F3F7F7"/>
            <w:tcMar>
              <w:top w:w="60" w:type="dxa"/>
              <w:left w:w="80" w:type="dxa"/>
              <w:bottom w:w="60" w:type="dxa"/>
              <w:right w:w="80" w:type="dxa"/>
            </w:tcMar>
          </w:tcPr>
          <w:p w14:paraId="46E8F42F" w14:textId="77777777" w:rsidR="00EA43D6" w:rsidRPr="00E77CED" w:rsidRDefault="00000000" w:rsidP="000D0459">
            <w:pPr>
              <w:spacing w:after="0" w:line="240" w:lineRule="auto"/>
              <w:jc w:val="center"/>
              <w:rPr>
                <w:szCs w:val="24"/>
              </w:rPr>
            </w:pPr>
            <w:r w:rsidRPr="00E77CED">
              <w:rPr>
                <w:szCs w:val="24"/>
              </w:rPr>
              <w:t>User-controlled timing; pause during meetings; manager-approved breaks.</w:t>
            </w:r>
          </w:p>
        </w:tc>
      </w:tr>
      <w:tr w:rsidR="00EA43D6" w:rsidRPr="00E77CED" w14:paraId="438819E7" w14:textId="77777777" w:rsidTr="000D0459">
        <w:trPr>
          <w:cantSplit/>
          <w:jc w:val="center"/>
        </w:trPr>
        <w:tc>
          <w:tcPr>
            <w:tcW w:w="2212" w:type="pct"/>
            <w:tcMar>
              <w:top w:w="60" w:type="dxa"/>
              <w:left w:w="80" w:type="dxa"/>
              <w:bottom w:w="60" w:type="dxa"/>
              <w:right w:w="80" w:type="dxa"/>
            </w:tcMar>
          </w:tcPr>
          <w:p w14:paraId="18A3DDD3" w14:textId="77777777" w:rsidR="00EA43D6" w:rsidRPr="00E77CED" w:rsidRDefault="00000000" w:rsidP="000D0459">
            <w:pPr>
              <w:spacing w:after="0" w:line="240" w:lineRule="auto"/>
              <w:jc w:val="center"/>
              <w:rPr>
                <w:szCs w:val="24"/>
              </w:rPr>
            </w:pPr>
            <w:r w:rsidRPr="00E77CED">
              <w:rPr>
                <w:szCs w:val="24"/>
              </w:rPr>
              <w:t>Disability or limited device access</w:t>
            </w:r>
          </w:p>
        </w:tc>
        <w:tc>
          <w:tcPr>
            <w:tcW w:w="2788" w:type="pct"/>
            <w:tcMar>
              <w:top w:w="60" w:type="dxa"/>
              <w:left w:w="80" w:type="dxa"/>
              <w:bottom w:w="60" w:type="dxa"/>
              <w:right w:w="80" w:type="dxa"/>
            </w:tcMar>
          </w:tcPr>
          <w:p w14:paraId="618196EE" w14:textId="77777777" w:rsidR="00EA43D6" w:rsidRPr="00E77CED" w:rsidRDefault="00000000" w:rsidP="000D0459">
            <w:pPr>
              <w:spacing w:after="0" w:line="240" w:lineRule="auto"/>
              <w:jc w:val="center"/>
              <w:rPr>
                <w:szCs w:val="24"/>
              </w:rPr>
            </w:pPr>
            <w:r w:rsidRPr="00E77CED">
              <w:rPr>
                <w:szCs w:val="24"/>
              </w:rPr>
              <w:t>Seated and standing choices; desktop, printed and non-digital alternatives.</w:t>
            </w:r>
          </w:p>
        </w:tc>
      </w:tr>
      <w:tr w:rsidR="00EA43D6" w:rsidRPr="00E77CED" w14:paraId="79FF1EF9" w14:textId="77777777" w:rsidTr="000D0459">
        <w:trPr>
          <w:cantSplit/>
          <w:jc w:val="center"/>
        </w:trPr>
        <w:tc>
          <w:tcPr>
            <w:tcW w:w="2212" w:type="pct"/>
            <w:shd w:val="clear" w:color="auto" w:fill="F3F7F7"/>
            <w:tcMar>
              <w:top w:w="60" w:type="dxa"/>
              <w:left w:w="80" w:type="dxa"/>
              <w:bottom w:w="60" w:type="dxa"/>
              <w:right w:w="80" w:type="dxa"/>
            </w:tcMar>
          </w:tcPr>
          <w:p w14:paraId="57568CE8" w14:textId="77777777" w:rsidR="00EA43D6" w:rsidRPr="00E77CED" w:rsidRDefault="00000000" w:rsidP="000D0459">
            <w:pPr>
              <w:spacing w:after="0" w:line="240" w:lineRule="auto"/>
              <w:jc w:val="center"/>
              <w:rPr>
                <w:szCs w:val="24"/>
              </w:rPr>
            </w:pPr>
            <w:r w:rsidRPr="00E77CED">
              <w:rPr>
                <w:szCs w:val="24"/>
              </w:rPr>
              <w:t>Privacy and surveillance concerns</w:t>
            </w:r>
          </w:p>
        </w:tc>
        <w:tc>
          <w:tcPr>
            <w:tcW w:w="2788" w:type="pct"/>
            <w:shd w:val="clear" w:color="auto" w:fill="F3F7F7"/>
            <w:tcMar>
              <w:top w:w="60" w:type="dxa"/>
              <w:left w:w="80" w:type="dxa"/>
              <w:bottom w:w="60" w:type="dxa"/>
              <w:right w:w="80" w:type="dxa"/>
            </w:tcMar>
          </w:tcPr>
          <w:p w14:paraId="2E687FE4" w14:textId="77777777" w:rsidR="00EA43D6" w:rsidRPr="00E77CED" w:rsidRDefault="00000000" w:rsidP="000D0459">
            <w:pPr>
              <w:spacing w:after="0" w:line="240" w:lineRule="auto"/>
              <w:jc w:val="center"/>
              <w:rPr>
                <w:szCs w:val="24"/>
              </w:rPr>
            </w:pPr>
            <w:r w:rsidRPr="00E77CED">
              <w:rPr>
                <w:szCs w:val="24"/>
              </w:rPr>
              <w:t>Data minimisation; no individual dashboards for managers; aggregate reporting only.</w:t>
            </w:r>
          </w:p>
        </w:tc>
      </w:tr>
    </w:tbl>
    <w:p w14:paraId="7720F5F7" w14:textId="77777777" w:rsidR="00EA43D6" w:rsidRDefault="00000000">
      <w:r>
        <w:br w:type="page"/>
      </w:r>
    </w:p>
    <w:p w14:paraId="46890229" w14:textId="77777777" w:rsidR="00EA43D6" w:rsidRDefault="00000000">
      <w:pPr>
        <w:pStyle w:val="Heading1"/>
      </w:pPr>
      <w:r>
        <w:rPr>
          <w:rFonts w:eastAsia="Times New Roman"/>
        </w:rPr>
        <w:lastRenderedPageBreak/>
        <w:t>References - Blog 2</w:t>
      </w:r>
    </w:p>
    <w:p w14:paraId="49375150" w14:textId="77777777" w:rsidR="00EA43D6" w:rsidRDefault="00000000" w:rsidP="00E77CED">
      <w:r>
        <w:t xml:space="preserve">Department of Health and Social Care (2026) ‘UK Chief Medical Officers’ physical activity guidelines’. Updated 10 July 2026. Available at: </w:t>
      </w:r>
      <w:hyperlink r:id="rId18">
        <w:r>
          <w:rPr>
            <w:color w:val="176B70"/>
            <w:u w:val="single"/>
          </w:rPr>
          <w:t>https://www.gov.uk/government/publications/physical-activity-guidelines-uk-chief-medical-officers-report/uk-chief-medical-officers-physical-activity-guidelines</w:t>
        </w:r>
      </w:hyperlink>
      <w:r>
        <w:t xml:space="preserve"> (Accessed: 17 October 2026).</w:t>
      </w:r>
    </w:p>
    <w:p w14:paraId="6A37488B" w14:textId="77777777" w:rsidR="00EA43D6" w:rsidRDefault="00000000" w:rsidP="00E77CED">
      <w:r>
        <w:t xml:space="preserve">Michie, S., van Stralen, M.M. and West, R. (2011) ‘The behaviour change wheel: a new method for characterising and designing behaviour change interventions’, Implementation Science, 6, 42. Available at: </w:t>
      </w:r>
      <w:hyperlink r:id="rId19">
        <w:r>
          <w:rPr>
            <w:color w:val="176B70"/>
            <w:u w:val="single"/>
          </w:rPr>
          <w:t>https://doi.org/10.1186/1748-5908-6-42</w:t>
        </w:r>
      </w:hyperlink>
      <w:r>
        <w:t>.</w:t>
      </w:r>
    </w:p>
    <w:p w14:paraId="65E6FE92" w14:textId="77777777" w:rsidR="00EA43D6" w:rsidRDefault="00000000" w:rsidP="00E77CED">
      <w:r>
        <w:t xml:space="preserve">Nishi, S.K., Kavanagh, M.E., Ramboanga, K., Ayoub-Charette, S., Modol, S., Dias, G.M., Kendall, C.W.C., Sievenpiper, J.L. and Chiavaroli, L. (2024) ‘Effect of digital health applications with or without gamification on physical activity and cardiometabolic risk factors: a systematic review and meta-analysis of randomized controlled trials’, eClinicalMedicine, 76, 102798. Available at: </w:t>
      </w:r>
      <w:hyperlink r:id="rId20">
        <w:r>
          <w:rPr>
            <w:color w:val="176B70"/>
            <w:u w:val="single"/>
          </w:rPr>
          <w:t>https://doi.org/10.1016/j.eclinm.2024.102798</w:t>
        </w:r>
      </w:hyperlink>
      <w:r>
        <w:t>.</w:t>
      </w:r>
    </w:p>
    <w:p w14:paraId="69C10D77" w14:textId="77777777" w:rsidR="00EA43D6" w:rsidRDefault="00000000" w:rsidP="00E77CED">
      <w:r>
        <w:t xml:space="preserve">Parés-Salomón, I., Señé-Mir, A.M., Martín-Bozas, F., Loef, B., Coffey, A., Dowd, K.P., Jabardo-Camprubí, G., Proper, K.I., Puig-Ribera, A. and Bort-Roig, J. (2024) ‘Effectiveness of workplace interventions with digital elements to reduce sedentary behaviours in office employees: a systematic review and meta-analysis’, International Journal of Behavioral Nutrition and Physical Activity, 21, 41. Available at: </w:t>
      </w:r>
      <w:hyperlink r:id="rId21">
        <w:r>
          <w:rPr>
            <w:color w:val="176B70"/>
            <w:u w:val="single"/>
          </w:rPr>
          <w:t>https://doi.org/10.1186/s12966-024-01595-6</w:t>
        </w:r>
      </w:hyperlink>
      <w:r>
        <w:t>.</w:t>
      </w:r>
    </w:p>
    <w:p w14:paraId="2E2E73AF" w14:textId="77777777" w:rsidR="00EA43D6" w:rsidRDefault="00000000" w:rsidP="00E77CED">
      <w:r>
        <w:t xml:space="preserve">World Health Organization (2020) WHO guidelines on physical activity and sedentary behaviour. Geneva: World Health Organization. Available at: </w:t>
      </w:r>
      <w:hyperlink r:id="rId22">
        <w:r>
          <w:rPr>
            <w:color w:val="176B70"/>
            <w:u w:val="single"/>
          </w:rPr>
          <w:t>https://www.who.int/publications/i/item/9789240015128</w:t>
        </w:r>
      </w:hyperlink>
      <w:r>
        <w:t>.</w:t>
      </w:r>
    </w:p>
    <w:sectPr w:rsidR="00EA43D6" w:rsidSect="00E77CED">
      <w:headerReference w:type="default" r:id="rId23"/>
      <w:footerReference w:type="default" r:id="rId24"/>
      <w:pgSz w:w="11906" w:h="16838" w:code="9"/>
      <w:pgMar w:top="1440" w:right="1440" w:bottom="1440" w:left="1440" w:header="403" w:footer="40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9BC5F0" w14:textId="77777777" w:rsidR="00E317BC" w:rsidRDefault="00E317BC">
      <w:pPr>
        <w:spacing w:before="0" w:after="0" w:line="240" w:lineRule="auto"/>
      </w:pPr>
      <w:r>
        <w:separator/>
      </w:r>
    </w:p>
  </w:endnote>
  <w:endnote w:type="continuationSeparator" w:id="0">
    <w:p w14:paraId="61B9ED4B" w14:textId="77777777" w:rsidR="00E317BC" w:rsidRDefault="00E317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600F8" w14:textId="77777777" w:rsidR="00EA43D6" w:rsidRDefault="00000000">
    <w:pPr>
      <w:pStyle w:val="Footer"/>
      <w:jc w:val="center"/>
      <w:rPr>
        <w:szCs w:val="24"/>
      </w:rPr>
    </w:pPr>
    <w:r w:rsidRPr="00E77CED">
      <w:rPr>
        <w:color w:val="526473"/>
        <w:szCs w:val="24"/>
      </w:rPr>
      <w:t xml:space="preserve">Component 1 - Two Blogs  |  Page </w:t>
    </w:r>
    <w:r w:rsidRPr="00E77CED">
      <w:rPr>
        <w:szCs w:val="24"/>
      </w:rPr>
      <w:fldChar w:fldCharType="begin"/>
    </w:r>
    <w:r w:rsidRPr="00E77CED">
      <w:rPr>
        <w:szCs w:val="24"/>
      </w:rPr>
      <w:instrText>PAGE</w:instrText>
    </w:r>
    <w:r w:rsidRPr="00E77CED">
      <w:rPr>
        <w:szCs w:val="24"/>
      </w:rPr>
      <w:fldChar w:fldCharType="separate"/>
    </w:r>
    <w:r w:rsidR="00E77CED" w:rsidRPr="00E77CED">
      <w:rPr>
        <w:noProof/>
        <w:szCs w:val="24"/>
      </w:rPr>
      <w:t>1</w:t>
    </w:r>
    <w:r w:rsidRPr="00E77CED">
      <w:rPr>
        <w:szCs w:val="24"/>
      </w:rPr>
      <w:fldChar w:fldCharType="end"/>
    </w:r>
  </w:p>
  <w:p w14:paraId="1CDB88B4" w14:textId="77777777" w:rsidR="000D0459" w:rsidRPr="00E77CED" w:rsidRDefault="000D0459">
    <w:pPr>
      <w:pStyle w:val="Footer"/>
      <w:jc w:val="center"/>
      <w:rPr>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A442A" w14:textId="77777777" w:rsidR="00E317BC" w:rsidRDefault="00E317BC">
      <w:pPr>
        <w:spacing w:before="0" w:after="0" w:line="240" w:lineRule="auto"/>
      </w:pPr>
      <w:r>
        <w:separator/>
      </w:r>
    </w:p>
  </w:footnote>
  <w:footnote w:type="continuationSeparator" w:id="0">
    <w:p w14:paraId="1C484CDF" w14:textId="77777777" w:rsidR="00E317BC" w:rsidRDefault="00E317B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44287" w14:textId="77777777" w:rsidR="00EA43D6" w:rsidRDefault="00000000">
    <w:pPr>
      <w:pStyle w:val="Header"/>
      <w:jc w:val="right"/>
    </w:pPr>
    <w:r>
      <w:rPr>
        <w:color w:val="526473"/>
        <w:sz w:val="16"/>
      </w:rPr>
      <w:t>LCHS7009  |  POPULATION HEALTH AND DIGITAL HEALTH PROMOTION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53236894">
    <w:abstractNumId w:val="8"/>
  </w:num>
  <w:num w:numId="2" w16cid:durableId="2087459769">
    <w:abstractNumId w:val="6"/>
  </w:num>
  <w:num w:numId="3" w16cid:durableId="772045827">
    <w:abstractNumId w:val="5"/>
  </w:num>
  <w:num w:numId="4" w16cid:durableId="1595284582">
    <w:abstractNumId w:val="4"/>
  </w:num>
  <w:num w:numId="5" w16cid:durableId="126902535">
    <w:abstractNumId w:val="7"/>
  </w:num>
  <w:num w:numId="6" w16cid:durableId="1078207240">
    <w:abstractNumId w:val="3"/>
  </w:num>
  <w:num w:numId="7" w16cid:durableId="1395735348">
    <w:abstractNumId w:val="2"/>
  </w:num>
  <w:num w:numId="8" w16cid:durableId="1723165278">
    <w:abstractNumId w:val="1"/>
  </w:num>
  <w:num w:numId="9" w16cid:durableId="422844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D0459"/>
    <w:rsid w:val="00123E74"/>
    <w:rsid w:val="00141F16"/>
    <w:rsid w:val="0015074B"/>
    <w:rsid w:val="00192C60"/>
    <w:rsid w:val="0029639D"/>
    <w:rsid w:val="00326F90"/>
    <w:rsid w:val="003D588D"/>
    <w:rsid w:val="00505E8B"/>
    <w:rsid w:val="00592C51"/>
    <w:rsid w:val="0093125D"/>
    <w:rsid w:val="00A23DAC"/>
    <w:rsid w:val="00AA1D8D"/>
    <w:rsid w:val="00B24984"/>
    <w:rsid w:val="00B47730"/>
    <w:rsid w:val="00B93A34"/>
    <w:rsid w:val="00CB0664"/>
    <w:rsid w:val="00CC23EF"/>
    <w:rsid w:val="00E317BC"/>
    <w:rsid w:val="00E77CED"/>
    <w:rsid w:val="00EA43D6"/>
    <w:rsid w:val="00EC349C"/>
    <w:rsid w:val="00F4331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497F0A"/>
  <w14:defaultImageDpi w14:val="300"/>
  <w15:docId w15:val="{3730BCB9-1C73-4703-AF43-34B5184F9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CED"/>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E77CED"/>
    <w:pPr>
      <w:keepNext/>
      <w:keepLines/>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77CED"/>
    <w:pPr>
      <w:keepNext/>
      <w:keepLines/>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C693F"/>
    <w:pPr>
      <w:keepNext/>
      <w:keepLines/>
      <w:spacing w:after="60"/>
      <w:outlineLvl w:val="2"/>
    </w:pPr>
    <w:rPr>
      <w:rFonts w:asciiTheme="majorHAnsi" w:eastAsiaTheme="majorEastAsia" w:hAnsiTheme="majorHAnsi" w:cstheme="majorBidi"/>
      <w:b/>
      <w:bCs/>
      <w:color w:val="176B70"/>
      <w:sz w:val="2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77CE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77CED"/>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60" w:line="240" w:lineRule="auto"/>
      <w:contextualSpacing/>
    </w:pPr>
    <w:rPr>
      <w:rFonts w:asciiTheme="majorHAnsi" w:eastAsiaTheme="majorEastAsia" w:hAnsiTheme="majorHAnsi" w:cstheme="majorBidi"/>
      <w:b/>
      <w:color w:val="17324D"/>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eclinm.2024.102798" TargetMode="External"/><Relationship Id="rId18" Type="http://schemas.openxmlformats.org/officeDocument/2006/relationships/hyperlink" Target="https://www.gov.uk/government/publications/physical-activity-guidelines-uk-chief-medical-officers-report/uk-chief-medical-officers-physical-activity-guidelin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86/s12966-024-01595-6" TargetMode="External"/><Relationship Id="rId7" Type="http://schemas.openxmlformats.org/officeDocument/2006/relationships/endnotes" Target="endnotes.xml"/><Relationship Id="rId12" Type="http://schemas.openxmlformats.org/officeDocument/2006/relationships/hyperlink" Target="https://www.nhs.uk/better-health/get-active/how-to-be-more-active/" TargetMode="Externa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yperlink" Target="https://doi.org/10.1016/j.eclinm.2024.10279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physical-activity-guidelines-uk-chief-medical-officers-report/uk-chief-medical-officers-physical-activity-guideline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8/s41746-025-01785-x" TargetMode="External"/><Relationship Id="rId23" Type="http://schemas.openxmlformats.org/officeDocument/2006/relationships/header" Target="header1.xml"/><Relationship Id="rId10" Type="http://schemas.openxmlformats.org/officeDocument/2006/relationships/hyperlink" Target="https://www.nhs.uk/better-health/get-active/how-to-be-more-active/" TargetMode="External"/><Relationship Id="rId19" Type="http://schemas.openxmlformats.org/officeDocument/2006/relationships/hyperlink" Target="https://doi.org/10.1186/1748-5908-6-4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who.int/news-room/fact-sheets/detail/physical-activity" TargetMode="External"/><Relationship Id="rId22"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1491</Words>
  <Characters>8503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LCHS7009 Component 1 - Two Blogs</vt:lpstr>
    </vt:vector>
  </TitlesOfParts>
  <Manager/>
  <Company/>
  <LinksUpToDate>false</LinksUpToDate>
  <CharactersWithSpaces>9975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LCHS7009, digital health promotion, Active 10, MoveBreak, COM-B</cp:keywords>
  <cp:lastModifiedBy>User NA</cp:lastModifiedBy>
  <cp:revision>2</cp:revision>
  <dcterms:created xsi:type="dcterms:W3CDTF">2013-12-23T23:15:00Z</dcterms:created>
  <dcterms:modified xsi:type="dcterms:W3CDTF">2026-10-18T18:41:00Z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a37bfb47673bc02edef7750d40ecfaeab50d51d2aef6cbf2ac1f8e90153f3b0c</vt:lpwstr>
  </property>
</Properties>
</file>