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r>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drawing xmlns:a="http://schemas.openxmlformats.org/drawingml/2006/main">
          <wp:inline distT="0" distB="0" distL="0" distR="0">
            <wp:extent cx="1816945" cy="72873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816945" cy="728732"/>
                    </a:xfrm>
                    <a:prstGeom prst="rect">
                      <a:avLst/>
                    </a:prstGeom>
                    <a:ln w="12700" cap="flat">
                      <a:noFill/>
                      <a:miter lim="400000"/>
                    </a:ln>
                    <a:effectLst/>
                  </pic:spPr>
                </pic:pic>
              </a:graphicData>
            </a:graphic>
          </wp:inline>
        </w:draw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t xml:space="preserve">Postgraduate/Distance Learning </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t>Assignment coversheet &amp; feedback form</w:t>
      </w:r>
    </w:p>
    <w:p>
      <w:pPr>
        <w:pStyle w:val="Body"/>
        <w:rPr>
          <w:rFonts w:ascii="Arial" w:cs="Arial" w:hAnsi="Arial" w:eastAsia="Arial"/>
          <w:sz w:val="28"/>
          <w:szCs w:val="28"/>
        </w:rPr>
      </w:pPr>
    </w:p>
    <w:p>
      <w:pPr>
        <w:pStyle w:val="Heading 3"/>
        <w:pBdr>
          <w:top w:val="nil"/>
          <w:left w:val="nil"/>
          <w:bottom w:val="nil"/>
          <w:right w:val="nil"/>
        </w:pBdr>
        <w:bidi w:val="0"/>
        <w:spacing w:before="0" w:after="0" w:line="240" w:lineRule="auto"/>
        <w:ind w:left="720" w:right="0" w:firstLine="0"/>
        <w:jc w:val="center"/>
        <w:outlineLvl w:val="2"/>
        <w:rPr>
          <w:rFonts w:ascii="Tahoma" w:cs="Tahoma" w:hAnsi="Tahoma" w:eastAsia="Tahoma"/>
          <w:b w:val="1"/>
          <w:bCs w:val="1"/>
          <w:spacing w:val="0"/>
          <w:sz w:val="20"/>
          <w:szCs w:val="20"/>
          <w:u w:color="000000"/>
          <w:rtl w:val="0"/>
        </w:rPr>
      </w:pPr>
      <w:r>
        <w:rPr>
          <w:rFonts w:ascii="Tahoma" w:hAnsi="Tahoma"/>
          <w:b w:val="1"/>
          <w:bCs w:val="1"/>
          <w:spacing w:val="0"/>
          <w:sz w:val="20"/>
          <w:szCs w:val="20"/>
          <w:u w:color="000000"/>
          <w:rtl w:val="0"/>
        </w:rPr>
        <w:t>THIS SHEET MUST BE THE FIRST PAGE OF THE ASSIGNMENT YOU ARE SUBMITTING  (DO NOT SEND AS A SEPARATE FILE)</w:t>
      </w:r>
    </w:p>
    <w:p>
      <w:pPr>
        <w:pStyle w:val="Heading 3"/>
        <w:pBdr>
          <w:top w:val="nil"/>
          <w:left w:val="nil"/>
          <w:bottom w:val="nil"/>
          <w:right w:val="nil"/>
        </w:pBdr>
        <w:bidi w:val="0"/>
        <w:spacing w:before="0" w:after="0" w:line="240" w:lineRule="auto"/>
        <w:ind w:left="720" w:right="0" w:firstLine="0"/>
        <w:jc w:val="center"/>
        <w:outlineLvl w:val="2"/>
        <w:rPr>
          <w:rFonts w:ascii="Trebuchet MS" w:cs="Trebuchet MS" w:hAnsi="Trebuchet MS" w:eastAsia="Trebuchet MS"/>
          <w:b w:val="1"/>
          <w:bCs w:val="1"/>
          <w:spacing w:val="0"/>
          <w:sz w:val="20"/>
          <w:szCs w:val="20"/>
          <w:u w:color="000000"/>
          <w:rtl w:val="0"/>
          <w:lang w:val="en-US"/>
        </w:rPr>
      </w:pP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45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the student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Name: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MARINA RIMSHA</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Student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n-US"/>
                <w14:textOutline>
                  <w14:noFill/>
                </w14:textOutline>
                <w14:textFill>
                  <w14:solidFill>
                    <w14:srgbClr w14:val="000000"/>
                  </w14:solidFill>
                </w14:textFill>
              </w:rPr>
              <w:t>University</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Email: </w:t>
            </w:r>
            <w:r>
              <w:rPr>
                <w:rStyle w:val="Hyperlink.0"/>
                <w:rFonts w:ascii="Arial" w:cs="Arial" w:hAnsi="Arial" w:eastAsia="Arial"/>
                <w:b w:val="0"/>
                <w:bCs w:val="0"/>
                <w:i w:val="0"/>
                <w:iCs w:val="0"/>
                <w:caps w:val="0"/>
                <w:smallCaps w:val="0"/>
                <w:strike w:val="0"/>
                <w:dstrike w:val="0"/>
                <w:outline w:val="0"/>
                <w:color w:val="0000ff"/>
                <w:spacing w:val="0"/>
                <w:kern w:val="0"/>
                <w:position w:val="0"/>
                <w:sz w:val="22"/>
                <w:szCs w:val="22"/>
                <w:u w:val="single" w:color="0000ff"/>
                <w:shd w:val="nil" w:color="auto" w:fill="auto"/>
                <w:vertAlign w:val="baseline"/>
                <w14:textOutline>
                  <w14:noFill/>
                </w14:textOutline>
                <w14:textFill>
                  <w14:solidFill>
                    <w14:srgbClr w14:val="0000FF"/>
                  </w14:solidFill>
                </w14:textFill>
              </w:rPr>
              <w:fldChar w:fldCharType="begin" w:fldLock="0"/>
            </w:r>
            <w:r>
              <w:rPr>
                <w:rStyle w:val="Hyperlink.0"/>
                <w:rFonts w:ascii="Arial" w:cs="Arial" w:hAnsi="Arial" w:eastAsia="Arial"/>
                <w:b w:val="0"/>
                <w:bCs w:val="0"/>
                <w:i w:val="0"/>
                <w:iCs w:val="0"/>
                <w:caps w:val="0"/>
                <w:smallCaps w:val="0"/>
                <w:strike w:val="0"/>
                <w:dstrike w:val="0"/>
                <w:outline w:val="0"/>
                <w:color w:val="0000ff"/>
                <w:spacing w:val="0"/>
                <w:kern w:val="0"/>
                <w:position w:val="0"/>
                <w:sz w:val="22"/>
                <w:szCs w:val="22"/>
                <w:u w:val="single" w:color="0000ff"/>
                <w:shd w:val="nil" w:color="auto" w:fill="auto"/>
                <w:vertAlign w:val="baseline"/>
                <w14:textOutline>
                  <w14:noFill/>
                </w14:textOutline>
                <w14:textFill>
                  <w14:solidFill>
                    <w14:srgbClr w14:val="0000FF"/>
                  </w14:solidFill>
                </w14:textFill>
              </w:rPr>
              <w:instrText xml:space="preserve"> HYPERLINK "mailto:1706052@STUDENT.UWTSD.AC.UK"</w:instrText>
            </w:r>
            <w:r>
              <w:rPr>
                <w:rStyle w:val="Hyperlink.0"/>
                <w:rFonts w:ascii="Arial" w:cs="Arial" w:hAnsi="Arial" w:eastAsia="Arial"/>
                <w:b w:val="0"/>
                <w:bCs w:val="0"/>
                <w:i w:val="0"/>
                <w:iCs w:val="0"/>
                <w:caps w:val="0"/>
                <w:smallCaps w:val="0"/>
                <w:strike w:val="0"/>
                <w:dstrike w:val="0"/>
                <w:outline w:val="0"/>
                <w:color w:val="0000ff"/>
                <w:spacing w:val="0"/>
                <w:kern w:val="0"/>
                <w:position w:val="0"/>
                <w:sz w:val="22"/>
                <w:szCs w:val="22"/>
                <w:u w:val="single" w:color="0000ff"/>
                <w:shd w:val="nil" w:color="auto" w:fill="auto"/>
                <w:vertAlign w:val="baseline"/>
                <w14:textOutline>
                  <w14:noFill/>
                </w14:textOutline>
                <w14:textFill>
                  <w14:solidFill>
                    <w14:srgbClr w14:val="0000FF"/>
                  </w14:solidFill>
                </w14:textFill>
              </w:rPr>
              <w:fldChar w:fldCharType="separate" w:fldLock="0"/>
            </w:r>
            <w:r>
              <w:rPr>
                <w:rStyle w:val="Hyperlink.0"/>
                <w:rFonts w:ascii="Arial" w:cs="Arial Unicode MS" w:hAnsi="Arial" w:eastAsia="Arial Unicode MS"/>
                <w:b w:val="0"/>
                <w:bCs w:val="0"/>
                <w:i w:val="0"/>
                <w:iCs w:val="0"/>
                <w:caps w:val="0"/>
                <w:smallCaps w:val="0"/>
                <w:strike w:val="0"/>
                <w:dstrike w:val="0"/>
                <w:outline w:val="0"/>
                <w:color w:val="0000ff"/>
                <w:spacing w:val="0"/>
                <w:kern w:val="0"/>
                <w:position w:val="0"/>
                <w:sz w:val="22"/>
                <w:szCs w:val="22"/>
                <w:u w:val="single" w:color="0000ff"/>
                <w:shd w:val="nil" w:color="auto" w:fill="auto"/>
                <w:vertAlign w:val="baseline"/>
                <w:rtl w:val="0"/>
                <w:lang w:val="en-US"/>
                <w14:textOutline>
                  <w14:noFill/>
                </w14:textOutline>
                <w14:textFill>
                  <w14:solidFill>
                    <w14:srgbClr w14:val="0000FF"/>
                  </w14:solidFill>
                </w14:textFill>
              </w:rPr>
              <w:t>1706052@STUDENT.UWTSD.AC.UK</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fldChar w:fldCharType="end" w:fldLock="0"/>
            </w:r>
          </w:p>
        </w:tc>
      </w:tr>
      <w:tr>
        <w:tblPrEx>
          <w:shd w:val="clear" w:color="auto" w:fill="ced7e7"/>
        </w:tblPrEx>
        <w:trPr>
          <w:trHeight w:val="120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code: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HPCA7017</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A HISTORY OF ASTROLOGY</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ID number:</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1706052</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Yes/No</w:t>
            </w:r>
          </w:p>
        </w:tc>
      </w:tr>
      <w:tr>
        <w:tblPrEx>
          <w:shd w:val="clear" w:color="auto" w:fill="ced7e7"/>
        </w:tblPrEx>
        <w:trPr>
          <w:trHeight w:val="979"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A CRITICAL REVIEW OF THREE PRIMARY SOURSE DOCUMENTS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due date: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17TH OF MARCH 2022</w:t>
            </w:r>
          </w:p>
        </w:tc>
      </w:tr>
      <w:tr>
        <w:tblPrEx>
          <w:shd w:val="clear" w:color="auto" w:fill="ced7e7"/>
        </w:tblPrEx>
        <w:trPr>
          <w:trHeight w:val="81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2"/>
                <w:szCs w:val="22"/>
                <w:shd w:val="nil" w:color="auto" w:fill="auto"/>
                <w:rtl w:val="0"/>
                <w:lang w:val="en-US"/>
              </w:rPr>
              <w:t>This assignment is for the       1</w:t>
            </w:r>
            <w:r>
              <w:rPr>
                <w:rFonts w:ascii="Arial" w:hAnsi="Arial"/>
                <w:sz w:val="22"/>
                <w:szCs w:val="22"/>
                <w:shd w:val="nil" w:color="auto" w:fill="auto"/>
                <w:vertAlign w:val="superscript"/>
                <w:rtl w:val="0"/>
                <w:lang w:val="en-US"/>
              </w:rPr>
              <w:t xml:space="preserve">st </w:t>
            </w:r>
            <w:r>
              <w:rPr>
                <w:rFonts w:ascii="Arial" w:hAnsi="Arial"/>
                <w:sz w:val="22"/>
                <w:szCs w:val="22"/>
                <w:shd w:val="nil" w:color="auto" w:fill="auto"/>
                <w:rtl w:val="0"/>
                <w:lang w:val="en-US"/>
              </w:rPr>
              <w:t xml:space="preserve">    2</w:t>
            </w:r>
            <w:r>
              <w:rPr>
                <w:rFonts w:ascii="Arial" w:hAnsi="Arial"/>
                <w:sz w:val="22"/>
                <w:szCs w:val="22"/>
                <w:shd w:val="nil" w:color="auto" w:fill="auto"/>
                <w:vertAlign w:val="superscript"/>
                <w:rtl w:val="0"/>
                <w:lang w:val="en-US"/>
              </w:rPr>
              <w:t>nd</w:t>
            </w:r>
            <w:r>
              <w:rPr>
                <w:rFonts w:ascii="Arial" w:hAnsi="Arial"/>
                <w:sz w:val="22"/>
                <w:szCs w:val="22"/>
                <w:shd w:val="nil" w:color="auto" w:fill="auto"/>
                <w:rtl w:val="0"/>
                <w:lang w:val="en-US"/>
              </w:rPr>
              <w:t xml:space="preserve">       3</w:t>
            </w:r>
            <w:r>
              <w:rPr>
                <w:rFonts w:ascii="Arial" w:hAnsi="Arial"/>
                <w:sz w:val="22"/>
                <w:szCs w:val="22"/>
                <w:shd w:val="nil" w:color="auto" w:fill="auto"/>
                <w:vertAlign w:val="superscript"/>
                <w:rtl w:val="0"/>
                <w:lang w:val="en-US"/>
              </w:rPr>
              <w:t>rd</w:t>
            </w:r>
            <w:r>
              <w:rPr>
                <w:rFonts w:ascii="Arial" w:hAnsi="Arial"/>
                <w:sz w:val="22"/>
                <w:szCs w:val="22"/>
                <w:shd w:val="nil" w:color="auto" w:fill="auto"/>
                <w:rtl w:val="0"/>
                <w:lang w:val="en-US"/>
              </w:rPr>
              <w:t xml:space="preserve">        4</w:t>
            </w:r>
            <w:r>
              <w:rPr>
                <w:rFonts w:ascii="Arial" w:hAnsi="Arial"/>
                <w:sz w:val="22"/>
                <w:szCs w:val="22"/>
                <w:shd w:val="nil" w:color="auto" w:fill="auto"/>
                <w:vertAlign w:val="superscript"/>
                <w:rtl w:val="0"/>
                <w:lang w:val="en-US"/>
              </w:rPr>
              <w:t>th</w:t>
            </w:r>
            <w:r>
              <w:rPr>
                <w:rFonts w:ascii="Arial" w:hAnsi="Arial"/>
                <w:sz w:val="22"/>
                <w:szCs w:val="22"/>
                <w:shd w:val="nil" w:color="auto" w:fill="auto"/>
                <w:rtl w:val="0"/>
                <w:lang w:val="en-US"/>
              </w:rPr>
              <w:t xml:space="preserve">       5</w:t>
            </w:r>
            <w:r>
              <w:rPr>
                <w:rFonts w:ascii="Arial" w:hAnsi="Arial"/>
                <w:sz w:val="22"/>
                <w:szCs w:val="22"/>
                <w:shd w:val="nil" w:color="auto" w:fill="auto"/>
                <w:vertAlign w:val="superscript"/>
                <w:rtl w:val="0"/>
                <w:lang w:val="en-US"/>
              </w:rPr>
              <w:t>th</w:t>
            </w:r>
            <w:r>
              <w:rPr>
                <w:rFonts w:ascii="Arial" w:hAnsi="Arial"/>
                <w:sz w:val="22"/>
                <w:szCs w:val="22"/>
                <w:shd w:val="nil" w:color="auto" w:fill="auto"/>
                <w:rtl w:val="0"/>
                <w:lang w:val="en-US"/>
              </w:rPr>
              <w:t xml:space="preserve">       6</w:t>
            </w:r>
            <w:r>
              <w:rPr>
                <w:rFonts w:ascii="Arial" w:hAnsi="Arial"/>
                <w:sz w:val="22"/>
                <w:szCs w:val="22"/>
                <w:shd w:val="nil" w:color="auto" w:fill="auto"/>
                <w:vertAlign w:val="superscript"/>
                <w:rtl w:val="0"/>
                <w:lang w:val="en-US"/>
              </w:rPr>
              <w:t>th</w:t>
            </w:r>
            <w:r>
              <w:rPr>
                <w:rFonts w:ascii="Arial" w:hAnsi="Arial"/>
                <w:sz w:val="22"/>
                <w:szCs w:val="22"/>
                <w:shd w:val="nil" w:color="auto" w:fill="auto"/>
                <w:rtl w:val="0"/>
                <w:lang w:val="en-US"/>
              </w:rPr>
              <w:t xml:space="preserve"> </w:t>
            </w:r>
            <w:r>
              <w:rPr>
                <w:rFonts w:ascii="Arial" w:hAnsi="Arial"/>
                <w:b w:val="1"/>
                <w:bCs w:val="1"/>
                <w:sz w:val="22"/>
                <w:szCs w:val="22"/>
                <w:shd w:val="nil" w:color="auto" w:fill="auto"/>
                <w:rtl w:val="0"/>
                <w:lang w:val="en-US"/>
              </w:rPr>
              <w:t xml:space="preserve">   </w:t>
            </w:r>
            <w:r>
              <w:rPr>
                <w:rFonts w:ascii="Arial" w:hAnsi="Arial"/>
                <w:sz w:val="22"/>
                <w:szCs w:val="22"/>
                <w:shd w:val="nil" w:color="auto" w:fill="auto"/>
                <w:rtl w:val="0"/>
                <w:lang w:val="en-US"/>
              </w:rPr>
              <w:t>module of the degree</w:t>
            </w:r>
          </w:p>
        </w:tc>
      </w:tr>
      <w:tr>
        <w:tblPrEx>
          <w:shd w:val="clear" w:color="auto" w:fill="ced7e7"/>
        </w:tblPrEx>
        <w:trPr>
          <w:trHeight w:val="1537"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Signed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Marina Rimsha</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14:textOutline>
                  <w14:noFill/>
                </w14:textOutline>
                <w14:textFill>
                  <w14:solidFill>
                    <w14:srgbClr w14:val="000000"/>
                  </w14:solidFill>
                </w14:textFill>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Email submission:if you are submitting this form via email, please tick this box </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(as a substitute for your signature) to confirm that you agree to the above declaration.</w:t>
            </w:r>
          </w:p>
        </w:tc>
      </w:tr>
      <w:tr>
        <w:tblPrEx>
          <w:shd w:val="clear" w:color="auto" w:fill="ced7e7"/>
        </w:tblPrEx>
        <w:trPr>
          <w:trHeight w:val="51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b w:val="1"/>
                <w:bCs w:val="1"/>
                <w:shd w:val="nil" w:color="auto" w:fill="auto"/>
                <w:lang w:val="en-US"/>
              </w:rPr>
            </w:pPr>
          </w:p>
          <w:p>
            <w:pPr>
              <w:pStyle w:val="Body"/>
              <w:bidi w:val="0"/>
              <w:ind w:left="0" w:right="0" w:firstLine="0"/>
              <w:jc w:val="left"/>
              <w:rPr>
                <w:rFonts w:ascii="Arial" w:cs="Arial" w:hAnsi="Arial" w:eastAsia="Arial"/>
                <w:shd w:val="nil" w:color="auto" w:fill="auto"/>
                <w:rtl w:val="0"/>
              </w:rPr>
            </w:pPr>
            <w:r>
              <w:rPr>
                <w:rFonts w:ascii="Arial" w:hAnsi="Arial"/>
                <w:b w:val="1"/>
                <w:bCs w:val="1"/>
                <w:shd w:val="nil" w:color="auto" w:fill="auto"/>
                <w:rtl w:val="0"/>
                <w:lang w:val="en-US"/>
              </w:rPr>
              <w:t>Assignment Mark</w:t>
            </w:r>
          </w:p>
          <w:p>
            <w:pPr>
              <w:pStyle w:val="Body"/>
              <w:rPr>
                <w:rFonts w:ascii="Arial" w:cs="Arial" w:hAnsi="Arial" w:eastAsia="Arial"/>
                <w:sz w:val="20"/>
                <w:szCs w:val="20"/>
                <w:shd w:val="nil" w:color="auto" w:fill="auto"/>
                <w:lang w:val="en-US"/>
              </w:rPr>
            </w:pPr>
          </w:p>
          <w:p>
            <w:pPr>
              <w:pStyle w:val="Body"/>
              <w:rPr>
                <w:rFonts w:ascii="Arial" w:cs="Arial" w:hAnsi="Arial" w:eastAsia="Arial"/>
                <w:sz w:val="20"/>
                <w:szCs w:val="20"/>
                <w:shd w:val="nil" w:color="auto" w:fill="auto"/>
                <w:lang w:val="en-US"/>
              </w:rPr>
            </w:pPr>
            <w:r>
              <w:rPr>
                <w:rFonts w:ascii="Arial" w:hAnsi="Arial"/>
                <w:sz w:val="20"/>
                <w:szCs w:val="20"/>
                <w:shd w:val="nil" w:color="auto" w:fill="auto"/>
                <w:rtl w:val="0"/>
                <w:lang w:val="en-US"/>
              </w:rPr>
              <w:t>1</w:t>
            </w:r>
            <w:r>
              <w:rPr>
                <w:rFonts w:ascii="Arial" w:hAnsi="Arial"/>
                <w:sz w:val="20"/>
                <w:szCs w:val="20"/>
                <w:shd w:val="nil" w:color="auto" w:fill="auto"/>
                <w:vertAlign w:val="superscript"/>
                <w:rtl w:val="0"/>
                <w:lang w:val="en-US"/>
              </w:rPr>
              <w:t>st</w:t>
            </w:r>
            <w:r>
              <w:rPr>
                <w:rFonts w:ascii="Arial" w:hAnsi="Arial"/>
                <w:sz w:val="20"/>
                <w:szCs w:val="20"/>
                <w:shd w:val="nil" w:color="auto" w:fill="auto"/>
                <w:rtl w:val="0"/>
                <w:lang w:val="en-US"/>
              </w:rPr>
              <w:t xml:space="preserve"> Marker</w:t>
            </w:r>
            <w:r>
              <w:rPr>
                <w:rFonts w:ascii="Arial" w:hAnsi="Arial" w:hint="default"/>
                <w:sz w:val="20"/>
                <w:szCs w:val="20"/>
                <w:shd w:val="nil" w:color="auto" w:fill="auto"/>
                <w:rtl w:val="0"/>
                <w:lang w:val="en-US"/>
              </w:rPr>
              <w:t>’</w:t>
            </w:r>
            <w:r>
              <w:rPr>
                <w:rFonts w:ascii="Arial" w:hAnsi="Arial"/>
                <w:sz w:val="20"/>
                <w:szCs w:val="20"/>
                <w:shd w:val="nil" w:color="auto" w:fill="auto"/>
                <w:rtl w:val="0"/>
                <w:lang w:val="en-US"/>
              </w:rPr>
              <w:t>s Provisional mark</w:t>
              <w:tab/>
            </w:r>
          </w:p>
          <w:p>
            <w:pPr>
              <w:pStyle w:val="Body"/>
              <w:rPr>
                <w:rFonts w:ascii="Arial" w:cs="Arial" w:hAnsi="Arial" w:eastAsia="Arial"/>
                <w:sz w:val="20"/>
                <w:szCs w:val="20"/>
                <w:shd w:val="nil" w:color="auto" w:fill="auto"/>
                <w:lang w:val="en-US"/>
              </w:rPr>
            </w:pPr>
          </w:p>
          <w:p>
            <w:pPr>
              <w:pStyle w:val="Body"/>
              <w:rPr>
                <w:rFonts w:ascii="Arial" w:cs="Arial" w:hAnsi="Arial" w:eastAsia="Arial"/>
                <w:sz w:val="20"/>
                <w:szCs w:val="20"/>
                <w:shd w:val="nil" w:color="auto" w:fill="auto"/>
                <w:lang w:val="en-US"/>
              </w:rPr>
            </w:pPr>
            <w:r>
              <w:rPr>
                <w:rFonts w:ascii="Arial" w:hAnsi="Arial"/>
                <w:sz w:val="20"/>
                <w:szCs w:val="20"/>
                <w:shd w:val="nil" w:color="auto" w:fill="auto"/>
                <w:rtl w:val="0"/>
                <w:lang w:val="en-US"/>
              </w:rPr>
              <w:t>2</w:t>
            </w:r>
            <w:r>
              <w:rPr>
                <w:rFonts w:ascii="Arial" w:hAnsi="Arial"/>
                <w:sz w:val="20"/>
                <w:szCs w:val="20"/>
                <w:shd w:val="nil" w:color="auto" w:fill="auto"/>
                <w:vertAlign w:val="superscript"/>
                <w:rtl w:val="0"/>
                <w:lang w:val="en-US"/>
              </w:rPr>
              <w:t>nd</w:t>
            </w:r>
            <w:r>
              <w:rPr>
                <w:rFonts w:ascii="Arial" w:hAnsi="Arial"/>
                <w:sz w:val="20"/>
                <w:szCs w:val="20"/>
                <w:shd w:val="nil" w:color="auto" w:fill="auto"/>
                <w:rtl w:val="0"/>
                <w:lang w:val="en-US"/>
              </w:rPr>
              <w:t xml:space="preserve"> Marker</w:t>
            </w:r>
            <w:r>
              <w:rPr>
                <w:rFonts w:ascii="Arial" w:hAnsi="Arial" w:hint="default"/>
                <w:sz w:val="20"/>
                <w:szCs w:val="20"/>
                <w:shd w:val="nil" w:color="auto" w:fill="auto"/>
                <w:rtl w:val="0"/>
                <w:lang w:val="en-US"/>
              </w:rPr>
              <w:t>’</w:t>
            </w:r>
            <w:r>
              <w:rPr>
                <w:rFonts w:ascii="Arial" w:hAnsi="Arial"/>
                <w:sz w:val="20"/>
                <w:szCs w:val="20"/>
                <w:shd w:val="nil" w:color="auto" w:fill="auto"/>
                <w:rtl w:val="0"/>
                <w:lang w:val="en-US"/>
              </w:rPr>
              <w:t>s/Moderator</w:t>
            </w:r>
            <w:r>
              <w:rPr>
                <w:rFonts w:ascii="Arial" w:hAnsi="Arial" w:hint="default"/>
                <w:sz w:val="20"/>
                <w:szCs w:val="20"/>
                <w:shd w:val="nil" w:color="auto" w:fill="auto"/>
                <w:rtl w:val="0"/>
                <w:lang w:val="en-US"/>
              </w:rPr>
              <w:t>’</w:t>
            </w:r>
            <w:r>
              <w:rPr>
                <w:rFonts w:ascii="Arial" w:hAnsi="Arial"/>
                <w:sz w:val="20"/>
                <w:szCs w:val="20"/>
                <w:shd w:val="nil" w:color="auto" w:fill="auto"/>
                <w:rtl w:val="0"/>
                <w:lang w:val="en-US"/>
              </w:rPr>
              <w:t>s provisional mark</w:t>
              <w:tab/>
            </w:r>
          </w:p>
          <w:p>
            <w:pPr>
              <w:pStyle w:val="Body"/>
              <w:rPr>
                <w:rFonts w:ascii="Arial" w:cs="Arial" w:hAnsi="Arial" w:eastAsia="Arial"/>
                <w:sz w:val="20"/>
                <w:szCs w:val="20"/>
                <w:shd w:val="nil" w:color="auto" w:fill="auto"/>
                <w:lang w:val="en-US"/>
              </w:rPr>
            </w:pPr>
          </w:p>
          <w:p>
            <w:pPr>
              <w:pStyle w:val="Body"/>
              <w:rPr>
                <w:rFonts w:ascii="Arial" w:cs="Arial" w:hAnsi="Arial" w:eastAsia="Arial"/>
                <w:sz w:val="20"/>
                <w:szCs w:val="20"/>
                <w:shd w:val="nil" w:color="auto" w:fill="auto"/>
                <w:lang w:val="en-US"/>
              </w:rPr>
            </w:pPr>
            <w:r>
              <w:rPr>
                <w:rFonts w:ascii="Arial" w:hAnsi="Arial"/>
                <w:sz w:val="20"/>
                <w:szCs w:val="20"/>
                <w:shd w:val="nil" w:color="auto" w:fill="auto"/>
                <w:rtl w:val="0"/>
                <w:lang w:val="en-US"/>
              </w:rPr>
              <w:t>External Examiner</w:t>
            </w:r>
            <w:r>
              <w:rPr>
                <w:rFonts w:ascii="Arial" w:hAnsi="Arial" w:hint="default"/>
                <w:sz w:val="20"/>
                <w:szCs w:val="20"/>
                <w:shd w:val="nil" w:color="auto" w:fill="auto"/>
                <w:rtl w:val="0"/>
                <w:lang w:val="en-US"/>
              </w:rPr>
              <w:t>’</w:t>
            </w:r>
            <w:r>
              <w:rPr>
                <w:rFonts w:ascii="Arial" w:hAnsi="Arial"/>
                <w:sz w:val="20"/>
                <w:szCs w:val="20"/>
                <w:shd w:val="nil" w:color="auto" w:fill="auto"/>
                <w:rtl w:val="0"/>
                <w:lang w:val="en-US"/>
              </w:rPr>
              <w:t>s mark (if relevant)</w:t>
              <w:tab/>
            </w:r>
          </w:p>
          <w:p>
            <w:pPr>
              <w:pStyle w:val="Body"/>
              <w:rPr>
                <w:rFonts w:ascii="Arial" w:cs="Arial" w:hAnsi="Arial" w:eastAsia="Arial"/>
                <w:sz w:val="20"/>
                <w:szCs w:val="20"/>
                <w:shd w:val="nil" w:color="auto" w:fill="auto"/>
                <w:lang w:val="en-US"/>
              </w:rPr>
            </w:pPr>
          </w:p>
          <w:p>
            <w:pPr>
              <w:pStyle w:val="Body"/>
              <w:rPr>
                <w:rFonts w:ascii="Arial" w:cs="Arial" w:hAnsi="Arial" w:eastAsia="Arial"/>
                <w:b w:val="1"/>
                <w:bCs w:val="1"/>
                <w:sz w:val="20"/>
                <w:szCs w:val="20"/>
                <w:shd w:val="nil" w:color="auto" w:fill="auto"/>
              </w:rPr>
            </w:pPr>
            <w:r>
              <w:rPr>
                <w:rFonts w:ascii="Arial" w:hAnsi="Arial"/>
                <w:b w:val="1"/>
                <w:bCs w:val="1"/>
                <w:sz w:val="20"/>
                <w:szCs w:val="20"/>
                <w:shd w:val="nil" w:color="auto" w:fill="auto"/>
                <w:rtl w:val="0"/>
                <w:lang w:val="en-US"/>
              </w:rPr>
              <w:t>Final Mark</w:t>
            </w:r>
          </w:p>
          <w:p>
            <w:pPr>
              <w:pStyle w:val="Body"/>
              <w:rPr>
                <w:rFonts w:ascii="Arial" w:cs="Arial" w:hAnsi="Arial" w:eastAsia="Arial"/>
                <w:b w:val="1"/>
                <w:bCs w:val="1"/>
                <w:sz w:val="20"/>
                <w:szCs w:val="20"/>
                <w:shd w:val="nil" w:color="auto" w:fill="auto"/>
              </w:rPr>
            </w:pPr>
            <w:r>
              <w:rPr>
                <w:rFonts w:ascii="Arial" w:cs="Arial" w:hAnsi="Arial" w:eastAsia="Arial"/>
                <w:b w:val="1"/>
                <w:bCs w:val="1"/>
                <w:sz w:val="20"/>
                <w:szCs w:val="20"/>
                <w:shd w:val="nil" w:color="auto" w:fill="auto"/>
              </w:rPr>
              <w:tab/>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NB.</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r>
          </w:p>
        </w:tc>
      </w:tr>
      <w:tr>
        <w:tblPrEx>
          <w:shd w:val="clear" w:color="auto" w:fill="ced7e7"/>
        </w:tblPrEx>
        <w:trPr>
          <w:trHeight w:val="33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38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28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External Examiner</w:t>
            </w:r>
            <w:r>
              <w:rPr>
                <w:rFonts w:ascii="Arial" w:hAnsi="Arial" w:hint="default"/>
                <w:b w:val="1"/>
                <w:bCs w:val="1"/>
                <w:sz w:val="22"/>
                <w:szCs w:val="22"/>
                <w:shd w:val="nil" w:color="auto" w:fill="auto"/>
                <w:rtl w:val="0"/>
                <w:lang w:val="en-US"/>
              </w:rPr>
              <w:t>’</w:t>
            </w:r>
            <w:r>
              <w:rPr>
                <w:rFonts w:ascii="Arial" w:hAnsi="Arial"/>
                <w:b w:val="1"/>
                <w:bCs w:val="1"/>
                <w:sz w:val="22"/>
                <w:szCs w:val="22"/>
                <w:shd w:val="nil" w:color="auto" w:fill="auto"/>
                <w:rtl w:val="0"/>
                <w:lang w:val="en-US"/>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2"/>
                <w:szCs w:val="22"/>
                <w:shd w:val="nil" w:color="auto" w:fill="auto"/>
                <w:rtl w:val="0"/>
                <w:lang w:val="en-US"/>
              </w:rPr>
              <w:t>External Examiner</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2"/>
                <w:szCs w:val="22"/>
                <w:shd w:val="nil" w:color="auto" w:fill="auto"/>
                <w:rtl w:val="0"/>
                <w:lang w:val="en-US"/>
              </w:rPr>
              <w:t>Date:</w:t>
            </w:r>
          </w:p>
        </w:tc>
      </w:tr>
    </w:tbl>
    <w:p>
      <w:pPr>
        <w:pStyle w:val="Heading 3"/>
        <w:widowControl w:val="0"/>
        <w:pBdr>
          <w:top w:val="nil"/>
          <w:left w:val="nil"/>
          <w:bottom w:val="nil"/>
          <w:right w:val="nil"/>
        </w:pBdr>
        <w:bidi w:val="0"/>
        <w:spacing w:before="0" w:after="0" w:line="240" w:lineRule="auto"/>
        <w:ind w:left="0" w:right="0" w:firstLine="0"/>
        <w:jc w:val="center"/>
        <w:outlineLvl w:val="2"/>
        <w:rPr>
          <w:rFonts w:ascii="Trebuchet MS" w:cs="Trebuchet MS" w:hAnsi="Trebuchet MS" w:eastAsia="Trebuchet MS"/>
          <w:b w:val="1"/>
          <w:bCs w:val="1"/>
          <w:spacing w:val="0"/>
          <w:sz w:val="20"/>
          <w:szCs w:val="20"/>
          <w:u w:color="000000"/>
          <w:rtl w:val="0"/>
          <w:lang w:val="en-U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rPr>
          <w:rFonts w:ascii="Trebuchet MS" w:cs="Trebuchet MS" w:hAnsi="Trebuchet MS" w:eastAsia="Trebuchet MS"/>
        </w:rPr>
      </w:pPr>
    </w:p>
    <w:p>
      <w:pPr>
        <w:pStyle w:val="Body A"/>
      </w:pPr>
      <w:r>
        <w:rPr>
          <w:rFonts w:cs="Arial Unicode MS" w:eastAsia="Arial Unicode MS"/>
          <w:rtl w:val="0"/>
        </w:rPr>
        <w:t>INTRODUCTION</w:t>
      </w:r>
    </w:p>
    <w:p>
      <w:pPr>
        <w:pStyle w:val="Body A"/>
      </w:pPr>
    </w:p>
    <w:p>
      <w:pPr>
        <w:pStyle w:val="Body A"/>
        <w:rPr>
          <w:rStyle w:val="None"/>
          <w:i w:val="1"/>
          <w:iCs w:val="1"/>
        </w:rPr>
      </w:pPr>
      <w:r>
        <w:rPr>
          <w:rFonts w:cs="Arial Unicode MS" w:eastAsia="Arial Unicode MS"/>
          <w:rtl w:val="0"/>
        </w:rPr>
        <w:tab/>
        <w:t>This essay will compare and contrast the treatment of the astrological use of Sun in the following three sources: Tetrabiblos Claudius Ptolemy</w:t>
      </w:r>
      <w:r>
        <w:rPr>
          <w:rFonts w:cs="Arial Unicode MS" w:eastAsia="Arial Unicode MS" w:hint="default"/>
          <w:rtl w:val="0"/>
          <w:lang w:val="en-US"/>
        </w:rPr>
        <w:t>’</w:t>
      </w:r>
      <w:r>
        <w:rPr>
          <w:rFonts w:cs="Arial Unicode MS" w:eastAsia="Arial Unicode MS"/>
          <w:rtl w:val="0"/>
          <w:lang w:val="en-US"/>
        </w:rPr>
        <w:t xml:space="preserve">s second century CE Greek text, </w:t>
      </w:r>
      <w:r>
        <w:rPr>
          <w:rFonts w:cs="Arial Unicode MS" w:eastAsia="Arial Unicode MS"/>
          <w:i w:val="1"/>
          <w:iCs w:val="1"/>
          <w:rtl w:val="0"/>
          <w:lang w:val="en-US"/>
        </w:rPr>
        <w:t>Tetrabiblos,</w:t>
      </w:r>
      <w:r>
        <w:rPr>
          <w:rFonts w:ascii="Helvetica Neue" w:cs="Helvetica Neue" w:hAnsi="Helvetica Neue" w:eastAsia="Helvetica Neue"/>
          <w:b w:val="0"/>
          <w:bCs w:val="0"/>
          <w:i w:val="0"/>
          <w:iCs w:val="0"/>
          <w:vertAlign w:val="superscript"/>
        </w:rPr>
        <w:footnoteReference w:id="1"/>
      </w:r>
      <w:r>
        <w:rPr>
          <w:rStyle w:val="None"/>
          <w:rFonts w:cs="Arial Unicode MS" w:eastAsia="Arial Unicode MS"/>
          <w:i w:val="1"/>
          <w:iCs w:val="1"/>
          <w:rtl w:val="0"/>
          <w:lang w:val="en-US"/>
        </w:rPr>
        <w:t xml:space="preserve"> </w:t>
      </w:r>
      <w:r>
        <w:rPr>
          <w:rStyle w:val="None"/>
          <w:rFonts w:cs="Arial Unicode MS" w:eastAsia="Arial Unicode MS"/>
          <w:rtl w:val="0"/>
          <w:lang w:val="en-US"/>
        </w:rPr>
        <w:t>William Lilly</w:t>
      </w:r>
      <w:r>
        <w:rPr>
          <w:rStyle w:val="None"/>
          <w:rFonts w:cs="Arial Unicode MS" w:eastAsia="Arial Unicode MS" w:hint="default"/>
          <w:rtl w:val="0"/>
          <w:lang w:val="en-US"/>
        </w:rPr>
        <w:t>’</w:t>
      </w:r>
      <w:r>
        <w:rPr>
          <w:rStyle w:val="None"/>
          <w:rFonts w:cs="Arial Unicode MS" w:eastAsia="Arial Unicode MS"/>
          <w:rtl w:val="0"/>
          <w:lang w:val="en-US"/>
        </w:rPr>
        <w:t>s</w:t>
      </w:r>
      <w:r>
        <w:rPr>
          <w:rStyle w:val="None"/>
          <w:rFonts w:cs="Arial Unicode MS" w:eastAsia="Arial Unicode MS"/>
          <w:i w:val="1"/>
          <w:iCs w:val="1"/>
          <w:rtl w:val="0"/>
          <w:lang w:val="en-US"/>
        </w:rPr>
        <w:t xml:space="preserve"> Christian Astrology,</w:t>
      </w:r>
      <w:r>
        <w:rPr>
          <w:rStyle w:val="None"/>
          <w:rFonts w:cs="Arial Unicode MS" w:eastAsia="Arial Unicode MS"/>
          <w:rtl w:val="0"/>
          <w:lang w:val="en-US"/>
        </w:rPr>
        <w:t xml:space="preserve"> the first major astrological text in English dated 1647,</w:t>
      </w:r>
      <w:r>
        <w:rPr>
          <w:rStyle w:val="None"/>
          <w:rFonts w:ascii="Helvetica Neue" w:cs="Helvetica Neue" w:hAnsi="Helvetica Neue" w:eastAsia="Helvetica Neue"/>
          <w:b w:val="0"/>
          <w:bCs w:val="0"/>
          <w:i w:val="0"/>
          <w:iCs w:val="0"/>
          <w:vertAlign w:val="superscript"/>
        </w:rPr>
        <w:footnoteReference w:id="2"/>
      </w:r>
      <w:r>
        <w:rPr>
          <w:rStyle w:val="None"/>
          <w:rFonts w:cs="Arial Unicode MS" w:eastAsia="Arial Unicode MS"/>
          <w:rtl w:val="0"/>
          <w:lang w:val="en-US"/>
        </w:rPr>
        <w:t xml:space="preserve"> and Alan Leo</w:t>
      </w:r>
      <w:r>
        <w:rPr>
          <w:rStyle w:val="None"/>
          <w:rFonts w:cs="Arial Unicode MS" w:eastAsia="Arial Unicode MS" w:hint="default"/>
          <w:rtl w:val="0"/>
          <w:lang w:val="en-US"/>
        </w:rPr>
        <w:t>’</w:t>
      </w:r>
      <w:r>
        <w:rPr>
          <w:rStyle w:val="None"/>
          <w:rFonts w:cs="Arial Unicode MS" w:eastAsia="Arial Unicode MS"/>
          <w:rtl w:val="0"/>
          <w:lang w:val="en-US"/>
        </w:rPr>
        <w:t xml:space="preserve">s book </w:t>
      </w:r>
      <w:r>
        <w:rPr>
          <w:rStyle w:val="None"/>
          <w:rFonts w:cs="Arial Unicode MS" w:eastAsia="Arial Unicode MS"/>
          <w:i w:val="1"/>
          <w:iCs w:val="1"/>
          <w:rtl w:val="0"/>
          <w:lang w:val="en-US"/>
        </w:rPr>
        <w:t xml:space="preserve">How to Judge a Nativity, </w:t>
      </w:r>
      <w:r>
        <w:rPr>
          <w:rStyle w:val="None"/>
          <w:rFonts w:cs="Arial Unicode MS" w:eastAsia="Arial Unicode MS"/>
          <w:rtl w:val="0"/>
          <w:lang w:val="en-US"/>
        </w:rPr>
        <w:t>first published in 1903</w:t>
      </w:r>
      <w:r>
        <w:rPr>
          <w:rStyle w:val="None"/>
          <w:rFonts w:cs="Arial Unicode MS" w:eastAsia="Arial Unicode MS"/>
          <w:i w:val="1"/>
          <w:iCs w:val="1"/>
          <w:rtl w:val="0"/>
          <w:lang w:val="en-US"/>
        </w:rPr>
        <w:t>.</w:t>
      </w:r>
      <w:r>
        <w:rPr>
          <w:rStyle w:val="None"/>
          <w:rFonts w:ascii="Helvetica Neue" w:cs="Helvetica Neue" w:hAnsi="Helvetica Neue" w:eastAsia="Helvetica Neue"/>
          <w:b w:val="0"/>
          <w:bCs w:val="0"/>
          <w:i w:val="0"/>
          <w:iCs w:val="0"/>
          <w:vertAlign w:val="superscript"/>
        </w:rPr>
        <w:footnoteReference w:id="3"/>
      </w:r>
    </w:p>
    <w:p>
      <w:pPr>
        <w:pStyle w:val="Body A"/>
        <w:rPr>
          <w:rStyle w:val="None"/>
          <w:i w:val="1"/>
          <w:iCs w:val="1"/>
        </w:rPr>
      </w:pPr>
    </w:p>
    <w:p>
      <w:pPr>
        <w:pStyle w:val="Body A"/>
      </w:pPr>
      <w:r>
        <w:rPr>
          <w:rStyle w:val="None"/>
          <w:rFonts w:cs="Arial Unicode MS" w:eastAsia="Arial Unicode MS"/>
          <w:rtl w:val="0"/>
          <w:lang w:val="en-US"/>
        </w:rPr>
        <w:t>My goal is to analyse ancient, medieval and modern astrological texts in a context of changing philosophies and public demands and how these conditions changed description of the Sun over time.</w:t>
      </w:r>
    </w:p>
    <w:p>
      <w:pPr>
        <w:pStyle w:val="Body A"/>
      </w:pPr>
    </w:p>
    <w:p>
      <w:pPr>
        <w:pStyle w:val="Body A"/>
      </w:pPr>
      <w:r>
        <w:rPr>
          <w:rStyle w:val="None"/>
          <w:rFonts w:cs="Arial Unicode MS" w:eastAsia="Arial Unicode MS"/>
          <w:rtl w:val="0"/>
          <w:lang w:val="en-US"/>
        </w:rPr>
        <w:t>ANCIENT SOURSE</w:t>
      </w:r>
    </w:p>
    <w:p>
      <w:pPr>
        <w:pStyle w:val="Body A"/>
      </w:pPr>
    </w:p>
    <w:p>
      <w:pPr>
        <w:pStyle w:val="Body A"/>
      </w:pPr>
      <w:r>
        <w:rPr>
          <w:rStyle w:val="None"/>
          <w:rFonts w:cs="Arial Unicode MS" w:eastAsia="Arial Unicode MS"/>
          <w:rtl w:val="0"/>
        </w:rPr>
        <w:tab/>
        <w:t>As an example of ancient text I took Ptolemy</w:t>
      </w:r>
      <w:r>
        <w:rPr>
          <w:rStyle w:val="None"/>
          <w:rFonts w:cs="Arial Unicode MS" w:eastAsia="Arial Unicode MS" w:hint="default"/>
          <w:rtl w:val="0"/>
          <w:lang w:val="en-US"/>
        </w:rPr>
        <w:t>’</w:t>
      </w:r>
      <w:r>
        <w:rPr>
          <w:rStyle w:val="None"/>
          <w:rFonts w:cs="Arial Unicode MS" w:eastAsia="Arial Unicode MS"/>
          <w:rtl w:val="0"/>
          <w:lang w:val="en-US"/>
        </w:rPr>
        <w:t>s Tetrabiblos. Claudius Ptolemy, lived in second century CE, was an influential Roman astrologer born in Egypt and operated widely in Alexandria. Ptolemy lived in times of development of classical astrology, especially complex technical and mathematical calculations of the horoscope. Tetrabiblos was written during second century in Alexandria and is one of the foundational astrological texts in Western astrology, popular for its technical side of casting a chart. Also another his work, known as Almagest, was a rich source of reference for the astronomers until 16th century. Ptolemy was a key figure in astronomy, astrology, mathematics and geometry of his time and for the following 1500 years.</w:t>
      </w:r>
    </w:p>
    <w:p>
      <w:pPr>
        <w:pStyle w:val="Body A"/>
      </w:pPr>
    </w:p>
    <w:p>
      <w:pPr>
        <w:pStyle w:val="Body A"/>
      </w:pPr>
      <w:r>
        <w:rPr>
          <w:rStyle w:val="None"/>
          <w:rFonts w:cs="Arial Unicode MS" w:eastAsia="Arial Unicode MS"/>
          <w:rtl w:val="0"/>
          <w:lang w:val="en-US"/>
        </w:rPr>
        <w:t>In the introduction professor Robbins states that there is not much details known about Ptolemy</w:t>
      </w:r>
      <w:r>
        <w:rPr>
          <w:rStyle w:val="None"/>
          <w:rFonts w:cs="Arial Unicode MS" w:eastAsia="Arial Unicode MS" w:hint="default"/>
          <w:rtl w:val="0"/>
          <w:lang w:val="en-US"/>
        </w:rPr>
        <w:t>’</w:t>
      </w:r>
      <w:r>
        <w:rPr>
          <w:rStyle w:val="None"/>
          <w:rFonts w:cs="Arial Unicode MS" w:eastAsia="Arial Unicode MS"/>
          <w:rtl w:val="0"/>
          <w:lang w:val="en-US"/>
        </w:rPr>
        <w:t>s private life, only little detail but somehow his work was in demand for nearly 1500 years, widely copied and cited in many manuscripts, also translated into different languages.</w:t>
      </w:r>
      <w:r>
        <w:rPr>
          <w:rStyle w:val="None"/>
          <w:rFonts w:ascii="Helvetica Neue" w:cs="Helvetica Neue" w:hAnsi="Helvetica Neue" w:eastAsia="Helvetica Neue"/>
          <w:b w:val="0"/>
          <w:bCs w:val="0"/>
          <w:i w:val="0"/>
          <w:iCs w:val="0"/>
          <w:vertAlign w:val="superscript"/>
        </w:rPr>
        <w:footnoteReference w:id="4"/>
      </w:r>
      <w:r>
        <w:rPr>
          <w:rStyle w:val="None"/>
          <w:rFonts w:cs="Arial Unicode MS" w:eastAsia="Arial Unicode MS"/>
          <w:rtl w:val="0"/>
          <w:lang w:val="en-US"/>
        </w:rPr>
        <w:t xml:space="preserve"> From known details it is possible to conclude that in terms of philosophy Ptolemy was more in reliance with Aristotelian position and a theory of influences and causes, even though Aristotle had more biological approach, in contrast with Ptolemy</w:t>
      </w:r>
      <w:r>
        <w:rPr>
          <w:rStyle w:val="None"/>
          <w:rFonts w:cs="Arial Unicode MS" w:eastAsia="Arial Unicode MS" w:hint="default"/>
          <w:rtl w:val="0"/>
          <w:lang w:val="en-US"/>
        </w:rPr>
        <w:t>’</w:t>
      </w:r>
      <w:r>
        <w:rPr>
          <w:rStyle w:val="None"/>
          <w:rFonts w:cs="Arial Unicode MS" w:eastAsia="Arial Unicode MS"/>
          <w:rtl w:val="0"/>
          <w:lang w:val="en-US"/>
        </w:rPr>
        <w:t>s mathematical and geometrical perspective. Robbins also notes that Ptolemy was freely using text of his predecessors, Menelaus in Mathematics, of Hipparchus in astronomy, of Marinus of Tyre in geography, and Posidonius in astrological ethnology, used their text openly but systematising material in his own way, what resulted in his very structured texts.</w:t>
      </w:r>
    </w:p>
    <w:p>
      <w:pPr>
        <w:pStyle w:val="Body A"/>
      </w:pPr>
    </w:p>
    <w:p>
      <w:pPr>
        <w:pStyle w:val="Body A"/>
      </w:pPr>
      <w:r>
        <w:rPr>
          <w:rStyle w:val="None"/>
          <w:rFonts w:cs="Arial Unicode MS" w:eastAsia="Arial Unicode MS"/>
          <w:rtl w:val="0"/>
          <w:lang w:val="en-US"/>
        </w:rPr>
        <w:t>Mark Riley provides a thorough analysis of scientific formation for the astrology in Tetrabiblos. He writes that Ptolemy mostly concentrated on unifying and systematising diverse cosmic phenomena and their possible effects on the environment, rather than providing many forecasting methods or describing characteristics of human nature.</w:t>
      </w:r>
      <w:r>
        <w:rPr>
          <w:rStyle w:val="None"/>
          <w:rFonts w:ascii="Helvetica Neue" w:cs="Helvetica Neue" w:hAnsi="Helvetica Neue" w:eastAsia="Helvetica Neue"/>
          <w:b w:val="0"/>
          <w:bCs w:val="0"/>
          <w:i w:val="0"/>
          <w:iCs w:val="0"/>
          <w:vertAlign w:val="superscript"/>
        </w:rPr>
        <w:footnoteReference w:id="5"/>
      </w:r>
      <w:r>
        <w:rPr>
          <w:rStyle w:val="None"/>
          <w:rFonts w:cs="Arial Unicode MS" w:eastAsia="Arial Unicode MS"/>
          <w:rtl w:val="0"/>
          <w:lang w:val="en-US"/>
        </w:rPr>
        <w:t xml:space="preserve"> Ptolemy starts with the physical nature, or the humours, as a knowledge of source of heat-cold and moist-dry and their combinations presented in planets and their effects when aspecting each other makes forecasting possible. For example, change of seasons because </w:t>
      </w:r>
      <w:r>
        <w:rPr>
          <w:rStyle w:val="None"/>
          <w:rFonts w:cs="Arial Unicode MS" w:eastAsia="Arial Unicode MS" w:hint="default"/>
          <w:rtl w:val="0"/>
          <w:lang w:val="en-US"/>
        </w:rPr>
        <w:t>‘</w:t>
      </w:r>
      <w:r>
        <w:rPr>
          <w:rStyle w:val="None"/>
          <w:rFonts w:cs="Arial Unicode MS" w:eastAsia="Arial Unicode MS"/>
          <w:rtl w:val="0"/>
          <w:lang w:val="en-US"/>
        </w:rPr>
        <w:t>even beasts can foresee changes in the weather, the seasons and the climate, due to the positions of the heavenly bodies</w:t>
      </w:r>
      <w:r>
        <w:rPr>
          <w:rStyle w:val="None"/>
          <w:rFonts w:cs="Arial Unicode MS" w:eastAsia="Arial Unicode MS" w:hint="default"/>
          <w:rtl w:val="0"/>
          <w:lang w:val="en-US"/>
        </w:rPr>
        <w:t>’</w:t>
      </w:r>
      <w:r>
        <w:rPr>
          <w:rStyle w:val="None"/>
          <w:rFonts w:cs="Arial Unicode MS" w:eastAsia="Arial Unicode MS"/>
          <w:rtl w:val="0"/>
          <w:lang w:val="en-US"/>
        </w:rPr>
        <w:t>.</w:t>
      </w:r>
      <w:r>
        <w:rPr>
          <w:rStyle w:val="None"/>
          <w:rFonts w:ascii="Helvetica Neue" w:cs="Helvetica Neue" w:hAnsi="Helvetica Neue" w:eastAsia="Helvetica Neue"/>
          <w:b w:val="0"/>
          <w:bCs w:val="0"/>
          <w:i w:val="0"/>
          <w:iCs w:val="0"/>
          <w:vertAlign w:val="superscript"/>
        </w:rPr>
        <w:footnoteReference w:id="6"/>
      </w:r>
      <w:r>
        <w:rPr>
          <w:rStyle w:val="None"/>
          <w:rFonts w:cs="Arial Unicode MS" w:eastAsia="Arial Unicode MS"/>
          <w:rtl w:val="0"/>
          <w:lang w:val="en-US"/>
        </w:rPr>
        <w:t xml:space="preserve"> Ptolemy did not give an extensive description of planets, simply stated their main qualities and powers, but he did provide a lot of possible aspects and interaction between the planets. He described the treatment of a Sun as following:</w:t>
      </w:r>
    </w:p>
    <w:p>
      <w:pPr>
        <w:pStyle w:val="Body A"/>
      </w:pPr>
    </w:p>
    <w:p>
      <w:pPr>
        <w:pStyle w:val="Body A"/>
        <w:ind w:left="306" w:firstLine="0"/>
      </w:pPr>
      <w:r>
        <w:rPr>
          <w:rStyle w:val="None"/>
          <w:rtl w:val="0"/>
          <w:lang w:val="en-US"/>
        </w:rPr>
        <w:t>“</w:t>
      </w:r>
      <w:r>
        <w:rPr>
          <w:rStyle w:val="None"/>
          <w:rtl w:val="0"/>
          <w:lang w:val="en-US"/>
        </w:rPr>
        <w:t>The Sun, always acting in connection with the Ambient, contributes to the regulation of all earthly things: not only by the revolution of the seasons does he bring to perfection the embryo of animals, the buds of plants, the spring of waters, and the alteration of bodies, but by his daily progress also he operates other changes in light, heat, moisture, dryness and cold; dependent upon his situation with regard to the zenith.</w:t>
      </w:r>
      <w:r>
        <w:rPr>
          <w:rStyle w:val="None"/>
          <w:rtl w:val="0"/>
          <w:lang w:val="en-US"/>
        </w:rPr>
        <w:t>”</w:t>
      </w:r>
      <w:r>
        <w:rPr>
          <w:rStyle w:val="None"/>
          <w:vertAlign w:val="superscript"/>
        </w:rPr>
        <w:footnoteReference w:id="7"/>
      </w:r>
    </w:p>
    <w:p>
      <w:pPr>
        <w:pStyle w:val="Body A"/>
        <w:ind w:left="306" w:firstLine="0"/>
      </w:pPr>
    </w:p>
    <w:p>
      <w:pPr>
        <w:pStyle w:val="Body A"/>
        <w:ind w:left="306" w:firstLine="0"/>
      </w:pPr>
      <w:r>
        <w:rPr>
          <w:rStyle w:val="None"/>
          <w:rtl w:val="0"/>
          <w:lang w:val="en-US"/>
        </w:rPr>
        <w:t>“</w:t>
      </w:r>
      <w:r>
        <w:rPr>
          <w:rStyle w:val="None"/>
          <w:rtl w:val="0"/>
          <w:lang w:val="en-US"/>
        </w:rPr>
        <w:t>The active power of the Sun's essential nature is found to be heating and, to a certain degree, drying. This is made more easily perceptible in the case of the Sun than any other heavenly body by its size and by the obviousness of its seasonal changes, for the closer it approaches to the zenith the more it affects us in this way.</w:t>
      </w:r>
      <w:r>
        <w:rPr>
          <w:rStyle w:val="None"/>
          <w:rtl w:val="0"/>
          <w:lang w:val="en-US"/>
        </w:rPr>
        <w:t>”</w:t>
      </w:r>
      <w:r>
        <w:rPr>
          <w:rStyle w:val="None"/>
          <w:vertAlign w:val="superscript"/>
        </w:rPr>
        <w:footnoteReference w:id="8"/>
      </w:r>
    </w:p>
    <w:p>
      <w:pPr>
        <w:pStyle w:val="Body A"/>
      </w:pPr>
    </w:p>
    <w:p>
      <w:pPr>
        <w:pStyle w:val="Body A"/>
      </w:pPr>
      <w:r>
        <w:rPr>
          <w:rStyle w:val="None"/>
          <w:rtl w:val="0"/>
          <w:lang w:val="en-US"/>
        </w:rPr>
        <w:t>Ptolemy treats Sun in Tetrabiblos mainly from physical and natural sides, explained Sun</w:t>
      </w:r>
      <w:r>
        <w:rPr>
          <w:rStyle w:val="None"/>
          <w:rtl w:val="0"/>
          <w:lang w:val="en-US"/>
        </w:rPr>
        <w:t>’</w:t>
      </w:r>
      <w:r>
        <w:rPr>
          <w:rStyle w:val="None"/>
          <w:rtl w:val="0"/>
          <w:lang w:val="en-US"/>
        </w:rPr>
        <w:t xml:space="preserve">s power to be a driving source of life and develop life of plants, animals and humans, also stating that it is capable of altering the bodies from humoural perspective, depending on a season and location where the nation lives. For example, people living closer to souther parallels </w:t>
      </w:r>
      <w:r>
        <w:rPr>
          <w:rStyle w:val="None"/>
          <w:rtl w:val="0"/>
          <w:lang w:val="en-US"/>
        </w:rPr>
        <w:t>‘</w:t>
      </w:r>
      <w:r>
        <w:rPr>
          <w:rStyle w:val="None"/>
          <w:rtl w:val="0"/>
          <w:lang w:val="en-US"/>
        </w:rPr>
        <w:t>have the Sun over their heads and are burned by it</w:t>
      </w:r>
      <w:r>
        <w:rPr>
          <w:rStyle w:val="None"/>
          <w:rtl w:val="0"/>
          <w:lang w:val="en-US"/>
        </w:rPr>
        <w:t>’</w:t>
      </w:r>
      <w:r>
        <w:rPr>
          <w:rStyle w:val="None"/>
          <w:rtl w:val="0"/>
          <w:lang w:val="en-US"/>
        </w:rPr>
        <w:t>.</w:t>
      </w:r>
      <w:r>
        <w:rPr>
          <w:rStyle w:val="None"/>
          <w:vertAlign w:val="superscript"/>
          <w:lang w:val="en-US"/>
        </w:rPr>
        <w:footnoteReference w:id="9"/>
      </w:r>
      <w:r>
        <w:rPr>
          <w:rStyle w:val="None"/>
          <w:rtl w:val="0"/>
          <w:lang w:val="ru-RU"/>
        </w:rPr>
        <w:t xml:space="preserve"> </w:t>
      </w:r>
      <w:r>
        <w:rPr>
          <w:rStyle w:val="None"/>
          <w:rtl w:val="0"/>
          <w:lang w:val="en-US"/>
        </w:rPr>
        <w:t>Mainly he argues that it is important to know the nature of the planet and the effects or influences they may produce to predict or forecast the situation of the place, time, season or influence on an individual by the visible position if the stars.</w:t>
      </w:r>
      <w:r>
        <w:rPr>
          <w:rStyle w:val="None"/>
          <w:vertAlign w:val="superscript"/>
          <w:lang w:val="en-US"/>
        </w:rPr>
        <w:footnoteReference w:id="10"/>
      </w:r>
      <w:r>
        <w:rPr>
          <w:rStyle w:val="None"/>
          <w:rtl w:val="0"/>
          <w:lang w:val="en-US"/>
        </w:rPr>
        <w:t xml:space="preserve"> Ptolemy</w:t>
      </w:r>
      <w:r>
        <w:rPr>
          <w:rStyle w:val="None"/>
          <w:rtl w:val="0"/>
          <w:lang w:val="en-US"/>
        </w:rPr>
        <w:t>’</w:t>
      </w:r>
      <w:r>
        <w:rPr>
          <w:rStyle w:val="None"/>
          <w:rtl w:val="0"/>
          <w:lang w:val="en-US"/>
        </w:rPr>
        <w:t xml:space="preserve">s life and work happened during classical period when development of astrology was mainly distinguished by its technical nature with complex mathematical calculations, rules and preciseness of all kinds. </w:t>
      </w:r>
    </w:p>
    <w:p>
      <w:pPr>
        <w:pStyle w:val="Body A"/>
      </w:pPr>
    </w:p>
    <w:p>
      <w:pPr>
        <w:pStyle w:val="Body A"/>
      </w:pPr>
      <w:r>
        <w:rPr>
          <w:rStyle w:val="None"/>
          <w:rFonts w:cs="Arial Unicode MS" w:eastAsia="Arial Unicode MS"/>
          <w:rtl w:val="0"/>
          <w:lang w:val="en-US"/>
        </w:rPr>
        <w:t>MEDIEVAL SOURSE</w:t>
      </w:r>
    </w:p>
    <w:p>
      <w:pPr>
        <w:pStyle w:val="Body A"/>
      </w:pPr>
    </w:p>
    <w:p>
      <w:pPr>
        <w:pStyle w:val="Body A"/>
      </w:pPr>
      <w:r>
        <w:rPr>
          <w:rStyle w:val="None"/>
          <w:rFonts w:cs="Arial Unicode MS" w:eastAsia="Arial Unicode MS"/>
          <w:rtl w:val="0"/>
        </w:rPr>
        <w:tab/>
        <w:t>Medieval point of view on the Sun I decided to represent with William Lilly</w:t>
      </w:r>
      <w:r>
        <w:rPr>
          <w:rStyle w:val="None"/>
          <w:rFonts w:cs="Arial Unicode MS" w:eastAsia="Arial Unicode MS" w:hint="default"/>
          <w:rtl w:val="0"/>
          <w:lang w:val="en-US"/>
        </w:rPr>
        <w:t>’</w:t>
      </w:r>
      <w:r>
        <w:rPr>
          <w:rStyle w:val="None"/>
          <w:rFonts w:cs="Arial Unicode MS" w:eastAsia="Arial Unicode MS"/>
          <w:rtl w:val="0"/>
          <w:lang w:val="en-US"/>
        </w:rPr>
        <w:t xml:space="preserve">s Introduction to Christian Astrology. Lilly (1602-1681) lived in England and was one of the most important astrologers of that time, widely practicing a horary astrology by offering advice to clients based on a chart cast for the moment question were asked. For that technique he needed a wide and descriptive set of interpretations for every planet, sign, house, aspect and their possible relations with each other in order to give a practical and detailed answer to the querent. In the original book, written in 1647 in England, Lilly addresses To the Reader and few times mentions that he </w:t>
      </w:r>
      <w:r>
        <w:rPr>
          <w:rStyle w:val="None"/>
          <w:rFonts w:cs="Arial Unicode MS" w:eastAsia="Arial Unicode MS" w:hint="default"/>
          <w:rtl w:val="0"/>
          <w:lang w:val="en-US"/>
        </w:rPr>
        <w:t>‘</w:t>
      </w:r>
      <w:r>
        <w:rPr>
          <w:rStyle w:val="None"/>
          <w:rFonts w:cs="Arial Unicode MS" w:eastAsia="Arial Unicode MS"/>
          <w:rtl w:val="0"/>
          <w:lang w:val="en-US"/>
        </w:rPr>
        <w:t>conferred his own notes with/ supplied himself or enlarged from &lt;</w:t>
      </w:r>
      <w:r>
        <w:rPr>
          <w:rStyle w:val="None"/>
          <w:rFonts w:cs="Arial Unicode MS" w:eastAsia="Arial Unicode MS" w:hint="default"/>
          <w:rtl w:val="0"/>
          <w:lang w:val="en-US"/>
        </w:rPr>
        <w:t>…</w:t>
      </w:r>
      <w:r>
        <w:rPr>
          <w:rStyle w:val="None"/>
          <w:rFonts w:cs="Arial Unicode MS" w:eastAsia="Arial Unicode MS"/>
          <w:rtl w:val="0"/>
          <w:lang w:val="en-US"/>
        </w:rPr>
        <w:t>&gt; Ptolomey</w:t>
      </w:r>
      <w:r>
        <w:rPr>
          <w:rStyle w:val="None"/>
          <w:rFonts w:cs="Arial Unicode MS" w:eastAsia="Arial Unicode MS" w:hint="default"/>
          <w:rtl w:val="0"/>
          <w:lang w:val="en-US"/>
        </w:rPr>
        <w:t xml:space="preserve">’ </w:t>
      </w:r>
      <w:r>
        <w:rPr>
          <w:rStyle w:val="None"/>
          <w:rFonts w:cs="Arial Unicode MS" w:eastAsia="Arial Unicode MS"/>
          <w:rtl w:val="0"/>
          <w:lang w:val="en-US"/>
        </w:rPr>
        <w:t xml:space="preserve">and other authors including Origanus, Pezelius, Naibod, Cardan, Albubatur and others. Lilly writes that some can accuse him in disagreement with Ptolemy, which is true, he agrees, because </w:t>
      </w:r>
      <w:r>
        <w:rPr>
          <w:rStyle w:val="None"/>
          <w:rFonts w:cs="Arial Unicode MS" w:eastAsia="Arial Unicode MS" w:hint="default"/>
          <w:rtl w:val="0"/>
          <w:lang w:val="en-US"/>
        </w:rPr>
        <w:t>‘</w:t>
      </w:r>
      <w:r>
        <w:rPr>
          <w:rStyle w:val="None"/>
          <w:rFonts w:cs="Arial Unicode MS" w:eastAsia="Arial Unicode MS"/>
          <w:rtl w:val="0"/>
          <w:lang w:val="en-US"/>
        </w:rPr>
        <w:t>he is led by reason and experience, rather than by figure of authority</w:t>
      </w:r>
      <w:r>
        <w:rPr>
          <w:rStyle w:val="None"/>
          <w:rFonts w:cs="Arial Unicode MS" w:eastAsia="Arial Unicode MS" w:hint="default"/>
          <w:rtl w:val="0"/>
          <w:lang w:val="en-US"/>
        </w:rPr>
        <w:t>’</w:t>
      </w:r>
      <w:r>
        <w:rPr>
          <w:rStyle w:val="None"/>
          <w:rFonts w:cs="Arial Unicode MS" w:eastAsia="Arial Unicode MS"/>
          <w:rtl w:val="0"/>
          <w:lang w:val="en-US"/>
        </w:rPr>
        <w:t>.</w:t>
      </w:r>
      <w:r>
        <w:rPr>
          <w:rStyle w:val="None"/>
          <w:rFonts w:ascii="Helvetica Neue" w:cs="Helvetica Neue" w:hAnsi="Helvetica Neue" w:eastAsia="Helvetica Neue"/>
          <w:b w:val="0"/>
          <w:bCs w:val="0"/>
          <w:i w:val="0"/>
          <w:iCs w:val="0"/>
          <w:vertAlign w:val="superscript"/>
        </w:rPr>
        <w:footnoteReference w:id="11"/>
      </w:r>
      <w:r>
        <w:rPr>
          <w:rStyle w:val="None"/>
          <w:rFonts w:cs="Arial Unicode MS" w:eastAsia="Arial Unicode MS"/>
          <w:rtl w:val="0"/>
          <w:lang w:val="en-US"/>
        </w:rPr>
        <w:t xml:space="preserve"> Also Lilly in the epistle to the student in astrology addresses as </w:t>
      </w:r>
      <w:r>
        <w:rPr>
          <w:rStyle w:val="None"/>
          <w:rFonts w:cs="Arial Unicode MS" w:eastAsia="Arial Unicode MS" w:hint="default"/>
          <w:rtl w:val="0"/>
          <w:lang w:val="en-US"/>
        </w:rPr>
        <w:t>‘</w:t>
      </w:r>
      <w:r>
        <w:rPr>
          <w:rStyle w:val="None"/>
          <w:rFonts w:cs="Arial Unicode MS" w:eastAsia="Arial Unicode MS"/>
          <w:rtl w:val="0"/>
          <w:lang w:val="en-US"/>
        </w:rPr>
        <w:t>my friend, whoever thou you are</w:t>
      </w:r>
      <w:r>
        <w:rPr>
          <w:rStyle w:val="None"/>
          <w:rFonts w:cs="Arial Unicode MS" w:eastAsia="Arial Unicode MS" w:hint="default"/>
          <w:rtl w:val="0"/>
          <w:lang w:val="en-US"/>
        </w:rPr>
        <w:t xml:space="preserve">’ </w:t>
      </w:r>
      <w:r>
        <w:rPr>
          <w:rStyle w:val="None"/>
          <w:rFonts w:cs="Arial Unicode MS" w:eastAsia="Arial Unicode MS"/>
          <w:rtl w:val="0"/>
          <w:lang w:val="en-US"/>
        </w:rPr>
        <w:t xml:space="preserve">and gives some guidelines of proper actions and behaviour. </w:t>
      </w:r>
    </w:p>
    <w:p>
      <w:pPr>
        <w:pStyle w:val="Body A"/>
      </w:pPr>
    </w:p>
    <w:p>
      <w:pPr>
        <w:pStyle w:val="Body A"/>
      </w:pPr>
      <w:r>
        <w:rPr>
          <w:rStyle w:val="None"/>
          <w:rFonts w:cs="Arial Unicode MS" w:eastAsia="Arial Unicode MS"/>
          <w:rtl w:val="0"/>
          <w:lang w:val="en-US"/>
        </w:rPr>
        <w:t>Compare to Tetrabiblos Lilly</w:t>
      </w:r>
      <w:r>
        <w:rPr>
          <w:rStyle w:val="None"/>
          <w:rFonts w:cs="Arial Unicode MS" w:eastAsia="Arial Unicode MS" w:hint="default"/>
          <w:rtl w:val="0"/>
          <w:lang w:val="en-US"/>
        </w:rPr>
        <w:t>’</w:t>
      </w:r>
      <w:r>
        <w:rPr>
          <w:rStyle w:val="None"/>
          <w:rFonts w:cs="Arial Unicode MS" w:eastAsia="Arial Unicode MS"/>
          <w:rtl w:val="0"/>
          <w:lang w:val="en-US"/>
        </w:rPr>
        <w:t>s Christian Astrology was more about astrological techniques, methods and rules, rather than mathematical and physical observations and statements. His Christian Astrology was the first astrology textbook, or an encyclopaedia, ever published in English language, guiding students and practitioners of astrology. Campion writes that Lilly paid very little attention to the philosophical framework, though he was aware of change in the old physical cosmology brought by three famous astrologers, Tycho Bragge, Kepler and Galileo.</w:t>
      </w:r>
      <w:r>
        <w:rPr>
          <w:rStyle w:val="None"/>
          <w:rFonts w:ascii="Helvetica Neue" w:cs="Helvetica Neue" w:hAnsi="Helvetica Neue" w:eastAsia="Helvetica Neue"/>
          <w:b w:val="0"/>
          <w:bCs w:val="0"/>
          <w:i w:val="0"/>
          <w:iCs w:val="0"/>
          <w:vertAlign w:val="superscript"/>
        </w:rPr>
        <w:footnoteReference w:id="12"/>
      </w:r>
      <w:r>
        <w:rPr>
          <w:rStyle w:val="None"/>
          <w:rFonts w:cs="Arial Unicode MS" w:eastAsia="Arial Unicode MS"/>
          <w:rtl w:val="0"/>
          <w:lang w:val="en-US"/>
        </w:rPr>
        <w:t xml:space="preserve"> Lilly had a portrait of himself with a blank horoscope and words meaning </w:t>
      </w:r>
      <w:r>
        <w:rPr>
          <w:rStyle w:val="None"/>
          <w:rFonts w:cs="Arial Unicode MS" w:eastAsia="Arial Unicode MS" w:hint="default"/>
          <w:rtl w:val="0"/>
          <w:lang w:val="en-US"/>
        </w:rPr>
        <w:t>‘</w:t>
      </w:r>
      <w:r>
        <w:rPr>
          <w:rStyle w:val="None"/>
          <w:rFonts w:cs="Arial Unicode MS" w:eastAsia="Arial Unicode MS"/>
          <w:rtl w:val="0"/>
          <w:lang w:val="en-US"/>
        </w:rPr>
        <w:t>stars do not compel</w:t>
      </w:r>
      <w:r>
        <w:rPr>
          <w:rStyle w:val="None"/>
          <w:rFonts w:cs="Arial Unicode MS" w:eastAsia="Arial Unicode MS" w:hint="default"/>
          <w:rtl w:val="0"/>
          <w:lang w:val="en-US"/>
        </w:rPr>
        <w:t xml:space="preserve">’ </w:t>
      </w:r>
      <w:r>
        <w:rPr>
          <w:rStyle w:val="None"/>
          <w:rFonts w:cs="Arial Unicode MS" w:eastAsia="Arial Unicode MS"/>
          <w:rtl w:val="0"/>
          <w:lang w:val="en-US"/>
        </w:rPr>
        <w:t>but sometimes he made quite a fatalistic and deterministic answers to his clients as if the future was already fixated and unavoidable. Campion writes that in Christian Europe of that time judicial astrologers were forced to navigate between classical philosophy, fatalism, naturalism and leave enough room for the soul to choose freedom and salvation.</w:t>
      </w:r>
      <w:r>
        <w:rPr>
          <w:rStyle w:val="None"/>
          <w:rFonts w:ascii="Helvetica Neue" w:cs="Helvetica Neue" w:hAnsi="Helvetica Neue" w:eastAsia="Helvetica Neue"/>
          <w:b w:val="0"/>
          <w:bCs w:val="0"/>
          <w:i w:val="0"/>
          <w:iCs w:val="0"/>
          <w:vertAlign w:val="superscript"/>
        </w:rPr>
        <w:footnoteReference w:id="13"/>
      </w:r>
      <w:r>
        <w:rPr>
          <w:rStyle w:val="None"/>
          <w:rFonts w:cs="Arial Unicode MS" w:eastAsia="Arial Unicode MS"/>
          <w:rtl w:val="0"/>
          <w:lang w:val="en-US"/>
        </w:rPr>
        <w:t xml:space="preserve"> </w:t>
      </w:r>
    </w:p>
    <w:p>
      <w:pPr>
        <w:pStyle w:val="Body A"/>
      </w:pPr>
    </w:p>
    <w:p>
      <w:pPr>
        <w:pStyle w:val="Body A"/>
      </w:pPr>
      <w:r>
        <w:rPr>
          <w:rStyle w:val="None"/>
          <w:rFonts w:cs="Arial Unicode MS" w:eastAsia="Arial Unicode MS"/>
          <w:rtl w:val="0"/>
          <w:lang w:val="en-US"/>
        </w:rPr>
        <w:t>Lilly</w:t>
      </w:r>
      <w:r>
        <w:rPr>
          <w:rStyle w:val="None"/>
          <w:rFonts w:cs="Arial Unicode MS" w:eastAsia="Arial Unicode MS" w:hint="default"/>
          <w:rtl w:val="0"/>
          <w:lang w:val="en-US"/>
        </w:rPr>
        <w:t>’</w:t>
      </w:r>
      <w:r>
        <w:rPr>
          <w:rStyle w:val="None"/>
          <w:rFonts w:cs="Arial Unicode MS" w:eastAsia="Arial Unicode MS"/>
          <w:rtl w:val="0"/>
          <w:lang w:val="en-US"/>
        </w:rPr>
        <w:t>s description of Sun takes the whole chapter 11 located in 3,5 pages of text, describing names of the Sun, astronomical speed and length of cycle, path on the Ecliptic, sign rulership, positions of dignity and debility, triplicity, terms, decans, nature (hot-dry), traits of a man if Sun well or ill dignified in one</w:t>
      </w:r>
      <w:r>
        <w:rPr>
          <w:rStyle w:val="None"/>
          <w:rFonts w:cs="Arial Unicode MS" w:eastAsia="Arial Unicode MS" w:hint="default"/>
          <w:rtl w:val="0"/>
          <w:lang w:val="en-US"/>
        </w:rPr>
        <w:t>’</w:t>
      </w:r>
      <w:r>
        <w:rPr>
          <w:rStyle w:val="None"/>
          <w:rFonts w:cs="Arial Unicode MS" w:eastAsia="Arial Unicode MS"/>
          <w:rtl w:val="0"/>
          <w:lang w:val="en-US"/>
        </w:rPr>
        <w:t>s chart, a thorough description of corporature traits (physical parameters of a person), possible professions, visual signs of sickness, colours, herbs and plants, trees, beasts, fishes, birds, geographical places, minerals, metals and stones, weather, winds, years in terms of age, countries, days of week, angles and orbs. There are some quotes:</w:t>
      </w:r>
    </w:p>
    <w:p>
      <w:pPr>
        <w:pStyle w:val="Body A"/>
      </w:pPr>
    </w:p>
    <w:p>
      <w:pPr>
        <w:pStyle w:val="Body A"/>
        <w:ind w:left="306" w:firstLine="0"/>
      </w:pPr>
      <w:r>
        <w:rPr>
          <w:rStyle w:val="None"/>
          <w:rtl w:val="0"/>
          <w:lang w:val="en-US"/>
        </w:rPr>
        <w:t>‘</w:t>
      </w:r>
      <w:r>
        <w:rPr>
          <w:rStyle w:val="None"/>
          <w:rtl w:val="0"/>
          <w:lang w:val="en-US"/>
        </w:rPr>
        <w:t>The Sun is placed in the middle of all the planets, and is called amongst the ancients, both Poets and Historians, Sol, Titan, Ilios, Phebus, Apollo, Pean, Osyris; it</w:t>
      </w:r>
      <w:r>
        <w:rPr>
          <w:rStyle w:val="None"/>
          <w:rtl w:val="0"/>
          <w:lang w:val="en-US"/>
        </w:rPr>
        <w:t>’</w:t>
      </w:r>
      <w:r>
        <w:rPr>
          <w:rStyle w:val="None"/>
          <w:rtl w:val="0"/>
          <w:lang w:val="en-US"/>
        </w:rPr>
        <w:t>s needless to mention his Colour, being so continually visible to all mortal men. He passes through all the twelve signs of the zodiac in one year, or in 365 days and certain hours. His mean motion is 59 minutes 8 seconds, yet his diurnal motion is sometimes 57 minutes 16 seconds, sometimes more, but never exceeding 61 minutes and 6 seconds. He always moves in the ecliptic, and is ever void of latitude, so that it is very improper in any Astrologian to speak of the Sun his latitude. He has only the sign Leo for his house, and Aquarius for his detriment.</w:t>
      </w:r>
      <w:r>
        <w:rPr>
          <w:rStyle w:val="None"/>
          <w:rtl w:val="0"/>
          <w:lang w:val="en-US"/>
        </w:rPr>
        <w:t>’</w:t>
      </w:r>
      <w:r>
        <w:rPr>
          <w:rStyle w:val="None"/>
          <w:vertAlign w:val="superscript"/>
        </w:rPr>
        <w:footnoteReference w:id="14"/>
      </w:r>
    </w:p>
    <w:p>
      <w:pPr>
        <w:pStyle w:val="Body A"/>
        <w:ind w:left="306" w:firstLine="0"/>
      </w:pPr>
    </w:p>
    <w:p>
      <w:pPr>
        <w:pStyle w:val="Body A"/>
        <w:ind w:left="306" w:firstLine="0"/>
      </w:pPr>
      <w:r>
        <w:rPr>
          <w:rStyle w:val="None"/>
          <w:rtl w:val="0"/>
          <w:lang w:val="en-US"/>
        </w:rPr>
        <w:t>‘</w:t>
      </w:r>
      <w:r>
        <w:rPr>
          <w:rStyle w:val="None"/>
          <w:rtl w:val="0"/>
          <w:lang w:val="en-US"/>
        </w:rPr>
        <w:t>Usually the Sun presents a man of a good, large, and strong corporature, a yellow, saffron complexion, a round large forehead, large goggle eyes, sharp and piercing; a body strong and well composed, not so beautiful as lovely; full of heat, with hair yellowish, and therefore quickly bald; much hair on their beard, and usually an high ruddy complexion; their bodies fleshy; in conditions they are very bountiful, honest, sincere, well-minded, of great and large heart; high-minded, healthful constitution; very humane, yet sufficiently spirited, and not loquacious.</w:t>
      </w:r>
      <w:r>
        <w:rPr>
          <w:rStyle w:val="None"/>
          <w:rtl w:val="0"/>
          <w:lang w:val="en-US"/>
        </w:rPr>
        <w:t>’</w:t>
      </w:r>
      <w:r>
        <w:rPr>
          <w:rStyle w:val="None"/>
          <w:vertAlign w:val="superscript"/>
        </w:rPr>
        <w:footnoteReference w:id="15"/>
      </w:r>
    </w:p>
    <w:p>
      <w:pPr>
        <w:pStyle w:val="Body A"/>
        <w:ind w:left="306" w:firstLine="0"/>
      </w:pPr>
    </w:p>
    <w:p>
      <w:pPr>
        <w:pStyle w:val="Body A"/>
        <w:ind w:left="36" w:firstLine="0"/>
      </w:pPr>
      <w:r>
        <w:rPr>
          <w:rStyle w:val="None"/>
          <w:rtl w:val="0"/>
          <w:lang w:val="en-US"/>
        </w:rPr>
        <w:t>His description contains precise information on the speed of sun, on it</w:t>
      </w:r>
      <w:r>
        <w:rPr>
          <w:rStyle w:val="None"/>
          <w:rtl w:val="0"/>
          <w:lang w:val="en-US"/>
        </w:rPr>
        <w:t>’</w:t>
      </w:r>
      <w:r>
        <w:rPr>
          <w:rStyle w:val="None"/>
          <w:rtl w:val="0"/>
          <w:lang w:val="en-US"/>
        </w:rPr>
        <w:t>s natural qualities, geographical matters and description of possible effect caused by aspects between planets, thus the Sun</w:t>
      </w:r>
      <w:r>
        <w:rPr>
          <w:rStyle w:val="None"/>
          <w:rtl w:val="0"/>
          <w:lang w:val="en-US"/>
        </w:rPr>
        <w:t>’</w:t>
      </w:r>
      <w:r>
        <w:rPr>
          <w:rStyle w:val="None"/>
          <w:rtl w:val="0"/>
          <w:lang w:val="en-US"/>
        </w:rPr>
        <w:t xml:space="preserve">s description has something in common with Ptolemy. But the main difference is that Lilly had to deal on an everyday basis with clients that wanted to know where did the slave gone, marriage issues, property related questions, health and treatments, lost objects and their possible locations, etc. His astrology was very much earth-bond, thus he needed a rich descriptive material for dealing with daily matters and to be able to explain things to people in a simple way. He compiled his encyclopaedia from multiple sources, including Tetrabiblos, and organised it in a systematic way, as a path to guide students of astrology from simple to complex judgement. He needed to give clues to clients about directions where to look for a lost item or from what kind of person receive help, or maybe whom to avoid; he needed extensive list of specifications to portrait the husband of client or other people, including some possible visual marks, body complexion and social position/profession </w:t>
      </w:r>
      <w:r>
        <w:rPr>
          <w:rStyle w:val="None"/>
          <w:rtl w:val="0"/>
          <w:lang w:val="en-US"/>
        </w:rPr>
        <w:t xml:space="preserve">– </w:t>
      </w:r>
      <w:r>
        <w:rPr>
          <w:rStyle w:val="None"/>
          <w:rtl w:val="0"/>
          <w:lang w:val="en-US"/>
        </w:rPr>
        <w:t>a task Ptolemy didn</w:t>
      </w:r>
      <w:r>
        <w:rPr>
          <w:rStyle w:val="None"/>
          <w:rtl w:val="0"/>
          <w:lang w:val="en-US"/>
        </w:rPr>
        <w:t>’</w:t>
      </w:r>
      <w:r>
        <w:rPr>
          <w:rStyle w:val="None"/>
          <w:rtl w:val="0"/>
          <w:lang w:val="en-US"/>
        </w:rPr>
        <w:t>t have at his time. From other side naturalistic approach and knowledge of humours was necessary to Lilly in medical questions such as decumbitures, a chart cast for the beginning of an illness, or to pick up a right treatment to the problem shown in the chart. At this point I could say, that Ptolemy laid a technical, mathematical and naturalistic foundation for the classical astrology and Lilly has developed the techniques themselves, and made them practical in use.</w:t>
      </w:r>
    </w:p>
    <w:p>
      <w:pPr>
        <w:pStyle w:val="Body A"/>
      </w:pPr>
    </w:p>
    <w:p>
      <w:pPr>
        <w:pStyle w:val="Body A"/>
      </w:pPr>
      <w:r>
        <w:rPr>
          <w:rStyle w:val="None"/>
          <w:rFonts w:cs="Arial Unicode MS" w:eastAsia="Arial Unicode MS"/>
          <w:rtl w:val="0"/>
          <w:lang w:val="en-US"/>
        </w:rPr>
        <w:t>MODERN SOURSE</w:t>
      </w:r>
    </w:p>
    <w:p>
      <w:pPr>
        <w:pStyle w:val="Body A"/>
      </w:pPr>
    </w:p>
    <w:p>
      <w:pPr>
        <w:pStyle w:val="Body A"/>
      </w:pPr>
      <w:r>
        <w:rPr>
          <w:rStyle w:val="None"/>
          <w:rFonts w:cs="Arial Unicode MS" w:eastAsia="Arial Unicode MS"/>
          <w:rtl w:val="0"/>
        </w:rPr>
        <w:tab/>
        <w:t xml:space="preserve">To represent a modern point of view I decided to take Alan Leo (1860 </w:t>
      </w:r>
      <w:r>
        <w:rPr>
          <w:rStyle w:val="None"/>
          <w:rFonts w:cs="Arial Unicode MS" w:eastAsia="Arial Unicode MS" w:hint="default"/>
          <w:rtl w:val="0"/>
          <w:lang w:val="en-US"/>
        </w:rPr>
        <w:t>– </w:t>
      </w:r>
      <w:r>
        <w:rPr>
          <w:rStyle w:val="None"/>
          <w:rFonts w:cs="Arial Unicode MS" w:eastAsia="Arial Unicode MS"/>
          <w:rtl w:val="0"/>
          <w:lang w:val="en-US"/>
        </w:rPr>
        <w:t xml:space="preserve">1917), born William Frederick Allan in Westmister, England. Leo is a key figure in revival of astrology after its decline in late 17th century. He reformed astrology and made it a path of spiritual evolution. He was studying astrology while working as a salesman, and his commercial talent made mass produced individual horoscope readings possible. Raised in poverty of industrial times he came up to explanation of unjust difference in social statuses with the notion of karma, that suffering could be a punishment for previous deeds. His motives to promote and teach astrology were clearly explained by him when he wrote that </w:t>
      </w:r>
      <w:r>
        <w:rPr>
          <w:rStyle w:val="None"/>
          <w:rFonts w:cs="Arial Unicode MS" w:eastAsia="Arial Unicode MS" w:hint="default"/>
          <w:rtl w:val="0"/>
          <w:lang w:val="en-US"/>
        </w:rPr>
        <w:t>‘</w:t>
      </w:r>
      <w:r>
        <w:rPr>
          <w:rStyle w:val="None"/>
          <w:rFonts w:cs="Arial Unicode MS" w:eastAsia="Arial Unicode MS"/>
          <w:rtl w:val="0"/>
          <w:lang w:val="en-US"/>
        </w:rPr>
        <w:t>souls come into manifestation to gain experience &lt;</w:t>
      </w:r>
      <w:r>
        <w:rPr>
          <w:rStyle w:val="None"/>
          <w:rFonts w:cs="Arial Unicode MS" w:eastAsia="Arial Unicode MS" w:hint="default"/>
          <w:rtl w:val="0"/>
          <w:lang w:val="en-US"/>
        </w:rPr>
        <w:t>…</w:t>
      </w:r>
      <w:r>
        <w:rPr>
          <w:rStyle w:val="None"/>
          <w:rFonts w:cs="Arial Unicode MS" w:eastAsia="Arial Unicode MS"/>
          <w:rtl w:val="0"/>
          <w:lang w:val="en-US"/>
        </w:rPr>
        <w:t>&gt;, by going out into the world and living the life of action, by doing all manner of works, and by registering the consequences</w:t>
      </w:r>
      <w:r>
        <w:rPr>
          <w:rStyle w:val="None"/>
          <w:rFonts w:cs="Arial Unicode MS" w:eastAsia="Arial Unicode MS" w:hint="default"/>
          <w:rtl w:val="0"/>
          <w:lang w:val="en-US"/>
        </w:rPr>
        <w:t>’</w:t>
      </w:r>
      <w:r>
        <w:rPr>
          <w:rStyle w:val="None"/>
          <w:rFonts w:cs="Arial Unicode MS" w:eastAsia="Arial Unicode MS"/>
          <w:rtl w:val="0"/>
          <w:lang w:val="en-US"/>
        </w:rPr>
        <w:t>.</w:t>
      </w:r>
      <w:r>
        <w:rPr>
          <w:rStyle w:val="None"/>
          <w:rFonts w:ascii="Helvetica Neue" w:cs="Helvetica Neue" w:hAnsi="Helvetica Neue" w:eastAsia="Helvetica Neue"/>
          <w:b w:val="0"/>
          <w:bCs w:val="0"/>
          <w:i w:val="0"/>
          <w:iCs w:val="0"/>
          <w:vertAlign w:val="superscript"/>
        </w:rPr>
        <w:footnoteReference w:id="16"/>
      </w:r>
      <w:r>
        <w:rPr>
          <w:rStyle w:val="None"/>
          <w:rFonts w:cs="Arial Unicode MS" w:eastAsia="Arial Unicode MS"/>
          <w:rtl w:val="0"/>
          <w:lang w:val="en-US"/>
        </w:rPr>
        <w:t xml:space="preserve"> He believed that astrology could be salvation to the humanity on the way of evolution of spirit. Leo was deeply impressed by Blavatsky</w:t>
      </w:r>
      <w:r>
        <w:rPr>
          <w:rStyle w:val="None"/>
          <w:rFonts w:cs="Arial Unicode MS" w:eastAsia="Arial Unicode MS" w:hint="default"/>
          <w:rtl w:val="0"/>
          <w:lang w:val="en-US"/>
        </w:rPr>
        <w:t>’</w:t>
      </w:r>
      <w:r>
        <w:rPr>
          <w:rStyle w:val="None"/>
          <w:rFonts w:cs="Arial Unicode MS" w:eastAsia="Arial Unicode MS"/>
          <w:rtl w:val="0"/>
          <w:lang w:val="en-US"/>
        </w:rPr>
        <w:t xml:space="preserve">s teachings, especially on  the </w:t>
      </w:r>
      <w:r>
        <w:rPr>
          <w:rStyle w:val="None"/>
          <w:rFonts w:cs="Arial Unicode MS" w:eastAsia="Arial Unicode MS" w:hint="default"/>
          <w:rtl w:val="0"/>
          <w:lang w:val="en-US"/>
        </w:rPr>
        <w:t>‘</w:t>
      </w:r>
      <w:r>
        <w:rPr>
          <w:rStyle w:val="None"/>
          <w:rFonts w:cs="Arial Unicode MS" w:eastAsia="Arial Unicode MS"/>
          <w:rtl w:val="0"/>
          <w:lang w:val="en-US"/>
        </w:rPr>
        <w:t>Central Spiritual Sun</w:t>
      </w:r>
      <w:r>
        <w:rPr>
          <w:rStyle w:val="None"/>
          <w:rFonts w:cs="Arial Unicode MS" w:eastAsia="Arial Unicode MS" w:hint="default"/>
          <w:rtl w:val="0"/>
          <w:lang w:val="en-US"/>
        </w:rPr>
        <w:t xml:space="preserve">’ </w:t>
      </w:r>
      <w:r>
        <w:rPr>
          <w:rStyle w:val="None"/>
          <w:rFonts w:cs="Arial Unicode MS" w:eastAsia="Arial Unicode MS"/>
          <w:rtl w:val="0"/>
          <w:lang w:val="en-US"/>
        </w:rPr>
        <w:t xml:space="preserve">which later resulted in the greatest contribution to modern astrology in a form of </w:t>
      </w:r>
      <w:r>
        <w:rPr>
          <w:rStyle w:val="None"/>
          <w:rFonts w:cs="Arial Unicode MS" w:eastAsia="Arial Unicode MS" w:hint="default"/>
          <w:rtl w:val="0"/>
          <w:lang w:val="en-US"/>
        </w:rPr>
        <w:t>‘</w:t>
      </w:r>
      <w:r>
        <w:rPr>
          <w:rStyle w:val="None"/>
          <w:rFonts w:cs="Arial Unicode MS" w:eastAsia="Arial Unicode MS"/>
          <w:rtl w:val="0"/>
          <w:lang w:val="en-US"/>
        </w:rPr>
        <w:t>sun-sign</w:t>
      </w:r>
      <w:r>
        <w:rPr>
          <w:rStyle w:val="None"/>
          <w:rFonts w:cs="Arial Unicode MS" w:eastAsia="Arial Unicode MS" w:hint="default"/>
          <w:rtl w:val="0"/>
          <w:lang w:val="en-US"/>
        </w:rPr>
        <w:t xml:space="preserve">’ </w:t>
      </w:r>
      <w:r>
        <w:rPr>
          <w:rStyle w:val="None"/>
          <w:rFonts w:cs="Arial Unicode MS" w:eastAsia="Arial Unicode MS"/>
          <w:rtl w:val="0"/>
          <w:lang w:val="en-US"/>
        </w:rPr>
        <w:t xml:space="preserve">column. In his book </w:t>
      </w:r>
      <w:r>
        <w:rPr>
          <w:rStyle w:val="None"/>
          <w:rFonts w:cs="Arial Unicode MS" w:eastAsia="Arial Unicode MS"/>
          <w:i w:val="1"/>
          <w:iCs w:val="1"/>
          <w:rtl w:val="0"/>
          <w:lang w:val="en-US"/>
        </w:rPr>
        <w:t>How to Judge a Nativity</w:t>
      </w:r>
      <w:r>
        <w:rPr>
          <w:rStyle w:val="None"/>
          <w:rFonts w:cs="Arial Unicode MS" w:eastAsia="Arial Unicode MS"/>
          <w:rtl w:val="0"/>
          <w:lang w:val="en-US"/>
        </w:rPr>
        <w:t xml:space="preserve"> he gave a description to the Sun as follows:</w:t>
      </w:r>
    </w:p>
    <w:p>
      <w:pPr>
        <w:pStyle w:val="Body A"/>
      </w:pPr>
    </w:p>
    <w:p>
      <w:pPr>
        <w:pStyle w:val="Body A"/>
        <w:ind w:left="306" w:firstLine="0"/>
      </w:pPr>
      <w:r>
        <w:rPr>
          <w:rStyle w:val="None"/>
          <w:rtl w:val="0"/>
          <w:lang w:val="en-US"/>
        </w:rPr>
        <w:t>‘</w:t>
      </w:r>
      <w:r>
        <w:rPr>
          <w:rStyle w:val="None"/>
          <w:rtl w:val="0"/>
          <w:lang w:val="en-US"/>
        </w:rPr>
        <w:t>The Sun, giving life, light and heat to the world, stands in each nativity as the symbol of vitality and activity, mind and intellect, love and feeling. In one word it represents the centre of each separate individual character as the sum total of himself, by absorbing into himself as much of the influence of the solar rays and the planetary vibrations as possible during his previous physical manifestations.</w:t>
      </w:r>
      <w:r>
        <w:rPr>
          <w:rStyle w:val="None"/>
          <w:rtl w:val="0"/>
          <w:lang w:val="en-US"/>
        </w:rPr>
        <w:t>’</w:t>
      </w:r>
      <w:r>
        <w:rPr>
          <w:rStyle w:val="None"/>
          <w:vertAlign w:val="superscript"/>
        </w:rPr>
        <w:footnoteReference w:id="17"/>
      </w:r>
    </w:p>
    <w:p>
      <w:pPr>
        <w:pStyle w:val="Body A"/>
        <w:ind w:left="306" w:firstLine="0"/>
      </w:pPr>
    </w:p>
    <w:p>
      <w:pPr>
        <w:pStyle w:val="Body A"/>
        <w:ind w:left="306" w:firstLine="0"/>
      </w:pPr>
      <w:r>
        <w:rPr>
          <w:rStyle w:val="None"/>
          <w:rtl w:val="0"/>
          <w:lang w:val="en-US"/>
        </w:rPr>
        <w:t>‘</w:t>
      </w:r>
      <w:r>
        <w:rPr>
          <w:rStyle w:val="None"/>
          <w:rtl w:val="0"/>
          <w:lang w:val="en-US"/>
        </w:rPr>
        <w:t>The first of these centres is the Sun, taken according to the zodiacal sign in which it was placed at birth. It represents the Individuality, or the soul of the man, divested of all outer ephemeral phases and moods. It corresponds in its highest interpretation to the very basis of the nature, the very sense of existence itself, upon which is built up that idea of I am I which is the root of individuality. To the character it gives power, authority, dignity, will, resolution, self-reliance. In the body it corresponds to the heart and its associated blood-vessels. It is the source of all vital energy, no matter whether coming directly from the Sun or indirectly through the Moon or the Ascendant. It is the centre of the being, both in body and soul.</w:t>
      </w:r>
      <w:r>
        <w:rPr>
          <w:rStyle w:val="None"/>
          <w:rtl w:val="0"/>
          <w:lang w:val="en-US"/>
        </w:rPr>
        <w:t>’</w:t>
      </w:r>
      <w:r>
        <w:rPr>
          <w:rStyle w:val="None"/>
          <w:vertAlign w:val="superscript"/>
        </w:rPr>
        <w:footnoteReference w:id="18"/>
      </w:r>
    </w:p>
    <w:p>
      <w:pPr>
        <w:pStyle w:val="Body A"/>
        <w:ind w:left="306" w:firstLine="0"/>
      </w:pPr>
    </w:p>
    <w:p>
      <w:pPr>
        <w:pStyle w:val="Body A"/>
      </w:pPr>
      <w:r>
        <w:rPr>
          <w:rStyle w:val="None"/>
          <w:rFonts w:cs="Arial Unicode MS" w:eastAsia="Arial Unicode MS"/>
          <w:rtl w:val="0"/>
          <w:lang w:val="en-US"/>
        </w:rPr>
        <w:t>Leo</w:t>
      </w:r>
      <w:r>
        <w:rPr>
          <w:rStyle w:val="None"/>
          <w:rFonts w:cs="Arial Unicode MS" w:eastAsia="Arial Unicode MS" w:hint="default"/>
          <w:rtl w:val="0"/>
          <w:lang w:val="en-US"/>
        </w:rPr>
        <w:t>’</w:t>
      </w:r>
      <w:r>
        <w:rPr>
          <w:rStyle w:val="None"/>
          <w:rFonts w:cs="Arial Unicode MS" w:eastAsia="Arial Unicode MS"/>
          <w:rtl w:val="0"/>
          <w:lang w:val="en-US"/>
        </w:rPr>
        <w:t>s description of a Sun inclines towards psychological and spiritual side and less practically descriptive as Lilly</w:t>
      </w:r>
      <w:r>
        <w:rPr>
          <w:rStyle w:val="None"/>
          <w:rFonts w:cs="Arial Unicode MS" w:eastAsia="Arial Unicode MS" w:hint="default"/>
          <w:rtl w:val="0"/>
          <w:lang w:val="en-US"/>
        </w:rPr>
        <w:t>’</w:t>
      </w:r>
      <w:r>
        <w:rPr>
          <w:rStyle w:val="None"/>
          <w:rFonts w:cs="Arial Unicode MS" w:eastAsia="Arial Unicode MS"/>
          <w:rtl w:val="0"/>
          <w:lang w:val="en-US"/>
        </w:rPr>
        <w:t>s. He created a zodiacal astrology and encouraged people to reflect on their inner character to develop spiritually and prepare for the coming New Age. Lilly needed rich set of descriptive material to be more precise with his practical advices and Leo</w:t>
      </w:r>
      <w:r>
        <w:rPr>
          <w:rStyle w:val="None"/>
          <w:rFonts w:cs="Arial Unicode MS" w:eastAsia="Arial Unicode MS" w:hint="default"/>
          <w:rtl w:val="0"/>
          <w:lang w:val="en-US"/>
        </w:rPr>
        <w:t>’</w:t>
      </w:r>
      <w:r>
        <w:rPr>
          <w:rStyle w:val="None"/>
          <w:rFonts w:cs="Arial Unicode MS" w:eastAsia="Arial Unicode MS"/>
          <w:rtl w:val="0"/>
          <w:lang w:val="en-US"/>
        </w:rPr>
        <w:t>s description of the Sun, in contrast, is not practical at all. Demands of people and philosophical context of times were different, as well as purpose of description.</w:t>
      </w:r>
    </w:p>
    <w:p>
      <w:pPr>
        <w:pStyle w:val="Body A"/>
      </w:pPr>
    </w:p>
    <w:p>
      <w:pPr>
        <w:pStyle w:val="Body A"/>
      </w:pPr>
      <w:r>
        <w:rPr>
          <w:rStyle w:val="None"/>
          <w:rFonts w:cs="Arial Unicode MS" w:eastAsia="Arial Unicode MS"/>
          <w:rtl w:val="0"/>
          <w:lang w:val="en-US"/>
        </w:rPr>
        <w:t>Campion argues that until late 19th century there were almost no change in the description of the zodiac signs since Ptolemy.</w:t>
      </w:r>
      <w:r>
        <w:rPr>
          <w:rStyle w:val="None"/>
          <w:rFonts w:ascii="Helvetica Neue" w:cs="Helvetica Neue" w:hAnsi="Helvetica Neue" w:eastAsia="Helvetica Neue"/>
          <w:b w:val="0"/>
          <w:bCs w:val="0"/>
          <w:i w:val="0"/>
          <w:iCs w:val="0"/>
          <w:vertAlign w:val="superscript"/>
        </w:rPr>
        <w:footnoteReference w:id="19"/>
      </w:r>
      <w:r>
        <w:rPr>
          <w:rStyle w:val="None"/>
          <w:rFonts w:cs="Arial Unicode MS" w:eastAsia="Arial Unicode MS"/>
          <w:rtl w:val="0"/>
          <w:lang w:val="en-US"/>
        </w:rPr>
        <w:t xml:space="preserve"> Ptolemy</w:t>
      </w:r>
      <w:r>
        <w:rPr>
          <w:rStyle w:val="None"/>
          <w:rFonts w:cs="Arial Unicode MS" w:eastAsia="Arial Unicode MS" w:hint="default"/>
          <w:rtl w:val="0"/>
          <w:lang w:val="en-US"/>
        </w:rPr>
        <w:t>’</w:t>
      </w:r>
      <w:r>
        <w:rPr>
          <w:rStyle w:val="None"/>
          <w:rFonts w:cs="Arial Unicode MS" w:eastAsia="Arial Unicode MS"/>
          <w:rtl w:val="0"/>
          <w:lang w:val="en-US"/>
        </w:rPr>
        <w:t>s list of zodiacal qualities expanded by Lilly in his Christian Astrology but still it was nothing compare to modern descriptions of the Zodiac. Leo made Sun the most important feature of the horoscope and focused on the description of Sun</w:t>
      </w:r>
      <w:r>
        <w:rPr>
          <w:rStyle w:val="None"/>
          <w:rFonts w:cs="Arial Unicode MS" w:eastAsia="Arial Unicode MS" w:hint="default"/>
          <w:rtl w:val="0"/>
          <w:lang w:val="en-US"/>
        </w:rPr>
        <w:t>’</w:t>
      </w:r>
      <w:r>
        <w:rPr>
          <w:rStyle w:val="None"/>
          <w:rFonts w:cs="Arial Unicode MS" w:eastAsia="Arial Unicode MS"/>
          <w:rtl w:val="0"/>
          <w:lang w:val="en-US"/>
        </w:rPr>
        <w:t xml:space="preserve">s position in every sign, which later became wide spread and contributed to the popular culture. He did not only revolutionised the astrology, but also succeeded in creation of astrological societies and periodicals to keep a communication with the audience. Leo explained his definition of astrology as </w:t>
      </w:r>
      <w:r>
        <w:rPr>
          <w:rStyle w:val="None"/>
          <w:rFonts w:cs="Arial Unicode MS" w:eastAsia="Arial Unicode MS" w:hint="default"/>
          <w:rtl w:val="0"/>
          <w:lang w:val="en-US"/>
        </w:rPr>
        <w:t>‘</w:t>
      </w:r>
      <w:r>
        <w:rPr>
          <w:rStyle w:val="None"/>
          <w:rFonts w:cs="Arial Unicode MS" w:eastAsia="Arial Unicode MS"/>
          <w:rtl w:val="0"/>
          <w:lang w:val="en-US"/>
        </w:rPr>
        <w:t>the science which defines the action of celestial bodies upon human character, and its expression in the physical world</w:t>
      </w:r>
      <w:r>
        <w:rPr>
          <w:rStyle w:val="None"/>
          <w:rFonts w:cs="Arial Unicode MS" w:eastAsia="Arial Unicode MS" w:hint="default"/>
          <w:rtl w:val="0"/>
          <w:lang w:val="en-US"/>
        </w:rPr>
        <w:t>’</w:t>
      </w:r>
      <w:r>
        <w:rPr>
          <w:rStyle w:val="None"/>
          <w:rFonts w:cs="Arial Unicode MS" w:eastAsia="Arial Unicode MS"/>
          <w:rtl w:val="0"/>
          <w:lang w:val="en-US"/>
        </w:rPr>
        <w:t>.</w:t>
      </w:r>
      <w:r>
        <w:rPr>
          <w:rStyle w:val="None"/>
          <w:rFonts w:ascii="Helvetica Neue" w:cs="Helvetica Neue" w:hAnsi="Helvetica Neue" w:eastAsia="Helvetica Neue"/>
          <w:b w:val="0"/>
          <w:bCs w:val="0"/>
          <w:i w:val="0"/>
          <w:iCs w:val="0"/>
          <w:vertAlign w:val="superscript"/>
        </w:rPr>
        <w:footnoteReference w:id="20"/>
      </w:r>
      <w:r>
        <w:rPr>
          <w:rStyle w:val="None"/>
          <w:rFonts w:cs="Arial Unicode MS" w:eastAsia="Arial Unicode MS"/>
          <w:rtl w:val="0"/>
          <w:lang w:val="en-US"/>
        </w:rPr>
        <w:t xml:space="preserve"> He ignored physical characteristics and avoided naturalistic description as well, he only focused on the central </w:t>
      </w:r>
      <w:r>
        <w:rPr>
          <w:rStyle w:val="None"/>
          <w:rFonts w:cs="Arial Unicode MS" w:eastAsia="Arial Unicode MS" w:hint="default"/>
          <w:rtl w:val="0"/>
          <w:lang w:val="en-US"/>
        </w:rPr>
        <w:t>‘</w:t>
      </w:r>
      <w:r>
        <w:rPr>
          <w:rStyle w:val="None"/>
          <w:rFonts w:cs="Arial Unicode MS" w:eastAsia="Arial Unicode MS"/>
          <w:rtl w:val="0"/>
          <w:lang w:val="en-US"/>
        </w:rPr>
        <w:t>I am</w:t>
      </w:r>
      <w:r>
        <w:rPr>
          <w:rStyle w:val="None"/>
          <w:rFonts w:cs="Arial Unicode MS" w:eastAsia="Arial Unicode MS" w:hint="default"/>
          <w:rtl w:val="0"/>
          <w:lang w:val="en-US"/>
        </w:rPr>
        <w:t xml:space="preserve">’ </w:t>
      </w:r>
      <w:r>
        <w:rPr>
          <w:rStyle w:val="None"/>
          <w:rFonts w:cs="Arial Unicode MS" w:eastAsia="Arial Unicode MS"/>
          <w:rtl w:val="0"/>
          <w:lang w:val="en-US"/>
        </w:rPr>
        <w:t xml:space="preserve">spiritual Sun, </w:t>
      </w:r>
      <w:r>
        <w:rPr>
          <w:rStyle w:val="None"/>
          <w:rFonts w:cs="Arial Unicode MS" w:eastAsia="Arial Unicode MS" w:hint="default"/>
          <w:rtl w:val="0"/>
          <w:lang w:val="en-US"/>
        </w:rPr>
        <w:t>‘</w:t>
      </w:r>
      <w:r>
        <w:rPr>
          <w:rStyle w:val="None"/>
          <w:rFonts w:cs="Arial Unicode MS" w:eastAsia="Arial Unicode MS"/>
          <w:rtl w:val="0"/>
          <w:lang w:val="en-US"/>
        </w:rPr>
        <w:t>Solar Logos</w:t>
      </w:r>
      <w:r>
        <w:rPr>
          <w:rStyle w:val="None"/>
          <w:rFonts w:cs="Arial Unicode MS" w:eastAsia="Arial Unicode MS" w:hint="default"/>
          <w:rtl w:val="0"/>
          <w:lang w:val="en-US"/>
        </w:rPr>
        <w:t>’</w:t>
      </w:r>
      <w:r>
        <w:rPr>
          <w:rStyle w:val="None"/>
          <w:rFonts w:cs="Arial Unicode MS" w:eastAsia="Arial Unicode MS"/>
          <w:rtl w:val="0"/>
          <w:lang w:val="en-US"/>
        </w:rPr>
        <w:t>. Leo</w:t>
      </w:r>
      <w:r>
        <w:rPr>
          <w:rStyle w:val="None"/>
          <w:rFonts w:cs="Arial Unicode MS" w:eastAsia="Arial Unicode MS" w:hint="default"/>
          <w:rtl w:val="0"/>
          <w:lang w:val="en-US"/>
        </w:rPr>
        <w:t>’</w:t>
      </w:r>
      <w:r>
        <w:rPr>
          <w:rStyle w:val="None"/>
          <w:rFonts w:cs="Arial Unicode MS" w:eastAsia="Arial Unicode MS"/>
          <w:rtl w:val="0"/>
          <w:lang w:val="en-US"/>
        </w:rPr>
        <w:t>s astrology became widespread in most Western cultures, he published few books on horoscope casting with extensive description of sun sign, as well as moon sign, ascending sing and their possible combinations.</w:t>
      </w:r>
    </w:p>
    <w:p>
      <w:pPr>
        <w:pStyle w:val="Body A"/>
      </w:pPr>
      <w:r>
        <w:rPr>
          <w:rStyle w:val="None"/>
          <w:rFonts w:cs="Arial Unicode MS" w:eastAsia="Arial Unicode MS"/>
          <w:rtl w:val="0"/>
          <w:lang w:val="en-US"/>
        </w:rPr>
        <w:t>All three sources agree on the humoural hot and dry nature of the Sun. Ptolemy calls Sun essential to life and its development, Leo also enthrones Sun as an essential and central force but for the archetypal and psychological life and spiritual development. Ptolemy and Lilly keep their astrology logical and rational, even though Lilly dealt with witchcraft themes still his astrology was practical and rational, down to earth and its mundane routine matters. Leo, in contrast, completely ignored physical appearance and was focused on irrational, reflective and unseen side of astrology, an astrology that was happening inside a person. He had a book on prognostic methods but it was also about inner psychological development, rather than search for lost items or marriage disputes.</w:t>
      </w:r>
    </w:p>
    <w:p>
      <w:pPr>
        <w:pStyle w:val="Body A"/>
      </w:pPr>
    </w:p>
    <w:p>
      <w:pPr>
        <w:pStyle w:val="Body A"/>
      </w:pPr>
      <w:r>
        <w:rPr>
          <w:rStyle w:val="None"/>
          <w:rFonts w:cs="Arial Unicode MS" w:eastAsia="Arial Unicode MS"/>
          <w:rtl w:val="0"/>
          <w:lang w:val="en-US"/>
        </w:rPr>
        <w:t>CONCLUSION</w:t>
      </w:r>
    </w:p>
    <w:p>
      <w:pPr>
        <w:pStyle w:val="Body A"/>
      </w:pPr>
    </w:p>
    <w:p>
      <w:pPr>
        <w:pStyle w:val="Body A"/>
      </w:pPr>
      <w:r>
        <w:rPr>
          <w:rStyle w:val="None"/>
          <w:rFonts w:cs="Arial Unicode MS" w:eastAsia="Arial Unicode MS"/>
          <w:rtl w:val="0"/>
          <w:lang w:val="en-US"/>
        </w:rPr>
        <w:t>In this essay I have attempted to analyse how interpretation of astrological Sun has developed through times, changing philosophies and movement from mathematical principles in Ptolemy, to practical detailed descriptive approach of Lilly and psychological and archetypal approach at modern times of Alan Leo. Approaches to the treatment of a Sun by Ptolemy, Lilly and Leo have something common between three if one looks closer, but in general all three descriptions are extremely diverse. Such diversity could be easily explained by philosophical and historical context of each author, as well as their lasting popularity could be explained by public demand.</w:t>
      </w:r>
    </w:p>
    <w:p>
      <w:pPr>
        <w:pStyle w:val="Body A"/>
      </w:pPr>
    </w:p>
    <w:p>
      <w:pPr>
        <w:pStyle w:val="Body A"/>
      </w:pPr>
      <w:r>
        <w:rPr>
          <w:rStyle w:val="None"/>
          <w:rFonts w:cs="Arial Unicode MS" w:eastAsia="Arial Unicode MS"/>
          <w:rtl w:val="0"/>
          <w:lang w:val="en-US"/>
        </w:rPr>
        <w:t>BIBLIOGRAPHY</w:t>
      </w:r>
    </w:p>
    <w:p>
      <w:pPr>
        <w:pStyle w:val="Body A"/>
      </w:pPr>
      <w:r>
        <w:rPr>
          <w:rStyle w:val="None"/>
          <w:rFonts w:cs="Arial Unicode MS" w:eastAsia="Arial Unicode MS"/>
          <w:rtl w:val="0"/>
          <w:lang w:val="en-US"/>
        </w:rPr>
        <w:t>Primary sources</w:t>
      </w:r>
    </w:p>
    <w:p>
      <w:pPr>
        <w:pStyle w:val="Body A"/>
      </w:pPr>
    </w:p>
    <w:p>
      <w:pPr>
        <w:pStyle w:val="Footnote"/>
      </w:pPr>
      <w:r>
        <w:rPr>
          <w:rStyle w:val="None"/>
          <w:rFonts w:cs="Arial Unicode MS" w:eastAsia="Arial Unicode MS"/>
          <w:rtl w:val="0"/>
          <w:lang w:val="it-IT"/>
        </w:rPr>
        <w:t>Leo,</w:t>
      </w:r>
      <w:r>
        <w:rPr>
          <w:rStyle w:val="None"/>
          <w:rFonts w:cs="Arial Unicode MS" w:eastAsia="Arial Unicode MS"/>
          <w:rtl w:val="0"/>
          <w:lang w:val="en-US"/>
        </w:rPr>
        <w:t xml:space="preserve"> Alan,</w:t>
      </w:r>
      <w:r>
        <w:rPr>
          <w:rStyle w:val="None"/>
          <w:rFonts w:cs="Arial Unicode MS" w:eastAsia="Arial Unicode MS"/>
          <w:rtl w:val="0"/>
        </w:rPr>
        <w:t xml:space="preserve"> </w:t>
      </w:r>
      <w:r>
        <w:rPr>
          <w:rStyle w:val="None"/>
          <w:rFonts w:cs="Arial Unicode MS" w:eastAsia="Arial Unicode MS"/>
          <w:i w:val="1"/>
          <w:iCs w:val="1"/>
          <w:rtl w:val="0"/>
          <w:lang w:val="en-US"/>
        </w:rPr>
        <w:t>How to Judge a Nativity</w:t>
      </w:r>
      <w:r>
        <w:rPr>
          <w:rStyle w:val="None"/>
          <w:rFonts w:cs="Arial Unicode MS" w:eastAsia="Arial Unicode MS"/>
          <w:rtl w:val="0"/>
          <w:lang w:val="pt-PT"/>
        </w:rPr>
        <w:t xml:space="preserve"> (London: L.N. Fowler &amp; Co. Ltd [1903] 1969)</w:t>
      </w:r>
      <w:r>
        <w:rPr>
          <w:rStyle w:val="None"/>
          <w:rFonts w:cs="Arial Unicode MS" w:eastAsia="Arial Unicode MS"/>
          <w:rtl w:val="0"/>
          <w:lang w:val="en-US"/>
        </w:rPr>
        <w:t>.</w:t>
      </w:r>
    </w:p>
    <w:p>
      <w:pPr>
        <w:pStyle w:val="Body A"/>
      </w:pPr>
    </w:p>
    <w:p>
      <w:pPr>
        <w:pStyle w:val="Footnote"/>
      </w:pPr>
      <w:r>
        <w:rPr>
          <w:rStyle w:val="None"/>
          <w:rFonts w:cs="Arial Unicode MS" w:eastAsia="Arial Unicode MS"/>
          <w:rtl w:val="0"/>
        </w:rPr>
        <w:t xml:space="preserve"> L</w:t>
      </w:r>
      <w:r>
        <w:rPr>
          <w:rStyle w:val="None"/>
          <w:rFonts w:cs="Arial Unicode MS" w:eastAsia="Arial Unicode MS"/>
          <w:rtl w:val="0"/>
          <w:lang w:val="en-US"/>
        </w:rPr>
        <w:t xml:space="preserve">illy, William, </w:t>
      </w:r>
      <w:r>
        <w:rPr>
          <w:rStyle w:val="None"/>
          <w:rFonts w:cs="Arial Unicode MS" w:eastAsia="Arial Unicode MS"/>
          <w:i w:val="1"/>
          <w:iCs w:val="1"/>
          <w:rtl w:val="0"/>
          <w:lang w:val="en-US"/>
        </w:rPr>
        <w:t>Christian astrology ... in three books. The first containing the use of an ephemeris ... The second ... how to judge or resolve all manner of questions ... The third ... to judge upon nativities</w:t>
      </w:r>
      <w:r>
        <w:rPr>
          <w:rStyle w:val="None"/>
          <w:rFonts w:cs="Arial Unicode MS" w:eastAsia="Arial Unicode MS"/>
          <w:rtl w:val="0"/>
        </w:rPr>
        <w:t xml:space="preserve"> </w:t>
      </w:r>
      <w:r>
        <w:rPr>
          <w:rStyle w:val="None"/>
          <w:rFonts w:cs="Arial Unicode MS" w:eastAsia="Arial Unicode MS"/>
          <w:rtl w:val="0"/>
          <w:lang w:val="en-US"/>
        </w:rPr>
        <w:t>(</w:t>
      </w:r>
      <w:r>
        <w:rPr>
          <w:rStyle w:val="None"/>
          <w:rFonts w:cs="Arial Unicode MS" w:eastAsia="Arial Unicode MS"/>
          <w:rtl w:val="0"/>
          <w:lang w:val="da-DK"/>
        </w:rPr>
        <w:t>London: Thomas Brudenell</w:t>
      </w:r>
      <w:r>
        <w:rPr>
          <w:rStyle w:val="None"/>
          <w:rFonts w:cs="Arial Unicode MS" w:eastAsia="Arial Unicode MS"/>
          <w:rtl w:val="0"/>
          <w:lang w:val="en-US"/>
        </w:rPr>
        <w:t>, 1647) &lt;</w:t>
      </w:r>
      <w:r>
        <w:rPr>
          <w:rStyle w:val="Hyperlink.1"/>
        </w:rPr>
        <w:fldChar w:fldCharType="begin" w:fldLock="0"/>
      </w:r>
      <w:r>
        <w:rPr>
          <w:rStyle w:val="Hyperlink.1"/>
        </w:rPr>
        <w:instrText xml:space="preserve"> HYPERLINK "https://www.proquest.com/docview/2230612262"</w:instrText>
      </w:r>
      <w:r>
        <w:rPr>
          <w:rStyle w:val="Hyperlink.1"/>
        </w:rPr>
        <w:fldChar w:fldCharType="separate" w:fldLock="0"/>
      </w:r>
      <w:r>
        <w:rPr>
          <w:rStyle w:val="Hyperlink.1"/>
          <w:rFonts w:cs="Arial Unicode MS" w:eastAsia="Arial Unicode MS"/>
          <w:rtl w:val="0"/>
          <w:lang w:val="en-US"/>
        </w:rPr>
        <w:t>https://www.proquest.com/docview/2230612262</w:t>
      </w:r>
      <w:r>
        <w:rPr/>
        <w:fldChar w:fldCharType="end" w:fldLock="0"/>
      </w:r>
      <w:r>
        <w:rPr>
          <w:rStyle w:val="None"/>
          <w:rFonts w:cs="Arial Unicode MS" w:eastAsia="Arial Unicode MS"/>
          <w:rtl w:val="0"/>
          <w:lang w:val="en-US"/>
        </w:rPr>
        <w:t>&gt; [</w:t>
      </w:r>
      <w:r>
        <w:rPr>
          <w:rStyle w:val="None"/>
          <w:rFonts w:cs="Arial Unicode MS" w:eastAsia="Arial Unicode MS"/>
          <w:rtl w:val="0"/>
          <w:lang w:val="ru-RU"/>
        </w:rPr>
        <w:t>16</w:t>
      </w:r>
      <w:r>
        <w:rPr>
          <w:rStyle w:val="None"/>
          <w:rFonts w:cs="Arial Unicode MS" w:eastAsia="Arial Unicode MS"/>
          <w:rtl w:val="0"/>
          <w:lang w:val="en-US"/>
        </w:rPr>
        <w:t>.03.</w:t>
      </w:r>
      <w:r>
        <w:rPr>
          <w:rStyle w:val="None"/>
          <w:rFonts w:cs="Arial Unicode MS" w:eastAsia="Arial Unicode MS"/>
          <w:rtl w:val="0"/>
          <w:lang w:val="ru-RU"/>
        </w:rPr>
        <w:t>2022</w:t>
      </w:r>
      <w:r>
        <w:rPr>
          <w:rStyle w:val="None"/>
          <w:rFonts w:cs="Arial Unicode MS" w:eastAsia="Arial Unicode MS"/>
          <w:rtl w:val="0"/>
          <w:lang w:val="en-US"/>
        </w:rPr>
        <w:t>]</w:t>
      </w:r>
    </w:p>
    <w:p>
      <w:pPr>
        <w:pStyle w:val="Body A"/>
      </w:pPr>
    </w:p>
    <w:p>
      <w:pPr>
        <w:pStyle w:val="Footnote"/>
      </w:pPr>
      <w:r>
        <w:rPr>
          <w:rStyle w:val="None"/>
          <w:rFonts w:cs="Arial Unicode MS" w:eastAsia="Arial Unicode MS"/>
          <w:rtl w:val="0"/>
        </w:rPr>
        <w:t>Ptolemy</w:t>
      </w:r>
      <w:r>
        <w:rPr>
          <w:rStyle w:val="None"/>
          <w:rFonts w:cs="Arial Unicode MS" w:eastAsia="Arial Unicode MS"/>
          <w:rtl w:val="0"/>
          <w:lang w:val="en-US"/>
        </w:rPr>
        <w:t>, Claudius and Frank Egleston Robbins</w:t>
      </w:r>
      <w:r>
        <w:rPr>
          <w:rStyle w:val="None"/>
          <w:rFonts w:cs="Arial Unicode MS" w:eastAsia="Arial Unicode MS"/>
          <w:rtl w:val="0"/>
        </w:rPr>
        <w:t>,</w:t>
      </w:r>
      <w:r>
        <w:rPr>
          <w:rStyle w:val="None"/>
          <w:rFonts w:cs="Arial Unicode MS" w:eastAsia="Arial Unicode MS"/>
          <w:rtl w:val="0"/>
          <w:lang w:val="en-US"/>
        </w:rPr>
        <w:t xml:space="preserve"> </w:t>
      </w:r>
      <w:r>
        <w:rPr>
          <w:rStyle w:val="None"/>
          <w:rFonts w:cs="Arial Unicode MS" w:eastAsia="Arial Unicode MS"/>
          <w:i w:val="1"/>
          <w:iCs w:val="1"/>
          <w:rtl w:val="0"/>
          <w:lang w:val="es-ES_tradnl"/>
        </w:rPr>
        <w:t>Tetrabiblos</w:t>
      </w:r>
      <w:r>
        <w:rPr>
          <w:rStyle w:val="None"/>
          <w:rFonts w:cs="Arial Unicode MS" w:eastAsia="Arial Unicode MS"/>
          <w:i w:val="1"/>
          <w:iCs w:val="1"/>
          <w:rtl w:val="0"/>
          <w:lang w:val="en-US"/>
        </w:rPr>
        <w:t xml:space="preserve"> (</w:t>
      </w:r>
      <w:r>
        <w:rPr>
          <w:rStyle w:val="None"/>
          <w:rFonts w:cs="Arial Unicode MS" w:eastAsia="Arial Unicode MS"/>
          <w:rtl w:val="0"/>
          <w:lang w:val="en-US"/>
        </w:rPr>
        <w:t>Cambridge, MA, Harvard University Press, 1940)  &lt;</w:t>
      </w:r>
      <w:r>
        <w:rPr>
          <w:rStyle w:val="Hyperlink.1"/>
        </w:rPr>
        <w:fldChar w:fldCharType="begin" w:fldLock="0"/>
      </w:r>
      <w:r>
        <w:rPr>
          <w:rStyle w:val="Hyperlink.1"/>
        </w:rPr>
        <w:instrText xml:space="preserve"> HYPERLINK "https://penelope.uchicago.edu/Thayer/E/Roman/Texts/Ptolemy/Tetrabiblos/Introduction*.html"</w:instrText>
      </w:r>
      <w:r>
        <w:rPr>
          <w:rStyle w:val="Hyperlink.1"/>
        </w:rPr>
        <w:fldChar w:fldCharType="separate" w:fldLock="0"/>
      </w:r>
      <w:r>
        <w:rPr>
          <w:rStyle w:val="Hyperlink.1"/>
          <w:rFonts w:cs="Arial Unicode MS" w:eastAsia="Arial Unicode MS"/>
          <w:rtl w:val="0"/>
          <w:lang w:val="en-US"/>
        </w:rPr>
        <w:t>https://penelope.uchicago.edu/Thayer/E/Roman/Texts/Ptolemy/Tetrabiblos/Introduction*.html</w:t>
      </w:r>
      <w:r>
        <w:rPr/>
        <w:fldChar w:fldCharType="end" w:fldLock="0"/>
      </w:r>
      <w:r>
        <w:rPr>
          <w:rStyle w:val="None"/>
          <w:rFonts w:cs="Arial Unicode MS" w:eastAsia="Arial Unicode MS"/>
          <w:rtl w:val="0"/>
          <w:lang w:val="en-US"/>
        </w:rPr>
        <w:t>&gt; [13.03.2022]</w:t>
      </w:r>
    </w:p>
    <w:p>
      <w:pPr>
        <w:pStyle w:val="Footnote"/>
      </w:pPr>
    </w:p>
    <w:p>
      <w:pPr>
        <w:pStyle w:val="Footnote"/>
      </w:pPr>
    </w:p>
    <w:p>
      <w:pPr>
        <w:pStyle w:val="Footnote"/>
      </w:pPr>
      <w:r>
        <w:rPr>
          <w:rStyle w:val="None"/>
          <w:rFonts w:cs="Arial Unicode MS" w:eastAsia="Arial Unicode MS"/>
          <w:rtl w:val="0"/>
          <w:lang w:val="en-US"/>
        </w:rPr>
        <w:t>Secondary Sources</w:t>
      </w:r>
    </w:p>
    <w:p>
      <w:pPr>
        <w:pStyle w:val="Footnote"/>
      </w:pPr>
    </w:p>
    <w:p>
      <w:pPr>
        <w:pStyle w:val="Footnote"/>
      </w:pPr>
      <w:r>
        <w:rPr>
          <w:rStyle w:val="None"/>
          <w:rFonts w:cs="Arial Unicode MS" w:eastAsia="Arial Unicode MS"/>
          <w:rtl w:val="0"/>
          <w:lang w:val="en-US"/>
        </w:rPr>
        <w:t xml:space="preserve">Campion, Nicholas, </w:t>
      </w:r>
      <w:r>
        <w:rPr>
          <w:rStyle w:val="None"/>
          <w:rFonts w:cs="Arial Unicode MS" w:eastAsia="Arial Unicode MS"/>
          <w:i w:val="1"/>
          <w:iCs w:val="1"/>
          <w:rtl w:val="0"/>
          <w:lang w:val="en-US"/>
        </w:rPr>
        <w:t>A History of Western Astrology</w:t>
      </w:r>
      <w:r>
        <w:rPr>
          <w:rStyle w:val="None"/>
          <w:rFonts w:cs="Arial Unicode MS" w:eastAsia="Arial Unicode MS"/>
          <w:rtl w:val="0"/>
          <w:lang w:val="en-US"/>
        </w:rPr>
        <w:t>, vol 2 (Bloomsbury: London, 2009).</w:t>
      </w:r>
    </w:p>
    <w:p>
      <w:pPr>
        <w:pStyle w:val="Footnote"/>
      </w:pPr>
    </w:p>
    <w:p>
      <w:pPr>
        <w:pStyle w:val="Footnote"/>
      </w:pPr>
      <w:r>
        <w:rPr>
          <w:rStyle w:val="None"/>
          <w:rFonts w:cs="Arial Unicode MS" w:eastAsia="Arial Unicode MS"/>
          <w:rtl w:val="0"/>
          <w:lang w:val="en-US"/>
        </w:rPr>
        <w:t xml:space="preserve">Leo, Alan, </w:t>
      </w:r>
      <w:r>
        <w:rPr>
          <w:rStyle w:val="None"/>
          <w:rFonts w:cs="Arial Unicode MS" w:eastAsia="Arial Unicode MS"/>
          <w:i w:val="1"/>
          <w:iCs w:val="1"/>
          <w:rtl w:val="0"/>
          <w:lang w:val="en-US"/>
        </w:rPr>
        <w:t>The Complete Dictionary of Astrology</w:t>
      </w:r>
      <w:r>
        <w:rPr>
          <w:rStyle w:val="None"/>
          <w:rFonts w:cs="Arial Unicode MS" w:eastAsia="Arial Unicode MS"/>
          <w:rtl w:val="0"/>
          <w:lang w:val="en-US"/>
        </w:rPr>
        <w:t>, ed. Vivian Robson (Rochester, VT: Destiny Books, 1983 [c.1900].</w:t>
      </w:r>
    </w:p>
    <w:p>
      <w:pPr>
        <w:pStyle w:val="Footnote"/>
      </w:pPr>
    </w:p>
    <w:p>
      <w:pPr>
        <w:pStyle w:val="Footnote"/>
      </w:pPr>
      <w:r>
        <w:rPr>
          <w:rStyle w:val="None"/>
          <w:rFonts w:cs="Arial Unicode MS" w:eastAsia="Arial Unicode MS"/>
          <w:rtl w:val="0"/>
          <w:lang w:val="en-US"/>
        </w:rPr>
        <w:t xml:space="preserve">Leo, Alan, </w:t>
      </w:r>
      <w:r>
        <w:rPr>
          <w:rStyle w:val="None"/>
          <w:rFonts w:cs="Arial Unicode MS" w:eastAsia="Arial Unicode MS"/>
          <w:i w:val="1"/>
          <w:iCs w:val="1"/>
          <w:rtl w:val="0"/>
          <w:lang w:val="en-US"/>
        </w:rPr>
        <w:t xml:space="preserve">The Art of Synthesis, </w:t>
      </w:r>
      <w:r>
        <w:rPr>
          <w:rStyle w:val="None"/>
          <w:rFonts w:cs="Arial Unicode MS" w:eastAsia="Arial Unicode MS"/>
          <w:rtl w:val="0"/>
          <w:lang w:val="en-US"/>
        </w:rPr>
        <w:t xml:space="preserve">1st edn. </w:t>
      </w:r>
      <w:r>
        <w:rPr>
          <w:rStyle w:val="None"/>
          <w:rFonts w:cs="Arial Unicode MS" w:eastAsia="Arial Unicode MS"/>
          <w:i w:val="1"/>
          <w:iCs w:val="1"/>
          <w:rtl w:val="0"/>
          <w:lang w:val="en-US"/>
        </w:rPr>
        <w:t>How to Jundge a Nativity</w:t>
      </w:r>
      <w:r>
        <w:rPr>
          <w:rStyle w:val="None"/>
          <w:rFonts w:cs="Arial Unicode MS" w:eastAsia="Arial Unicode MS"/>
          <w:rtl w:val="0"/>
          <w:lang w:val="en-US"/>
        </w:rPr>
        <w:t xml:space="preserve">, pt.2 </w:t>
      </w:r>
      <w:r>
        <w:rPr>
          <w:rStyle w:val="None"/>
          <w:rFonts w:cs="Arial Unicode MS" w:eastAsia="Arial Unicode MS"/>
          <w:rtl w:val="0"/>
        </w:rPr>
        <w:t xml:space="preserve">(London: Modern Astrology, </w:t>
      </w:r>
      <w:r>
        <w:rPr>
          <w:rStyle w:val="None"/>
          <w:rFonts w:cs="Arial Unicode MS" w:eastAsia="Arial Unicode MS"/>
          <w:rtl w:val="0"/>
          <w:lang w:val="en-US"/>
        </w:rPr>
        <w:t xml:space="preserve">[1904] </w:t>
      </w:r>
      <w:r>
        <w:rPr>
          <w:rStyle w:val="None"/>
          <w:rFonts w:cs="Arial Unicode MS" w:eastAsia="Arial Unicode MS"/>
          <w:rtl w:val="0"/>
        </w:rPr>
        <w:t>1936)</w:t>
      </w:r>
      <w:r>
        <w:rPr>
          <w:rStyle w:val="None"/>
          <w:rFonts w:cs="Arial Unicode MS" w:eastAsia="Arial Unicode MS"/>
          <w:rtl w:val="0"/>
          <w:lang w:val="en-US"/>
        </w:rPr>
        <w:t>.</w:t>
      </w:r>
    </w:p>
    <w:p>
      <w:pPr>
        <w:pStyle w:val="Footnote"/>
      </w:pPr>
    </w:p>
    <w:p>
      <w:pPr>
        <w:pStyle w:val="Footnote"/>
      </w:pPr>
      <w:r>
        <w:rPr>
          <w:rStyle w:val="None"/>
          <w:rFonts w:cs="Arial Unicode MS" w:eastAsia="Arial Unicode MS"/>
          <w:rtl w:val="0"/>
        </w:rPr>
        <w:t>Riley</w:t>
      </w:r>
      <w:r>
        <w:rPr>
          <w:rStyle w:val="None"/>
          <w:rFonts w:cs="Arial Unicode MS" w:eastAsia="Arial Unicode MS"/>
          <w:rtl w:val="0"/>
          <w:lang w:val="en-US"/>
        </w:rPr>
        <w:t>, Mark,</w:t>
      </w:r>
      <w:r>
        <w:rPr>
          <w:rStyle w:val="None"/>
          <w:rFonts w:cs="Arial Unicode MS" w:eastAsia="Arial Unicode MS"/>
          <w:rtl w:val="0"/>
        </w:rPr>
        <w:t xml:space="preserve"> </w:t>
      </w:r>
      <w:r>
        <w:rPr>
          <w:rStyle w:val="None"/>
          <w:rFonts w:cs="Arial Unicode MS" w:eastAsia="Arial Unicode MS"/>
          <w:i w:val="1"/>
          <w:iCs w:val="1"/>
          <w:rtl w:val="0"/>
          <w:lang w:val="en-US"/>
        </w:rPr>
        <w:t>Science and Tradition in the Tetrabiblos: Proceedings of the American Philosophical Society</w:t>
      </w:r>
      <w:r>
        <w:rPr>
          <w:rStyle w:val="None"/>
          <w:rFonts w:cs="Arial Unicode MS" w:eastAsia="Arial Unicode MS"/>
          <w:rtl w:val="0"/>
        </w:rPr>
        <w:t xml:space="preserve"> 132, no. 1 (1988): </w:t>
      </w:r>
      <w:r>
        <w:rPr>
          <w:rStyle w:val="None"/>
          <w:rFonts w:cs="Arial Unicode MS" w:eastAsia="Arial Unicode MS"/>
          <w:rtl w:val="0"/>
          <w:lang w:val="en-US"/>
        </w:rPr>
        <w:t>pp.</w:t>
      </w:r>
      <w:r>
        <w:rPr>
          <w:rStyle w:val="None"/>
          <w:rFonts w:cs="Arial Unicode MS" w:eastAsia="Arial Unicode MS"/>
          <w:rtl w:val="0"/>
        </w:rPr>
        <w:t>67</w:t>
      </w:r>
      <w:r>
        <w:rPr>
          <w:rStyle w:val="None"/>
          <w:rFonts w:cs="Arial Unicode MS" w:eastAsia="Arial Unicode MS" w:hint="default"/>
          <w:rtl w:val="0"/>
        </w:rPr>
        <w:t>–</w:t>
      </w:r>
      <w:r>
        <w:rPr>
          <w:rStyle w:val="None"/>
          <w:rFonts w:cs="Arial Unicode MS" w:eastAsia="Arial Unicode MS"/>
          <w:rtl w:val="0"/>
        </w:rPr>
        <w:t>84</w:t>
      </w:r>
      <w:r>
        <w:rPr>
          <w:rStyle w:val="None"/>
          <w:rFonts w:cs="Arial Unicode MS" w:eastAsia="Arial Unicode MS"/>
          <w:rtl w:val="0"/>
          <w:lang w:val="en-US"/>
        </w:rPr>
        <w:t>.</w:t>
      </w:r>
    </w:p>
    <w:sectPr>
      <w:headerReference w:type="default" r:id="rId5"/>
      <w:footerReference w:type="default" r:id="rId6"/>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Tahoma">
    <w:charset w:val="00"/>
    <w:family w:val="roman"/>
    <w:pitch w:val="default"/>
  </w:font>
  <w:font w:name="Trebuchet MS">
    <w:charset w:val="00"/>
    <w:family w:val="roman"/>
    <w:pitch w:val="default"/>
  </w:font>
  <w:font w:name="Cambri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Claudius Ptolemy and Frank Egleston Robbins</w:t>
      </w:r>
      <w:r>
        <w:rPr>
          <w:rFonts w:cs="Arial Unicode MS" w:eastAsia="Arial Unicode MS"/>
          <w:rtl w:val="0"/>
        </w:rPr>
        <w:t>,</w:t>
      </w:r>
      <w:r>
        <w:rPr>
          <w:rFonts w:cs="Arial Unicode MS" w:eastAsia="Arial Unicode MS"/>
          <w:rtl w:val="0"/>
          <w:lang w:val="en-US"/>
        </w:rPr>
        <w:t xml:space="preserve"> </w:t>
      </w:r>
      <w:r>
        <w:rPr>
          <w:rFonts w:cs="Arial Unicode MS" w:eastAsia="Arial Unicode MS"/>
          <w:i w:val="1"/>
          <w:iCs w:val="1"/>
          <w:rtl w:val="0"/>
          <w:lang w:val="es-ES_tradnl"/>
        </w:rPr>
        <w:t>Tetrabiblos</w:t>
      </w:r>
      <w:r>
        <w:rPr>
          <w:rFonts w:cs="Arial Unicode MS" w:eastAsia="Arial Unicode MS"/>
          <w:i w:val="1"/>
          <w:iCs w:val="1"/>
          <w:rtl w:val="0"/>
          <w:lang w:val="en-US"/>
        </w:rPr>
        <w:t xml:space="preserve"> (</w:t>
      </w:r>
      <w:r>
        <w:rPr>
          <w:rFonts w:cs="Arial Unicode MS" w:eastAsia="Arial Unicode MS"/>
          <w:rtl w:val="0"/>
          <w:lang w:val="en-US"/>
        </w:rPr>
        <w:t>Cambridge, MA, Harvard University Press, 1940)  &lt;</w:t>
      </w:r>
      <w:r>
        <w:rPr>
          <w:rStyle w:val="Hyperlink.1"/>
        </w:rPr>
        <w:fldChar w:fldCharType="begin" w:fldLock="0"/>
      </w:r>
      <w:r>
        <w:rPr>
          <w:rStyle w:val="Hyperlink.1"/>
        </w:rPr>
        <w:instrText xml:space="preserve"> HYPERLINK "https://penelope.uchicago.edu/Thayer/E/Roman/Texts/Ptolemy/Tetrabiblos/Introduction*.html"</w:instrText>
      </w:r>
      <w:r>
        <w:rPr>
          <w:rStyle w:val="Hyperlink.1"/>
        </w:rPr>
        <w:fldChar w:fldCharType="separate" w:fldLock="0"/>
      </w:r>
      <w:r>
        <w:rPr>
          <w:rStyle w:val="Hyperlink.1"/>
          <w:rFonts w:cs="Arial Unicode MS" w:eastAsia="Arial Unicode MS"/>
          <w:rtl w:val="0"/>
          <w:lang w:val="en-US"/>
        </w:rPr>
        <w:t>https://penelope.uchicago.edu/Thayer/E/Roman/Texts/Ptolemy/Tetrabiblos/Introduction*.html</w:t>
      </w:r>
      <w:r>
        <w:rPr/>
        <w:fldChar w:fldCharType="end" w:fldLock="0"/>
      </w:r>
      <w:r>
        <w:rPr>
          <w:rStyle w:val="None"/>
          <w:rFonts w:cs="Arial Unicode MS" w:eastAsia="Arial Unicode MS"/>
          <w:rtl w:val="0"/>
          <w:lang w:val="en-US"/>
        </w:rPr>
        <w:t>&gt; [13.03.2022]</w:t>
      </w:r>
    </w:p>
  </w:footnote>
  <w:footnote w:id="2">
    <w:p>
      <w:pPr>
        <w:pStyle w:val="Footnote"/>
      </w:pPr>
      <w:r>
        <w:rPr>
          <w:rStyle w:val="None"/>
          <w:vertAlign w:val="superscript"/>
        </w:rPr>
        <w:footnoteRef/>
      </w:r>
      <w:r>
        <w:rPr>
          <w:rStyle w:val="None"/>
          <w:rFonts w:cs="Arial Unicode MS" w:eastAsia="Arial Unicode MS"/>
          <w:rtl w:val="0"/>
          <w:lang w:val="it-IT"/>
        </w:rPr>
        <w:t xml:space="preserve"> William L</w:t>
      </w:r>
      <w:r>
        <w:rPr>
          <w:rStyle w:val="None"/>
          <w:rFonts w:cs="Arial Unicode MS" w:eastAsia="Arial Unicode MS"/>
          <w:rtl w:val="0"/>
          <w:lang w:val="en-US"/>
        </w:rPr>
        <w:t xml:space="preserve">illy, </w:t>
      </w:r>
      <w:r>
        <w:rPr>
          <w:rStyle w:val="None"/>
          <w:rFonts w:cs="Arial Unicode MS" w:eastAsia="Arial Unicode MS"/>
          <w:i w:val="1"/>
          <w:iCs w:val="1"/>
          <w:rtl w:val="0"/>
          <w:lang w:val="en-US"/>
        </w:rPr>
        <w:t>Christian astrology ... in three books. The first containing the use of an ephemeris ... The second ... how to judge or resolve all manner of questions ... The third ... to judge upon nativities</w:t>
      </w:r>
      <w:r>
        <w:rPr>
          <w:rStyle w:val="None"/>
          <w:rFonts w:cs="Arial Unicode MS" w:eastAsia="Arial Unicode MS"/>
          <w:rtl w:val="0"/>
        </w:rPr>
        <w:t xml:space="preserve"> </w:t>
      </w:r>
      <w:r>
        <w:rPr>
          <w:rStyle w:val="None"/>
          <w:rFonts w:cs="Arial Unicode MS" w:eastAsia="Arial Unicode MS"/>
          <w:rtl w:val="0"/>
          <w:lang w:val="en-US"/>
        </w:rPr>
        <w:t>(</w:t>
      </w:r>
      <w:r>
        <w:rPr>
          <w:rStyle w:val="None"/>
          <w:rFonts w:cs="Arial Unicode MS" w:eastAsia="Arial Unicode MS"/>
          <w:rtl w:val="0"/>
          <w:lang w:val="da-DK"/>
        </w:rPr>
        <w:t>London: Thomas Brudenell</w:t>
      </w:r>
      <w:r>
        <w:rPr>
          <w:rStyle w:val="None"/>
          <w:rFonts w:cs="Arial Unicode MS" w:eastAsia="Arial Unicode MS"/>
          <w:rtl w:val="0"/>
          <w:lang w:val="en-US"/>
        </w:rPr>
        <w:t>, 1647) &lt;</w:t>
      </w:r>
      <w:r>
        <w:rPr>
          <w:rStyle w:val="Hyperlink.1"/>
        </w:rPr>
        <w:fldChar w:fldCharType="begin" w:fldLock="0"/>
      </w:r>
      <w:r>
        <w:rPr>
          <w:rStyle w:val="Hyperlink.1"/>
        </w:rPr>
        <w:instrText xml:space="preserve"> HYPERLINK "https://www.proquest.com/docview/2230612262"</w:instrText>
      </w:r>
      <w:r>
        <w:rPr>
          <w:rStyle w:val="Hyperlink.1"/>
        </w:rPr>
        <w:fldChar w:fldCharType="separate" w:fldLock="0"/>
      </w:r>
      <w:r>
        <w:rPr>
          <w:rStyle w:val="Hyperlink.1"/>
          <w:rFonts w:cs="Arial Unicode MS" w:eastAsia="Arial Unicode MS"/>
          <w:rtl w:val="0"/>
          <w:lang w:val="en-US"/>
        </w:rPr>
        <w:t>https://www.proquest.com/docview/2230612262</w:t>
      </w:r>
      <w:r>
        <w:rPr/>
        <w:fldChar w:fldCharType="end" w:fldLock="0"/>
      </w:r>
      <w:r>
        <w:rPr>
          <w:rStyle w:val="None"/>
          <w:rFonts w:cs="Arial Unicode MS" w:eastAsia="Arial Unicode MS"/>
          <w:rtl w:val="0"/>
          <w:lang w:val="en-US"/>
        </w:rPr>
        <w:t>&gt; [</w:t>
      </w:r>
      <w:r>
        <w:rPr>
          <w:rStyle w:val="None"/>
          <w:rFonts w:cs="Arial Unicode MS" w:eastAsia="Arial Unicode MS"/>
          <w:rtl w:val="0"/>
          <w:lang w:val="ru-RU"/>
        </w:rPr>
        <w:t>16</w:t>
      </w:r>
      <w:r>
        <w:rPr>
          <w:rStyle w:val="None"/>
          <w:rFonts w:cs="Arial Unicode MS" w:eastAsia="Arial Unicode MS"/>
          <w:rtl w:val="0"/>
          <w:lang w:val="en-US"/>
        </w:rPr>
        <w:t>.03.</w:t>
      </w:r>
      <w:r>
        <w:rPr>
          <w:rStyle w:val="None"/>
          <w:rFonts w:cs="Arial Unicode MS" w:eastAsia="Arial Unicode MS"/>
          <w:rtl w:val="0"/>
          <w:lang w:val="ru-RU"/>
        </w:rPr>
        <w:t>2022</w:t>
      </w:r>
      <w:r>
        <w:rPr>
          <w:rStyle w:val="None"/>
          <w:rFonts w:cs="Arial Unicode MS" w:eastAsia="Arial Unicode MS"/>
          <w:rtl w:val="0"/>
          <w:lang w:val="en-US"/>
        </w:rPr>
        <w:t>]</w:t>
      </w:r>
    </w:p>
  </w:footnote>
  <w:footnote w:id="3">
    <w:p>
      <w:pPr>
        <w:pStyle w:val="Footnote"/>
      </w:pPr>
      <w:r>
        <w:rPr>
          <w:rStyle w:val="None"/>
          <w:vertAlign w:val="superscript"/>
        </w:rPr>
        <w:footnoteRef/>
      </w:r>
      <w:r>
        <w:rPr>
          <w:rStyle w:val="None"/>
          <w:rFonts w:cs="Arial Unicode MS" w:eastAsia="Arial Unicode MS"/>
          <w:rtl w:val="0"/>
          <w:lang w:val="es-ES_tradnl"/>
        </w:rPr>
        <w:t xml:space="preserve"> Alan Leo, </w:t>
      </w:r>
      <w:r>
        <w:rPr>
          <w:rStyle w:val="None"/>
          <w:rFonts w:cs="Arial Unicode MS" w:eastAsia="Arial Unicode MS"/>
          <w:i w:val="1"/>
          <w:iCs w:val="1"/>
          <w:rtl w:val="0"/>
          <w:lang w:val="en-US"/>
        </w:rPr>
        <w:t>How to Judge a Nativity</w:t>
      </w:r>
      <w:r>
        <w:rPr>
          <w:rStyle w:val="None"/>
          <w:rFonts w:cs="Arial Unicode MS" w:eastAsia="Arial Unicode MS"/>
          <w:rtl w:val="0"/>
          <w:lang w:val="pt-PT"/>
        </w:rPr>
        <w:t xml:space="preserve"> (London: L.N. Fowler &amp; Co. Ltd [1903] 1969)</w:t>
      </w:r>
      <w:r>
        <w:rPr>
          <w:rStyle w:val="None"/>
          <w:rFonts w:cs="Arial Unicode MS" w:eastAsia="Arial Unicode MS"/>
          <w:rtl w:val="0"/>
          <w:lang w:val="en-US"/>
        </w:rPr>
        <w:t>.</w:t>
      </w:r>
    </w:p>
  </w:footnote>
  <w:footnote w:id="4">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Ptolemy and Robbins, </w:t>
      </w:r>
      <w:r>
        <w:rPr>
          <w:rStyle w:val="None"/>
          <w:rFonts w:cs="Arial Unicode MS" w:eastAsia="Arial Unicode MS"/>
          <w:i w:val="1"/>
          <w:iCs w:val="1"/>
          <w:rtl w:val="0"/>
          <w:lang w:val="en-US"/>
        </w:rPr>
        <w:t>Tetrabiblos</w:t>
      </w:r>
      <w:r>
        <w:rPr>
          <w:rStyle w:val="None"/>
          <w:rFonts w:cs="Arial Unicode MS" w:eastAsia="Arial Unicode MS"/>
          <w:rtl w:val="0"/>
          <w:lang w:val="en-US"/>
        </w:rPr>
        <w:t>, Introduction.</w:t>
      </w:r>
    </w:p>
  </w:footnote>
  <w:footnote w:id="5">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Mark </w:t>
      </w:r>
      <w:r>
        <w:rPr>
          <w:rStyle w:val="None"/>
          <w:rFonts w:cs="Arial Unicode MS" w:eastAsia="Arial Unicode MS"/>
          <w:rtl w:val="0"/>
        </w:rPr>
        <w:t>Riley</w:t>
      </w:r>
      <w:r>
        <w:rPr>
          <w:rStyle w:val="None"/>
          <w:rFonts w:cs="Arial Unicode MS" w:eastAsia="Arial Unicode MS"/>
          <w:rtl w:val="0"/>
          <w:lang w:val="en-US"/>
        </w:rPr>
        <w:t>,</w:t>
      </w:r>
      <w:r>
        <w:rPr>
          <w:rStyle w:val="None"/>
          <w:rFonts w:cs="Arial Unicode MS" w:eastAsia="Arial Unicode MS"/>
          <w:rtl w:val="0"/>
        </w:rPr>
        <w:t xml:space="preserve"> </w:t>
      </w:r>
      <w:r>
        <w:rPr>
          <w:rStyle w:val="None"/>
          <w:rFonts w:cs="Arial Unicode MS" w:eastAsia="Arial Unicode MS"/>
          <w:i w:val="1"/>
          <w:iCs w:val="1"/>
          <w:rtl w:val="0"/>
          <w:lang w:val="en-US"/>
        </w:rPr>
        <w:t>Science and Tradition in the Tetrabiblos: Proceedings of the American Philosophical Society</w:t>
      </w:r>
      <w:r>
        <w:rPr>
          <w:rStyle w:val="None"/>
          <w:rFonts w:cs="Arial Unicode MS" w:eastAsia="Arial Unicode MS"/>
          <w:rtl w:val="0"/>
        </w:rPr>
        <w:t xml:space="preserve"> 132, no. 1 (1988): </w:t>
      </w:r>
      <w:r>
        <w:rPr>
          <w:rStyle w:val="None"/>
          <w:rFonts w:cs="Arial Unicode MS" w:eastAsia="Arial Unicode MS"/>
          <w:rtl w:val="0"/>
          <w:lang w:val="en-US"/>
        </w:rPr>
        <w:t>pp.</w:t>
      </w:r>
      <w:r>
        <w:rPr>
          <w:rStyle w:val="None"/>
          <w:rFonts w:cs="Arial Unicode MS" w:eastAsia="Arial Unicode MS"/>
          <w:rtl w:val="0"/>
        </w:rPr>
        <w:t>67</w:t>
      </w:r>
      <w:r>
        <w:rPr>
          <w:rStyle w:val="None"/>
          <w:rFonts w:cs="Arial Unicode MS" w:eastAsia="Arial Unicode MS" w:hint="default"/>
          <w:rtl w:val="0"/>
        </w:rPr>
        <w:t>–</w:t>
      </w:r>
      <w:r>
        <w:rPr>
          <w:rStyle w:val="None"/>
          <w:rFonts w:cs="Arial Unicode MS" w:eastAsia="Arial Unicode MS"/>
          <w:rtl w:val="0"/>
        </w:rPr>
        <w:t>84</w:t>
      </w:r>
      <w:r>
        <w:rPr>
          <w:rStyle w:val="None"/>
          <w:rFonts w:cs="Arial Unicode MS" w:eastAsia="Arial Unicode MS"/>
          <w:rtl w:val="0"/>
          <w:lang w:val="en-US"/>
        </w:rPr>
        <w:t>, p.68.</w:t>
      </w:r>
    </w:p>
  </w:footnote>
  <w:footnote w:id="6">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Ptolemy and Robbins, </w:t>
      </w:r>
      <w:r>
        <w:rPr>
          <w:rStyle w:val="None"/>
          <w:rFonts w:cs="Arial Unicode MS" w:eastAsia="Arial Unicode MS"/>
          <w:i w:val="1"/>
          <w:iCs w:val="1"/>
          <w:rtl w:val="0"/>
          <w:lang w:val="en-US"/>
        </w:rPr>
        <w:t>Tetrabiblos</w:t>
      </w:r>
      <w:r>
        <w:rPr>
          <w:rStyle w:val="None"/>
          <w:rFonts w:cs="Arial Unicode MS" w:eastAsia="Arial Unicode MS"/>
          <w:rtl w:val="0"/>
          <w:lang w:val="en-US"/>
        </w:rPr>
        <w:t>, book 1, ch.2, p.9.</w:t>
      </w:r>
    </w:p>
  </w:footnote>
  <w:footnote w:id="7">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Ptolemy and Robbins, </w:t>
      </w:r>
      <w:r>
        <w:rPr>
          <w:rStyle w:val="None"/>
          <w:rFonts w:cs="Arial Unicode MS" w:eastAsia="Arial Unicode MS"/>
          <w:i w:val="1"/>
          <w:iCs w:val="1"/>
          <w:rtl w:val="0"/>
          <w:lang w:val="en-US"/>
        </w:rPr>
        <w:t>Tetrabiblos</w:t>
      </w:r>
      <w:r>
        <w:rPr>
          <w:rStyle w:val="None"/>
          <w:rFonts w:cs="Arial Unicode MS" w:eastAsia="Arial Unicode MS"/>
          <w:rtl w:val="0"/>
          <w:lang w:val="en-US"/>
        </w:rPr>
        <w:t>, book 1, introduction, p.7.</w:t>
      </w:r>
    </w:p>
  </w:footnote>
  <w:footnote w:id="8">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Ptolemy and Robbins, </w:t>
      </w:r>
      <w:r>
        <w:rPr>
          <w:rStyle w:val="None"/>
          <w:rFonts w:cs="Arial Unicode MS" w:eastAsia="Arial Unicode MS"/>
          <w:i w:val="1"/>
          <w:iCs w:val="1"/>
          <w:rtl w:val="0"/>
          <w:lang w:val="en-US"/>
        </w:rPr>
        <w:t>Tetrabiblos</w:t>
      </w:r>
      <w:r>
        <w:rPr>
          <w:rStyle w:val="None"/>
          <w:rFonts w:cs="Arial Unicode MS" w:eastAsia="Arial Unicode MS"/>
          <w:rtl w:val="0"/>
          <w:lang w:val="en-US"/>
        </w:rPr>
        <w:t>, book 1, ch.4, p.35.</w:t>
      </w:r>
    </w:p>
  </w:footnote>
  <w:footnote w:id="9">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Ptolemy and Robbins, </w:t>
      </w:r>
      <w:r>
        <w:rPr>
          <w:rStyle w:val="None"/>
          <w:rFonts w:cs="Arial Unicode MS" w:eastAsia="Arial Unicode MS"/>
          <w:i w:val="1"/>
          <w:iCs w:val="1"/>
          <w:rtl w:val="0"/>
          <w:lang w:val="en-US"/>
        </w:rPr>
        <w:t>Tetrabiblos</w:t>
      </w:r>
      <w:r>
        <w:rPr>
          <w:rStyle w:val="None"/>
          <w:rFonts w:cs="Arial Unicode MS" w:eastAsia="Arial Unicode MS"/>
          <w:rtl w:val="0"/>
          <w:lang w:val="en-US"/>
        </w:rPr>
        <w:t>, book 2, ch.2, p.123.</w:t>
      </w:r>
    </w:p>
  </w:footnote>
  <w:footnote w:id="10">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Ptolemy and Robbins, </w:t>
      </w:r>
      <w:r>
        <w:rPr>
          <w:rStyle w:val="None"/>
          <w:rFonts w:cs="Arial Unicode MS" w:eastAsia="Arial Unicode MS"/>
          <w:i w:val="1"/>
          <w:iCs w:val="1"/>
          <w:rtl w:val="0"/>
          <w:lang w:val="en-US"/>
        </w:rPr>
        <w:t>Tetrabiblos</w:t>
      </w:r>
      <w:r>
        <w:rPr>
          <w:rStyle w:val="None"/>
          <w:rFonts w:cs="Arial Unicode MS" w:eastAsia="Arial Unicode MS"/>
          <w:rtl w:val="0"/>
          <w:lang w:val="en-US"/>
        </w:rPr>
        <w:t>, book 1, ch.2, pp.9-13.</w:t>
      </w:r>
    </w:p>
  </w:footnote>
  <w:footnote w:id="11">
    <w:p>
      <w:pPr>
        <w:pStyle w:val="Footnote"/>
      </w:pPr>
      <w:r>
        <w:rPr>
          <w:rStyle w:val="None"/>
          <w:vertAlign w:val="superscript"/>
        </w:rPr>
        <w:footnoteRef/>
      </w:r>
      <w:r>
        <w:rPr>
          <w:rStyle w:val="None"/>
          <w:rFonts w:cs="Arial Unicode MS" w:eastAsia="Arial Unicode MS"/>
          <w:rtl w:val="0"/>
          <w:lang w:val="en-US"/>
        </w:rPr>
        <w:t xml:space="preserve"> Lilly, </w:t>
      </w:r>
      <w:r>
        <w:rPr>
          <w:rStyle w:val="None"/>
          <w:rFonts w:cs="Arial Unicode MS" w:eastAsia="Arial Unicode MS"/>
          <w:i w:val="1"/>
          <w:iCs w:val="1"/>
          <w:rtl w:val="0"/>
          <w:lang w:val="en-US"/>
        </w:rPr>
        <w:t>Christian Astrology</w:t>
      </w:r>
      <w:r>
        <w:rPr>
          <w:rStyle w:val="None"/>
          <w:rFonts w:cs="Arial Unicode MS" w:eastAsia="Arial Unicode MS"/>
          <w:rtl w:val="0"/>
          <w:lang w:val="en-US"/>
        </w:rPr>
        <w:t>, to the reader.</w:t>
      </w:r>
    </w:p>
  </w:footnote>
  <w:footnote w:id="12">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Nicholas Campion, </w:t>
      </w:r>
      <w:r>
        <w:rPr>
          <w:rStyle w:val="None"/>
          <w:rFonts w:cs="Arial Unicode MS" w:eastAsia="Arial Unicode MS"/>
          <w:i w:val="1"/>
          <w:iCs w:val="1"/>
          <w:rtl w:val="0"/>
          <w:lang w:val="en-US"/>
        </w:rPr>
        <w:t>A History of Western Astrology</w:t>
      </w:r>
      <w:r>
        <w:rPr>
          <w:rStyle w:val="None"/>
          <w:rFonts w:cs="Arial Unicode MS" w:eastAsia="Arial Unicode MS"/>
          <w:rtl w:val="0"/>
          <w:lang w:val="en-US"/>
        </w:rPr>
        <w:t>, vol 2 (Bloomsbury: London, 2009), p.155.</w:t>
      </w:r>
    </w:p>
  </w:footnote>
  <w:footnote w:id="13">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Campion, </w:t>
      </w:r>
      <w:r>
        <w:rPr>
          <w:rStyle w:val="None"/>
          <w:rFonts w:cs="Arial Unicode MS" w:eastAsia="Arial Unicode MS"/>
          <w:i w:val="1"/>
          <w:iCs w:val="1"/>
          <w:rtl w:val="0"/>
          <w:lang w:val="en-US"/>
        </w:rPr>
        <w:t>History</w:t>
      </w:r>
      <w:r>
        <w:rPr>
          <w:rStyle w:val="None"/>
          <w:rFonts w:cs="Arial Unicode MS" w:eastAsia="Arial Unicode MS"/>
          <w:rtl w:val="0"/>
          <w:lang w:val="en-US"/>
        </w:rPr>
        <w:t>,</w:t>
      </w:r>
      <w:r>
        <w:rPr>
          <w:rStyle w:val="None"/>
          <w:rFonts w:cs="Arial Unicode MS" w:eastAsia="Arial Unicode MS"/>
          <w:rtl w:val="0"/>
        </w:rPr>
        <w:t xml:space="preserve"> p</w:t>
      </w:r>
      <w:r>
        <w:rPr>
          <w:rStyle w:val="None"/>
          <w:rFonts w:cs="Arial Unicode MS" w:eastAsia="Arial Unicode MS"/>
          <w:rtl w:val="0"/>
          <w:lang w:val="en-US"/>
        </w:rPr>
        <w:t>.</w:t>
      </w:r>
      <w:r>
        <w:rPr>
          <w:rStyle w:val="None"/>
          <w:rFonts w:cs="Arial Unicode MS" w:eastAsia="Arial Unicode MS"/>
          <w:rtl w:val="0"/>
        </w:rPr>
        <w:t>15</w:t>
      </w:r>
      <w:r>
        <w:rPr>
          <w:rStyle w:val="None"/>
          <w:rFonts w:cs="Arial Unicode MS" w:eastAsia="Arial Unicode MS"/>
          <w:rtl w:val="0"/>
          <w:lang w:val="en-US"/>
        </w:rPr>
        <w:t>6.</w:t>
      </w:r>
    </w:p>
  </w:footnote>
  <w:footnote w:id="14">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Lilly, </w:t>
      </w:r>
      <w:r>
        <w:rPr>
          <w:rStyle w:val="None"/>
          <w:rFonts w:cs="Arial Unicode MS" w:eastAsia="Arial Unicode MS"/>
          <w:i w:val="1"/>
          <w:iCs w:val="1"/>
          <w:rtl w:val="0"/>
          <w:lang w:val="en-US"/>
        </w:rPr>
        <w:t>Christian Astrology</w:t>
      </w:r>
      <w:r>
        <w:rPr>
          <w:rStyle w:val="None"/>
          <w:rFonts w:cs="Arial Unicode MS" w:eastAsia="Arial Unicode MS"/>
          <w:rtl w:val="0"/>
          <w:lang w:val="en-US"/>
        </w:rPr>
        <w:t>, p.69.</w:t>
      </w:r>
    </w:p>
  </w:footnote>
  <w:footnote w:id="15">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Lilly, </w:t>
      </w:r>
      <w:r>
        <w:rPr>
          <w:rStyle w:val="None"/>
          <w:rFonts w:cs="Arial Unicode MS" w:eastAsia="Arial Unicode MS"/>
          <w:i w:val="1"/>
          <w:iCs w:val="1"/>
          <w:rtl w:val="0"/>
          <w:lang w:val="en-US"/>
        </w:rPr>
        <w:t>Christian Astrology</w:t>
      </w:r>
      <w:r>
        <w:rPr>
          <w:rStyle w:val="None"/>
          <w:rFonts w:cs="Arial Unicode MS" w:eastAsia="Arial Unicode MS"/>
          <w:rtl w:val="0"/>
          <w:lang w:val="en-US"/>
        </w:rPr>
        <w:t>, p.70.</w:t>
      </w:r>
    </w:p>
  </w:footnote>
  <w:footnote w:id="16">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Alan Leo, </w:t>
      </w:r>
      <w:r>
        <w:rPr>
          <w:rStyle w:val="None"/>
          <w:rFonts w:cs="Arial Unicode MS" w:eastAsia="Arial Unicode MS"/>
          <w:i w:val="1"/>
          <w:iCs w:val="1"/>
          <w:rtl w:val="0"/>
          <w:lang w:val="en-US"/>
        </w:rPr>
        <w:t xml:space="preserve">The Art of Synthesis, </w:t>
      </w:r>
      <w:r>
        <w:rPr>
          <w:rStyle w:val="None"/>
          <w:rFonts w:cs="Arial Unicode MS" w:eastAsia="Arial Unicode MS"/>
          <w:rtl w:val="0"/>
          <w:lang w:val="en-US"/>
        </w:rPr>
        <w:t xml:space="preserve">1st edn. </w:t>
      </w:r>
      <w:r>
        <w:rPr>
          <w:rStyle w:val="None"/>
          <w:rFonts w:cs="Arial Unicode MS" w:eastAsia="Arial Unicode MS"/>
          <w:i w:val="1"/>
          <w:iCs w:val="1"/>
          <w:rtl w:val="0"/>
          <w:lang w:val="en-US"/>
        </w:rPr>
        <w:t>How to Jundge a Nativity</w:t>
      </w:r>
      <w:r>
        <w:rPr>
          <w:rStyle w:val="None"/>
          <w:rFonts w:cs="Arial Unicode MS" w:eastAsia="Arial Unicode MS"/>
          <w:rtl w:val="0"/>
          <w:lang w:val="en-US"/>
        </w:rPr>
        <w:t xml:space="preserve">, pt.2 </w:t>
      </w:r>
      <w:r>
        <w:rPr>
          <w:rStyle w:val="None"/>
          <w:rFonts w:cs="Arial Unicode MS" w:eastAsia="Arial Unicode MS"/>
          <w:rtl w:val="0"/>
        </w:rPr>
        <w:t xml:space="preserve">(London: Modern Astrology, </w:t>
      </w:r>
      <w:r>
        <w:rPr>
          <w:rStyle w:val="None"/>
          <w:rFonts w:cs="Arial Unicode MS" w:eastAsia="Arial Unicode MS"/>
          <w:rtl w:val="0"/>
          <w:lang w:val="en-US"/>
        </w:rPr>
        <w:t xml:space="preserve">[1904] </w:t>
      </w:r>
      <w:r>
        <w:rPr>
          <w:rStyle w:val="None"/>
          <w:rFonts w:cs="Arial Unicode MS" w:eastAsia="Arial Unicode MS"/>
          <w:rtl w:val="0"/>
        </w:rPr>
        <w:t>1936)</w:t>
      </w:r>
      <w:r>
        <w:rPr>
          <w:rStyle w:val="None"/>
          <w:rFonts w:cs="Arial Unicode MS" w:eastAsia="Arial Unicode MS"/>
          <w:rtl w:val="0"/>
          <w:lang w:val="en-US"/>
        </w:rPr>
        <w:t xml:space="preserve">, p.2 cited in </w:t>
      </w:r>
      <w:r>
        <w:rPr>
          <w:rStyle w:val="None"/>
          <w:rFonts w:cs="Arial Unicode MS" w:eastAsia="Arial Unicode MS"/>
          <w:rtl w:val="0"/>
          <w:lang w:val="it-IT"/>
        </w:rPr>
        <w:t xml:space="preserve">Nicholas Campion, </w:t>
      </w:r>
      <w:r>
        <w:rPr>
          <w:rStyle w:val="None"/>
          <w:rFonts w:cs="Arial Unicode MS" w:eastAsia="Arial Unicode MS"/>
          <w:i w:val="1"/>
          <w:iCs w:val="1"/>
          <w:rtl w:val="0"/>
          <w:lang w:val="en-US"/>
        </w:rPr>
        <w:t>A History of Western Astrology</w:t>
      </w:r>
      <w:r>
        <w:rPr>
          <w:rStyle w:val="None"/>
          <w:rFonts w:cs="Arial Unicode MS" w:eastAsia="Arial Unicode MS"/>
          <w:rtl w:val="0"/>
        </w:rPr>
        <w:t>, vol</w:t>
      </w:r>
      <w:r>
        <w:rPr>
          <w:rStyle w:val="None"/>
          <w:rFonts w:cs="Arial Unicode MS" w:eastAsia="Arial Unicode MS"/>
          <w:rtl w:val="0"/>
          <w:lang w:val="en-US"/>
        </w:rPr>
        <w:t>.2 (Bloomsbury: London, 2009), p.231.</w:t>
      </w:r>
    </w:p>
  </w:footnote>
  <w:footnote w:id="17">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Alan Leo, </w:t>
      </w:r>
      <w:r>
        <w:rPr>
          <w:rStyle w:val="None"/>
          <w:rFonts w:cs="Arial Unicode MS" w:eastAsia="Arial Unicode MS"/>
          <w:i w:val="1"/>
          <w:iCs w:val="1"/>
          <w:rtl w:val="0"/>
          <w:lang w:val="en-US"/>
        </w:rPr>
        <w:t>How to Judge a Nativity</w:t>
      </w:r>
      <w:r>
        <w:rPr>
          <w:rStyle w:val="None"/>
          <w:rFonts w:cs="Arial Unicode MS" w:eastAsia="Arial Unicode MS"/>
          <w:rtl w:val="0"/>
          <w:lang w:val="en-US"/>
        </w:rPr>
        <w:t xml:space="preserve"> (London: L.N. Fowler &amp; Co. Ltd </w:t>
      </w:r>
      <w:r>
        <w:rPr>
          <w:rStyle w:val="None"/>
          <w:rFonts w:cs="Arial Unicode MS" w:eastAsia="Arial Unicode MS"/>
          <w:rtl w:val="0"/>
          <w:lang w:val="pt-PT"/>
        </w:rPr>
        <w:t>[1</w:t>
      </w:r>
      <w:r>
        <w:rPr>
          <w:rStyle w:val="None"/>
          <w:rFonts w:cs="Arial Unicode MS" w:eastAsia="Arial Unicode MS"/>
          <w:rtl w:val="0"/>
          <w:lang w:val="en-US"/>
        </w:rPr>
        <w:t>903</w:t>
      </w:r>
      <w:r>
        <w:rPr>
          <w:rStyle w:val="None"/>
          <w:rFonts w:cs="Arial Unicode MS" w:eastAsia="Arial Unicode MS"/>
          <w:rtl w:val="0"/>
          <w:lang w:val="pt-PT"/>
        </w:rPr>
        <w:t xml:space="preserve">] </w:t>
      </w:r>
      <w:r>
        <w:rPr>
          <w:rStyle w:val="None"/>
          <w:rFonts w:cs="Arial Unicode MS" w:eastAsia="Arial Unicode MS"/>
          <w:rtl w:val="0"/>
          <w:lang w:val="en-US"/>
        </w:rPr>
        <w:t>1969), p.29.</w:t>
      </w:r>
    </w:p>
  </w:footnote>
  <w:footnote w:id="18">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Leo, </w:t>
      </w:r>
      <w:r>
        <w:rPr>
          <w:rStyle w:val="None"/>
          <w:rFonts w:cs="Arial Unicode MS" w:eastAsia="Arial Unicode MS"/>
          <w:i w:val="1"/>
          <w:iCs w:val="1"/>
          <w:rtl w:val="0"/>
          <w:lang w:val="en-US"/>
        </w:rPr>
        <w:t>How to Judge a Nativity</w:t>
      </w:r>
      <w:r>
        <w:rPr>
          <w:rStyle w:val="None"/>
          <w:rFonts w:cs="Arial Unicode MS" w:eastAsia="Arial Unicode MS"/>
          <w:rtl w:val="0"/>
          <w:lang w:val="en-US"/>
        </w:rPr>
        <w:t>, p.68.</w:t>
      </w:r>
    </w:p>
  </w:footnote>
  <w:footnote w:id="19">
    <w:p>
      <w:pPr>
        <w:pStyle w:val="Footnote"/>
      </w:pPr>
      <w:r>
        <w:rPr>
          <w:rStyle w:val="None"/>
          <w:vertAlign w:val="superscript"/>
        </w:rPr>
        <w:footnoteRef/>
      </w:r>
      <w:r>
        <w:rPr>
          <w:rStyle w:val="None"/>
          <w:rFonts w:cs="Arial Unicode MS" w:eastAsia="Arial Unicode MS"/>
          <w:rtl w:val="0"/>
          <w:lang w:val="it-IT"/>
        </w:rPr>
        <w:t xml:space="preserve"> Campion, </w:t>
      </w:r>
      <w:r>
        <w:rPr>
          <w:rStyle w:val="None"/>
          <w:rFonts w:cs="Arial Unicode MS" w:eastAsia="Arial Unicode MS"/>
          <w:i w:val="1"/>
          <w:iCs w:val="1"/>
          <w:rtl w:val="0"/>
          <w:lang w:val="en-US"/>
        </w:rPr>
        <w:t>History</w:t>
      </w:r>
      <w:r>
        <w:rPr>
          <w:rStyle w:val="None"/>
          <w:rFonts w:cs="Arial Unicode MS" w:eastAsia="Arial Unicode MS"/>
          <w:rtl w:val="0"/>
        </w:rPr>
        <w:t>, p</w:t>
      </w:r>
      <w:r>
        <w:rPr>
          <w:rStyle w:val="None"/>
          <w:rFonts w:cs="Arial Unicode MS" w:eastAsia="Arial Unicode MS"/>
          <w:rtl w:val="0"/>
          <w:lang w:val="en-US"/>
        </w:rPr>
        <w:t>.</w:t>
      </w:r>
      <w:r>
        <w:rPr>
          <w:rStyle w:val="None"/>
          <w:rFonts w:cs="Arial Unicode MS" w:eastAsia="Arial Unicode MS"/>
          <w:rtl w:val="0"/>
        </w:rPr>
        <w:t>23</w:t>
      </w:r>
      <w:r>
        <w:rPr>
          <w:rStyle w:val="None"/>
          <w:rFonts w:cs="Arial Unicode MS" w:eastAsia="Arial Unicode MS"/>
          <w:rtl w:val="0"/>
          <w:lang w:val="en-US"/>
        </w:rPr>
        <w:t>3.</w:t>
      </w:r>
    </w:p>
  </w:footnote>
  <w:footnote w:id="20">
    <w:p>
      <w:pPr>
        <w:pStyle w:val="Footnote"/>
      </w:pPr>
      <w:r>
        <w:rPr>
          <w:rStyle w:val="None"/>
          <w:vertAlign w:val="superscript"/>
        </w:rPr>
        <w:footnoteRef/>
      </w:r>
      <w:r>
        <w:rPr>
          <w:rStyle w:val="None"/>
          <w:rFonts w:cs="Arial Unicode MS" w:eastAsia="Arial Unicode MS"/>
          <w:rtl w:val="0"/>
        </w:rPr>
        <w:t xml:space="preserve"> </w:t>
      </w:r>
      <w:r>
        <w:rPr>
          <w:rStyle w:val="None"/>
          <w:rFonts w:cs="Arial Unicode MS" w:eastAsia="Arial Unicode MS"/>
          <w:rtl w:val="0"/>
          <w:lang w:val="en-US"/>
        </w:rPr>
        <w:t xml:space="preserve">Alan Leo, </w:t>
      </w:r>
      <w:r>
        <w:rPr>
          <w:rStyle w:val="None"/>
          <w:rFonts w:cs="Arial Unicode MS" w:eastAsia="Arial Unicode MS"/>
          <w:i w:val="1"/>
          <w:iCs w:val="1"/>
          <w:rtl w:val="0"/>
          <w:lang w:val="en-US"/>
        </w:rPr>
        <w:t>The Complete Dictionary of Astrology</w:t>
      </w:r>
      <w:r>
        <w:rPr>
          <w:rStyle w:val="None"/>
          <w:rFonts w:cs="Arial Unicode MS" w:eastAsia="Arial Unicode MS"/>
          <w:rtl w:val="0"/>
          <w:lang w:val="en-US"/>
        </w:rPr>
        <w:t xml:space="preserve">, ed. Vivian Robson (Rochester, VT: Destiny Books, 1983 [c.1900], p.8 cited in Nicholas Campion, </w:t>
      </w:r>
      <w:r>
        <w:rPr>
          <w:rStyle w:val="None"/>
          <w:rFonts w:cs="Arial Unicode MS" w:eastAsia="Arial Unicode MS"/>
          <w:i w:val="1"/>
          <w:iCs w:val="1"/>
          <w:rtl w:val="0"/>
          <w:lang w:val="en-US"/>
        </w:rPr>
        <w:t>A History of Western Astrology</w:t>
      </w:r>
      <w:r>
        <w:rPr>
          <w:rStyle w:val="None"/>
          <w:rFonts w:cs="Arial Unicode MS" w:eastAsia="Arial Unicode MS"/>
          <w:rtl w:val="0"/>
          <w:lang w:val="nl-NL"/>
        </w:rPr>
        <w:t>, vol 2 (Bloomsbury: London, 2009), p</w:t>
      </w:r>
      <w:r>
        <w:rPr>
          <w:rStyle w:val="None"/>
          <w:rFonts w:cs="Arial Unicode MS" w:eastAsia="Arial Unicode MS"/>
          <w:rtl w:val="0"/>
          <w:lang w:val="en-US"/>
        </w:rPr>
        <w:t>.</w:t>
      </w:r>
      <w:r>
        <w:rPr>
          <w:rStyle w:val="None"/>
          <w:rFonts w:cs="Arial Unicode MS" w:eastAsia="Arial Unicode MS"/>
          <w:rtl w:val="0"/>
        </w:rPr>
        <w:t>2</w:t>
      </w:r>
      <w:r>
        <w:rPr>
          <w:rStyle w:val="None"/>
          <w:rFonts w:cs="Arial Unicode MS" w:eastAsia="Arial Unicode MS"/>
          <w:rtl w:val="0"/>
          <w:lang w:val="en-US"/>
        </w:rPr>
        <w:t>22.</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12"/>
        <w:tab w:val="clear" w:pos="9020"/>
      </w:tabs>
    </w:pPr>
    <w:r>
      <w:rPr>
        <w:rtl w:val="0"/>
        <w:lang w:val="en-US"/>
      </w:rPr>
      <w:t>Rimsha M, ESSAY 1</w:t>
      <w:tab/>
      <w:t>HPCA7017</w:t>
      <w:tab/>
      <w:t xml:space="preserve">Page </w:t>
    </w:r>
    <w:r>
      <w:rPr/>
      <w:fldChar w:fldCharType="begin" w:fldLock="0"/>
    </w:r>
    <w:r>
      <w:instrText xml:space="preserve"> PAGE </w:instrText>
    </w:r>
    <w:r>
      <w:rPr/>
      <w:fldChar w:fldCharType="separate" w:fldLock="0"/>
    </w:r>
    <w:r/>
    <w:r>
      <w:rPr/>
      <w:fldChar w:fldCharType="end" w:fldLock="0"/>
    </w:r>
    <w:r>
      <w:rPr>
        <w:rtl w:val="0"/>
        <w:lang w:val="en-US"/>
      </w:rPr>
      <w:t xml:space="preserve"> of </w:t>
    </w:r>
    <w:r>
      <w:rPr/>
      <w:fldChar w:fldCharType="begin" w:fldLock="0"/>
    </w:r>
    <w:r>
      <w:instrText xml:space="preserve"> NUMPAGES </w:instrText>
    </w:r>
    <w:r>
      <w:rPr/>
      <w:fldChar w:fldCharType="separate" w:fldLock="0"/>
    </w:r>
    <w:r/>
    <w:r>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Heading 3">
    <w:name w:val="Heading 3"/>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0"/>
    </w:pPr>
    <w:rPr>
      <w:rFonts w:ascii="Helvetica Neue" w:cs="Arial Unicode MS" w:hAnsi="Helvetica Neue" w:eastAsia="Arial Unicode MS"/>
      <w:b w:val="0"/>
      <w:bCs w:val="0"/>
      <w:i w:val="0"/>
      <w:iCs w:val="0"/>
      <w:caps w:val="0"/>
      <w:smallCaps w:val="0"/>
      <w:strike w:val="0"/>
      <w:dstrike w:val="0"/>
      <w:outline w:val="0"/>
      <w:color w:val="000000"/>
      <w:spacing w:val="5"/>
      <w:kern w:val="0"/>
      <w:position w:val="0"/>
      <w:sz w:val="28"/>
      <w:szCs w:val="28"/>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outline w:val="0"/>
      <w:color w:val="0000ff"/>
      <w:u w:val="single" w:color="0000ff"/>
      <w14:textFill>
        <w14:solidFill>
          <w14:srgbClr w14:val="0000FF"/>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None">
    <w:name w:val="None"/>
  </w:style>
  <w:style w:type="character" w:styleId="Hyperlink.1">
    <w:name w:val="Hyperlink.1"/>
    <w:basedOn w:val="None"/>
    <w:next w:val="Hyperlink.1"/>
    <w:rPr>
      <w:u w:val="singl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notes" Target="footnotes.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