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0F8" w:rsidRPr="000B2FA0" w:rsidRDefault="000B2FA0">
      <w:pPr>
        <w:pStyle w:val="Title"/>
        <w:rPr>
          <w:sz w:val="40"/>
          <w:szCs w:val="40"/>
        </w:rPr>
      </w:pPr>
      <w:bookmarkStart w:id="0" w:name="_heading=h.q8vw2t9jhyzn" w:colFirst="0" w:colLast="0"/>
      <w:bookmarkEnd w:id="0"/>
      <w:r w:rsidRPr="000B2FA0">
        <w:rPr>
          <w:sz w:val="40"/>
          <w:szCs w:val="40"/>
        </w:rPr>
        <w:t>Module Name:</w:t>
      </w:r>
      <w:r w:rsidR="00AC22A9" w:rsidRPr="000B2FA0">
        <w:rPr>
          <w:sz w:val="40"/>
          <w:szCs w:val="40"/>
        </w:rPr>
        <w:t>BMHP5021: Protecting and Supporting Families in Health and Care</w:t>
      </w:r>
    </w:p>
    <w:p w:rsidR="006570F8" w:rsidRPr="000B2FA0" w:rsidRDefault="00AC22A9">
      <w:pPr>
        <w:pStyle w:val="Title"/>
        <w:rPr>
          <w:sz w:val="40"/>
          <w:szCs w:val="40"/>
        </w:rPr>
      </w:pPr>
      <w:bookmarkStart w:id="1" w:name="_heading=h.6w1jczmnk3fj" w:colFirst="0" w:colLast="0"/>
      <w:bookmarkEnd w:id="1"/>
      <w:r w:rsidRPr="000B2FA0">
        <w:rPr>
          <w:sz w:val="40"/>
          <w:szCs w:val="40"/>
        </w:rPr>
        <w:t>An examination and analysis of how the ‘Early Help’ system is signposted to UK families by</w:t>
      </w:r>
      <w:r w:rsidR="000B2FA0" w:rsidRPr="000B2FA0">
        <w:rPr>
          <w:sz w:val="40"/>
          <w:szCs w:val="40"/>
        </w:rPr>
        <w:t xml:space="preserve"> their local authority website.</w:t>
      </w:r>
    </w:p>
    <w:p w:rsidR="000B2FA0" w:rsidRPr="000B2FA0" w:rsidRDefault="000B2FA0" w:rsidP="000B2FA0">
      <w:pPr>
        <w:pStyle w:val="normal0"/>
        <w:jc w:val="center"/>
        <w:rPr>
          <w:b/>
          <w:sz w:val="40"/>
          <w:szCs w:val="40"/>
        </w:rPr>
      </w:pPr>
      <w:r w:rsidRPr="000B2FA0">
        <w:rPr>
          <w:b/>
          <w:sz w:val="40"/>
          <w:szCs w:val="40"/>
        </w:rPr>
        <w:t>Student name: Farima Stefania- Lorena</w:t>
      </w:r>
    </w:p>
    <w:p w:rsidR="000B2FA0" w:rsidRPr="000B2FA0" w:rsidRDefault="000B2FA0" w:rsidP="000B2FA0">
      <w:pPr>
        <w:pStyle w:val="normal0"/>
        <w:jc w:val="center"/>
        <w:rPr>
          <w:b/>
          <w:sz w:val="40"/>
          <w:szCs w:val="40"/>
        </w:rPr>
      </w:pPr>
      <w:r w:rsidRPr="000B2FA0">
        <w:rPr>
          <w:b/>
          <w:sz w:val="40"/>
          <w:szCs w:val="40"/>
        </w:rPr>
        <w:t>Student Number: 2335277</w:t>
      </w:r>
    </w:p>
    <w:p w:rsidR="000B2FA0" w:rsidRPr="000B2FA0" w:rsidRDefault="000B2FA0" w:rsidP="000B2FA0">
      <w:pPr>
        <w:pStyle w:val="normal0"/>
        <w:jc w:val="center"/>
        <w:rPr>
          <w:b/>
          <w:sz w:val="40"/>
          <w:szCs w:val="40"/>
        </w:rPr>
      </w:pPr>
      <w:r w:rsidRPr="000B2FA0">
        <w:rPr>
          <w:b/>
          <w:sz w:val="40"/>
          <w:szCs w:val="40"/>
        </w:rPr>
        <w:t>Name’s lecturer:  Caroline Salami</w:t>
      </w:r>
    </w:p>
    <w:p w:rsidR="000B2FA0" w:rsidRPr="000B2FA0" w:rsidRDefault="000B2FA0" w:rsidP="000B2FA0">
      <w:pPr>
        <w:pStyle w:val="normal0"/>
        <w:rPr>
          <w:b/>
          <w:sz w:val="40"/>
          <w:szCs w:val="40"/>
        </w:rPr>
      </w:pPr>
    </w:p>
    <w:p w:rsidR="000B2FA0" w:rsidRPr="000B2FA0" w:rsidRDefault="000B2FA0" w:rsidP="000B2FA0">
      <w:pPr>
        <w:pStyle w:val="normal0"/>
      </w:pPr>
    </w:p>
    <w:p w:rsidR="000B2FA0" w:rsidRPr="000B2FA0" w:rsidRDefault="000B2FA0" w:rsidP="000B2FA0">
      <w:pPr>
        <w:pStyle w:val="normal0"/>
      </w:pPr>
    </w:p>
    <w:p w:rsidR="006570F8" w:rsidRDefault="00AC22A9">
      <w:pPr>
        <w:pStyle w:val="Heading1"/>
      </w:pPr>
      <w:bookmarkStart w:id="2" w:name="_heading=h.hh8qfg4p1lf1" w:colFirst="0" w:colLast="0"/>
      <w:bookmarkEnd w:id="2"/>
      <w:r>
        <w:br w:type="page"/>
      </w:r>
    </w:p>
    <w:p w:rsidR="006570F8" w:rsidRDefault="00AC22A9">
      <w:pPr>
        <w:pStyle w:val="normal0"/>
        <w:keepNext/>
        <w:keepLines/>
        <w:pBdr>
          <w:top w:val="nil"/>
          <w:left w:val="nil"/>
          <w:bottom w:val="nil"/>
          <w:right w:val="nil"/>
          <w:between w:val="nil"/>
        </w:pBdr>
        <w:spacing w:before="240" w:line="259" w:lineRule="auto"/>
        <w:jc w:val="center"/>
        <w:rPr>
          <w:b/>
          <w:bCs/>
          <w:color w:val="000000"/>
          <w:sz w:val="28"/>
          <w:szCs w:val="28"/>
        </w:rPr>
      </w:pPr>
      <w:bookmarkStart w:id="3" w:name="_heading=h.7qy7v9qqqokf" w:colFirst="0" w:colLast="0"/>
      <w:bookmarkEnd w:id="3"/>
      <w:r>
        <w:rPr>
          <w:b/>
          <w:bCs/>
          <w:color w:val="000000"/>
          <w:sz w:val="28"/>
          <w:szCs w:val="28"/>
        </w:rPr>
        <w:lastRenderedPageBreak/>
        <w:t>Table of Contents</w:t>
      </w:r>
    </w:p>
    <w:sdt>
      <w:sdtPr>
        <w:id w:val="1056216764"/>
        <w:docPartObj>
          <w:docPartGallery w:val="Table of Contents"/>
          <w:docPartUnique/>
        </w:docPartObj>
      </w:sdtPr>
      <w:sdtContent>
        <w:p w:rsidR="006570F8" w:rsidRDefault="006570F8">
          <w:pPr>
            <w:pStyle w:val="normal0"/>
            <w:pBdr>
              <w:top w:val="nil"/>
              <w:left w:val="nil"/>
              <w:bottom w:val="nil"/>
              <w:right w:val="nil"/>
              <w:between w:val="nil"/>
            </w:pBdr>
            <w:tabs>
              <w:tab w:val="right" w:leader="dot" w:pos="9350"/>
            </w:tabs>
            <w:spacing w:after="100"/>
            <w:rPr>
              <w:color w:val="000000"/>
            </w:rPr>
          </w:pPr>
          <w:r>
            <w:fldChar w:fldCharType="begin"/>
          </w:r>
          <w:r w:rsidR="00AC22A9">
            <w:instrText xml:space="preserve"> TOC \h \u \z \t "</w:instrText>
          </w:r>
          <w:r w:rsidR="00AC22A9">
            <w:instrText>Heading 1,1,Heading 2,2,Heading 3,3,"</w:instrText>
          </w:r>
          <w:r>
            <w:fldChar w:fldCharType="separate"/>
          </w:r>
          <w:hyperlink w:anchor="_heading=h.12l508so8x8w">
            <w:r w:rsidR="00AC22A9">
              <w:rPr>
                <w:color w:val="000000"/>
              </w:rPr>
              <w:t>Introduction</w:t>
            </w:r>
            <w:r w:rsidR="00AC22A9">
              <w:rPr>
                <w:color w:val="000000"/>
              </w:rPr>
              <w:tab/>
              <w:t>3</w:t>
            </w:r>
          </w:hyperlink>
        </w:p>
        <w:p w:rsidR="006570F8" w:rsidRDefault="006570F8">
          <w:pPr>
            <w:pStyle w:val="normal0"/>
            <w:pBdr>
              <w:top w:val="nil"/>
              <w:left w:val="nil"/>
              <w:bottom w:val="nil"/>
              <w:right w:val="nil"/>
              <w:between w:val="nil"/>
            </w:pBdr>
            <w:tabs>
              <w:tab w:val="right" w:leader="dot" w:pos="9350"/>
            </w:tabs>
            <w:spacing w:after="100"/>
            <w:rPr>
              <w:color w:val="000000"/>
            </w:rPr>
          </w:pPr>
          <w:hyperlink w:anchor="_heading=h.c9bqq3jh5nh7">
            <w:r w:rsidR="00AC22A9">
              <w:rPr>
                <w:color w:val="000000"/>
              </w:rPr>
              <w:t>Explanation of the Early Help System</w:t>
            </w:r>
            <w:r w:rsidR="00AC22A9">
              <w:rPr>
                <w:color w:val="000000"/>
              </w:rPr>
              <w:tab/>
              <w:t>3</w:t>
            </w:r>
          </w:hyperlink>
        </w:p>
        <w:p w:rsidR="006570F8" w:rsidRDefault="006570F8">
          <w:pPr>
            <w:pStyle w:val="normal0"/>
            <w:pBdr>
              <w:top w:val="nil"/>
              <w:left w:val="nil"/>
              <w:bottom w:val="nil"/>
              <w:right w:val="nil"/>
              <w:between w:val="nil"/>
            </w:pBdr>
            <w:tabs>
              <w:tab w:val="right" w:leader="dot" w:pos="9350"/>
            </w:tabs>
            <w:spacing w:after="100"/>
            <w:rPr>
              <w:color w:val="000000"/>
            </w:rPr>
          </w:pPr>
          <w:hyperlink w:anchor="_heading=h.qt9wl1e718ut">
            <w:r w:rsidR="00AC22A9">
              <w:rPr>
                <w:color w:val="000000"/>
              </w:rPr>
              <w:t>Explanation of multi-agency worki</w:t>
            </w:r>
            <w:r w:rsidR="00AC22A9">
              <w:rPr>
                <w:color w:val="000000"/>
              </w:rPr>
              <w:t>ng</w:t>
            </w:r>
            <w:r w:rsidR="00AC22A9">
              <w:rPr>
                <w:color w:val="000000"/>
              </w:rPr>
              <w:tab/>
              <w:t>4</w:t>
            </w:r>
          </w:hyperlink>
        </w:p>
        <w:p w:rsidR="006570F8" w:rsidRDefault="006570F8">
          <w:pPr>
            <w:pStyle w:val="normal0"/>
            <w:pBdr>
              <w:top w:val="nil"/>
              <w:left w:val="nil"/>
              <w:bottom w:val="nil"/>
              <w:right w:val="nil"/>
              <w:between w:val="nil"/>
            </w:pBdr>
            <w:tabs>
              <w:tab w:val="right" w:leader="dot" w:pos="9350"/>
            </w:tabs>
            <w:spacing w:after="100"/>
            <w:rPr>
              <w:color w:val="000000"/>
            </w:rPr>
          </w:pPr>
          <w:hyperlink w:anchor="_heading=h.w5g2t59hssqq">
            <w:r w:rsidR="00AC22A9">
              <w:rPr>
                <w:color w:val="000000"/>
              </w:rPr>
              <w:t>An evaluation of each of your three local authority websites</w:t>
            </w:r>
            <w:r w:rsidR="00AC22A9">
              <w:rPr>
                <w:color w:val="000000"/>
              </w:rPr>
              <w:tab/>
              <w:t>5</w:t>
            </w:r>
          </w:hyperlink>
        </w:p>
        <w:p w:rsidR="006570F8" w:rsidRDefault="006570F8">
          <w:pPr>
            <w:pStyle w:val="normal0"/>
            <w:pBdr>
              <w:top w:val="nil"/>
              <w:left w:val="nil"/>
              <w:bottom w:val="nil"/>
              <w:right w:val="nil"/>
              <w:between w:val="nil"/>
            </w:pBdr>
            <w:tabs>
              <w:tab w:val="right" w:leader="dot" w:pos="9350"/>
            </w:tabs>
            <w:spacing w:after="100"/>
            <w:rPr>
              <w:color w:val="000000"/>
            </w:rPr>
          </w:pPr>
          <w:hyperlink w:anchor="_heading=h.3fer7ceuaytp">
            <w:r w:rsidR="00AC22A9">
              <w:rPr>
                <w:color w:val="000000"/>
              </w:rPr>
              <w:t>A comparative analysis of the main strengths and weaknesses of the local authority websites</w:t>
            </w:r>
            <w:r w:rsidR="00AC22A9">
              <w:rPr>
                <w:color w:val="000000"/>
              </w:rPr>
              <w:tab/>
              <w:t>6</w:t>
            </w:r>
          </w:hyperlink>
        </w:p>
        <w:p w:rsidR="006570F8" w:rsidRDefault="006570F8">
          <w:pPr>
            <w:pStyle w:val="normal0"/>
            <w:pBdr>
              <w:top w:val="nil"/>
              <w:left w:val="nil"/>
              <w:bottom w:val="nil"/>
              <w:right w:val="nil"/>
              <w:between w:val="nil"/>
            </w:pBdr>
            <w:tabs>
              <w:tab w:val="right" w:leader="dot" w:pos="9350"/>
            </w:tabs>
            <w:spacing w:after="100"/>
            <w:rPr>
              <w:color w:val="000000"/>
            </w:rPr>
          </w:pPr>
          <w:hyperlink w:anchor="_heading=h.6o8zu7wrn2cx">
            <w:r w:rsidR="00AC22A9">
              <w:rPr>
                <w:color w:val="000000"/>
              </w:rPr>
              <w:t>Conclusion and recommendations</w:t>
            </w:r>
            <w:r w:rsidR="00AC22A9">
              <w:rPr>
                <w:color w:val="000000"/>
              </w:rPr>
              <w:tab/>
              <w:t>7</w:t>
            </w:r>
          </w:hyperlink>
        </w:p>
        <w:p w:rsidR="006570F8" w:rsidRDefault="006570F8">
          <w:pPr>
            <w:pStyle w:val="normal0"/>
            <w:pBdr>
              <w:top w:val="nil"/>
              <w:left w:val="nil"/>
              <w:bottom w:val="nil"/>
              <w:right w:val="nil"/>
              <w:between w:val="nil"/>
            </w:pBdr>
            <w:tabs>
              <w:tab w:val="right" w:leader="dot" w:pos="9350"/>
            </w:tabs>
            <w:spacing w:after="100"/>
            <w:rPr>
              <w:color w:val="000000"/>
            </w:rPr>
          </w:pPr>
          <w:hyperlink w:anchor="_heading=h.vykyxll7g28t">
            <w:r w:rsidR="00AC22A9">
              <w:rPr>
                <w:color w:val="000000"/>
              </w:rPr>
              <w:t>References</w:t>
            </w:r>
            <w:r w:rsidR="00AC22A9">
              <w:rPr>
                <w:color w:val="000000"/>
              </w:rPr>
              <w:tab/>
              <w:t>9</w:t>
            </w:r>
          </w:hyperlink>
        </w:p>
        <w:p w:rsidR="006570F8" w:rsidRDefault="006570F8">
          <w:pPr>
            <w:pStyle w:val="normal0"/>
          </w:pPr>
          <w:r>
            <w:fldChar w:fldCharType="end"/>
          </w:r>
        </w:p>
      </w:sdtContent>
    </w:sdt>
    <w:p w:rsidR="006570F8" w:rsidRDefault="00AC22A9">
      <w:pPr>
        <w:pStyle w:val="normal0"/>
        <w:rPr>
          <w:b/>
          <w:bCs/>
        </w:rPr>
      </w:pPr>
      <w:r>
        <w:br w:type="page"/>
      </w:r>
    </w:p>
    <w:p w:rsidR="006570F8" w:rsidRDefault="00AC22A9">
      <w:pPr>
        <w:pStyle w:val="Heading1"/>
      </w:pPr>
      <w:bookmarkStart w:id="4" w:name="_heading=h.12l508so8x8w" w:colFirst="0" w:colLast="0"/>
      <w:bookmarkEnd w:id="4"/>
      <w:r>
        <w:lastRenderedPageBreak/>
        <w:t xml:space="preserve">Introduction </w:t>
      </w:r>
    </w:p>
    <w:p w:rsidR="006570F8" w:rsidRDefault="00AC22A9">
      <w:pPr>
        <w:pStyle w:val="normal0"/>
      </w:pPr>
      <w:r>
        <w:t>This report will focus on the importance of early help systems for UK based families by considering the local authority websites. In that case it will focus on the local authorities like Leicestershire County Council, Norfolk County Council and Staffordshi</w:t>
      </w:r>
      <w:r>
        <w:t>re County Council. Depending on the local authority website it will explain the concept of the early health system and the multi-agency working. Apart from that it will evaluate these local authority websites and compare its strengths and weaknesses. It wi</w:t>
      </w:r>
      <w:r>
        <w:t xml:space="preserve">ll support in evaluating the strategies that the local authorities have implemented while managing the UK-based families and offering them early support in any kind of challenging situations. </w:t>
      </w:r>
    </w:p>
    <w:p w:rsidR="006570F8" w:rsidRDefault="00AC22A9">
      <w:pPr>
        <w:pStyle w:val="normal0"/>
        <w:rPr>
          <w:b/>
          <w:bCs/>
        </w:rPr>
      </w:pPr>
      <w:bookmarkStart w:id="5" w:name="_heading=h.c9bqq3jh5nh7" w:colFirst="0" w:colLast="0"/>
      <w:bookmarkEnd w:id="5"/>
      <w:r>
        <w:br w:type="page"/>
      </w:r>
    </w:p>
    <w:p w:rsidR="006570F8" w:rsidRDefault="00AC22A9">
      <w:pPr>
        <w:pStyle w:val="Heading1"/>
      </w:pPr>
      <w:r>
        <w:lastRenderedPageBreak/>
        <w:t xml:space="preserve">Explanation of the Early Help System </w:t>
      </w:r>
    </w:p>
    <w:p w:rsidR="006570F8" w:rsidRDefault="00AC22A9">
      <w:pPr>
        <w:pStyle w:val="normal0"/>
      </w:pPr>
      <w:r>
        <w:t>The early help system indicates the strategies that are being applied to protect families, young people and children. The process of early help includes professionals and local agencies working together so that it is possible to detect needs of families, c</w:t>
      </w:r>
      <w:r>
        <w:t xml:space="preserve">hildren and young people at the early stage so that it may support in mitigating the social issues (McGorry </w:t>
      </w:r>
      <w:r>
        <w:rPr>
          <w:i/>
          <w:iCs/>
        </w:rPr>
        <w:t>et al</w:t>
      </w:r>
      <w:r>
        <w:t>., 2022). From this perspective, the concept of early help helps in mitigating the social issues in association with the local authorities. Add</w:t>
      </w:r>
      <w:r>
        <w:t>itionally, by focusing on social care intervention and early support systems it is possible to address the challenges related to behaviour, financial, school performance, and health. Comparatively, the early help system focuses on addressing the challenges</w:t>
      </w:r>
      <w:r>
        <w:t xml:space="preserve"> just after their being highlighted so that it can mitigate the chances of excessive damage (Gray </w:t>
      </w:r>
      <w:r>
        <w:rPr>
          <w:i/>
          <w:iCs/>
        </w:rPr>
        <w:t>et al</w:t>
      </w:r>
      <w:r>
        <w:t>., 2021). In order to run the early help system local agencies work together including the health visitors, social services, local authorities and the ag</w:t>
      </w:r>
      <w:r>
        <w:t xml:space="preserve">encies. </w:t>
      </w:r>
    </w:p>
    <w:p w:rsidR="006570F8" w:rsidRDefault="00AC22A9">
      <w:pPr>
        <w:pStyle w:val="normal0"/>
      </w:pPr>
      <w:r>
        <w:t>On the other hand, the early help system concentrates on offering need-based support by customising the services and features so that it can provide the most required intervention to the identified tissues. It is also a goal-oriented work which ca</w:t>
      </w:r>
      <w:r>
        <w:t>n improve the outcome for people, especially the child. Based on the early help system it is possible to ensure a protected future for children and enhance the social system by highlighting the voice of the local people. The primary motive behind the early</w:t>
      </w:r>
      <w:r>
        <w:t xml:space="preserve"> help system is to secure the citizens and offer equitable opportunities for everyone (Uhlhaas </w:t>
      </w:r>
      <w:r>
        <w:rPr>
          <w:i/>
          <w:iCs/>
        </w:rPr>
        <w:t>et al</w:t>
      </w:r>
      <w:r>
        <w:t>., 2023). Additionally, it is a process of multi-agency collaboration so that it can make a positive influence on the society and help to address the sustai</w:t>
      </w:r>
      <w:r>
        <w:t>nability development goals. Generally, the Healthcare issues and the social accessibility related challenges are being considered by the early help system so that it may help to ensure equality within the society.</w:t>
      </w:r>
    </w:p>
    <w:p w:rsidR="006570F8" w:rsidRDefault="00AC22A9">
      <w:pPr>
        <w:pStyle w:val="normal0"/>
      </w:pPr>
      <w:r>
        <w:t xml:space="preserve"> </w:t>
      </w:r>
    </w:p>
    <w:p w:rsidR="006570F8" w:rsidRDefault="00AC22A9">
      <w:pPr>
        <w:pStyle w:val="Heading1"/>
      </w:pPr>
      <w:bookmarkStart w:id="6" w:name="_heading=h.qt9wl1e718ut" w:colFirst="0" w:colLast="0"/>
      <w:bookmarkEnd w:id="6"/>
      <w:r>
        <w:t xml:space="preserve">Explanation of multi-agency working </w:t>
      </w:r>
    </w:p>
    <w:p w:rsidR="006570F8" w:rsidRDefault="00AC22A9">
      <w:pPr>
        <w:pStyle w:val="normal0"/>
      </w:pPr>
      <w:r>
        <w:t>Mul</w:t>
      </w:r>
      <w:r>
        <w:t xml:space="preserve">ti-agency working refers to the collaboration between various professionals and organisations to share responsibilities, resources and information for better service outcomes. In that case, the concept of multi-agency working includes the goals related to </w:t>
      </w:r>
      <w:r>
        <w:t xml:space="preserve">the management of community safety and offering proper support to individuals (Hardyns </w:t>
      </w:r>
      <w:r>
        <w:rPr>
          <w:i/>
          <w:iCs/>
        </w:rPr>
        <w:t>et al</w:t>
      </w:r>
      <w:r>
        <w:t>., 2021). Depending on multi-agency working it is possible for the health and social care sector to improve the infrastructures for the fields like emergency respon</w:t>
      </w:r>
      <w:r>
        <w:t>se and child protection. Comparatively, multi-</w:t>
      </w:r>
      <w:r>
        <w:lastRenderedPageBreak/>
        <w:t>agency working improves the quality of safeguarding and care so that it may address the needs of people. It has been highlighted that, by considering multi agency working it is possible to offer early intervent</w:t>
      </w:r>
      <w:r>
        <w:t>ion to safeguarding so that it addresses the emerging social issues (Owens and Lloyd, 2023). Additionally, the professionals involved in multi-agency working belong from various fields and work together to achieve a common and shared vision. In order to en</w:t>
      </w:r>
      <w:r>
        <w:t>sure efficiency of multi-agency working the involved bodies share the relevant databases so that it is possible to develop a complete blueprint of the situation of the suffering people. It is extremely required for developing data-driven decisions and esta</w:t>
      </w:r>
      <w:r>
        <w:t>blishing the most required intervention strategy that may address the issues of people at risk. Overall, multi-agency working works as a crucial tool for the society and the health and social care sector which contributes to better distribution of social s</w:t>
      </w:r>
      <w:r>
        <w:t xml:space="preserve">ervices. </w:t>
      </w:r>
    </w:p>
    <w:p w:rsidR="006570F8" w:rsidRDefault="00AC22A9">
      <w:pPr>
        <w:pStyle w:val="normal0"/>
      </w:pPr>
      <w:r>
        <w:t>In terms of multi-agency working all the services are being developed and delivered with joint effort. In this regard, multi-agency working requires effective coordination and cooperation between the engaged parties so that it is possible to incr</w:t>
      </w:r>
      <w:r>
        <w:t xml:space="preserve">ease the responsiveness towards the changing market demands (Ball </w:t>
      </w:r>
      <w:r>
        <w:rPr>
          <w:i/>
          <w:iCs/>
        </w:rPr>
        <w:t>et al</w:t>
      </w:r>
      <w:r>
        <w:t>., 2024). On the other hand, in some multi-agency working models, the engaged parties are being focused on adopting the common process and understanding the needs of individuals for eff</w:t>
      </w:r>
      <w:r>
        <w:t>ective support. It works as a comprehensive support for individuals that influences the professionals to analyse the circumstances of the families. Additionally, by implementing multi-agency working it is possible to provide early intervention to the peopl</w:t>
      </w:r>
      <w:r>
        <w:t xml:space="preserve">e who are at risk (Quigg </w:t>
      </w:r>
      <w:r>
        <w:rPr>
          <w:i/>
          <w:iCs/>
        </w:rPr>
        <w:t>et al</w:t>
      </w:r>
      <w:r>
        <w:t xml:space="preserve">., 2023). It indicates that multi-agency working is a significant concept that helps the health and social care professionals to communicate with various agencies and make effective decisions for supporting individuals. Apart </w:t>
      </w:r>
      <w:r>
        <w:t xml:space="preserve">from that, multi-agency working works as a bridge between the local authorities and the people from society which helps to raise the voice of local people efficiently. Depending on this process it is possible to identify and address the crucial challenges </w:t>
      </w:r>
      <w:r>
        <w:t xml:space="preserve">including unemployment rate, homelessness and mental health challenges among children which can work as a process for improving the future opportunities. </w:t>
      </w:r>
    </w:p>
    <w:p w:rsidR="006570F8" w:rsidRDefault="00AC22A9">
      <w:pPr>
        <w:pStyle w:val="Heading1"/>
      </w:pPr>
      <w:bookmarkStart w:id="7" w:name="_heading=h.w5g2t59hssqq" w:colFirst="0" w:colLast="0"/>
      <w:bookmarkEnd w:id="7"/>
      <w:r>
        <w:t>An evaluation of each of your three local authority websites</w:t>
      </w:r>
    </w:p>
    <w:p w:rsidR="006570F8" w:rsidRDefault="00AC22A9">
      <w:pPr>
        <w:pStyle w:val="normal0"/>
      </w:pPr>
      <w:r>
        <w:t>The website of Leicestershire County Cou</w:t>
      </w:r>
      <w:r>
        <w:t xml:space="preserve">ncil includes all the services that the local authority provides. In this regard, it has listed the support related to cost of living, housing, schools and colleges and jobs, volunteering and apprenticeships. The website has included all the information </w:t>
      </w:r>
      <w:r>
        <w:lastRenderedPageBreak/>
        <w:t>re</w:t>
      </w:r>
      <w:r>
        <w:t>lated to the voting system including its registration. Based on the website, people can know about all the recent initiatives that the government has taken. In order to increase awareness among people this website includes daily news and blogs so that it m</w:t>
      </w:r>
      <w:r>
        <w:t>ay keep the citizens informed. Apart from that it has also focused on informing the people which is happening around the city. It indicates that the local authority of the city has focused on improving the decision-making abilities of its citizens by offer</w:t>
      </w:r>
      <w:r>
        <w:t>ing them the opportunity to connect with current affairs (Leicester.gov.uk, 2025). Comparatively, the website has included interactive images and its social media handles so that people can connect with the local authority with any kind of communication ch</w:t>
      </w:r>
      <w:r>
        <w:t>annel. Apart from that this website includes various contact information of the local authorities so that everyone can reach out to the authoritative body and raise their concern. Based on the website the citizens can understand their fundamental rights an</w:t>
      </w:r>
      <w:r>
        <w:t xml:space="preserve">d raise concern in response to any kind of dispute effectively. </w:t>
      </w:r>
    </w:p>
    <w:p w:rsidR="006570F8" w:rsidRDefault="00AC22A9">
      <w:pPr>
        <w:pStyle w:val="normal0"/>
      </w:pPr>
      <w:r>
        <w:t>The website of Norfolk County Council has included all the necessary information related to the support that is being provided for helping with living costs. Additionally demonstrates all the</w:t>
      </w:r>
      <w:r>
        <w:t xml:space="preserve"> latest devolution plans of the Government and the local government reorganisation process. Additionally, it has included all the necessary information related to its services such as education and learning, roads and transport, libraries, archives and loc</w:t>
      </w:r>
      <w:r>
        <w:t>al history. Apart from that rubbish, recycling and planning along with care support and health are being undertaken by the local authority (‌Norfolk County Council, 2025). The birth registration process and safety concerns have been taken care of by the au</w:t>
      </w:r>
      <w:r>
        <w:t>thority. In order to increase awareness among citizens, the website has concentrated on publishing regular blogs and news related to current affairs. Similarly, it has included the contact information of the local authorities so that people can connect. It</w:t>
      </w:r>
      <w:r>
        <w:t xml:space="preserve"> indicates that the local authority of Norfolk has a strong focus on connecting with the local people and offering them relevant support depending on their challenges. Comparatively, it has included the advanced searching option for people so that they can</w:t>
      </w:r>
      <w:r>
        <w:t xml:space="preserve"> find the nearby services. </w:t>
      </w:r>
    </w:p>
    <w:p w:rsidR="006570F8" w:rsidRDefault="00AC22A9">
      <w:pPr>
        <w:pStyle w:val="normal0"/>
      </w:pPr>
      <w:r>
        <w:t xml:space="preserve">The Staffordshire County Council has included innovative strategies to inform the citizens. In this regard the website has offered the school holidays, the information related to library renewals, west and recycling. Apart from </w:t>
      </w:r>
      <w:r>
        <w:t>that the information regarding jobs and careers, bus passes, admission to school and birth and ceremonies and death. Depending on this website the people can review all the payment options and search for the most appropriate schools. It also offers the opp</w:t>
      </w:r>
      <w:r>
        <w:t xml:space="preserve">ortunity to citizens to plan a bus journey according to their preference which </w:t>
      </w:r>
      <w:r>
        <w:lastRenderedPageBreak/>
        <w:t>indicates towards a customised service offering (‌Staffordshire.gov.uk, 2023). On the other hand, the citizens can find adult social care and report any kind of disputes which c</w:t>
      </w:r>
      <w:r>
        <w:t>an directly connect them with the government. The featured contents of the website have highlighted the foster initiative and the health checking process along with the county council meetings. It indicates that the local authority of Staffordshire has foc</w:t>
      </w:r>
      <w:r>
        <w:t xml:space="preserve">used on transparent communication with people which can make them understand about their fundamental rights. Similarly, the new center segment of the website has included the recent incidents and the blogs that have been implemented by the county council. </w:t>
      </w:r>
      <w:r>
        <w:t xml:space="preserve">This local authority highlights a strong focus on the corporate social responsibilities of the city that supports the local people in maintaining their living standard. </w:t>
      </w:r>
    </w:p>
    <w:p w:rsidR="006570F8" w:rsidRDefault="00AC22A9">
      <w:pPr>
        <w:pStyle w:val="Heading1"/>
      </w:pPr>
      <w:bookmarkStart w:id="8" w:name="_heading=h.3fer7ceuaytp" w:colFirst="0" w:colLast="0"/>
      <w:bookmarkEnd w:id="8"/>
      <w:r>
        <w:t>A comparative analysis of the main strengths and weaknesses of the local authority web</w:t>
      </w:r>
      <w:r>
        <w:t xml:space="preserve">sites </w:t>
      </w:r>
    </w:p>
    <w:p w:rsidR="006570F8" w:rsidRDefault="00AC22A9">
      <w:pPr>
        <w:pStyle w:val="normal0"/>
      </w:pPr>
      <w:r>
        <w:t>Depending on the above evaluation, it can be stated that the local authority of Norfolk has implemented clearer information than Staffordshire and Leicestershire. Firstly, the primary strength of Leicestershire is that it offers significant informat</w:t>
      </w:r>
      <w:r>
        <w:t xml:space="preserve">ion about the council tax and the support that the local authority offers for people (Gore </w:t>
      </w:r>
      <w:r>
        <w:rPr>
          <w:i/>
          <w:iCs/>
        </w:rPr>
        <w:t>et al.,</w:t>
      </w:r>
      <w:r>
        <w:t xml:space="preserve"> 2021). Most importantly, it has included information related to the election system which has become its primary area of strength. Based on comprehensive ide</w:t>
      </w:r>
      <w:r>
        <w:t xml:space="preserve">as about the service and the fundamental rights of people the local authorities can increase awareness among citizens related to their service (Siur </w:t>
      </w:r>
      <w:r>
        <w:rPr>
          <w:i/>
          <w:iCs/>
        </w:rPr>
        <w:t xml:space="preserve">et al., </w:t>
      </w:r>
      <w:r>
        <w:t>2024). Additionally, it has included various communication channels that can support citizens to co</w:t>
      </w:r>
      <w:r>
        <w:t>nnect with the local authority. In the context of its weakness, it has a lack of implementation of the perception of the local people. In this regard the website could have included the perception of the local community related to the social issues. It ind</w:t>
      </w:r>
      <w:r>
        <w:t>icates a lack of implementation of its real-life experience that can determine other people to connect with the local authority. Apart from that it has not included the health and social care sector which can reduce the accessibility of the services to the</w:t>
      </w:r>
      <w:r>
        <w:t xml:space="preserve"> local people. The local authority should consider the incorporation with the health and social Care industry so that it may diversify its service range. </w:t>
      </w:r>
    </w:p>
    <w:p w:rsidR="006570F8" w:rsidRDefault="00AC22A9">
      <w:pPr>
        <w:pStyle w:val="normal0"/>
      </w:pPr>
      <w:r>
        <w:t>Comparatively the official website of Norfolk has included all the necessary information for people r</w:t>
      </w:r>
      <w:r>
        <w:t xml:space="preserve">elated to their fundamental responsibilities. In that case it has offered advice to people so that it is possible to ensure safety during the emergency situations related to the fire incident. This website has included diversified areas which makes it one </w:t>
      </w:r>
      <w:r>
        <w:t xml:space="preserve">of the most unique local </w:t>
      </w:r>
      <w:r>
        <w:lastRenderedPageBreak/>
        <w:t>authorities all over the United Kingdom. Not only the fire service and the health and social care it has also included the support for family and children related to early safety and local care. The incorporation of diversified dig</w:t>
      </w:r>
      <w:r>
        <w:t>ital communication channels has become another area of strength that can increase the awareness of people (Barabanov and Usacheva, 2024). Additionally, it has concentrated on the environmental responsibilities by implementing a recycling process. Even thou</w:t>
      </w:r>
      <w:r>
        <w:t>gh it has to offer a comprehensive review of its services and the rights of people it needs to include more communication channels. Digital communication channels and the enhancement of accessibility is the primary responsibility of the local people especi</w:t>
      </w:r>
      <w:r>
        <w:t>ally the UK so that everyone can connect with the local authority and raise their issues. It has been highlighted that the website has only included its Facebook platform as a part of its communication channel.</w:t>
      </w:r>
    </w:p>
    <w:p w:rsidR="006570F8" w:rsidRDefault="00AC22A9">
      <w:pPr>
        <w:pStyle w:val="normal0"/>
      </w:pPr>
      <w:r>
        <w:t>In comparison the website of Staffordshire ha</w:t>
      </w:r>
      <w:r>
        <w:t>s offered a comprehensive review to its services and has incorporated educational features. Along with the educational features, it has considered the transportation service along with the payment options which indicates its responsibility towards the educ</w:t>
      </w:r>
      <w:r>
        <w:t>ation and monitory fields. Despite its strength, it has not diversified its service portfolio and has a lack of focus on health and social care services. Currently, health and social care services have become a primary concern for the local community in th</w:t>
      </w:r>
      <w:r>
        <w:t>e UK because of the growing social challenges (Miller, Glasby and Dickinson, 2021). Depending on this lack of integration of the health and social care sector it can be settled that the local authority should have considered service areas for ensuring equi</w:t>
      </w:r>
      <w:r>
        <w:t xml:space="preserve">table opportunities for everyone. </w:t>
      </w:r>
    </w:p>
    <w:p w:rsidR="006570F8" w:rsidRDefault="00AC22A9">
      <w:pPr>
        <w:pStyle w:val="normal0"/>
        <w:rPr>
          <w:b/>
          <w:bCs/>
        </w:rPr>
      </w:pPr>
      <w:bookmarkStart w:id="9" w:name="_heading=h.6o8zu7wrn2cx" w:colFirst="0" w:colLast="0"/>
      <w:bookmarkEnd w:id="9"/>
      <w:r>
        <w:br w:type="page"/>
      </w:r>
    </w:p>
    <w:p w:rsidR="006570F8" w:rsidRDefault="00AC22A9">
      <w:pPr>
        <w:pStyle w:val="Heading1"/>
      </w:pPr>
      <w:r>
        <w:lastRenderedPageBreak/>
        <w:t xml:space="preserve">Conclusion and recommendations </w:t>
      </w:r>
    </w:p>
    <w:p w:rsidR="006570F8" w:rsidRDefault="00AC22A9">
      <w:pPr>
        <w:pStyle w:val="normal0"/>
      </w:pPr>
      <w:r>
        <w:t>In conclusion, the above evaluation has discussed that an early help system has emerged as a potential responsibility of the local authority. In this regard the multi-agency working is th</w:t>
      </w:r>
      <w:r>
        <w:t>e primary element for the local authority so that it can provide early support to the people in need. In terms of the effectiveness of the local authority, it has been highlighted that Norfolk has most of the focus on ensuring equitable opportunities for p</w:t>
      </w:r>
      <w:r>
        <w:t xml:space="preserve">eople. In order to improve the responsibilities and service the local authority of Staffordshire and Leicestershire needs to consider the health and social care sector into its practice. Depending on the incorporation of the health and social care service </w:t>
      </w:r>
      <w:r>
        <w:t xml:space="preserve">it will be possible for the local authority to address all needs and challenges of the local communities. </w:t>
      </w:r>
    </w:p>
    <w:p w:rsidR="006570F8" w:rsidRDefault="00AC22A9">
      <w:pPr>
        <w:pStyle w:val="Heading1"/>
      </w:pPr>
      <w:bookmarkStart w:id="10" w:name="_heading=h.o92pmvj47qp9" w:colFirst="0" w:colLast="0"/>
      <w:bookmarkEnd w:id="10"/>
      <w:r>
        <w:br w:type="page"/>
      </w:r>
    </w:p>
    <w:p w:rsidR="006570F8" w:rsidRDefault="00AC22A9">
      <w:pPr>
        <w:pStyle w:val="Heading1"/>
      </w:pPr>
      <w:bookmarkStart w:id="11" w:name="_heading=h.vykyxll7g28t" w:colFirst="0" w:colLast="0"/>
      <w:bookmarkEnd w:id="11"/>
      <w:r>
        <w:lastRenderedPageBreak/>
        <w:t xml:space="preserve">References </w:t>
      </w:r>
    </w:p>
    <w:p w:rsidR="006570F8" w:rsidRDefault="00AC22A9">
      <w:pPr>
        <w:pStyle w:val="normal0"/>
        <w:rPr>
          <w:color w:val="222222"/>
          <w:highlight w:val="white"/>
        </w:rPr>
      </w:pPr>
      <w:r>
        <w:rPr>
          <w:color w:val="222222"/>
          <w:highlight w:val="white"/>
        </w:rPr>
        <w:t>Ball, E., McManus, M., McCoy, E. and Quigg, Z., (2024). Implementation of multi-agency safeguarding arrangements regarding exploitation</w:t>
      </w:r>
      <w:r>
        <w:rPr>
          <w:color w:val="222222"/>
          <w:highlight w:val="white"/>
        </w:rPr>
        <w:t xml:space="preserve"> of young people: Aligning policy and practice using normalisation processing theory. </w:t>
      </w:r>
      <w:r>
        <w:rPr>
          <w:i/>
          <w:iCs/>
          <w:color w:val="222222"/>
          <w:highlight w:val="white"/>
        </w:rPr>
        <w:t>Journal of Applied Youth Studies</w:t>
      </w:r>
      <w:r>
        <w:rPr>
          <w:color w:val="222222"/>
          <w:highlight w:val="white"/>
        </w:rPr>
        <w:t xml:space="preserve">, </w:t>
      </w:r>
      <w:r>
        <w:rPr>
          <w:i/>
          <w:iCs/>
          <w:color w:val="222222"/>
          <w:highlight w:val="white"/>
        </w:rPr>
        <w:t>7</w:t>
      </w:r>
      <w:r>
        <w:rPr>
          <w:color w:val="222222"/>
          <w:highlight w:val="white"/>
        </w:rPr>
        <w:t>(4), pp.449-468.</w:t>
      </w:r>
    </w:p>
    <w:p w:rsidR="006570F8" w:rsidRDefault="00AC22A9">
      <w:pPr>
        <w:pStyle w:val="normal0"/>
        <w:rPr>
          <w:color w:val="222222"/>
          <w:highlight w:val="white"/>
        </w:rPr>
      </w:pPr>
      <w:r>
        <w:rPr>
          <w:color w:val="222222"/>
          <w:highlight w:val="white"/>
        </w:rPr>
        <w:t>Barabanov, A. and Usacheva, E., (2024). The internet and local government communication with citizens and local commun</w:t>
      </w:r>
      <w:r>
        <w:rPr>
          <w:color w:val="222222"/>
          <w:highlight w:val="white"/>
        </w:rPr>
        <w:t xml:space="preserve">ities. In </w:t>
      </w:r>
      <w:r>
        <w:rPr>
          <w:i/>
          <w:iCs/>
          <w:color w:val="222222"/>
          <w:highlight w:val="white"/>
        </w:rPr>
        <w:t>Understanding the Digital Transformation of Socio-Economic-Technological Systems: Dedicated to the 120th Anniversary of Economic Education at Peter the Great St. Petersburg Polytechnic University</w:t>
      </w:r>
      <w:r>
        <w:rPr>
          <w:color w:val="222222"/>
          <w:highlight w:val="white"/>
        </w:rPr>
        <w:t xml:space="preserve"> (pp. 437-450). Cham: Springer Nature Switzerland.</w:t>
      </w:r>
    </w:p>
    <w:p w:rsidR="006570F8" w:rsidRDefault="00AC22A9">
      <w:pPr>
        <w:pStyle w:val="normal0"/>
        <w:rPr>
          <w:color w:val="222222"/>
          <w:highlight w:val="white"/>
        </w:rPr>
      </w:pPr>
      <w:r>
        <w:rPr>
          <w:color w:val="222222"/>
          <w:highlight w:val="white"/>
        </w:rPr>
        <w:t>‌Gore, A., Bimpson, E., Dobson, J. and Parkes, S., (2021). Local government responses to the COVID-19 pandemic in the UK: a thematic review.</w:t>
      </w:r>
    </w:p>
    <w:p w:rsidR="006570F8" w:rsidRDefault="00AC22A9">
      <w:pPr>
        <w:pStyle w:val="normal0"/>
      </w:pPr>
      <w:r>
        <w:rPr>
          <w:color w:val="222222"/>
          <w:highlight w:val="white"/>
        </w:rPr>
        <w:t>Gray, B., Eaton, J., Christy, J., Duncan, J., Hanna, F. and Kasi, S., (2021). A proactive approach: Examples for in</w:t>
      </w:r>
      <w:r>
        <w:rPr>
          <w:color w:val="222222"/>
          <w:highlight w:val="white"/>
        </w:rPr>
        <w:t xml:space="preserve">tegrating disaster risk reduction and mental health and psychosocial support programming. </w:t>
      </w:r>
      <w:r>
        <w:rPr>
          <w:i/>
          <w:iCs/>
          <w:color w:val="222222"/>
          <w:highlight w:val="white"/>
        </w:rPr>
        <w:t>International journal of disaster risk reduction</w:t>
      </w:r>
      <w:r>
        <w:rPr>
          <w:color w:val="222222"/>
          <w:highlight w:val="white"/>
        </w:rPr>
        <w:t xml:space="preserve">, </w:t>
      </w:r>
      <w:r>
        <w:rPr>
          <w:i/>
          <w:iCs/>
          <w:color w:val="222222"/>
          <w:highlight w:val="white"/>
        </w:rPr>
        <w:t>54</w:t>
      </w:r>
      <w:r>
        <w:rPr>
          <w:color w:val="222222"/>
          <w:highlight w:val="white"/>
        </w:rPr>
        <w:t>, p.102051.</w:t>
      </w:r>
    </w:p>
    <w:p w:rsidR="006570F8" w:rsidRDefault="00AC22A9">
      <w:pPr>
        <w:pStyle w:val="normal0"/>
        <w:rPr>
          <w:color w:val="222222"/>
          <w:highlight w:val="white"/>
        </w:rPr>
      </w:pPr>
      <w:r>
        <w:rPr>
          <w:color w:val="222222"/>
          <w:highlight w:val="white"/>
        </w:rPr>
        <w:t>Hardyns, W., Thys, J., Dorme, L., Klima, N. and Pauwels, L., (2021). Multi-agency working to prevent v</w:t>
      </w:r>
      <w:r>
        <w:rPr>
          <w:color w:val="222222"/>
          <w:highlight w:val="white"/>
        </w:rPr>
        <w:t xml:space="preserve">iolent radicalisation. </w:t>
      </w:r>
      <w:r>
        <w:rPr>
          <w:i/>
          <w:iCs/>
          <w:color w:val="222222"/>
          <w:highlight w:val="white"/>
        </w:rPr>
        <w:t>Radices: interdisciplinary journal for the study of terrorism &amp; extremism/Coördinatieorgaan voor de Dreigingsanalyse [Brussel]-Brussel, 2021, currens</w:t>
      </w:r>
      <w:r>
        <w:rPr>
          <w:color w:val="222222"/>
          <w:highlight w:val="white"/>
        </w:rPr>
        <w:t xml:space="preserve">, </w:t>
      </w:r>
      <w:r>
        <w:rPr>
          <w:i/>
          <w:iCs/>
          <w:color w:val="222222"/>
          <w:highlight w:val="white"/>
        </w:rPr>
        <w:t>1</w:t>
      </w:r>
      <w:r>
        <w:rPr>
          <w:color w:val="222222"/>
          <w:highlight w:val="white"/>
        </w:rPr>
        <w:t>(1), pp.22-40.</w:t>
      </w:r>
    </w:p>
    <w:p w:rsidR="006570F8" w:rsidRDefault="00AC22A9">
      <w:pPr>
        <w:pStyle w:val="normal0"/>
        <w:rPr>
          <w:color w:val="222222"/>
          <w:highlight w:val="white"/>
        </w:rPr>
      </w:pPr>
      <w:r>
        <w:rPr>
          <w:color w:val="222222"/>
          <w:highlight w:val="white"/>
        </w:rPr>
        <w:t xml:space="preserve">Leicester.gov.uk. (2025). </w:t>
      </w:r>
      <w:r>
        <w:rPr>
          <w:i/>
          <w:iCs/>
          <w:color w:val="222222"/>
          <w:highlight w:val="white"/>
        </w:rPr>
        <w:t>Leicester City Council</w:t>
      </w:r>
      <w:r>
        <w:rPr>
          <w:color w:val="222222"/>
          <w:highlight w:val="white"/>
        </w:rPr>
        <w:t>. [online] Available at: https://www.leicester.gov.uk/ [Accessed 24 Nov. 2025].</w:t>
      </w:r>
    </w:p>
    <w:p w:rsidR="006570F8" w:rsidRDefault="00AC22A9">
      <w:pPr>
        <w:pStyle w:val="normal0"/>
        <w:rPr>
          <w:color w:val="222222"/>
          <w:highlight w:val="white"/>
        </w:rPr>
      </w:pPr>
      <w:r>
        <w:rPr>
          <w:color w:val="222222"/>
          <w:highlight w:val="white"/>
        </w:rPr>
        <w:t xml:space="preserve">McGorry, P.D., Mei, C., Chanen, A., Hodges, C., Alvarez‐Jimenez, M. and Killackey, E., (2022). Designing and scaling up integrated youth mental health care. </w:t>
      </w:r>
      <w:r>
        <w:rPr>
          <w:i/>
          <w:iCs/>
          <w:color w:val="222222"/>
          <w:highlight w:val="white"/>
        </w:rPr>
        <w:t>World Psychiatry</w:t>
      </w:r>
      <w:r>
        <w:rPr>
          <w:color w:val="222222"/>
          <w:highlight w:val="white"/>
        </w:rPr>
        <w:t xml:space="preserve">, </w:t>
      </w:r>
      <w:r>
        <w:rPr>
          <w:i/>
          <w:iCs/>
          <w:color w:val="222222"/>
          <w:highlight w:val="white"/>
        </w:rPr>
        <w:t>2</w:t>
      </w:r>
      <w:r>
        <w:rPr>
          <w:i/>
          <w:iCs/>
          <w:color w:val="222222"/>
          <w:highlight w:val="white"/>
        </w:rPr>
        <w:t>1</w:t>
      </w:r>
      <w:r>
        <w:rPr>
          <w:color w:val="222222"/>
          <w:highlight w:val="white"/>
        </w:rPr>
        <w:t>(1), pp.61-76.</w:t>
      </w:r>
    </w:p>
    <w:p w:rsidR="006570F8" w:rsidRDefault="00AC22A9">
      <w:pPr>
        <w:pStyle w:val="normal0"/>
        <w:rPr>
          <w:color w:val="222222"/>
          <w:highlight w:val="white"/>
        </w:rPr>
      </w:pPr>
      <w:r>
        <w:rPr>
          <w:color w:val="222222"/>
          <w:highlight w:val="white"/>
        </w:rPr>
        <w:t xml:space="preserve">Miller, R., Glasby, J. and Dickinson, H., (2021). Integrated health and social care in England: ten years on. </w:t>
      </w:r>
      <w:r>
        <w:rPr>
          <w:i/>
          <w:iCs/>
          <w:color w:val="222222"/>
          <w:highlight w:val="white"/>
        </w:rPr>
        <w:t>International journal of integrated care</w:t>
      </w:r>
      <w:r>
        <w:rPr>
          <w:color w:val="222222"/>
          <w:highlight w:val="white"/>
        </w:rPr>
        <w:t xml:space="preserve">, </w:t>
      </w:r>
      <w:r>
        <w:rPr>
          <w:i/>
          <w:iCs/>
          <w:color w:val="222222"/>
          <w:highlight w:val="white"/>
        </w:rPr>
        <w:t>21</w:t>
      </w:r>
      <w:r>
        <w:rPr>
          <w:color w:val="222222"/>
          <w:highlight w:val="white"/>
        </w:rPr>
        <w:t>(4), p.6.</w:t>
      </w:r>
    </w:p>
    <w:p w:rsidR="006570F8" w:rsidRDefault="00AC22A9">
      <w:pPr>
        <w:pStyle w:val="normal0"/>
        <w:rPr>
          <w:color w:val="222222"/>
          <w:highlight w:val="white"/>
        </w:rPr>
      </w:pPr>
      <w:r>
        <w:rPr>
          <w:color w:val="222222"/>
          <w:highlight w:val="white"/>
        </w:rPr>
        <w:t xml:space="preserve">‌Norfolk County Council. (2025). </w:t>
      </w:r>
      <w:r>
        <w:rPr>
          <w:i/>
          <w:iCs/>
          <w:color w:val="222222"/>
          <w:highlight w:val="white"/>
        </w:rPr>
        <w:t>Norfolk County Council - Norfolk County Cou</w:t>
      </w:r>
      <w:r>
        <w:rPr>
          <w:i/>
          <w:iCs/>
          <w:color w:val="222222"/>
          <w:highlight w:val="white"/>
        </w:rPr>
        <w:t>ncil</w:t>
      </w:r>
      <w:r>
        <w:rPr>
          <w:color w:val="222222"/>
          <w:highlight w:val="white"/>
        </w:rPr>
        <w:t>. [online] Available at: https://www.norfolk.gov.uk/ [Accessed 24 Nov. 2025].</w:t>
      </w:r>
    </w:p>
    <w:p w:rsidR="006570F8" w:rsidRDefault="00AC22A9">
      <w:pPr>
        <w:pStyle w:val="normal0"/>
        <w:rPr>
          <w:color w:val="222222"/>
          <w:highlight w:val="white"/>
        </w:rPr>
      </w:pPr>
      <w:r>
        <w:rPr>
          <w:color w:val="222222"/>
          <w:highlight w:val="white"/>
        </w:rPr>
        <w:t xml:space="preserve">Owens, R. and Lloyd, J., (2023). From behaviour-based to ecological: Multi-agency partnership responses to extra-familial harm. </w:t>
      </w:r>
      <w:r>
        <w:rPr>
          <w:i/>
          <w:iCs/>
          <w:color w:val="222222"/>
          <w:highlight w:val="white"/>
        </w:rPr>
        <w:t>Journal of Social Work</w:t>
      </w:r>
      <w:r>
        <w:rPr>
          <w:color w:val="222222"/>
          <w:highlight w:val="white"/>
        </w:rPr>
        <w:t xml:space="preserve">, </w:t>
      </w:r>
      <w:r>
        <w:rPr>
          <w:i/>
          <w:iCs/>
          <w:color w:val="222222"/>
          <w:highlight w:val="white"/>
        </w:rPr>
        <w:t>23</w:t>
      </w:r>
      <w:r>
        <w:rPr>
          <w:color w:val="222222"/>
          <w:highlight w:val="white"/>
        </w:rPr>
        <w:t>(4), pp.741-760.</w:t>
      </w:r>
    </w:p>
    <w:p w:rsidR="006570F8" w:rsidRDefault="00AC22A9">
      <w:pPr>
        <w:pStyle w:val="normal0"/>
        <w:rPr>
          <w:color w:val="222222"/>
          <w:highlight w:val="white"/>
        </w:rPr>
      </w:pPr>
      <w:r>
        <w:rPr>
          <w:color w:val="222222"/>
          <w:highlight w:val="white"/>
        </w:rPr>
        <w:t xml:space="preserve">Quigg, Z., Smith, C., Hughes, K., Wilson, C., Butler, N., Jones, L. and Bellis, M.A., (2023). Everybody’s business: Early intervention and crime reduction. Understanding and enhancing the </w:t>
      </w:r>
      <w:r>
        <w:rPr>
          <w:color w:val="222222"/>
          <w:highlight w:val="white"/>
        </w:rPr>
        <w:lastRenderedPageBreak/>
        <w:t>role of police and multi-agency partners in preventing harms that cr</w:t>
      </w:r>
      <w:r>
        <w:rPr>
          <w:color w:val="222222"/>
          <w:highlight w:val="white"/>
        </w:rPr>
        <w:t>oss the public health and criminal justice landscape.</w:t>
      </w:r>
    </w:p>
    <w:p w:rsidR="006570F8" w:rsidRDefault="00AC22A9">
      <w:pPr>
        <w:pStyle w:val="normal0"/>
        <w:rPr>
          <w:color w:val="222222"/>
          <w:highlight w:val="white"/>
        </w:rPr>
      </w:pPr>
      <w:r>
        <w:rPr>
          <w:color w:val="222222"/>
          <w:highlight w:val="white"/>
        </w:rPr>
        <w:t xml:space="preserve">Siur, N., Kuzmenko, H., Pavlichenko, I., Malakhova, T. and Pravdiuk, A., (2024). Basic principles of the constitutional system of local self-government. </w:t>
      </w:r>
      <w:r>
        <w:rPr>
          <w:i/>
          <w:iCs/>
          <w:color w:val="222222"/>
          <w:highlight w:val="white"/>
        </w:rPr>
        <w:t>Multidisciplinary Reviews</w:t>
      </w:r>
      <w:r>
        <w:rPr>
          <w:color w:val="222222"/>
          <w:highlight w:val="white"/>
        </w:rPr>
        <w:t xml:space="preserve">, </w:t>
      </w:r>
      <w:r>
        <w:rPr>
          <w:i/>
          <w:iCs/>
          <w:color w:val="222222"/>
          <w:highlight w:val="white"/>
        </w:rPr>
        <w:t>7</w:t>
      </w:r>
      <w:r>
        <w:rPr>
          <w:color w:val="222222"/>
          <w:highlight w:val="white"/>
        </w:rPr>
        <w:t>.</w:t>
      </w:r>
    </w:p>
    <w:p w:rsidR="006570F8" w:rsidRDefault="00AC22A9">
      <w:pPr>
        <w:pStyle w:val="normal0"/>
        <w:rPr>
          <w:color w:val="222222"/>
          <w:highlight w:val="white"/>
        </w:rPr>
      </w:pPr>
      <w:r>
        <w:rPr>
          <w:color w:val="222222"/>
          <w:highlight w:val="white"/>
        </w:rPr>
        <w:t>‌Staffordshire.gov.</w:t>
      </w:r>
      <w:r>
        <w:rPr>
          <w:color w:val="222222"/>
          <w:highlight w:val="white"/>
        </w:rPr>
        <w:t xml:space="preserve">uk. (2023). </w:t>
      </w:r>
      <w:r>
        <w:rPr>
          <w:i/>
          <w:iCs/>
          <w:color w:val="222222"/>
          <w:highlight w:val="white"/>
        </w:rPr>
        <w:t>Home - Staffordshire County Council</w:t>
      </w:r>
      <w:r>
        <w:rPr>
          <w:color w:val="222222"/>
          <w:highlight w:val="white"/>
        </w:rPr>
        <w:t>. [online] Available at: https://www.staffordshire.gov.uk/Homepage.aspx [Accessed 24 Nov. 2025].</w:t>
      </w:r>
    </w:p>
    <w:p w:rsidR="006570F8" w:rsidRDefault="00AC22A9">
      <w:pPr>
        <w:pStyle w:val="normal0"/>
        <w:rPr>
          <w:color w:val="222222"/>
          <w:highlight w:val="white"/>
        </w:rPr>
      </w:pPr>
      <w:r>
        <w:rPr>
          <w:color w:val="222222"/>
          <w:highlight w:val="white"/>
        </w:rPr>
        <w:t>Uhlhaas, P.J., Davey, C.G., Mehta, U.M., Shah, J., Torous, J., Allen, N.B., Avenevoli, S., Bella-Awusah, T., Cha</w:t>
      </w:r>
      <w:r>
        <w:rPr>
          <w:color w:val="222222"/>
          <w:highlight w:val="white"/>
        </w:rPr>
        <w:t xml:space="preserve">nen, A., Chen, E.Y. and Correll, C.U., (2023). Towards a youth mental health paradigm: a perspective and roadmap. </w:t>
      </w:r>
      <w:r>
        <w:rPr>
          <w:i/>
          <w:iCs/>
          <w:color w:val="222222"/>
          <w:highlight w:val="white"/>
        </w:rPr>
        <w:t>Molecular Psychiatry</w:t>
      </w:r>
      <w:r>
        <w:rPr>
          <w:color w:val="222222"/>
          <w:highlight w:val="white"/>
        </w:rPr>
        <w:t xml:space="preserve">, </w:t>
      </w:r>
      <w:r>
        <w:rPr>
          <w:i/>
          <w:iCs/>
          <w:color w:val="222222"/>
          <w:highlight w:val="white"/>
        </w:rPr>
        <w:t>28</w:t>
      </w:r>
      <w:r>
        <w:rPr>
          <w:color w:val="222222"/>
          <w:highlight w:val="white"/>
        </w:rPr>
        <w:t>(8), pp.3171-3181.</w:t>
      </w:r>
    </w:p>
    <w:p w:rsidR="006570F8" w:rsidRDefault="006570F8">
      <w:pPr>
        <w:pStyle w:val="Heading1"/>
      </w:pPr>
      <w:bookmarkStart w:id="12" w:name="_heading=h.gpbipf187etl" w:colFirst="0" w:colLast="0"/>
      <w:bookmarkEnd w:id="12"/>
    </w:p>
    <w:sectPr w:rsidR="006570F8" w:rsidSect="006570F8">
      <w:footerReference w:type="default" r:id="rId7"/>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2A9" w:rsidRDefault="00AC22A9" w:rsidP="006570F8">
      <w:pPr>
        <w:spacing w:line="240" w:lineRule="auto"/>
      </w:pPr>
      <w:r>
        <w:separator/>
      </w:r>
    </w:p>
  </w:endnote>
  <w:endnote w:type="continuationSeparator" w:id="1">
    <w:p w:rsidR="00AC22A9" w:rsidRDefault="00AC22A9" w:rsidP="006570F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C6140D-7D5B-4F72-B1EA-0BFF1ABA904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0944EA74-44A5-4455-9947-BF135BFD2CA1}"/>
  </w:font>
  <w:font w:name="Cambria">
    <w:panose1 w:val="02040503050406030204"/>
    <w:charset w:val="00"/>
    <w:family w:val="roman"/>
    <w:pitch w:val="variable"/>
    <w:sig w:usb0="E00006FF" w:usb1="420024FF" w:usb2="02000000" w:usb3="00000000" w:csb0="0000019F" w:csb1="00000000"/>
    <w:embedRegular r:id="rId3" w:fontKey="{16BA6513-A3BD-435A-B267-1FD7F01742A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0F8" w:rsidRDefault="006570F8">
    <w:pPr>
      <w:pStyle w:val="normal0"/>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AC22A9">
      <w:rPr>
        <w:color w:val="000000"/>
      </w:rPr>
      <w:instrText>PAGE</w:instrText>
    </w:r>
    <w:r w:rsidR="000B2FA0">
      <w:rPr>
        <w:color w:val="000000"/>
      </w:rPr>
      <w:fldChar w:fldCharType="separate"/>
    </w:r>
    <w:r w:rsidR="000B2FA0">
      <w:rPr>
        <w:noProof/>
        <w:color w:val="000000"/>
      </w:rPr>
      <w:t>2</w:t>
    </w:r>
    <w:r>
      <w:rPr>
        <w:color w:val="000000"/>
      </w:rPr>
      <w:fldChar w:fldCharType="end"/>
    </w:r>
  </w:p>
  <w:p w:rsidR="006570F8" w:rsidRDefault="006570F8">
    <w:pPr>
      <w:pStyle w:val="normal0"/>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2A9" w:rsidRDefault="00AC22A9" w:rsidP="006570F8">
      <w:pPr>
        <w:spacing w:line="240" w:lineRule="auto"/>
      </w:pPr>
      <w:r>
        <w:separator/>
      </w:r>
    </w:p>
  </w:footnote>
  <w:footnote w:type="continuationSeparator" w:id="1">
    <w:p w:rsidR="00AC22A9" w:rsidRDefault="00AC22A9" w:rsidP="006570F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6570F8"/>
    <w:rsid w:val="000B2FA0"/>
    <w:rsid w:val="006570F8"/>
    <w:rsid w:val="00AC22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6570F8"/>
    <w:pPr>
      <w:keepNext/>
      <w:keepLines/>
      <w:outlineLvl w:val="0"/>
    </w:pPr>
    <w:rPr>
      <w:b/>
      <w:bCs/>
    </w:rPr>
  </w:style>
  <w:style w:type="paragraph" w:styleId="Heading2">
    <w:name w:val="heading 2"/>
    <w:basedOn w:val="normal0"/>
    <w:next w:val="normal0"/>
    <w:rsid w:val="006570F8"/>
    <w:pPr>
      <w:keepNext/>
      <w:keepLines/>
      <w:spacing w:before="360" w:after="120"/>
      <w:outlineLvl w:val="1"/>
    </w:pPr>
    <w:rPr>
      <w:sz w:val="32"/>
      <w:szCs w:val="32"/>
    </w:rPr>
  </w:style>
  <w:style w:type="paragraph" w:styleId="Heading3">
    <w:name w:val="heading 3"/>
    <w:basedOn w:val="normal0"/>
    <w:next w:val="normal0"/>
    <w:rsid w:val="006570F8"/>
    <w:pPr>
      <w:keepNext/>
      <w:keepLines/>
      <w:spacing w:before="320" w:after="80"/>
      <w:outlineLvl w:val="2"/>
    </w:pPr>
    <w:rPr>
      <w:color w:val="434343"/>
      <w:sz w:val="28"/>
      <w:szCs w:val="28"/>
    </w:rPr>
  </w:style>
  <w:style w:type="paragraph" w:styleId="Heading4">
    <w:name w:val="heading 4"/>
    <w:basedOn w:val="normal0"/>
    <w:next w:val="normal0"/>
    <w:rsid w:val="006570F8"/>
    <w:pPr>
      <w:keepNext/>
      <w:keepLines/>
      <w:spacing w:before="280" w:after="80"/>
      <w:outlineLvl w:val="3"/>
    </w:pPr>
    <w:rPr>
      <w:color w:val="666666"/>
    </w:rPr>
  </w:style>
  <w:style w:type="paragraph" w:styleId="Heading5">
    <w:name w:val="heading 5"/>
    <w:basedOn w:val="normal0"/>
    <w:next w:val="normal0"/>
    <w:rsid w:val="006570F8"/>
    <w:pPr>
      <w:keepNext/>
      <w:keepLines/>
      <w:spacing w:before="240" w:after="80"/>
      <w:outlineLvl w:val="4"/>
    </w:pPr>
    <w:rPr>
      <w:color w:val="666666"/>
      <w:sz w:val="22"/>
      <w:szCs w:val="22"/>
    </w:rPr>
  </w:style>
  <w:style w:type="paragraph" w:styleId="Heading6">
    <w:name w:val="heading 6"/>
    <w:basedOn w:val="normal0"/>
    <w:next w:val="normal0"/>
    <w:rsid w:val="006570F8"/>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570F8"/>
    <w:tblPr>
      <w:tblCellMar>
        <w:top w:w="100" w:type="dxa"/>
        <w:left w:w="100" w:type="dxa"/>
        <w:bottom w:w="100" w:type="dxa"/>
        <w:right w:w="100" w:type="dxa"/>
      </w:tblCellMar>
    </w:tblPr>
  </w:style>
  <w:style w:type="paragraph" w:customStyle="1" w:styleId="normal0">
    <w:name w:val="normal"/>
    <w:rsid w:val="006570F8"/>
  </w:style>
  <w:style w:type="paragraph" w:styleId="Title">
    <w:name w:val="Title"/>
    <w:basedOn w:val="normal0"/>
    <w:next w:val="normal0"/>
    <w:rsid w:val="006570F8"/>
    <w:pPr>
      <w:keepNext/>
      <w:keepLines/>
      <w:jc w:val="center"/>
    </w:pPr>
    <w:rPr>
      <w:b/>
      <w:bCs/>
      <w:sz w:val="32"/>
      <w:szCs w:val="32"/>
    </w:rPr>
  </w:style>
  <w:style w:type="table" w:customStyle="1" w:styleId="TableNormal1">
    <w:name w:val="TableNormal"/>
    <w:rsid w:val="006570F8"/>
    <w:tblPr>
      <w:tblCellMar>
        <w:top w:w="100" w:type="dxa"/>
        <w:left w:w="100" w:type="dxa"/>
        <w:bottom w:w="100" w:type="dxa"/>
        <w:right w:w="100" w:type="dxa"/>
      </w:tblCellMar>
    </w:tblPr>
  </w:style>
  <w:style w:type="paragraph" w:styleId="CommentText">
    <w:name w:val="annotation text"/>
    <w:basedOn w:val="normal0"/>
    <w:link w:val="CommentTextChar"/>
    <w:uiPriority w:val="99"/>
    <w:semiHidden/>
    <w:unhideWhenUsed/>
    <w:rsid w:val="006570F8"/>
    <w:pPr>
      <w:spacing w:line="240" w:lineRule="auto"/>
    </w:pPr>
    <w:rPr>
      <w:sz w:val="20"/>
      <w:szCs w:val="20"/>
    </w:rPr>
  </w:style>
  <w:style w:type="character" w:customStyle="1" w:styleId="CommentTextChar">
    <w:name w:val="Comment Text Char"/>
    <w:basedOn w:val="DefaultParagraphFont"/>
    <w:link w:val="CommentText"/>
    <w:uiPriority w:val="99"/>
    <w:semiHidden/>
    <w:rsid w:val="006570F8"/>
    <w:rPr>
      <w:sz w:val="20"/>
      <w:szCs w:val="20"/>
    </w:rPr>
  </w:style>
  <w:style w:type="character" w:styleId="CommentReference">
    <w:name w:val="annotation reference"/>
    <w:basedOn w:val="DefaultParagraphFont"/>
    <w:uiPriority w:val="99"/>
    <w:semiHidden/>
    <w:unhideWhenUsed/>
    <w:rsid w:val="006570F8"/>
    <w:rPr>
      <w:sz w:val="16"/>
      <w:szCs w:val="16"/>
    </w:rPr>
  </w:style>
  <w:style w:type="paragraph" w:styleId="Header">
    <w:name w:val="header"/>
    <w:basedOn w:val="normal0"/>
    <w:link w:val="HeaderChar"/>
    <w:uiPriority w:val="99"/>
    <w:unhideWhenUsed/>
    <w:rsid w:val="007A4EEB"/>
    <w:pPr>
      <w:tabs>
        <w:tab w:val="center" w:pos="4513"/>
        <w:tab w:val="right" w:pos="9026"/>
      </w:tabs>
      <w:spacing w:line="240" w:lineRule="auto"/>
    </w:pPr>
  </w:style>
  <w:style w:type="character" w:customStyle="1" w:styleId="HeaderChar">
    <w:name w:val="Header Char"/>
    <w:basedOn w:val="DefaultParagraphFont"/>
    <w:link w:val="Header"/>
    <w:uiPriority w:val="99"/>
    <w:rsid w:val="007A4EEB"/>
  </w:style>
  <w:style w:type="paragraph" w:styleId="Footer">
    <w:name w:val="footer"/>
    <w:basedOn w:val="normal0"/>
    <w:link w:val="FooterChar"/>
    <w:uiPriority w:val="99"/>
    <w:unhideWhenUsed/>
    <w:rsid w:val="007A4EEB"/>
    <w:pPr>
      <w:tabs>
        <w:tab w:val="center" w:pos="4513"/>
        <w:tab w:val="right" w:pos="9026"/>
      </w:tabs>
      <w:spacing w:line="240" w:lineRule="auto"/>
    </w:pPr>
  </w:style>
  <w:style w:type="character" w:customStyle="1" w:styleId="FooterChar">
    <w:name w:val="Footer Char"/>
    <w:basedOn w:val="DefaultParagraphFont"/>
    <w:link w:val="Footer"/>
    <w:uiPriority w:val="99"/>
    <w:rsid w:val="007A4EEB"/>
  </w:style>
  <w:style w:type="paragraph" w:styleId="TOCHeading">
    <w:name w:val="TOC Heading"/>
    <w:basedOn w:val="Heading1"/>
    <w:next w:val="normal0"/>
    <w:uiPriority w:val="39"/>
    <w:unhideWhenUsed/>
    <w:qFormat/>
    <w:rsid w:val="007A4EE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IN"/>
    </w:rPr>
  </w:style>
  <w:style w:type="paragraph" w:styleId="TOC1">
    <w:name w:val="toc 1"/>
    <w:basedOn w:val="normal0"/>
    <w:next w:val="normal0"/>
    <w:autoRedefine/>
    <w:uiPriority w:val="39"/>
    <w:unhideWhenUsed/>
    <w:rsid w:val="007A4EEB"/>
    <w:pPr>
      <w:spacing w:after="100"/>
    </w:pPr>
  </w:style>
  <w:style w:type="character" w:styleId="Hyperlink">
    <w:name w:val="Hyperlink"/>
    <w:basedOn w:val="DefaultParagraphFont"/>
    <w:uiPriority w:val="99"/>
    <w:unhideWhenUsed/>
    <w:rsid w:val="007A4EEB"/>
    <w:rPr>
      <w:color w:val="0000FF" w:themeColor="hyperlink"/>
      <w:u w:val="single"/>
    </w:rPr>
  </w:style>
  <w:style w:type="paragraph" w:styleId="Subtitle">
    <w:name w:val="Subtitle"/>
    <w:basedOn w:val="normal0"/>
    <w:next w:val="normal0"/>
    <w:rsid w:val="006570F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B2F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F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dZ9a9+iiCGoo6y52thqSQCmlgg==">CgMxLjAyDmgucTh2dzJ0OWpoeXpuMg5oLjZ3MWpjem1uazNmajIOaC5oaDhxZmc0cDFsZjEyDmguN3F5N3Y5cXFxb2tmMg5oLjEybDUwOHNvOHg4dzIOaC5jOWJxcTNqaDVuaDcyDmgucXQ5d2wxZTcxOHV0Mg5oLnc1ZzJ0NTloc3NxcTIOaC4zZmVyN2NldWF5dHAyDmguNm84enU3d3JuMmN4Mg5oLm85MnBtdmo0N3FwOTIOaC52eWt5eGxsN2cyOHQyDmguZ3BiaXBmMTg3ZXRsOAByITFPcWtKaF9zd3AxQU80bkVXYnZkM3Z3clo1XzNaVk56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2764</Words>
  <Characters>15755</Characters>
  <Application>Microsoft Office Word</Application>
  <DocSecurity>0</DocSecurity>
  <Lines>131</Lines>
  <Paragraphs>36</Paragraphs>
  <ScaleCrop>false</ScaleCrop>
  <Company/>
  <LinksUpToDate>false</LinksUpToDate>
  <CharactersWithSpaces>18483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2025-12-11T13:56:00Z</dcterms:created>
  <dcterms:modified xsi:type="dcterms:W3CDTF">2025-12-11T13:56:00Z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a57d6b10-7867-46a4-8d6c-cb792d806a5d</vt:lpwstr>
  </property>
</Properties>
</file>