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E6C3A" w14:textId="5F4E06B2" w:rsidR="00A12B7A" w:rsidRPr="00977DC8" w:rsidRDefault="00977DC8" w:rsidP="00977DC8">
      <w:pPr>
        <w:pStyle w:val="Heading2"/>
        <w:jc w:val="center"/>
        <w:rPr>
          <w:rFonts w:ascii="Arial" w:hAnsi="Arial" w:cs="Arial"/>
          <w:sz w:val="40"/>
          <w:szCs w:val="40"/>
        </w:rPr>
      </w:pPr>
      <w:bookmarkStart w:id="0" w:name="_Toc242205617"/>
      <w:bookmarkStart w:id="1" w:name="_Toc242205675"/>
      <w:r w:rsidRPr="00977DC8">
        <w:rPr>
          <w:rFonts w:ascii="Arial" w:hAnsi="Arial" w:cs="Arial"/>
          <w:sz w:val="40"/>
          <w:szCs w:val="40"/>
        </w:rPr>
        <w:t>Title Page</w:t>
      </w:r>
      <w:bookmarkEnd w:id="0"/>
      <w:bookmarkEnd w:id="1"/>
    </w:p>
    <w:p w14:paraId="0C0447DD" w14:textId="77777777" w:rsidR="00A12B7A" w:rsidRPr="00A12B7A" w:rsidRDefault="00A12B7A" w:rsidP="00A12B7A">
      <w:pPr>
        <w:spacing w:line="360" w:lineRule="auto"/>
        <w:jc w:val="right"/>
        <w:rPr>
          <w:rFonts w:ascii="Arial" w:hAnsi="Arial" w:cs="Arial"/>
          <w:b/>
          <w:bCs/>
          <w:sz w:val="40"/>
          <w:szCs w:val="40"/>
        </w:rPr>
      </w:pPr>
    </w:p>
    <w:p w14:paraId="584E1A01" w14:textId="7E82BF13" w:rsidR="00A12B7A" w:rsidRDefault="00A12B7A" w:rsidP="00A12B7A">
      <w:pPr>
        <w:spacing w:line="360" w:lineRule="auto"/>
        <w:jc w:val="right"/>
        <w:rPr>
          <w:rFonts w:ascii="Arial" w:hAnsi="Arial" w:cs="Arial"/>
          <w:b/>
          <w:bCs/>
          <w:sz w:val="40"/>
          <w:szCs w:val="40"/>
        </w:rPr>
      </w:pPr>
      <w:r w:rsidRPr="00A12B7A">
        <w:rPr>
          <w:rFonts w:ascii="Arial" w:hAnsi="Arial" w:cs="Arial"/>
          <w:b/>
          <w:bCs/>
          <w:sz w:val="40"/>
          <w:szCs w:val="40"/>
        </w:rPr>
        <w:t>Name: Andreea Catalina Paun</w:t>
      </w:r>
    </w:p>
    <w:p w14:paraId="2B44C2FE" w14:textId="77777777" w:rsidR="00A12B7A" w:rsidRPr="00A12B7A" w:rsidRDefault="00A12B7A" w:rsidP="00A12B7A">
      <w:pPr>
        <w:spacing w:line="360" w:lineRule="auto"/>
        <w:jc w:val="right"/>
        <w:rPr>
          <w:rFonts w:ascii="Arial" w:hAnsi="Arial" w:cs="Arial"/>
          <w:b/>
          <w:bCs/>
          <w:sz w:val="40"/>
          <w:szCs w:val="40"/>
        </w:rPr>
      </w:pPr>
    </w:p>
    <w:p w14:paraId="270425F0" w14:textId="2EF44C6E" w:rsidR="00A12B7A" w:rsidRDefault="00A12B7A" w:rsidP="00A12B7A">
      <w:pPr>
        <w:spacing w:line="360" w:lineRule="auto"/>
        <w:jc w:val="right"/>
        <w:rPr>
          <w:rFonts w:ascii="Arial" w:hAnsi="Arial" w:cs="Arial"/>
          <w:b/>
          <w:bCs/>
          <w:sz w:val="40"/>
          <w:szCs w:val="40"/>
        </w:rPr>
      </w:pPr>
      <w:r w:rsidRPr="00A12B7A">
        <w:rPr>
          <w:rFonts w:ascii="Arial" w:hAnsi="Arial" w:cs="Arial"/>
          <w:b/>
          <w:bCs/>
          <w:sz w:val="40"/>
          <w:szCs w:val="40"/>
        </w:rPr>
        <w:t>Student number: 1919504</w:t>
      </w:r>
    </w:p>
    <w:p w14:paraId="03E1B0F7" w14:textId="77777777" w:rsidR="00A12B7A" w:rsidRPr="00A12B7A" w:rsidRDefault="00A12B7A" w:rsidP="00A12B7A">
      <w:pPr>
        <w:spacing w:line="360" w:lineRule="auto"/>
        <w:jc w:val="right"/>
        <w:rPr>
          <w:rFonts w:ascii="Arial" w:hAnsi="Arial" w:cs="Arial"/>
          <w:b/>
          <w:bCs/>
          <w:sz w:val="40"/>
          <w:szCs w:val="40"/>
        </w:rPr>
      </w:pPr>
    </w:p>
    <w:p w14:paraId="3B9CAB52" w14:textId="06CBEC78" w:rsidR="00A12B7A" w:rsidRDefault="00A12B7A" w:rsidP="00A12B7A">
      <w:pPr>
        <w:spacing w:line="360" w:lineRule="auto"/>
        <w:jc w:val="right"/>
        <w:rPr>
          <w:rFonts w:ascii="Arial" w:hAnsi="Arial" w:cs="Arial"/>
          <w:b/>
          <w:bCs/>
          <w:sz w:val="40"/>
          <w:szCs w:val="40"/>
        </w:rPr>
      </w:pPr>
      <w:r w:rsidRPr="00A12B7A">
        <w:rPr>
          <w:rFonts w:ascii="Arial" w:hAnsi="Arial" w:cs="Arial"/>
          <w:b/>
          <w:bCs/>
          <w:sz w:val="40"/>
          <w:szCs w:val="40"/>
        </w:rPr>
        <w:t xml:space="preserve">The module code and title: BMHP2026 </w:t>
      </w:r>
      <w:r w:rsidRPr="00A12B7A">
        <w:rPr>
          <w:rFonts w:ascii="Arial" w:hAnsi="Arial" w:cs="Arial"/>
          <w:b/>
          <w:bCs/>
          <w:sz w:val="40"/>
          <w:szCs w:val="40"/>
        </w:rPr>
        <w:t>Digital Transformation in the Health and Care Professions</w:t>
      </w:r>
    </w:p>
    <w:p w14:paraId="55F06AC4" w14:textId="77777777" w:rsidR="00A12B7A" w:rsidRPr="00A12B7A" w:rsidRDefault="00A12B7A" w:rsidP="00A12B7A">
      <w:pPr>
        <w:spacing w:line="360" w:lineRule="auto"/>
        <w:jc w:val="right"/>
        <w:rPr>
          <w:rFonts w:ascii="Arial" w:hAnsi="Arial" w:cs="Arial"/>
          <w:b/>
          <w:bCs/>
          <w:sz w:val="40"/>
          <w:szCs w:val="40"/>
        </w:rPr>
      </w:pPr>
    </w:p>
    <w:p w14:paraId="7E816984" w14:textId="682B1807" w:rsidR="00A12B7A" w:rsidRPr="00A12B7A" w:rsidRDefault="00A12B7A" w:rsidP="00A12B7A">
      <w:pPr>
        <w:spacing w:line="360" w:lineRule="auto"/>
        <w:jc w:val="right"/>
        <w:rPr>
          <w:rFonts w:ascii="Arial" w:hAnsi="Arial" w:cs="Arial"/>
          <w:b/>
          <w:bCs/>
          <w:sz w:val="40"/>
          <w:szCs w:val="40"/>
        </w:rPr>
      </w:pPr>
      <w:r w:rsidRPr="00A12B7A">
        <w:rPr>
          <w:rFonts w:ascii="Arial" w:hAnsi="Arial" w:cs="Arial"/>
          <w:b/>
          <w:bCs/>
          <w:sz w:val="40"/>
          <w:szCs w:val="40"/>
        </w:rPr>
        <w:t xml:space="preserve">Assignment title: </w:t>
      </w:r>
      <w:r w:rsidRPr="00A12B7A">
        <w:rPr>
          <w:rFonts w:ascii="Arial" w:hAnsi="Arial" w:cs="Arial"/>
          <w:b/>
          <w:bCs/>
          <w:sz w:val="40"/>
          <w:szCs w:val="40"/>
        </w:rPr>
        <w:t>Component 1: Written Report</w:t>
      </w:r>
    </w:p>
    <w:p w14:paraId="40AE2DEF" w14:textId="77777777" w:rsidR="00A12B7A" w:rsidRDefault="00A12B7A" w:rsidP="002D26E9">
      <w:pPr>
        <w:spacing w:line="360" w:lineRule="auto"/>
        <w:rPr>
          <w:rFonts w:ascii="Arial" w:hAnsi="Arial" w:cs="Arial"/>
          <w:sz w:val="22"/>
          <w:szCs w:val="22"/>
        </w:rPr>
      </w:pPr>
    </w:p>
    <w:p w14:paraId="28AE3B0F" w14:textId="77777777" w:rsidR="00A12B7A" w:rsidRDefault="00A12B7A" w:rsidP="002D26E9">
      <w:pPr>
        <w:spacing w:line="360" w:lineRule="auto"/>
        <w:rPr>
          <w:rFonts w:ascii="Arial" w:hAnsi="Arial" w:cs="Arial"/>
          <w:sz w:val="22"/>
          <w:szCs w:val="22"/>
        </w:rPr>
      </w:pPr>
    </w:p>
    <w:p w14:paraId="43E1D959" w14:textId="77777777" w:rsidR="00A12B7A" w:rsidRDefault="00A12B7A" w:rsidP="002D26E9">
      <w:pPr>
        <w:spacing w:line="360" w:lineRule="auto"/>
        <w:rPr>
          <w:rFonts w:ascii="Arial" w:hAnsi="Arial" w:cs="Arial"/>
          <w:sz w:val="22"/>
          <w:szCs w:val="22"/>
        </w:rPr>
      </w:pPr>
    </w:p>
    <w:p w14:paraId="48EE6742" w14:textId="77777777" w:rsidR="00A12B7A" w:rsidRDefault="00A12B7A" w:rsidP="002D26E9">
      <w:pPr>
        <w:spacing w:line="360" w:lineRule="auto"/>
        <w:rPr>
          <w:rFonts w:ascii="Arial" w:hAnsi="Arial" w:cs="Arial"/>
          <w:sz w:val="22"/>
          <w:szCs w:val="22"/>
        </w:rPr>
      </w:pPr>
    </w:p>
    <w:p w14:paraId="6FFEB3DF" w14:textId="77777777" w:rsidR="00A12B7A" w:rsidRDefault="00A12B7A" w:rsidP="002D26E9">
      <w:pPr>
        <w:spacing w:line="360" w:lineRule="auto"/>
        <w:rPr>
          <w:rFonts w:ascii="Arial" w:hAnsi="Arial" w:cs="Arial"/>
          <w:sz w:val="22"/>
          <w:szCs w:val="22"/>
        </w:rPr>
      </w:pPr>
    </w:p>
    <w:p w14:paraId="64320285" w14:textId="77777777" w:rsidR="00A12B7A" w:rsidRDefault="00A12B7A" w:rsidP="002D26E9">
      <w:pPr>
        <w:spacing w:line="360" w:lineRule="auto"/>
        <w:rPr>
          <w:rFonts w:ascii="Arial" w:hAnsi="Arial" w:cs="Arial"/>
          <w:sz w:val="22"/>
          <w:szCs w:val="22"/>
        </w:rPr>
      </w:pPr>
    </w:p>
    <w:p w14:paraId="6B238AC6" w14:textId="77777777" w:rsidR="00A12B7A" w:rsidRDefault="00A12B7A" w:rsidP="002D26E9">
      <w:pPr>
        <w:spacing w:line="360" w:lineRule="auto"/>
        <w:rPr>
          <w:rFonts w:ascii="Arial" w:hAnsi="Arial" w:cs="Arial"/>
          <w:sz w:val="22"/>
          <w:szCs w:val="22"/>
        </w:rPr>
      </w:pPr>
    </w:p>
    <w:p w14:paraId="203D079A" w14:textId="77777777" w:rsidR="00A12B7A" w:rsidRDefault="00A12B7A" w:rsidP="002D26E9">
      <w:pPr>
        <w:spacing w:line="360" w:lineRule="auto"/>
        <w:rPr>
          <w:rFonts w:ascii="Arial" w:hAnsi="Arial" w:cs="Arial"/>
          <w:sz w:val="22"/>
          <w:szCs w:val="22"/>
        </w:rPr>
      </w:pPr>
    </w:p>
    <w:p w14:paraId="60091065" w14:textId="77777777" w:rsidR="00A12B7A" w:rsidRDefault="00A12B7A" w:rsidP="002D26E9">
      <w:pPr>
        <w:spacing w:line="360" w:lineRule="auto"/>
        <w:rPr>
          <w:rFonts w:ascii="Arial" w:hAnsi="Arial" w:cs="Arial"/>
          <w:sz w:val="22"/>
          <w:szCs w:val="22"/>
        </w:rPr>
      </w:pPr>
    </w:p>
    <w:p w14:paraId="23707147" w14:textId="77777777" w:rsidR="00A12B7A" w:rsidRDefault="00A12B7A" w:rsidP="002D26E9">
      <w:pPr>
        <w:spacing w:line="360" w:lineRule="auto"/>
        <w:rPr>
          <w:rFonts w:ascii="Arial" w:hAnsi="Arial" w:cs="Arial"/>
          <w:sz w:val="22"/>
          <w:szCs w:val="22"/>
        </w:rPr>
      </w:pPr>
    </w:p>
    <w:p w14:paraId="5232AE10" w14:textId="61510DA8" w:rsidR="00977DC8" w:rsidRDefault="00977DC8" w:rsidP="00977DC8">
      <w:pPr>
        <w:pStyle w:val="Heading2"/>
        <w:jc w:val="center"/>
      </w:pPr>
      <w:bookmarkStart w:id="2" w:name="_Toc242205618"/>
      <w:bookmarkStart w:id="3" w:name="_Toc242205676"/>
      <w:r>
        <w:t>Table of Contents</w:t>
      </w:r>
      <w:bookmarkEnd w:id="2"/>
      <w:bookmarkEnd w:id="3"/>
    </w:p>
    <w:p w14:paraId="672BD26B" w14:textId="77777777" w:rsidR="00977DC8" w:rsidRDefault="00977DC8" w:rsidP="00977DC8"/>
    <w:p w14:paraId="4AC60FB5" w14:textId="77777777" w:rsidR="00977DC8" w:rsidRPr="00977DC8" w:rsidRDefault="00977DC8" w:rsidP="00977DC8"/>
    <w:sdt>
      <w:sdtPr>
        <w:id w:val="-143551921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1659743" w14:textId="52710774" w:rsidR="00977DC8" w:rsidRDefault="00977DC8">
          <w:pPr>
            <w:pStyle w:val="TOCHeading"/>
          </w:pPr>
          <w:r>
            <w:t>Contents</w:t>
          </w:r>
        </w:p>
        <w:p w14:paraId="486AB074" w14:textId="2B57726A" w:rsidR="00977DC8" w:rsidRDefault="00977DC8">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42205675" w:history="1">
            <w:r w:rsidRPr="004B26D8">
              <w:rPr>
                <w:rStyle w:val="Hyperlink"/>
                <w:rFonts w:ascii="Arial" w:hAnsi="Arial" w:cs="Arial"/>
                <w:noProof/>
              </w:rPr>
              <w:t>Title Page</w:t>
            </w:r>
            <w:r>
              <w:rPr>
                <w:noProof/>
                <w:webHidden/>
              </w:rPr>
              <w:tab/>
            </w:r>
            <w:r>
              <w:rPr>
                <w:noProof/>
                <w:webHidden/>
              </w:rPr>
              <w:fldChar w:fldCharType="begin"/>
            </w:r>
            <w:r>
              <w:rPr>
                <w:noProof/>
                <w:webHidden/>
              </w:rPr>
              <w:instrText xml:space="preserve"> PAGEREF _Toc242205675 \h </w:instrText>
            </w:r>
            <w:r>
              <w:rPr>
                <w:noProof/>
                <w:webHidden/>
              </w:rPr>
            </w:r>
            <w:r>
              <w:rPr>
                <w:noProof/>
                <w:webHidden/>
              </w:rPr>
              <w:fldChar w:fldCharType="separate"/>
            </w:r>
            <w:r>
              <w:rPr>
                <w:noProof/>
                <w:webHidden/>
              </w:rPr>
              <w:t>1</w:t>
            </w:r>
            <w:r>
              <w:rPr>
                <w:noProof/>
                <w:webHidden/>
              </w:rPr>
              <w:fldChar w:fldCharType="end"/>
            </w:r>
          </w:hyperlink>
        </w:p>
        <w:p w14:paraId="40003353" w14:textId="5B53AC60" w:rsidR="00977DC8" w:rsidRDefault="00977DC8">
          <w:pPr>
            <w:pStyle w:val="TOC2"/>
            <w:tabs>
              <w:tab w:val="right" w:leader="dot" w:pos="9016"/>
            </w:tabs>
            <w:rPr>
              <w:rFonts w:cstheme="minorBidi"/>
              <w:noProof/>
              <w:kern w:val="2"/>
              <w:sz w:val="24"/>
              <w:szCs w:val="24"/>
              <w14:ligatures w14:val="standardContextual"/>
            </w:rPr>
          </w:pPr>
          <w:hyperlink w:anchor="_Toc242205676" w:history="1">
            <w:r w:rsidRPr="004B26D8">
              <w:rPr>
                <w:rStyle w:val="Hyperlink"/>
                <w:noProof/>
              </w:rPr>
              <w:t>Table of Contents</w:t>
            </w:r>
            <w:r>
              <w:rPr>
                <w:noProof/>
                <w:webHidden/>
              </w:rPr>
              <w:tab/>
            </w:r>
            <w:r>
              <w:rPr>
                <w:noProof/>
                <w:webHidden/>
              </w:rPr>
              <w:fldChar w:fldCharType="begin"/>
            </w:r>
            <w:r>
              <w:rPr>
                <w:noProof/>
                <w:webHidden/>
              </w:rPr>
              <w:instrText xml:space="preserve"> PAGEREF _Toc242205676 \h </w:instrText>
            </w:r>
            <w:r>
              <w:rPr>
                <w:noProof/>
                <w:webHidden/>
              </w:rPr>
            </w:r>
            <w:r>
              <w:rPr>
                <w:noProof/>
                <w:webHidden/>
              </w:rPr>
              <w:fldChar w:fldCharType="separate"/>
            </w:r>
            <w:r>
              <w:rPr>
                <w:noProof/>
                <w:webHidden/>
              </w:rPr>
              <w:t>2</w:t>
            </w:r>
            <w:r>
              <w:rPr>
                <w:noProof/>
                <w:webHidden/>
              </w:rPr>
              <w:fldChar w:fldCharType="end"/>
            </w:r>
          </w:hyperlink>
        </w:p>
        <w:p w14:paraId="62BDC12E" w14:textId="50ED5042" w:rsidR="00977DC8" w:rsidRDefault="00977DC8">
          <w:pPr>
            <w:pStyle w:val="TOC1"/>
            <w:tabs>
              <w:tab w:val="right" w:leader="dot" w:pos="9016"/>
            </w:tabs>
            <w:rPr>
              <w:rFonts w:cstheme="minorBidi"/>
              <w:noProof/>
              <w:kern w:val="2"/>
              <w:sz w:val="24"/>
              <w:szCs w:val="24"/>
              <w14:ligatures w14:val="standardContextual"/>
            </w:rPr>
          </w:pPr>
          <w:hyperlink w:anchor="_Toc242205677" w:history="1">
            <w:r w:rsidRPr="004B26D8">
              <w:rPr>
                <w:rStyle w:val="Hyperlink"/>
                <w:noProof/>
              </w:rPr>
              <w:t>Digital Transformation in Health and Social Care: The NHS App</w:t>
            </w:r>
            <w:r>
              <w:rPr>
                <w:noProof/>
                <w:webHidden/>
              </w:rPr>
              <w:tab/>
            </w:r>
            <w:r>
              <w:rPr>
                <w:noProof/>
                <w:webHidden/>
              </w:rPr>
              <w:fldChar w:fldCharType="begin"/>
            </w:r>
            <w:r>
              <w:rPr>
                <w:noProof/>
                <w:webHidden/>
              </w:rPr>
              <w:instrText xml:space="preserve"> PAGEREF _Toc242205677 \h </w:instrText>
            </w:r>
            <w:r>
              <w:rPr>
                <w:noProof/>
                <w:webHidden/>
              </w:rPr>
            </w:r>
            <w:r>
              <w:rPr>
                <w:noProof/>
                <w:webHidden/>
              </w:rPr>
              <w:fldChar w:fldCharType="separate"/>
            </w:r>
            <w:r>
              <w:rPr>
                <w:noProof/>
                <w:webHidden/>
              </w:rPr>
              <w:t>2</w:t>
            </w:r>
            <w:r>
              <w:rPr>
                <w:noProof/>
                <w:webHidden/>
              </w:rPr>
              <w:fldChar w:fldCharType="end"/>
            </w:r>
          </w:hyperlink>
        </w:p>
        <w:p w14:paraId="24A8ED3C" w14:textId="43D49A96" w:rsidR="00977DC8" w:rsidRDefault="00977DC8">
          <w:pPr>
            <w:pStyle w:val="TOC2"/>
            <w:tabs>
              <w:tab w:val="right" w:leader="dot" w:pos="9016"/>
            </w:tabs>
            <w:rPr>
              <w:rFonts w:cstheme="minorBidi"/>
              <w:noProof/>
              <w:kern w:val="2"/>
              <w:sz w:val="24"/>
              <w:szCs w:val="24"/>
              <w14:ligatures w14:val="standardContextual"/>
            </w:rPr>
          </w:pPr>
          <w:hyperlink w:anchor="_Toc242205678" w:history="1">
            <w:r w:rsidRPr="004B26D8">
              <w:rPr>
                <w:rStyle w:val="Hyperlink"/>
                <w:noProof/>
              </w:rPr>
              <w:t>1. Introduction</w:t>
            </w:r>
            <w:r>
              <w:rPr>
                <w:noProof/>
                <w:webHidden/>
              </w:rPr>
              <w:tab/>
            </w:r>
            <w:r>
              <w:rPr>
                <w:noProof/>
                <w:webHidden/>
              </w:rPr>
              <w:fldChar w:fldCharType="begin"/>
            </w:r>
            <w:r>
              <w:rPr>
                <w:noProof/>
                <w:webHidden/>
              </w:rPr>
              <w:instrText xml:space="preserve"> PAGEREF _Toc242205678 \h </w:instrText>
            </w:r>
            <w:r>
              <w:rPr>
                <w:noProof/>
                <w:webHidden/>
              </w:rPr>
            </w:r>
            <w:r>
              <w:rPr>
                <w:noProof/>
                <w:webHidden/>
              </w:rPr>
              <w:fldChar w:fldCharType="separate"/>
            </w:r>
            <w:r>
              <w:rPr>
                <w:noProof/>
                <w:webHidden/>
              </w:rPr>
              <w:t>2</w:t>
            </w:r>
            <w:r>
              <w:rPr>
                <w:noProof/>
                <w:webHidden/>
              </w:rPr>
              <w:fldChar w:fldCharType="end"/>
            </w:r>
          </w:hyperlink>
        </w:p>
        <w:p w14:paraId="7FA1E35F" w14:textId="5181EE02" w:rsidR="00977DC8" w:rsidRDefault="00977DC8">
          <w:pPr>
            <w:pStyle w:val="TOC2"/>
            <w:tabs>
              <w:tab w:val="right" w:leader="dot" w:pos="9016"/>
            </w:tabs>
            <w:rPr>
              <w:rFonts w:cstheme="minorBidi"/>
              <w:noProof/>
              <w:kern w:val="2"/>
              <w:sz w:val="24"/>
              <w:szCs w:val="24"/>
              <w14:ligatures w14:val="standardContextual"/>
            </w:rPr>
          </w:pPr>
          <w:hyperlink w:anchor="_Toc242205679" w:history="1">
            <w:r w:rsidRPr="004B26D8">
              <w:rPr>
                <w:rStyle w:val="Hyperlink"/>
                <w:noProof/>
              </w:rPr>
              <w:t>2. Service Delivery</w:t>
            </w:r>
            <w:r>
              <w:rPr>
                <w:noProof/>
                <w:webHidden/>
              </w:rPr>
              <w:tab/>
            </w:r>
            <w:r>
              <w:rPr>
                <w:noProof/>
                <w:webHidden/>
              </w:rPr>
              <w:fldChar w:fldCharType="begin"/>
            </w:r>
            <w:r>
              <w:rPr>
                <w:noProof/>
                <w:webHidden/>
              </w:rPr>
              <w:instrText xml:space="preserve"> PAGEREF _Toc242205679 \h </w:instrText>
            </w:r>
            <w:r>
              <w:rPr>
                <w:noProof/>
                <w:webHidden/>
              </w:rPr>
            </w:r>
            <w:r>
              <w:rPr>
                <w:noProof/>
                <w:webHidden/>
              </w:rPr>
              <w:fldChar w:fldCharType="separate"/>
            </w:r>
            <w:r>
              <w:rPr>
                <w:noProof/>
                <w:webHidden/>
              </w:rPr>
              <w:t>3</w:t>
            </w:r>
            <w:r>
              <w:rPr>
                <w:noProof/>
                <w:webHidden/>
              </w:rPr>
              <w:fldChar w:fldCharType="end"/>
            </w:r>
          </w:hyperlink>
        </w:p>
        <w:p w14:paraId="009CA5C8" w14:textId="6318B7E3" w:rsidR="00977DC8" w:rsidRDefault="00977DC8">
          <w:pPr>
            <w:pStyle w:val="TOC2"/>
            <w:tabs>
              <w:tab w:val="right" w:leader="dot" w:pos="9016"/>
            </w:tabs>
            <w:rPr>
              <w:rFonts w:cstheme="minorBidi"/>
              <w:noProof/>
              <w:kern w:val="2"/>
              <w:sz w:val="24"/>
              <w:szCs w:val="24"/>
              <w14:ligatures w14:val="standardContextual"/>
            </w:rPr>
          </w:pPr>
          <w:hyperlink w:anchor="_Toc242205680" w:history="1">
            <w:r w:rsidRPr="004B26D8">
              <w:rPr>
                <w:rStyle w:val="Hyperlink"/>
                <w:noProof/>
              </w:rPr>
              <w:t>3. Patient and Service User</w:t>
            </w:r>
            <w:r>
              <w:rPr>
                <w:noProof/>
                <w:webHidden/>
              </w:rPr>
              <w:tab/>
            </w:r>
            <w:r>
              <w:rPr>
                <w:noProof/>
                <w:webHidden/>
              </w:rPr>
              <w:fldChar w:fldCharType="begin"/>
            </w:r>
            <w:r>
              <w:rPr>
                <w:noProof/>
                <w:webHidden/>
              </w:rPr>
              <w:instrText xml:space="preserve"> PAGEREF _Toc242205680 \h </w:instrText>
            </w:r>
            <w:r>
              <w:rPr>
                <w:noProof/>
                <w:webHidden/>
              </w:rPr>
            </w:r>
            <w:r>
              <w:rPr>
                <w:noProof/>
                <w:webHidden/>
              </w:rPr>
              <w:fldChar w:fldCharType="separate"/>
            </w:r>
            <w:r>
              <w:rPr>
                <w:noProof/>
                <w:webHidden/>
              </w:rPr>
              <w:t>5</w:t>
            </w:r>
            <w:r>
              <w:rPr>
                <w:noProof/>
                <w:webHidden/>
              </w:rPr>
              <w:fldChar w:fldCharType="end"/>
            </w:r>
          </w:hyperlink>
        </w:p>
        <w:p w14:paraId="14909D49" w14:textId="06BB40CB" w:rsidR="00977DC8" w:rsidRDefault="00977DC8">
          <w:pPr>
            <w:pStyle w:val="TOC2"/>
            <w:tabs>
              <w:tab w:val="right" w:leader="dot" w:pos="9016"/>
            </w:tabs>
            <w:rPr>
              <w:rFonts w:cstheme="minorBidi"/>
              <w:noProof/>
              <w:kern w:val="2"/>
              <w:sz w:val="24"/>
              <w:szCs w:val="24"/>
              <w14:ligatures w14:val="standardContextual"/>
            </w:rPr>
          </w:pPr>
          <w:hyperlink w:anchor="_Toc242205681" w:history="1">
            <w:r w:rsidRPr="004B26D8">
              <w:rPr>
                <w:rStyle w:val="Hyperlink"/>
                <w:noProof/>
              </w:rPr>
              <w:t>4. Conclusion and Recommendations</w:t>
            </w:r>
            <w:r>
              <w:rPr>
                <w:noProof/>
                <w:webHidden/>
              </w:rPr>
              <w:tab/>
            </w:r>
            <w:r>
              <w:rPr>
                <w:noProof/>
                <w:webHidden/>
              </w:rPr>
              <w:fldChar w:fldCharType="begin"/>
            </w:r>
            <w:r>
              <w:rPr>
                <w:noProof/>
                <w:webHidden/>
              </w:rPr>
              <w:instrText xml:space="preserve"> PAGEREF _Toc242205681 \h </w:instrText>
            </w:r>
            <w:r>
              <w:rPr>
                <w:noProof/>
                <w:webHidden/>
              </w:rPr>
            </w:r>
            <w:r>
              <w:rPr>
                <w:noProof/>
                <w:webHidden/>
              </w:rPr>
              <w:fldChar w:fldCharType="separate"/>
            </w:r>
            <w:r>
              <w:rPr>
                <w:noProof/>
                <w:webHidden/>
              </w:rPr>
              <w:t>7</w:t>
            </w:r>
            <w:r>
              <w:rPr>
                <w:noProof/>
                <w:webHidden/>
              </w:rPr>
              <w:fldChar w:fldCharType="end"/>
            </w:r>
          </w:hyperlink>
        </w:p>
        <w:p w14:paraId="0AEEB2C5" w14:textId="29D24608" w:rsidR="00977DC8" w:rsidRDefault="00977DC8">
          <w:pPr>
            <w:pStyle w:val="TOC2"/>
            <w:tabs>
              <w:tab w:val="right" w:leader="dot" w:pos="9016"/>
            </w:tabs>
            <w:rPr>
              <w:rFonts w:cstheme="minorBidi"/>
              <w:noProof/>
              <w:kern w:val="2"/>
              <w:sz w:val="24"/>
              <w:szCs w:val="24"/>
              <w14:ligatures w14:val="standardContextual"/>
            </w:rPr>
          </w:pPr>
          <w:hyperlink w:anchor="_Toc242205682" w:history="1">
            <w:r w:rsidRPr="004B26D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_Toc242205682 \h </w:instrText>
            </w:r>
            <w:r>
              <w:rPr>
                <w:noProof/>
                <w:webHidden/>
              </w:rPr>
            </w:r>
            <w:r>
              <w:rPr>
                <w:noProof/>
                <w:webHidden/>
              </w:rPr>
              <w:fldChar w:fldCharType="separate"/>
            </w:r>
            <w:r>
              <w:rPr>
                <w:noProof/>
                <w:webHidden/>
              </w:rPr>
              <w:t>8</w:t>
            </w:r>
            <w:r>
              <w:rPr>
                <w:noProof/>
                <w:webHidden/>
              </w:rPr>
              <w:fldChar w:fldCharType="end"/>
            </w:r>
          </w:hyperlink>
        </w:p>
        <w:p w14:paraId="2168B01F" w14:textId="02D57834" w:rsidR="00977DC8" w:rsidRDefault="00977DC8">
          <w:r>
            <w:rPr>
              <w:b/>
              <w:bCs/>
            </w:rPr>
            <w:fldChar w:fldCharType="end"/>
          </w:r>
        </w:p>
      </w:sdtContent>
    </w:sdt>
    <w:p w14:paraId="7A0AF0AC" w14:textId="77777777" w:rsidR="00977DC8" w:rsidRDefault="00977DC8" w:rsidP="002D26E9">
      <w:pPr>
        <w:spacing w:line="360" w:lineRule="auto"/>
        <w:rPr>
          <w:rFonts w:ascii="Arial" w:hAnsi="Arial" w:cs="Arial"/>
          <w:sz w:val="22"/>
          <w:szCs w:val="22"/>
        </w:rPr>
      </w:pPr>
    </w:p>
    <w:p w14:paraId="2E36DD65" w14:textId="77777777" w:rsidR="00977DC8" w:rsidRDefault="00977DC8" w:rsidP="002D26E9">
      <w:pPr>
        <w:spacing w:line="360" w:lineRule="auto"/>
        <w:rPr>
          <w:rFonts w:ascii="Arial" w:hAnsi="Arial" w:cs="Arial"/>
          <w:sz w:val="22"/>
          <w:szCs w:val="22"/>
        </w:rPr>
      </w:pPr>
    </w:p>
    <w:p w14:paraId="4663C16F" w14:textId="77777777" w:rsidR="00977DC8" w:rsidRDefault="00977DC8" w:rsidP="002D26E9">
      <w:pPr>
        <w:spacing w:line="360" w:lineRule="auto"/>
        <w:rPr>
          <w:rFonts w:ascii="Arial" w:hAnsi="Arial" w:cs="Arial"/>
          <w:sz w:val="22"/>
          <w:szCs w:val="22"/>
        </w:rPr>
      </w:pPr>
    </w:p>
    <w:p w14:paraId="4025B93B" w14:textId="77777777" w:rsidR="00977DC8" w:rsidRDefault="00977DC8" w:rsidP="002D26E9">
      <w:pPr>
        <w:spacing w:line="360" w:lineRule="auto"/>
        <w:rPr>
          <w:rFonts w:ascii="Arial" w:hAnsi="Arial" w:cs="Arial"/>
          <w:sz w:val="22"/>
          <w:szCs w:val="22"/>
        </w:rPr>
      </w:pPr>
    </w:p>
    <w:p w14:paraId="6569C004" w14:textId="77777777" w:rsidR="00977DC8" w:rsidRDefault="00977DC8" w:rsidP="002D26E9">
      <w:pPr>
        <w:spacing w:line="360" w:lineRule="auto"/>
        <w:rPr>
          <w:rFonts w:ascii="Arial" w:hAnsi="Arial" w:cs="Arial"/>
          <w:sz w:val="22"/>
          <w:szCs w:val="22"/>
        </w:rPr>
      </w:pPr>
    </w:p>
    <w:p w14:paraId="6688EB39" w14:textId="77777777" w:rsidR="00977DC8" w:rsidRDefault="00977DC8" w:rsidP="002D26E9">
      <w:pPr>
        <w:spacing w:line="360" w:lineRule="auto"/>
        <w:rPr>
          <w:rFonts w:ascii="Arial" w:hAnsi="Arial" w:cs="Arial"/>
          <w:sz w:val="22"/>
          <w:szCs w:val="22"/>
        </w:rPr>
      </w:pPr>
    </w:p>
    <w:p w14:paraId="0BC9F782" w14:textId="77777777" w:rsidR="00977DC8" w:rsidRDefault="00977DC8" w:rsidP="002D26E9">
      <w:pPr>
        <w:spacing w:line="360" w:lineRule="auto"/>
        <w:rPr>
          <w:rFonts w:ascii="Arial" w:hAnsi="Arial" w:cs="Arial"/>
          <w:sz w:val="22"/>
          <w:szCs w:val="22"/>
        </w:rPr>
      </w:pPr>
    </w:p>
    <w:p w14:paraId="62979031" w14:textId="77777777" w:rsidR="00977DC8" w:rsidRDefault="00977DC8" w:rsidP="002D26E9">
      <w:pPr>
        <w:spacing w:line="360" w:lineRule="auto"/>
        <w:rPr>
          <w:rFonts w:ascii="Arial" w:hAnsi="Arial" w:cs="Arial"/>
          <w:sz w:val="22"/>
          <w:szCs w:val="22"/>
        </w:rPr>
      </w:pPr>
    </w:p>
    <w:p w14:paraId="2F9E1BEA" w14:textId="77777777" w:rsidR="00977DC8" w:rsidRDefault="00977DC8" w:rsidP="002D26E9">
      <w:pPr>
        <w:spacing w:line="360" w:lineRule="auto"/>
        <w:rPr>
          <w:rFonts w:ascii="Arial" w:hAnsi="Arial" w:cs="Arial"/>
          <w:sz w:val="22"/>
          <w:szCs w:val="22"/>
        </w:rPr>
      </w:pPr>
    </w:p>
    <w:p w14:paraId="58D11D9C" w14:textId="77777777" w:rsidR="00977DC8" w:rsidRDefault="00977DC8" w:rsidP="002D26E9">
      <w:pPr>
        <w:spacing w:line="360" w:lineRule="auto"/>
        <w:rPr>
          <w:rFonts w:ascii="Arial" w:hAnsi="Arial" w:cs="Arial"/>
          <w:sz w:val="22"/>
          <w:szCs w:val="22"/>
        </w:rPr>
      </w:pPr>
    </w:p>
    <w:p w14:paraId="19A68874" w14:textId="77777777" w:rsidR="00977DC8" w:rsidRDefault="00977DC8" w:rsidP="002D26E9">
      <w:pPr>
        <w:spacing w:line="360" w:lineRule="auto"/>
        <w:rPr>
          <w:rFonts w:ascii="Arial" w:hAnsi="Arial" w:cs="Arial"/>
          <w:sz w:val="22"/>
          <w:szCs w:val="22"/>
        </w:rPr>
      </w:pPr>
    </w:p>
    <w:p w14:paraId="7D21C7FE" w14:textId="77777777" w:rsidR="00977DC8" w:rsidRDefault="00977DC8" w:rsidP="002D26E9">
      <w:pPr>
        <w:spacing w:line="360" w:lineRule="auto"/>
        <w:rPr>
          <w:rFonts w:ascii="Arial" w:hAnsi="Arial" w:cs="Arial"/>
          <w:sz w:val="22"/>
          <w:szCs w:val="22"/>
        </w:rPr>
      </w:pPr>
    </w:p>
    <w:p w14:paraId="3B7BD20C" w14:textId="77777777" w:rsidR="00977DC8" w:rsidRDefault="00977DC8" w:rsidP="002D26E9">
      <w:pPr>
        <w:spacing w:line="360" w:lineRule="auto"/>
        <w:rPr>
          <w:rFonts w:ascii="Arial" w:hAnsi="Arial" w:cs="Arial"/>
          <w:sz w:val="22"/>
          <w:szCs w:val="22"/>
        </w:rPr>
      </w:pPr>
    </w:p>
    <w:p w14:paraId="689482F7" w14:textId="77777777" w:rsidR="00977DC8" w:rsidRDefault="00977DC8" w:rsidP="002D26E9">
      <w:pPr>
        <w:spacing w:line="360" w:lineRule="auto"/>
        <w:rPr>
          <w:rFonts w:ascii="Arial" w:hAnsi="Arial" w:cs="Arial"/>
          <w:sz w:val="22"/>
          <w:szCs w:val="22"/>
        </w:rPr>
      </w:pPr>
    </w:p>
    <w:p w14:paraId="6E3BB52C" w14:textId="56BDAFBC" w:rsidR="00A12B7A" w:rsidRDefault="00010DFD" w:rsidP="00977DC8">
      <w:pPr>
        <w:pStyle w:val="Heading1"/>
      </w:pPr>
      <w:bookmarkStart w:id="4" w:name="_Toc242205619"/>
      <w:bookmarkStart w:id="5" w:name="_Toc242205677"/>
      <w:r w:rsidRPr="002D26E9">
        <w:lastRenderedPageBreak/>
        <w:t>Digital Transformation in Health and Social Care: The NHS App</w:t>
      </w:r>
      <w:bookmarkEnd w:id="4"/>
      <w:bookmarkEnd w:id="5"/>
    </w:p>
    <w:p w14:paraId="13D91EA8" w14:textId="77777777" w:rsidR="00977DC8" w:rsidRPr="00977DC8" w:rsidRDefault="00977DC8" w:rsidP="00977DC8"/>
    <w:p w14:paraId="66154AF6" w14:textId="77777777" w:rsidR="00010DFD" w:rsidRPr="002D26E9" w:rsidRDefault="00010DFD" w:rsidP="00977DC8">
      <w:pPr>
        <w:pStyle w:val="Heading2"/>
      </w:pPr>
      <w:bookmarkStart w:id="6" w:name="_Toc242205620"/>
      <w:bookmarkStart w:id="7" w:name="_Toc242205678"/>
      <w:r w:rsidRPr="002D26E9">
        <w:t>1. Introduction</w:t>
      </w:r>
      <w:bookmarkEnd w:id="6"/>
      <w:bookmarkEnd w:id="7"/>
    </w:p>
    <w:p w14:paraId="59E99A8E" w14:textId="73AB8793"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The UK health and social care system is one of many across the globe that is currently evolving</w:t>
      </w:r>
      <w:r w:rsidR="00A12B7A">
        <w:rPr>
          <w:rFonts w:ascii="Arial" w:hAnsi="Arial" w:cs="Arial"/>
          <w:sz w:val="22"/>
          <w:szCs w:val="22"/>
        </w:rPr>
        <w:t xml:space="preserve"> </w:t>
      </w:r>
      <w:r w:rsidRPr="002D26E9">
        <w:rPr>
          <w:rFonts w:ascii="Arial" w:hAnsi="Arial" w:cs="Arial"/>
          <w:sz w:val="22"/>
          <w:szCs w:val="22"/>
        </w:rPr>
        <w:t xml:space="preserve">to use technology. A development of recent years within England’s health services is the introduction of the NHS App. The App was launched in England in 2019 (NHS England, 2019). A public test of the App was conducted with over 3,000 patients in thirty GP practices </w:t>
      </w:r>
      <w:r w:rsidR="002D26E9" w:rsidRPr="002D26E9">
        <w:rPr>
          <w:rFonts w:ascii="Arial" w:hAnsi="Arial" w:cs="Arial"/>
          <w:sz w:val="22"/>
          <w:szCs w:val="22"/>
        </w:rPr>
        <w:t>before</w:t>
      </w:r>
      <w:r w:rsidRPr="002D26E9">
        <w:rPr>
          <w:rFonts w:ascii="Arial" w:hAnsi="Arial" w:cs="Arial"/>
          <w:sz w:val="22"/>
          <w:szCs w:val="22"/>
        </w:rPr>
        <w:t xml:space="preserve"> the January 2019 launch. It allows patients to access </w:t>
      </w:r>
      <w:r w:rsidR="002D26E9" w:rsidRPr="002D26E9">
        <w:rPr>
          <w:rFonts w:ascii="Arial" w:hAnsi="Arial" w:cs="Arial"/>
          <w:sz w:val="22"/>
          <w:szCs w:val="22"/>
        </w:rPr>
        <w:t>some</w:t>
      </w:r>
      <w:r w:rsidRPr="002D26E9">
        <w:rPr>
          <w:rFonts w:ascii="Arial" w:hAnsi="Arial" w:cs="Arial"/>
          <w:sz w:val="22"/>
          <w:szCs w:val="22"/>
        </w:rPr>
        <w:t xml:space="preserve"> services of NHS services, including making appointments, ordering repeat prescriptions and viewing past care/records where these have been placed online by healthcare staff.</w:t>
      </w:r>
    </w:p>
    <w:p w14:paraId="71DB1598" w14:textId="24F45D77"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The author has selected the NHS App for the author’s research into service delivery by health services and care provided by social services </w:t>
      </w:r>
      <w:r w:rsidR="00A12B7A">
        <w:rPr>
          <w:rFonts w:ascii="Arial" w:hAnsi="Arial" w:cs="Arial"/>
          <w:sz w:val="22"/>
          <w:szCs w:val="22"/>
        </w:rPr>
        <w:t>through</w:t>
      </w:r>
      <w:r w:rsidRPr="002D26E9">
        <w:rPr>
          <w:rFonts w:ascii="Arial" w:hAnsi="Arial" w:cs="Arial"/>
          <w:sz w:val="22"/>
          <w:szCs w:val="22"/>
        </w:rPr>
        <w:t xml:space="preserve"> digital health and social care. The routine delivery of </w:t>
      </w:r>
      <w:r w:rsidR="00A12B7A">
        <w:rPr>
          <w:rFonts w:ascii="Arial" w:hAnsi="Arial" w:cs="Arial"/>
          <w:sz w:val="22"/>
          <w:szCs w:val="22"/>
        </w:rPr>
        <w:t>services</w:t>
      </w:r>
      <w:r w:rsidRPr="002D26E9">
        <w:rPr>
          <w:rFonts w:ascii="Arial" w:hAnsi="Arial" w:cs="Arial"/>
          <w:sz w:val="22"/>
          <w:szCs w:val="22"/>
        </w:rPr>
        <w:t xml:space="preserve"> by health services and care provided by social services has been greatly improved </w:t>
      </w:r>
      <w:r w:rsidR="00A12B7A" w:rsidRPr="002D26E9">
        <w:rPr>
          <w:rFonts w:ascii="Arial" w:hAnsi="Arial" w:cs="Arial"/>
          <w:sz w:val="22"/>
          <w:szCs w:val="22"/>
        </w:rPr>
        <w:t>using</w:t>
      </w:r>
      <w:r w:rsidRPr="002D26E9">
        <w:rPr>
          <w:rFonts w:ascii="Arial" w:hAnsi="Arial" w:cs="Arial"/>
          <w:sz w:val="22"/>
          <w:szCs w:val="22"/>
        </w:rPr>
        <w:t xml:space="preserve"> digital services such as the App to manage routine activities online.</w:t>
      </w:r>
    </w:p>
    <w:p w14:paraId="7CD86A84" w14:textId="1AC0E85F"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This report explores how the changes in service delivery by the health services and care provided by social services have been implemented by using the NHS App. Analysis has been carried out on how the NHS App has affected patients accessing services </w:t>
      </w:r>
      <w:proofErr w:type="gramStart"/>
      <w:r w:rsidRPr="002D26E9">
        <w:rPr>
          <w:rFonts w:ascii="Arial" w:hAnsi="Arial" w:cs="Arial"/>
          <w:sz w:val="22"/>
          <w:szCs w:val="22"/>
        </w:rPr>
        <w:t>and also</w:t>
      </w:r>
      <w:proofErr w:type="gramEnd"/>
      <w:r w:rsidRPr="002D26E9">
        <w:rPr>
          <w:rFonts w:ascii="Arial" w:hAnsi="Arial" w:cs="Arial"/>
          <w:sz w:val="22"/>
          <w:szCs w:val="22"/>
        </w:rPr>
        <w:t xml:space="preserve"> the positive and negative points of the App. The report also explores the issues of digital inequality, access to information and privacy.</w:t>
      </w:r>
    </w:p>
    <w:p w14:paraId="157B455D" w14:textId="77777777" w:rsidR="00010DFD" w:rsidRPr="002D26E9" w:rsidRDefault="00010DFD" w:rsidP="00977DC8">
      <w:pPr>
        <w:pStyle w:val="Heading2"/>
      </w:pPr>
      <w:bookmarkStart w:id="8" w:name="_Toc242205621"/>
      <w:bookmarkStart w:id="9" w:name="_Toc242205679"/>
      <w:r w:rsidRPr="002D26E9">
        <w:t>2. Service Delivery</w:t>
      </w:r>
      <w:bookmarkEnd w:id="8"/>
      <w:bookmarkEnd w:id="9"/>
    </w:p>
    <w:p w14:paraId="3520BA8E" w14:textId="02D8CC36"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Another key point is service delivery. There has been a shift in health and social care service delivery using technology, such as online services offered by the App for patients and service users. The App enables online booking of GP appointments, ordering repeat prescriptions</w:t>
      </w:r>
      <w:r w:rsidR="002D26E9" w:rsidRPr="002D26E9">
        <w:rPr>
          <w:rFonts w:ascii="Arial" w:hAnsi="Arial" w:cs="Arial"/>
          <w:sz w:val="22"/>
          <w:szCs w:val="22"/>
        </w:rPr>
        <w:t>,</w:t>
      </w:r>
      <w:r w:rsidRPr="002D26E9">
        <w:rPr>
          <w:rFonts w:ascii="Arial" w:hAnsi="Arial" w:cs="Arial"/>
          <w:sz w:val="22"/>
          <w:szCs w:val="22"/>
        </w:rPr>
        <w:t xml:space="preserve"> viewing online health and care information online and viewing online medical records that have been added by healthcare staff. NHS App is the national digital channel for the NHS’ health and social care services</w:t>
      </w:r>
      <w:r w:rsidR="002D26E9" w:rsidRPr="002D26E9">
        <w:rPr>
          <w:rFonts w:ascii="Arial" w:hAnsi="Arial" w:cs="Arial"/>
          <w:sz w:val="22"/>
          <w:szCs w:val="22"/>
        </w:rPr>
        <w:t>,</w:t>
      </w:r>
      <w:r w:rsidRPr="002D26E9">
        <w:rPr>
          <w:rFonts w:ascii="Arial" w:hAnsi="Arial" w:cs="Arial"/>
          <w:sz w:val="22"/>
          <w:szCs w:val="22"/>
        </w:rPr>
        <w:t xml:space="preserve"> and A Plan for Digital Health and Social Care (Department of Health and Social Care and NHS England, 2022) describes the role of the App as the front door to access a range of key health services.</w:t>
      </w:r>
    </w:p>
    <w:p w14:paraId="43A1B526" w14:textId="0AD0BA4A"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The improvements to health and social care that can be delivered by using digital technology have been many and varied. One simple example is the completion of routine </w:t>
      </w:r>
      <w:r w:rsidR="002D26E9" w:rsidRPr="002D26E9">
        <w:rPr>
          <w:rFonts w:ascii="Arial" w:hAnsi="Arial" w:cs="Arial"/>
          <w:sz w:val="22"/>
          <w:szCs w:val="22"/>
        </w:rPr>
        <w:t>online</w:t>
      </w:r>
      <w:r w:rsidRPr="002D26E9">
        <w:rPr>
          <w:rFonts w:ascii="Arial" w:hAnsi="Arial" w:cs="Arial"/>
          <w:sz w:val="22"/>
          <w:szCs w:val="22"/>
        </w:rPr>
        <w:t xml:space="preserve"> activities. Patients can now order their repeat prescriptions online for their health services </w:t>
      </w:r>
      <w:r w:rsidRPr="002D26E9">
        <w:rPr>
          <w:rFonts w:ascii="Arial" w:hAnsi="Arial" w:cs="Arial"/>
          <w:sz w:val="22"/>
          <w:szCs w:val="22"/>
        </w:rPr>
        <w:lastRenderedPageBreak/>
        <w:t>and social care using their smartphones or tablets. As already noted above</w:t>
      </w:r>
      <w:r w:rsidR="002D26E9" w:rsidRPr="002D26E9">
        <w:rPr>
          <w:rFonts w:ascii="Arial" w:hAnsi="Arial" w:cs="Arial"/>
          <w:sz w:val="22"/>
          <w:szCs w:val="22"/>
        </w:rPr>
        <w:t>,</w:t>
      </w:r>
      <w:r w:rsidRPr="002D26E9">
        <w:rPr>
          <w:rFonts w:ascii="Arial" w:hAnsi="Arial" w:cs="Arial"/>
          <w:sz w:val="22"/>
          <w:szCs w:val="22"/>
        </w:rPr>
        <w:t xml:space="preserve"> this has saved a lot of </w:t>
      </w:r>
      <w:r w:rsidR="002D26E9" w:rsidRPr="002D26E9">
        <w:rPr>
          <w:rFonts w:ascii="Arial" w:hAnsi="Arial" w:cs="Arial"/>
          <w:sz w:val="22"/>
          <w:szCs w:val="22"/>
        </w:rPr>
        <w:t>administrative</w:t>
      </w:r>
      <w:r w:rsidRPr="002D26E9">
        <w:rPr>
          <w:rFonts w:ascii="Arial" w:hAnsi="Arial" w:cs="Arial"/>
          <w:sz w:val="22"/>
          <w:szCs w:val="22"/>
        </w:rPr>
        <w:t xml:space="preserve"> time </w:t>
      </w:r>
      <w:r w:rsidR="002D26E9" w:rsidRPr="002D26E9">
        <w:rPr>
          <w:rFonts w:ascii="Arial" w:hAnsi="Arial" w:cs="Arial"/>
          <w:sz w:val="22"/>
          <w:szCs w:val="22"/>
        </w:rPr>
        <w:t>for</w:t>
      </w:r>
      <w:r w:rsidRPr="002D26E9">
        <w:rPr>
          <w:rFonts w:ascii="Arial" w:hAnsi="Arial" w:cs="Arial"/>
          <w:sz w:val="22"/>
          <w:szCs w:val="22"/>
        </w:rPr>
        <w:t xml:space="preserve"> health services and care provided by social services (NHS England, 2023). Patients ordering their repeat prescriptions online for their health services and social care via the App has greatly supported service delivery. Such service delivery has been supported by around 2.1M repeat prescription orders per month by </w:t>
      </w:r>
      <w:r w:rsidR="002D26E9" w:rsidRPr="002D26E9">
        <w:rPr>
          <w:rFonts w:ascii="Arial" w:hAnsi="Arial" w:cs="Arial"/>
          <w:sz w:val="22"/>
          <w:szCs w:val="22"/>
        </w:rPr>
        <w:t xml:space="preserve">the </w:t>
      </w:r>
      <w:r w:rsidRPr="002D26E9">
        <w:rPr>
          <w:rFonts w:ascii="Arial" w:hAnsi="Arial" w:cs="Arial"/>
          <w:sz w:val="22"/>
          <w:szCs w:val="22"/>
        </w:rPr>
        <w:t xml:space="preserve">end of 2022/23 and saved approximately 336,000 hours of administrative time </w:t>
      </w:r>
      <w:r w:rsidR="002D26E9" w:rsidRPr="002D26E9">
        <w:rPr>
          <w:rFonts w:ascii="Arial" w:hAnsi="Arial" w:cs="Arial"/>
          <w:sz w:val="22"/>
          <w:szCs w:val="22"/>
        </w:rPr>
        <w:t>in</w:t>
      </w:r>
      <w:r w:rsidRPr="002D26E9">
        <w:rPr>
          <w:rFonts w:ascii="Arial" w:hAnsi="Arial" w:cs="Arial"/>
          <w:sz w:val="22"/>
          <w:szCs w:val="22"/>
        </w:rPr>
        <w:t xml:space="preserve"> the health services and care provided by social services by GP practices (NHS England, 2023). This is expected to increase by </w:t>
      </w:r>
      <w:r w:rsidR="002D26E9" w:rsidRPr="002D26E9">
        <w:rPr>
          <w:rFonts w:ascii="Arial" w:hAnsi="Arial" w:cs="Arial"/>
          <w:sz w:val="22"/>
          <w:szCs w:val="22"/>
        </w:rPr>
        <w:t xml:space="preserve">the </w:t>
      </w:r>
      <w:r w:rsidRPr="002D26E9">
        <w:rPr>
          <w:rFonts w:ascii="Arial" w:hAnsi="Arial" w:cs="Arial"/>
          <w:sz w:val="22"/>
          <w:szCs w:val="22"/>
        </w:rPr>
        <w:t>end of 2024/25 and save more than two million hours of administrative time and 890,000 hours of GP time (NHS England, 2025a).</w:t>
      </w:r>
    </w:p>
    <w:p w14:paraId="2DAF4B4C" w14:textId="107E1FD8"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Pharmacies are also experiencing digital transformation</w:t>
      </w:r>
      <w:r w:rsidR="002D26E9" w:rsidRPr="002D26E9">
        <w:rPr>
          <w:rFonts w:ascii="Arial" w:hAnsi="Arial" w:cs="Arial"/>
          <w:sz w:val="22"/>
          <w:szCs w:val="22"/>
        </w:rPr>
        <w:t>,</w:t>
      </w:r>
      <w:r w:rsidRPr="002D26E9">
        <w:rPr>
          <w:rFonts w:ascii="Arial" w:hAnsi="Arial" w:cs="Arial"/>
          <w:sz w:val="22"/>
          <w:szCs w:val="22"/>
        </w:rPr>
        <w:t xml:space="preserve"> with almost 45% of calls to community pharmacies relating to whether prescriptions are ready (NHS England, 2025b). NHS App function to view your prescription </w:t>
      </w:r>
      <w:r w:rsidR="002D26E9" w:rsidRPr="002D26E9">
        <w:rPr>
          <w:rFonts w:ascii="Arial" w:hAnsi="Arial" w:cs="Arial"/>
          <w:sz w:val="22"/>
          <w:szCs w:val="22"/>
        </w:rPr>
        <w:t xml:space="preserve">has been </w:t>
      </w:r>
      <w:r w:rsidRPr="002D26E9">
        <w:rPr>
          <w:rFonts w:ascii="Arial" w:hAnsi="Arial" w:cs="Arial"/>
          <w:sz w:val="22"/>
          <w:szCs w:val="22"/>
        </w:rPr>
        <w:t xml:space="preserve">updated to also show whether </w:t>
      </w:r>
      <w:r w:rsidR="002D26E9" w:rsidRPr="002D26E9">
        <w:rPr>
          <w:rFonts w:ascii="Arial" w:hAnsi="Arial" w:cs="Arial"/>
          <w:sz w:val="22"/>
          <w:szCs w:val="22"/>
        </w:rPr>
        <w:t xml:space="preserve">your </w:t>
      </w:r>
      <w:r w:rsidRPr="002D26E9">
        <w:rPr>
          <w:rFonts w:ascii="Arial" w:hAnsi="Arial" w:cs="Arial"/>
          <w:sz w:val="22"/>
          <w:szCs w:val="22"/>
        </w:rPr>
        <w:t>prescription has been dispensed by your community pharmacy.</w:t>
      </w:r>
    </w:p>
    <w:p w14:paraId="38E869F1" w14:textId="022BFC5F"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The same amount of work is actually being shifted rather than reduced in terms of how it is to be delivered by health services, in a new qualitative study of the implementation of the NHS App in 62 interviews with 62 participants, 4 focus groups with 19 participants, and over 60 hours of observation in 5 GP practices in England (Reidy et al., 2025). The practices under study </w:t>
      </w:r>
      <w:r w:rsidR="002D26E9" w:rsidRPr="002D26E9">
        <w:rPr>
          <w:rFonts w:ascii="Arial" w:hAnsi="Arial" w:cs="Arial"/>
          <w:sz w:val="22"/>
          <w:szCs w:val="22"/>
        </w:rPr>
        <w:t>organised</w:t>
      </w:r>
      <w:r w:rsidRPr="002D26E9">
        <w:rPr>
          <w:rFonts w:ascii="Arial" w:hAnsi="Arial" w:cs="Arial"/>
          <w:sz w:val="22"/>
          <w:szCs w:val="22"/>
        </w:rPr>
        <w:t xml:space="preserve"> the enabling function of the App in very different </w:t>
      </w:r>
      <w:r w:rsidR="002D26E9" w:rsidRPr="002D26E9">
        <w:rPr>
          <w:rFonts w:ascii="Arial" w:hAnsi="Arial" w:cs="Arial"/>
          <w:sz w:val="22"/>
          <w:szCs w:val="22"/>
        </w:rPr>
        <w:t>ways and</w:t>
      </w:r>
      <w:r w:rsidRPr="002D26E9">
        <w:rPr>
          <w:rFonts w:ascii="Arial" w:hAnsi="Arial" w:cs="Arial"/>
          <w:sz w:val="22"/>
          <w:szCs w:val="22"/>
        </w:rPr>
        <w:t xml:space="preserve"> thus delivered very different services to patients in terms of support to use the App and its functions.</w:t>
      </w:r>
    </w:p>
    <w:p w14:paraId="47351964" w14:textId="25C2624F"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A major problem </w:t>
      </w:r>
      <w:r w:rsidR="002D26E9" w:rsidRPr="002D26E9">
        <w:rPr>
          <w:rFonts w:ascii="Arial" w:hAnsi="Arial" w:cs="Arial"/>
          <w:sz w:val="22"/>
          <w:szCs w:val="22"/>
        </w:rPr>
        <w:t>with</w:t>
      </w:r>
      <w:r w:rsidRPr="002D26E9">
        <w:rPr>
          <w:rFonts w:ascii="Arial" w:hAnsi="Arial" w:cs="Arial"/>
          <w:sz w:val="22"/>
          <w:szCs w:val="22"/>
        </w:rPr>
        <w:t xml:space="preserve"> the way in which health services and social care are currently being structured by the new digital technology is how the technology has been implemented by services. The App’s functions are enabled by the patients’ GP’s IT system as well as other NHS systems and structures. The ways in which the enabling functions on the App are organized by practices and their supporting structures to deliver a service to their patients is highly variable and leads to very different service experiences for patients.</w:t>
      </w:r>
    </w:p>
    <w:p w14:paraId="5B1BFF2C" w14:textId="401A21FC"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Digital technology in health and social care has the potential to deliver service changes</w:t>
      </w:r>
      <w:r w:rsidR="002D26E9" w:rsidRPr="002D26E9">
        <w:rPr>
          <w:rFonts w:ascii="Arial" w:hAnsi="Arial" w:cs="Arial"/>
          <w:sz w:val="22"/>
          <w:szCs w:val="22"/>
        </w:rPr>
        <w:t>,</w:t>
      </w:r>
      <w:r w:rsidRPr="002D26E9">
        <w:rPr>
          <w:rFonts w:ascii="Arial" w:hAnsi="Arial" w:cs="Arial"/>
          <w:sz w:val="22"/>
          <w:szCs w:val="22"/>
        </w:rPr>
        <w:t xml:space="preserve"> but the way in which new technologies are implemented can create new problems. In this case, patients using online access to their GP’s service to order their repeat prescriptions online could help reduce administration. However, as described in the above paragraphs</w:t>
      </w:r>
      <w:r w:rsidR="002D26E9" w:rsidRPr="002D26E9">
        <w:rPr>
          <w:rFonts w:ascii="Arial" w:hAnsi="Arial" w:cs="Arial"/>
          <w:sz w:val="22"/>
          <w:szCs w:val="22"/>
        </w:rPr>
        <w:t>,</w:t>
      </w:r>
      <w:r w:rsidRPr="002D26E9">
        <w:rPr>
          <w:rFonts w:ascii="Arial" w:hAnsi="Arial" w:cs="Arial"/>
          <w:sz w:val="22"/>
          <w:szCs w:val="22"/>
        </w:rPr>
        <w:t xml:space="preserve"> the systems are not integrated to deliver the same service to all patients. Furthermore</w:t>
      </w:r>
      <w:r w:rsidR="002D26E9" w:rsidRPr="002D26E9">
        <w:rPr>
          <w:rFonts w:ascii="Arial" w:hAnsi="Arial" w:cs="Arial"/>
          <w:sz w:val="22"/>
          <w:szCs w:val="22"/>
        </w:rPr>
        <w:t>,</w:t>
      </w:r>
      <w:r w:rsidRPr="002D26E9">
        <w:rPr>
          <w:rFonts w:ascii="Arial" w:hAnsi="Arial" w:cs="Arial"/>
          <w:sz w:val="22"/>
          <w:szCs w:val="22"/>
        </w:rPr>
        <w:t xml:space="preserve"> there are many patients who are angry and frustrated because they are unable to access </w:t>
      </w:r>
      <w:r w:rsidR="002D26E9" w:rsidRPr="002D26E9">
        <w:rPr>
          <w:rFonts w:ascii="Arial" w:hAnsi="Arial" w:cs="Arial"/>
          <w:sz w:val="22"/>
          <w:szCs w:val="22"/>
        </w:rPr>
        <w:t>all</w:t>
      </w:r>
      <w:r w:rsidRPr="002D26E9">
        <w:rPr>
          <w:rFonts w:ascii="Arial" w:hAnsi="Arial" w:cs="Arial"/>
          <w:sz w:val="22"/>
          <w:szCs w:val="22"/>
        </w:rPr>
        <w:t xml:space="preserve"> their test results online or </w:t>
      </w:r>
      <w:r w:rsidR="002D26E9" w:rsidRPr="002D26E9">
        <w:rPr>
          <w:rFonts w:ascii="Arial" w:hAnsi="Arial" w:cs="Arial"/>
          <w:sz w:val="22"/>
          <w:szCs w:val="22"/>
        </w:rPr>
        <w:t>all</w:t>
      </w:r>
      <w:r w:rsidRPr="002D26E9">
        <w:rPr>
          <w:rFonts w:ascii="Arial" w:hAnsi="Arial" w:cs="Arial"/>
          <w:sz w:val="22"/>
          <w:szCs w:val="22"/>
        </w:rPr>
        <w:t xml:space="preserve"> their online health and social care records.</w:t>
      </w:r>
    </w:p>
    <w:p w14:paraId="5C191FC3" w14:textId="023BA832"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This way of looking at </w:t>
      </w:r>
      <w:r w:rsidR="002D26E9" w:rsidRPr="002D26E9">
        <w:rPr>
          <w:rFonts w:ascii="Arial" w:hAnsi="Arial" w:cs="Arial"/>
          <w:sz w:val="22"/>
          <w:szCs w:val="22"/>
        </w:rPr>
        <w:t>patients’ online</w:t>
      </w:r>
      <w:r w:rsidRPr="002D26E9">
        <w:rPr>
          <w:rFonts w:ascii="Arial" w:hAnsi="Arial" w:cs="Arial"/>
          <w:sz w:val="22"/>
          <w:szCs w:val="22"/>
        </w:rPr>
        <w:t xml:space="preserve"> health and care affects delivery of health and social care by health services and social care structures and by health and social care staff. Ways </w:t>
      </w:r>
      <w:r w:rsidRPr="002D26E9">
        <w:rPr>
          <w:rFonts w:ascii="Arial" w:hAnsi="Arial" w:cs="Arial"/>
          <w:sz w:val="22"/>
          <w:szCs w:val="22"/>
        </w:rPr>
        <w:lastRenderedPageBreak/>
        <w:t>in which this affects delivery of health and social care have been explored in a survey of 400 GPs in England by Blease et al. (2024). GPs were asked for their views on patients having access to their full online GP records. Some key findings from the views of GPs in the survey are shown in Box 4. The views of GPs have been explored in this paper. The findings do not provide evidence of the increased use of online patients’ health records but rather the views and experiences of their use to date.</w:t>
      </w:r>
    </w:p>
    <w:p w14:paraId="4AE46171" w14:textId="3655DCF0"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The views of GPs on several aspects of using online patients’ records have been obtained and described in this paper. The study did not seek to establish the effects of an increase in use of online health records by patients; rather</w:t>
      </w:r>
      <w:r w:rsidR="00875410">
        <w:rPr>
          <w:rFonts w:ascii="Arial" w:hAnsi="Arial" w:cs="Arial"/>
          <w:sz w:val="22"/>
          <w:szCs w:val="22"/>
        </w:rPr>
        <w:t>,</w:t>
      </w:r>
      <w:r w:rsidRPr="002D26E9">
        <w:rPr>
          <w:rFonts w:ascii="Arial" w:hAnsi="Arial" w:cs="Arial"/>
          <w:sz w:val="22"/>
          <w:szCs w:val="22"/>
        </w:rPr>
        <w:t xml:space="preserve"> it attempted to gain insight into the current views and experiences of GPs using online patients’ records.</w:t>
      </w:r>
    </w:p>
    <w:p w14:paraId="367B1194" w14:textId="40D5772A"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However, digital technology could also be used to facilitate changes in how health and social care services are </w:t>
      </w:r>
      <w:r w:rsidR="002D26E9" w:rsidRPr="002D26E9">
        <w:rPr>
          <w:rFonts w:ascii="Arial" w:hAnsi="Arial" w:cs="Arial"/>
          <w:sz w:val="22"/>
          <w:szCs w:val="22"/>
        </w:rPr>
        <w:t>delivered</w:t>
      </w:r>
      <w:r w:rsidRPr="002D26E9">
        <w:rPr>
          <w:rFonts w:ascii="Arial" w:hAnsi="Arial" w:cs="Arial"/>
          <w:sz w:val="22"/>
          <w:szCs w:val="22"/>
        </w:rPr>
        <w:t xml:space="preserve"> and “effective digital maturity” for health and social care is more than using technology to deliver services (point 3, NHS England, 2023). Effective digital maturity for health and social care includes how health and social care is </w:t>
      </w:r>
      <w:r w:rsidR="002D26E9" w:rsidRPr="002D26E9">
        <w:rPr>
          <w:rFonts w:ascii="Arial" w:hAnsi="Arial" w:cs="Arial"/>
          <w:sz w:val="22"/>
          <w:szCs w:val="22"/>
        </w:rPr>
        <w:t>delivered</w:t>
      </w:r>
      <w:r w:rsidRPr="002D26E9">
        <w:rPr>
          <w:rFonts w:ascii="Arial" w:hAnsi="Arial" w:cs="Arial"/>
          <w:sz w:val="22"/>
          <w:szCs w:val="22"/>
        </w:rPr>
        <w:t>, safe digital practice, digital foundations and supporting people to use technology.</w:t>
      </w:r>
    </w:p>
    <w:p w14:paraId="2A5E3954" w14:textId="50E1AD44"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Health services and social care </w:t>
      </w:r>
      <w:proofErr w:type="gramStart"/>
      <w:r w:rsidRPr="002D26E9">
        <w:rPr>
          <w:rFonts w:ascii="Arial" w:hAnsi="Arial" w:cs="Arial"/>
          <w:sz w:val="22"/>
          <w:szCs w:val="22"/>
        </w:rPr>
        <w:t>are able to</w:t>
      </w:r>
      <w:proofErr w:type="gramEnd"/>
      <w:r w:rsidRPr="002D26E9">
        <w:rPr>
          <w:rFonts w:ascii="Arial" w:hAnsi="Arial" w:cs="Arial"/>
          <w:sz w:val="22"/>
          <w:szCs w:val="22"/>
        </w:rPr>
        <w:t xml:space="preserve"> continue to deliver positive service delivery change </w:t>
      </w:r>
      <w:r w:rsidR="002D26E9" w:rsidRPr="002D26E9">
        <w:rPr>
          <w:rFonts w:ascii="Arial" w:hAnsi="Arial" w:cs="Arial"/>
          <w:sz w:val="22"/>
          <w:szCs w:val="22"/>
        </w:rPr>
        <w:t>using</w:t>
      </w:r>
      <w:r w:rsidRPr="002D26E9">
        <w:rPr>
          <w:rFonts w:ascii="Arial" w:hAnsi="Arial" w:cs="Arial"/>
          <w:sz w:val="22"/>
          <w:szCs w:val="22"/>
        </w:rPr>
        <w:t xml:space="preserve"> digital technology such as the App to complete </w:t>
      </w:r>
      <w:r w:rsidR="002D26E9" w:rsidRPr="002D26E9">
        <w:rPr>
          <w:rFonts w:ascii="Arial" w:hAnsi="Arial" w:cs="Arial"/>
          <w:sz w:val="22"/>
          <w:szCs w:val="22"/>
        </w:rPr>
        <w:t>online</w:t>
      </w:r>
      <w:r w:rsidRPr="002D26E9">
        <w:rPr>
          <w:rFonts w:ascii="Arial" w:hAnsi="Arial" w:cs="Arial"/>
          <w:sz w:val="22"/>
          <w:szCs w:val="22"/>
        </w:rPr>
        <w:t xml:space="preserve"> routine tasks. The work of health services and social care is being redistributed by the App</w:t>
      </w:r>
      <w:r w:rsidR="002D26E9" w:rsidRPr="002D26E9">
        <w:rPr>
          <w:rFonts w:ascii="Arial" w:hAnsi="Arial" w:cs="Arial"/>
          <w:sz w:val="22"/>
          <w:szCs w:val="22"/>
        </w:rPr>
        <w:t>,</w:t>
      </w:r>
      <w:r w:rsidRPr="002D26E9">
        <w:rPr>
          <w:rFonts w:ascii="Arial" w:hAnsi="Arial" w:cs="Arial"/>
          <w:sz w:val="22"/>
          <w:szCs w:val="22"/>
        </w:rPr>
        <w:t xml:space="preserve"> and </w:t>
      </w:r>
      <w:proofErr w:type="gramStart"/>
      <w:r w:rsidRPr="002D26E9">
        <w:rPr>
          <w:rFonts w:ascii="Arial" w:hAnsi="Arial" w:cs="Arial"/>
          <w:sz w:val="22"/>
          <w:szCs w:val="22"/>
        </w:rPr>
        <w:t>a number of</w:t>
      </w:r>
      <w:proofErr w:type="gramEnd"/>
      <w:r w:rsidRPr="002D26E9">
        <w:rPr>
          <w:rFonts w:ascii="Arial" w:hAnsi="Arial" w:cs="Arial"/>
          <w:sz w:val="22"/>
          <w:szCs w:val="22"/>
        </w:rPr>
        <w:t xml:space="preserve"> factors determine the effectiveness of the App in relation to service delivery. These factors include the technology and the supporting structures to use the technology within an </w:t>
      </w:r>
      <w:r w:rsidR="002D26E9" w:rsidRPr="002D26E9">
        <w:rPr>
          <w:rFonts w:ascii="Arial" w:hAnsi="Arial" w:cs="Arial"/>
          <w:sz w:val="22"/>
          <w:szCs w:val="22"/>
        </w:rPr>
        <w:t>organisation</w:t>
      </w:r>
      <w:r w:rsidRPr="002D26E9">
        <w:rPr>
          <w:rFonts w:ascii="Arial" w:hAnsi="Arial" w:cs="Arial"/>
          <w:sz w:val="22"/>
          <w:szCs w:val="22"/>
        </w:rPr>
        <w:t>.</w:t>
      </w:r>
    </w:p>
    <w:p w14:paraId="7BCA07D4" w14:textId="77777777" w:rsidR="00010DFD" w:rsidRPr="002D26E9" w:rsidRDefault="00010DFD" w:rsidP="00977DC8">
      <w:pPr>
        <w:pStyle w:val="Heading2"/>
      </w:pPr>
      <w:bookmarkStart w:id="10" w:name="_Toc242205622"/>
      <w:bookmarkStart w:id="11" w:name="_Toc242205680"/>
      <w:r w:rsidRPr="002D26E9">
        <w:t>3. Patient and Service User</w:t>
      </w:r>
      <w:bookmarkEnd w:id="10"/>
      <w:bookmarkEnd w:id="11"/>
    </w:p>
    <w:p w14:paraId="109B58B0" w14:textId="77777777"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Patients have reported improved services via online access to NHS services through the app. Patients are able to complete online routine activities and can access more care than previously possible and manage their own care via online access. Patients can book, view and cancel appointments and order repeat prescriptions as well as view information regarding their care and view previous health records.</w:t>
      </w:r>
    </w:p>
    <w:p w14:paraId="32A61767" w14:textId="77777777"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Patient involvement: Online access to patients’ records will enable patients to plan for their appointment and become more involved in their care. Involving patients in their care is one of the </w:t>
      </w:r>
      <w:proofErr w:type="gramStart"/>
      <w:r w:rsidRPr="002D26E9">
        <w:rPr>
          <w:rFonts w:ascii="Arial" w:hAnsi="Arial" w:cs="Arial"/>
          <w:sz w:val="22"/>
          <w:szCs w:val="22"/>
        </w:rPr>
        <w:t>key</w:t>
      </w:r>
      <w:proofErr w:type="gramEnd"/>
      <w:r w:rsidRPr="002D26E9">
        <w:rPr>
          <w:rFonts w:ascii="Arial" w:hAnsi="Arial" w:cs="Arial"/>
          <w:sz w:val="22"/>
          <w:szCs w:val="22"/>
        </w:rPr>
        <w:t xml:space="preserve"> aims of ‘What Good Looks Like’ (Department of Health and Social Care and NHS England, 2022).</w:t>
      </w:r>
    </w:p>
    <w:p w14:paraId="28DC9E7D" w14:textId="5E9AFD01"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A recently conducted study by KC et al. (2024) tracked usage of various services delivered by the NHS App in 6,386 English GP practices over </w:t>
      </w:r>
      <w:r w:rsidR="002D26E9" w:rsidRPr="002D26E9">
        <w:rPr>
          <w:rFonts w:ascii="Arial" w:hAnsi="Arial" w:cs="Arial"/>
          <w:sz w:val="22"/>
          <w:szCs w:val="22"/>
        </w:rPr>
        <w:t>3 years</w:t>
      </w:r>
      <w:r w:rsidRPr="002D26E9">
        <w:rPr>
          <w:rFonts w:ascii="Arial" w:hAnsi="Arial" w:cs="Arial"/>
          <w:sz w:val="22"/>
          <w:szCs w:val="22"/>
        </w:rPr>
        <w:t xml:space="preserve"> from March 2020 to </w:t>
      </w:r>
      <w:r w:rsidR="002D26E9" w:rsidRPr="002D26E9">
        <w:rPr>
          <w:rFonts w:ascii="Arial" w:hAnsi="Arial" w:cs="Arial"/>
          <w:sz w:val="22"/>
          <w:szCs w:val="22"/>
        </w:rPr>
        <w:t xml:space="preserve">the </w:t>
      </w:r>
      <w:r w:rsidRPr="002D26E9">
        <w:rPr>
          <w:rFonts w:ascii="Arial" w:hAnsi="Arial" w:cs="Arial"/>
          <w:sz w:val="22"/>
          <w:szCs w:val="22"/>
        </w:rPr>
        <w:t>end of June 2022. Within this time frame</w:t>
      </w:r>
      <w:r w:rsidR="002D26E9" w:rsidRPr="002D26E9">
        <w:rPr>
          <w:rFonts w:ascii="Arial" w:hAnsi="Arial" w:cs="Arial"/>
          <w:sz w:val="22"/>
          <w:szCs w:val="22"/>
        </w:rPr>
        <w:t>,</w:t>
      </w:r>
      <w:r w:rsidRPr="002D26E9">
        <w:rPr>
          <w:rFonts w:ascii="Arial" w:hAnsi="Arial" w:cs="Arial"/>
          <w:sz w:val="22"/>
          <w:szCs w:val="22"/>
        </w:rPr>
        <w:t xml:space="preserve"> all functions on the App became available to patients. The </w:t>
      </w:r>
      <w:r w:rsidRPr="002D26E9">
        <w:rPr>
          <w:rFonts w:ascii="Arial" w:hAnsi="Arial" w:cs="Arial"/>
          <w:sz w:val="22"/>
          <w:szCs w:val="22"/>
        </w:rPr>
        <w:lastRenderedPageBreak/>
        <w:t>study found that practices from the most deprived areas had significantly lower use of the NHS App than those from the least deprived areas.</w:t>
      </w:r>
    </w:p>
    <w:p w14:paraId="32B8F39C" w14:textId="42FA5144"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Of the 6,386 English GP practices included in the study by KC et al. (2024) over </w:t>
      </w:r>
      <w:r w:rsidR="002D26E9" w:rsidRPr="002D26E9">
        <w:rPr>
          <w:rFonts w:ascii="Arial" w:hAnsi="Arial" w:cs="Arial"/>
          <w:sz w:val="22"/>
          <w:szCs w:val="22"/>
        </w:rPr>
        <w:t>3 years</w:t>
      </w:r>
      <w:r w:rsidRPr="002D26E9">
        <w:rPr>
          <w:rFonts w:ascii="Arial" w:hAnsi="Arial" w:cs="Arial"/>
          <w:sz w:val="22"/>
          <w:szCs w:val="22"/>
        </w:rPr>
        <w:t xml:space="preserve"> from March 2020 to </w:t>
      </w:r>
      <w:r w:rsidR="002D26E9" w:rsidRPr="002D26E9">
        <w:rPr>
          <w:rFonts w:ascii="Arial" w:hAnsi="Arial" w:cs="Arial"/>
          <w:sz w:val="22"/>
          <w:szCs w:val="22"/>
        </w:rPr>
        <w:t xml:space="preserve">the </w:t>
      </w:r>
      <w:r w:rsidRPr="002D26E9">
        <w:rPr>
          <w:rFonts w:ascii="Arial" w:hAnsi="Arial" w:cs="Arial"/>
          <w:sz w:val="22"/>
          <w:szCs w:val="22"/>
        </w:rPr>
        <w:t xml:space="preserve">end of June 2022, during which time all functions on the app became available to patients, practices from the most deprived areas had significantly lower use of the functions on the App than those from the least deprived areas. There were 34% fewer registrations by patients of practices from the most deprived areas compared to those from the least deprived areas. There were 34.9% fewer </w:t>
      </w:r>
      <w:proofErr w:type="gramStart"/>
      <w:r w:rsidRPr="002D26E9">
        <w:rPr>
          <w:rFonts w:ascii="Arial" w:hAnsi="Arial" w:cs="Arial"/>
          <w:sz w:val="22"/>
          <w:szCs w:val="22"/>
        </w:rPr>
        <w:t>log-ins</w:t>
      </w:r>
      <w:proofErr w:type="gramEnd"/>
      <w:r w:rsidRPr="002D26E9">
        <w:rPr>
          <w:rFonts w:ascii="Arial" w:hAnsi="Arial" w:cs="Arial"/>
          <w:sz w:val="22"/>
          <w:szCs w:val="22"/>
        </w:rPr>
        <w:t xml:space="preserve"> by patients of practices from the most deprived areas compared to those from the least deprived areas. There were 39.7% fewer appointments made by patients of practices from the most deprived areas compared to those from the least deprived areas. There were 32.3% fewer medical records viewed by patients of practices from the most deprived areas compared to those from the least deprived areas.</w:t>
      </w:r>
    </w:p>
    <w:p w14:paraId="7C66651C" w14:textId="68AB5B2F"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A systematic review and meta-analysis of digital patient portals was conducted by Goldberg et al. (2025)</w:t>
      </w:r>
      <w:r w:rsidR="002D26E9" w:rsidRPr="002D26E9">
        <w:rPr>
          <w:rFonts w:ascii="Arial" w:hAnsi="Arial" w:cs="Arial"/>
          <w:sz w:val="22"/>
          <w:szCs w:val="22"/>
        </w:rPr>
        <w:t>,</w:t>
      </w:r>
      <w:r w:rsidRPr="002D26E9">
        <w:rPr>
          <w:rFonts w:ascii="Arial" w:hAnsi="Arial" w:cs="Arial"/>
          <w:sz w:val="22"/>
          <w:szCs w:val="22"/>
        </w:rPr>
        <w:t xml:space="preserve"> and significant associations </w:t>
      </w:r>
      <w:r w:rsidR="002D26E9" w:rsidRPr="002D26E9">
        <w:rPr>
          <w:rFonts w:ascii="Arial" w:hAnsi="Arial" w:cs="Arial"/>
          <w:sz w:val="22"/>
          <w:szCs w:val="22"/>
        </w:rPr>
        <w:t xml:space="preserve">were </w:t>
      </w:r>
      <w:r w:rsidRPr="002D26E9">
        <w:rPr>
          <w:rFonts w:ascii="Arial" w:hAnsi="Arial" w:cs="Arial"/>
          <w:sz w:val="22"/>
          <w:szCs w:val="22"/>
        </w:rPr>
        <w:t xml:space="preserve">found between </w:t>
      </w:r>
      <w:r w:rsidR="002D26E9" w:rsidRPr="002D26E9">
        <w:rPr>
          <w:rFonts w:ascii="Arial" w:hAnsi="Arial" w:cs="Arial"/>
          <w:sz w:val="22"/>
          <w:szCs w:val="22"/>
        </w:rPr>
        <w:t>several</w:t>
      </w:r>
      <w:r w:rsidRPr="002D26E9">
        <w:rPr>
          <w:rFonts w:ascii="Arial" w:hAnsi="Arial" w:cs="Arial"/>
          <w:sz w:val="22"/>
          <w:szCs w:val="22"/>
        </w:rPr>
        <w:t xml:space="preserve"> demographic/socioeconomic variables and use of patient portals. The review found evidence of a digital divide</w:t>
      </w:r>
      <w:r w:rsidR="002D26E9" w:rsidRPr="002D26E9">
        <w:rPr>
          <w:rFonts w:ascii="Arial" w:hAnsi="Arial" w:cs="Arial"/>
          <w:sz w:val="22"/>
          <w:szCs w:val="22"/>
        </w:rPr>
        <w:t>,</w:t>
      </w:r>
      <w:r w:rsidRPr="002D26E9">
        <w:rPr>
          <w:rFonts w:ascii="Arial" w:hAnsi="Arial" w:cs="Arial"/>
          <w:sz w:val="22"/>
          <w:szCs w:val="22"/>
        </w:rPr>
        <w:t xml:space="preserve"> with access/use of online health services by patients varying with income, education and age.</w:t>
      </w:r>
    </w:p>
    <w:p w14:paraId="7F41E146" w14:textId="7D766D18"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Reidy et al. (2025) found in their research that some older patients and people from certain cultures and with language needs found using the App problematic. Some patients required support from family members and/or volunteers and/or health and care staff </w:t>
      </w:r>
      <w:r w:rsidR="002D26E9" w:rsidRPr="002D26E9">
        <w:rPr>
          <w:rFonts w:ascii="Arial" w:hAnsi="Arial" w:cs="Arial"/>
          <w:sz w:val="22"/>
          <w:szCs w:val="22"/>
        </w:rPr>
        <w:t>to</w:t>
      </w:r>
      <w:r w:rsidRPr="002D26E9">
        <w:rPr>
          <w:rFonts w:ascii="Arial" w:hAnsi="Arial" w:cs="Arial"/>
          <w:sz w:val="22"/>
          <w:szCs w:val="22"/>
        </w:rPr>
        <w:t xml:space="preserve"> use online services via the App.</w:t>
      </w:r>
    </w:p>
    <w:p w14:paraId="1D6C2F3F" w14:textId="77777777"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The ability to access information online via the App has been seen positively by participants in the research. They were able to view their health records, order their prescribed medication and view other aspects of their care via the NHS App. Fingerprint and/or facial recognition was used to secure online accounts of patients and was viewed very positively by the participants in the research. Online access to information regarding the care of patients could enable them to have greater control over their care and therefore hold staff accountable for their actions.</w:t>
      </w:r>
    </w:p>
    <w:p w14:paraId="5A5D3E41" w14:textId="79CA61CA"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Additionally, the written information contained within health care records is often complex and most likely to confuse patients rather than provide them with benefit. Furthermore, even individuals with some prior medical knowledge can find much written health care information complex and of little use. Blease et al. (2024) reported the views of GPs in relation to patients accessing their </w:t>
      </w:r>
      <w:r w:rsidR="002D26E9" w:rsidRPr="002D26E9">
        <w:rPr>
          <w:rFonts w:ascii="Arial" w:hAnsi="Arial" w:cs="Arial"/>
          <w:sz w:val="22"/>
          <w:szCs w:val="22"/>
        </w:rPr>
        <w:t>online</w:t>
      </w:r>
      <w:r w:rsidRPr="002D26E9">
        <w:rPr>
          <w:rFonts w:ascii="Arial" w:hAnsi="Arial" w:cs="Arial"/>
          <w:sz w:val="22"/>
          <w:szCs w:val="22"/>
        </w:rPr>
        <w:t xml:space="preserve"> health records. In a survey of GPs</w:t>
      </w:r>
      <w:r w:rsidR="002D26E9" w:rsidRPr="002D26E9">
        <w:rPr>
          <w:rFonts w:ascii="Arial" w:hAnsi="Arial" w:cs="Arial"/>
          <w:sz w:val="22"/>
          <w:szCs w:val="22"/>
        </w:rPr>
        <w:t>,</w:t>
      </w:r>
      <w:r w:rsidRPr="002D26E9">
        <w:rPr>
          <w:rFonts w:ascii="Arial" w:hAnsi="Arial" w:cs="Arial"/>
          <w:sz w:val="22"/>
          <w:szCs w:val="22"/>
        </w:rPr>
        <w:t xml:space="preserve"> 85% of respondents believed that the average patient would find their medical records more confusing than </w:t>
      </w:r>
      <w:r w:rsidRPr="002D26E9">
        <w:rPr>
          <w:rFonts w:ascii="Arial" w:hAnsi="Arial" w:cs="Arial"/>
          <w:sz w:val="22"/>
          <w:szCs w:val="22"/>
        </w:rPr>
        <w:lastRenderedPageBreak/>
        <w:t xml:space="preserve">beneficial and 91% believed that patients would worry more </w:t>
      </w:r>
      <w:proofErr w:type="gramStart"/>
      <w:r w:rsidRPr="002D26E9">
        <w:rPr>
          <w:rFonts w:ascii="Arial" w:hAnsi="Arial" w:cs="Arial"/>
          <w:sz w:val="22"/>
          <w:szCs w:val="22"/>
        </w:rPr>
        <w:t>as a consequence of</w:t>
      </w:r>
      <w:proofErr w:type="gramEnd"/>
      <w:r w:rsidRPr="002D26E9">
        <w:rPr>
          <w:rFonts w:ascii="Arial" w:hAnsi="Arial" w:cs="Arial"/>
          <w:sz w:val="22"/>
          <w:szCs w:val="22"/>
        </w:rPr>
        <w:t xml:space="preserve"> accessing their </w:t>
      </w:r>
      <w:r w:rsidR="002D26E9" w:rsidRPr="002D26E9">
        <w:rPr>
          <w:rFonts w:ascii="Arial" w:hAnsi="Arial" w:cs="Arial"/>
          <w:sz w:val="22"/>
          <w:szCs w:val="22"/>
        </w:rPr>
        <w:t>online</w:t>
      </w:r>
      <w:r w:rsidRPr="002D26E9">
        <w:rPr>
          <w:rFonts w:ascii="Arial" w:hAnsi="Arial" w:cs="Arial"/>
          <w:sz w:val="22"/>
          <w:szCs w:val="22"/>
        </w:rPr>
        <w:t xml:space="preserve"> health records than before.</w:t>
      </w:r>
    </w:p>
    <w:p w14:paraId="462A308F" w14:textId="18221999"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Healthcare information online is classified as special category data under the UK GDPR (Information Commissioner’s Office, 2024). Consequently, all </w:t>
      </w:r>
      <w:r w:rsidR="002D26E9" w:rsidRPr="002D26E9">
        <w:rPr>
          <w:rFonts w:ascii="Arial" w:hAnsi="Arial" w:cs="Arial"/>
          <w:sz w:val="22"/>
          <w:szCs w:val="22"/>
        </w:rPr>
        <w:t>organisations</w:t>
      </w:r>
      <w:r w:rsidRPr="002D26E9">
        <w:rPr>
          <w:rFonts w:ascii="Arial" w:hAnsi="Arial" w:cs="Arial"/>
          <w:sz w:val="22"/>
          <w:szCs w:val="22"/>
        </w:rPr>
        <w:t xml:space="preserve"> that process health care information online must ensure that the processing of this information is justified under the relevant Article 6 condition, and that one of the specified conditions in Article 9 has also been met.</w:t>
      </w:r>
    </w:p>
    <w:p w14:paraId="5B95BBD5" w14:textId="440828CC"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The views of patients in relation to online health care and security/ confidentiality are of particular interest. The way in which the App </w:t>
      </w:r>
      <w:r w:rsidR="002D26E9" w:rsidRPr="002D26E9">
        <w:rPr>
          <w:rFonts w:ascii="Arial" w:hAnsi="Arial" w:cs="Arial"/>
          <w:sz w:val="22"/>
          <w:szCs w:val="22"/>
        </w:rPr>
        <w:t>utilises</w:t>
      </w:r>
      <w:r w:rsidRPr="002D26E9">
        <w:rPr>
          <w:rFonts w:ascii="Arial" w:hAnsi="Arial" w:cs="Arial"/>
          <w:sz w:val="22"/>
          <w:szCs w:val="22"/>
        </w:rPr>
        <w:t xml:space="preserve"> the patients’ fingerprint or face recognition to secure their online accounts was viewed very positively by the participants in this research (Reidy et al., 2025).</w:t>
      </w:r>
    </w:p>
    <w:p w14:paraId="1A53CB13" w14:textId="04FEBCA9"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However, the aim of digital patient services is to enhance the patient experience through access to online health care services and to increase patient involvement and accountability in their care. That must allow for choice</w:t>
      </w:r>
      <w:r w:rsidR="002D26E9" w:rsidRPr="002D26E9">
        <w:rPr>
          <w:rFonts w:ascii="Arial" w:hAnsi="Arial" w:cs="Arial"/>
          <w:sz w:val="22"/>
          <w:szCs w:val="22"/>
        </w:rPr>
        <w:t>,</w:t>
      </w:r>
      <w:r w:rsidRPr="002D26E9">
        <w:rPr>
          <w:rFonts w:ascii="Arial" w:hAnsi="Arial" w:cs="Arial"/>
          <w:sz w:val="22"/>
          <w:szCs w:val="22"/>
        </w:rPr>
        <w:t xml:space="preserve"> not restrict to </w:t>
      </w:r>
      <w:r w:rsidR="002D26E9" w:rsidRPr="002D26E9">
        <w:rPr>
          <w:rFonts w:ascii="Arial" w:hAnsi="Arial" w:cs="Arial"/>
          <w:sz w:val="22"/>
          <w:szCs w:val="22"/>
        </w:rPr>
        <w:t>single-channel</w:t>
      </w:r>
      <w:r w:rsidRPr="002D26E9">
        <w:rPr>
          <w:rFonts w:ascii="Arial" w:hAnsi="Arial" w:cs="Arial"/>
          <w:sz w:val="22"/>
          <w:szCs w:val="22"/>
        </w:rPr>
        <w:t xml:space="preserve"> access.</w:t>
      </w:r>
    </w:p>
    <w:p w14:paraId="1BA25293" w14:textId="31580E65" w:rsidR="00010DFD" w:rsidRPr="002D26E9" w:rsidRDefault="002D26E9" w:rsidP="002D26E9">
      <w:pPr>
        <w:spacing w:line="360" w:lineRule="auto"/>
        <w:rPr>
          <w:rFonts w:ascii="Arial" w:hAnsi="Arial" w:cs="Arial"/>
          <w:sz w:val="22"/>
          <w:szCs w:val="22"/>
        </w:rPr>
      </w:pPr>
      <w:r w:rsidRPr="002D26E9">
        <w:rPr>
          <w:rFonts w:ascii="Arial" w:hAnsi="Arial" w:cs="Arial"/>
          <w:sz w:val="22"/>
          <w:szCs w:val="22"/>
        </w:rPr>
        <w:t>Whilst</w:t>
      </w:r>
      <w:r w:rsidR="00010DFD" w:rsidRPr="002D26E9">
        <w:rPr>
          <w:rFonts w:ascii="Arial" w:hAnsi="Arial" w:cs="Arial"/>
          <w:sz w:val="22"/>
          <w:szCs w:val="22"/>
        </w:rPr>
        <w:t xml:space="preserve"> the NHS App’s digital services have the potential to enhance the patient experience by enabling greater access to online health care services and patient involvement and accountability in their care, a positive service delivery change is dependent on the successful implementation of online GP services by all the thousands of GP practices in England.</w:t>
      </w:r>
    </w:p>
    <w:p w14:paraId="3D468D7F" w14:textId="77777777" w:rsidR="00010DFD" w:rsidRPr="002D26E9" w:rsidRDefault="00010DFD" w:rsidP="00977DC8">
      <w:pPr>
        <w:pStyle w:val="Heading2"/>
      </w:pPr>
      <w:bookmarkStart w:id="12" w:name="_Toc242205623"/>
      <w:bookmarkStart w:id="13" w:name="_Toc242205681"/>
      <w:r w:rsidRPr="002D26E9">
        <w:t>4. Conclusion and Recommendations</w:t>
      </w:r>
      <w:bookmarkEnd w:id="12"/>
      <w:bookmarkEnd w:id="13"/>
    </w:p>
    <w:p w14:paraId="56AF0E89" w14:textId="6EDD8D82"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Innovations within health and social care have been incrementally implemented over the last decade in England (NHS England, 2019). As noted above</w:t>
      </w:r>
      <w:r w:rsidR="002D26E9" w:rsidRPr="002D26E9">
        <w:rPr>
          <w:rFonts w:ascii="Arial" w:hAnsi="Arial" w:cs="Arial"/>
          <w:sz w:val="22"/>
          <w:szCs w:val="22"/>
        </w:rPr>
        <w:t>,</w:t>
      </w:r>
      <w:r w:rsidRPr="002D26E9">
        <w:rPr>
          <w:rFonts w:ascii="Arial" w:hAnsi="Arial" w:cs="Arial"/>
          <w:sz w:val="22"/>
          <w:szCs w:val="22"/>
        </w:rPr>
        <w:t xml:space="preserve"> the online service for booking appointments and ordering </w:t>
      </w:r>
      <w:r w:rsidR="002D26E9" w:rsidRPr="002D26E9">
        <w:rPr>
          <w:rFonts w:ascii="Arial" w:hAnsi="Arial" w:cs="Arial"/>
          <w:sz w:val="22"/>
          <w:szCs w:val="22"/>
        </w:rPr>
        <w:t>online</w:t>
      </w:r>
      <w:r w:rsidRPr="002D26E9">
        <w:rPr>
          <w:rFonts w:ascii="Arial" w:hAnsi="Arial" w:cs="Arial"/>
          <w:sz w:val="22"/>
          <w:szCs w:val="22"/>
        </w:rPr>
        <w:t xml:space="preserve"> prescribed medications has been available since the App was launched in 2019 for </w:t>
      </w:r>
      <w:r w:rsidR="002D26E9" w:rsidRPr="002D26E9">
        <w:rPr>
          <w:rFonts w:ascii="Arial" w:hAnsi="Arial" w:cs="Arial"/>
          <w:sz w:val="22"/>
          <w:szCs w:val="22"/>
        </w:rPr>
        <w:t>many</w:t>
      </w:r>
      <w:r w:rsidRPr="002D26E9">
        <w:rPr>
          <w:rFonts w:ascii="Arial" w:hAnsi="Arial" w:cs="Arial"/>
          <w:sz w:val="22"/>
          <w:szCs w:val="22"/>
        </w:rPr>
        <w:t xml:space="preserve"> GP practices in England. Services offered by the App have since continued to rise.</w:t>
      </w:r>
    </w:p>
    <w:p w14:paraId="14CD8FF7" w14:textId="7D41678A"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The </w:t>
      </w:r>
      <w:r w:rsidR="002D26E9" w:rsidRPr="002D26E9">
        <w:rPr>
          <w:rFonts w:ascii="Arial" w:hAnsi="Arial" w:cs="Arial"/>
          <w:sz w:val="22"/>
          <w:szCs w:val="22"/>
        </w:rPr>
        <w:t>digitalisation</w:t>
      </w:r>
      <w:r w:rsidRPr="002D26E9">
        <w:rPr>
          <w:rFonts w:ascii="Arial" w:hAnsi="Arial" w:cs="Arial"/>
          <w:sz w:val="22"/>
          <w:szCs w:val="22"/>
        </w:rPr>
        <w:t xml:space="preserve"> of health and social care services will enable routine transactions to be completed more efficiently and better for patients and service users. However, work will be redistributed, not just transferred</w:t>
      </w:r>
      <w:r w:rsidR="002D26E9" w:rsidRPr="002D26E9">
        <w:rPr>
          <w:rFonts w:ascii="Arial" w:hAnsi="Arial" w:cs="Arial"/>
          <w:sz w:val="22"/>
          <w:szCs w:val="22"/>
        </w:rPr>
        <w:t>,</w:t>
      </w:r>
      <w:r w:rsidRPr="002D26E9">
        <w:rPr>
          <w:rFonts w:ascii="Arial" w:hAnsi="Arial" w:cs="Arial"/>
          <w:sz w:val="22"/>
          <w:szCs w:val="22"/>
        </w:rPr>
        <w:t xml:space="preserve"> and so there will be additional work for staff to get to grips with new systems and ways of working. The new systems and ways of working will also require a robust infrastructure and consistent processes to be developed and </w:t>
      </w:r>
      <w:r w:rsidR="002D26E9" w:rsidRPr="002D26E9">
        <w:rPr>
          <w:rFonts w:ascii="Arial" w:hAnsi="Arial" w:cs="Arial"/>
          <w:sz w:val="22"/>
          <w:szCs w:val="22"/>
        </w:rPr>
        <w:t>operationalised</w:t>
      </w:r>
      <w:r w:rsidRPr="002D26E9">
        <w:rPr>
          <w:rFonts w:ascii="Arial" w:hAnsi="Arial" w:cs="Arial"/>
          <w:sz w:val="22"/>
          <w:szCs w:val="22"/>
        </w:rPr>
        <w:t>.</w:t>
      </w:r>
    </w:p>
    <w:p w14:paraId="2D18A350" w14:textId="4CEF9EAF" w:rsidR="00010DFD" w:rsidRPr="002D26E9" w:rsidRDefault="00010DFD" w:rsidP="002D26E9">
      <w:pPr>
        <w:spacing w:line="360" w:lineRule="auto"/>
        <w:rPr>
          <w:rFonts w:ascii="Arial" w:hAnsi="Arial" w:cs="Arial"/>
          <w:sz w:val="22"/>
          <w:szCs w:val="22"/>
        </w:rPr>
      </w:pPr>
      <w:r w:rsidRPr="002D26E9">
        <w:rPr>
          <w:rFonts w:ascii="Arial" w:hAnsi="Arial" w:cs="Arial"/>
          <w:sz w:val="22"/>
          <w:szCs w:val="22"/>
        </w:rPr>
        <w:t xml:space="preserve">NHS </w:t>
      </w:r>
      <w:r w:rsidR="002D26E9" w:rsidRPr="002D26E9">
        <w:rPr>
          <w:rFonts w:ascii="Arial" w:hAnsi="Arial" w:cs="Arial"/>
          <w:sz w:val="22"/>
          <w:szCs w:val="22"/>
        </w:rPr>
        <w:t>organisations</w:t>
      </w:r>
      <w:r w:rsidRPr="002D26E9">
        <w:rPr>
          <w:rFonts w:ascii="Arial" w:hAnsi="Arial" w:cs="Arial"/>
          <w:sz w:val="22"/>
          <w:szCs w:val="22"/>
        </w:rPr>
        <w:t xml:space="preserve"> must monitor the usage of the App in different patient populations and ensure that support is given to all members of the practice team to use new online services </w:t>
      </w:r>
      <w:r w:rsidRPr="002D26E9">
        <w:rPr>
          <w:rFonts w:ascii="Arial" w:hAnsi="Arial" w:cs="Arial"/>
          <w:sz w:val="22"/>
          <w:szCs w:val="22"/>
        </w:rPr>
        <w:lastRenderedPageBreak/>
        <w:t xml:space="preserve">effectively </w:t>
      </w:r>
      <w:r w:rsidR="00A12B7A" w:rsidRPr="002D26E9">
        <w:rPr>
          <w:rFonts w:ascii="Arial" w:hAnsi="Arial" w:cs="Arial"/>
          <w:sz w:val="22"/>
          <w:szCs w:val="22"/>
        </w:rPr>
        <w:t>for</w:t>
      </w:r>
      <w:r w:rsidRPr="002D26E9">
        <w:rPr>
          <w:rFonts w:ascii="Arial" w:hAnsi="Arial" w:cs="Arial"/>
          <w:sz w:val="22"/>
          <w:szCs w:val="22"/>
        </w:rPr>
        <w:t xml:space="preserve"> them to become embedded into the </w:t>
      </w:r>
      <w:r w:rsidR="002D26E9" w:rsidRPr="002D26E9">
        <w:rPr>
          <w:rFonts w:ascii="Arial" w:hAnsi="Arial" w:cs="Arial"/>
          <w:sz w:val="22"/>
          <w:szCs w:val="22"/>
        </w:rPr>
        <w:t>day-to-day</w:t>
      </w:r>
      <w:r w:rsidRPr="002D26E9">
        <w:rPr>
          <w:rFonts w:ascii="Arial" w:hAnsi="Arial" w:cs="Arial"/>
          <w:sz w:val="22"/>
          <w:szCs w:val="22"/>
        </w:rPr>
        <w:t xml:space="preserve"> work of the practice. There also needs to be consideration of how online services could be designed and delivered to include all patients and access services online in a variety of ways.</w:t>
      </w:r>
    </w:p>
    <w:p w14:paraId="3DF3AEC7" w14:textId="54B4435B" w:rsidR="00014CEC" w:rsidRDefault="00010DFD" w:rsidP="002D26E9">
      <w:pPr>
        <w:spacing w:line="360" w:lineRule="auto"/>
        <w:rPr>
          <w:rFonts w:ascii="Arial" w:hAnsi="Arial" w:cs="Arial"/>
          <w:sz w:val="22"/>
          <w:szCs w:val="22"/>
        </w:rPr>
      </w:pPr>
      <w:r w:rsidRPr="002D26E9">
        <w:rPr>
          <w:rFonts w:ascii="Arial" w:hAnsi="Arial" w:cs="Arial"/>
          <w:sz w:val="22"/>
          <w:szCs w:val="22"/>
        </w:rPr>
        <w:t>It is clear from the many changes which are currently taking place in the way of delivery of services and designing new ways of caring for patients in health and care that all is not rosy</w:t>
      </w:r>
      <w:r w:rsidR="00875410">
        <w:rPr>
          <w:rFonts w:ascii="Arial" w:hAnsi="Arial" w:cs="Arial"/>
          <w:sz w:val="22"/>
          <w:szCs w:val="22"/>
        </w:rPr>
        <w:t>. The</w:t>
      </w:r>
      <w:r w:rsidRPr="002D26E9">
        <w:rPr>
          <w:rFonts w:ascii="Arial" w:hAnsi="Arial" w:cs="Arial"/>
          <w:sz w:val="22"/>
          <w:szCs w:val="22"/>
        </w:rPr>
        <w:t xml:space="preserve"> real test of new </w:t>
      </w:r>
      <w:r w:rsidR="002D26E9" w:rsidRPr="002D26E9">
        <w:rPr>
          <w:rFonts w:ascii="Arial" w:hAnsi="Arial" w:cs="Arial"/>
          <w:sz w:val="22"/>
          <w:szCs w:val="22"/>
        </w:rPr>
        <w:t>digitalised</w:t>
      </w:r>
      <w:r w:rsidRPr="002D26E9">
        <w:rPr>
          <w:rFonts w:ascii="Arial" w:hAnsi="Arial" w:cs="Arial"/>
          <w:sz w:val="22"/>
          <w:szCs w:val="22"/>
        </w:rPr>
        <w:t xml:space="preserve"> </w:t>
      </w:r>
      <w:r w:rsidR="00875410">
        <w:rPr>
          <w:rFonts w:ascii="Arial" w:hAnsi="Arial" w:cs="Arial"/>
          <w:sz w:val="22"/>
          <w:szCs w:val="22"/>
        </w:rPr>
        <w:t>service delivery is how effectively and safely it reaches</w:t>
      </w:r>
      <w:r w:rsidRPr="002D26E9">
        <w:rPr>
          <w:rFonts w:ascii="Arial" w:hAnsi="Arial" w:cs="Arial"/>
          <w:sz w:val="22"/>
          <w:szCs w:val="22"/>
        </w:rPr>
        <w:t xml:space="preserve"> all users of health and care services.</w:t>
      </w:r>
    </w:p>
    <w:p w14:paraId="78149BBA" w14:textId="77777777" w:rsidR="00A12B7A" w:rsidRDefault="00A12B7A" w:rsidP="002D26E9">
      <w:pPr>
        <w:spacing w:line="360" w:lineRule="auto"/>
        <w:rPr>
          <w:rFonts w:ascii="Arial" w:hAnsi="Arial" w:cs="Arial"/>
          <w:sz w:val="22"/>
          <w:szCs w:val="22"/>
        </w:rPr>
      </w:pPr>
    </w:p>
    <w:p w14:paraId="2CABFFD6" w14:textId="77777777" w:rsidR="00A12B7A" w:rsidRDefault="00A12B7A" w:rsidP="002D26E9">
      <w:pPr>
        <w:spacing w:line="360" w:lineRule="auto"/>
        <w:rPr>
          <w:rFonts w:ascii="Arial" w:hAnsi="Arial" w:cs="Arial"/>
          <w:sz w:val="22"/>
          <w:szCs w:val="22"/>
        </w:rPr>
      </w:pPr>
    </w:p>
    <w:p w14:paraId="5CF632D0" w14:textId="77777777" w:rsidR="00A12B7A" w:rsidRDefault="00A12B7A" w:rsidP="002D26E9">
      <w:pPr>
        <w:spacing w:line="360" w:lineRule="auto"/>
        <w:rPr>
          <w:rFonts w:ascii="Arial" w:hAnsi="Arial" w:cs="Arial"/>
          <w:sz w:val="22"/>
          <w:szCs w:val="22"/>
        </w:rPr>
      </w:pPr>
    </w:p>
    <w:p w14:paraId="10713B35" w14:textId="77777777" w:rsidR="00A12B7A" w:rsidRDefault="00A12B7A" w:rsidP="002D26E9">
      <w:pPr>
        <w:spacing w:line="360" w:lineRule="auto"/>
        <w:rPr>
          <w:rFonts w:ascii="Arial" w:hAnsi="Arial" w:cs="Arial"/>
          <w:sz w:val="22"/>
          <w:szCs w:val="22"/>
        </w:rPr>
      </w:pPr>
    </w:p>
    <w:p w14:paraId="07E14556" w14:textId="77777777" w:rsidR="00A12B7A" w:rsidRDefault="00A12B7A" w:rsidP="002D26E9">
      <w:pPr>
        <w:spacing w:line="360" w:lineRule="auto"/>
        <w:rPr>
          <w:rFonts w:ascii="Arial" w:hAnsi="Arial" w:cs="Arial"/>
          <w:sz w:val="22"/>
          <w:szCs w:val="22"/>
        </w:rPr>
      </w:pPr>
    </w:p>
    <w:p w14:paraId="38156BB6" w14:textId="77777777" w:rsidR="00A12B7A" w:rsidRDefault="00A12B7A" w:rsidP="002D26E9">
      <w:pPr>
        <w:spacing w:line="360" w:lineRule="auto"/>
        <w:rPr>
          <w:rFonts w:ascii="Arial" w:hAnsi="Arial" w:cs="Arial"/>
          <w:sz w:val="22"/>
          <w:szCs w:val="22"/>
        </w:rPr>
      </w:pPr>
    </w:p>
    <w:p w14:paraId="17C4F5FE" w14:textId="77777777" w:rsidR="00A12B7A" w:rsidRDefault="00A12B7A" w:rsidP="002D26E9">
      <w:pPr>
        <w:spacing w:line="360" w:lineRule="auto"/>
        <w:rPr>
          <w:rFonts w:ascii="Arial" w:hAnsi="Arial" w:cs="Arial"/>
          <w:sz w:val="22"/>
          <w:szCs w:val="22"/>
        </w:rPr>
      </w:pPr>
    </w:p>
    <w:p w14:paraId="66C660BE" w14:textId="77777777" w:rsidR="00A12B7A" w:rsidRDefault="00A12B7A" w:rsidP="002D26E9">
      <w:pPr>
        <w:spacing w:line="360" w:lineRule="auto"/>
        <w:rPr>
          <w:rFonts w:ascii="Arial" w:hAnsi="Arial" w:cs="Arial"/>
          <w:sz w:val="22"/>
          <w:szCs w:val="22"/>
        </w:rPr>
      </w:pPr>
    </w:p>
    <w:p w14:paraId="65177643" w14:textId="77777777" w:rsidR="00A12B7A" w:rsidRDefault="00A12B7A" w:rsidP="002D26E9">
      <w:pPr>
        <w:spacing w:line="360" w:lineRule="auto"/>
        <w:rPr>
          <w:rFonts w:ascii="Arial" w:hAnsi="Arial" w:cs="Arial"/>
          <w:sz w:val="22"/>
          <w:szCs w:val="22"/>
        </w:rPr>
      </w:pPr>
    </w:p>
    <w:p w14:paraId="15BA59E2" w14:textId="77777777" w:rsidR="00A12B7A" w:rsidRDefault="00A12B7A" w:rsidP="002D26E9">
      <w:pPr>
        <w:spacing w:line="360" w:lineRule="auto"/>
        <w:rPr>
          <w:rFonts w:ascii="Arial" w:hAnsi="Arial" w:cs="Arial"/>
          <w:sz w:val="22"/>
          <w:szCs w:val="22"/>
        </w:rPr>
      </w:pPr>
    </w:p>
    <w:p w14:paraId="704D79C7" w14:textId="77777777" w:rsidR="00A12B7A" w:rsidRDefault="00A12B7A" w:rsidP="002D26E9">
      <w:pPr>
        <w:spacing w:line="360" w:lineRule="auto"/>
        <w:rPr>
          <w:rFonts w:ascii="Arial" w:hAnsi="Arial" w:cs="Arial"/>
          <w:sz w:val="22"/>
          <w:szCs w:val="22"/>
        </w:rPr>
      </w:pPr>
    </w:p>
    <w:p w14:paraId="790EFB62" w14:textId="77777777" w:rsidR="00A12B7A" w:rsidRDefault="00A12B7A" w:rsidP="002D26E9">
      <w:pPr>
        <w:spacing w:line="360" w:lineRule="auto"/>
        <w:rPr>
          <w:rFonts w:ascii="Arial" w:hAnsi="Arial" w:cs="Arial"/>
          <w:sz w:val="22"/>
          <w:szCs w:val="22"/>
        </w:rPr>
      </w:pPr>
    </w:p>
    <w:p w14:paraId="707A3FB0" w14:textId="77777777" w:rsidR="00A12B7A" w:rsidRDefault="00A12B7A" w:rsidP="002D26E9">
      <w:pPr>
        <w:spacing w:line="360" w:lineRule="auto"/>
        <w:rPr>
          <w:rFonts w:ascii="Arial" w:hAnsi="Arial" w:cs="Arial"/>
          <w:sz w:val="22"/>
          <w:szCs w:val="22"/>
        </w:rPr>
      </w:pPr>
    </w:p>
    <w:p w14:paraId="5FE84760" w14:textId="77777777" w:rsidR="00A12B7A" w:rsidRDefault="00A12B7A" w:rsidP="002D26E9">
      <w:pPr>
        <w:spacing w:line="360" w:lineRule="auto"/>
        <w:rPr>
          <w:rFonts w:ascii="Arial" w:hAnsi="Arial" w:cs="Arial"/>
          <w:sz w:val="22"/>
          <w:szCs w:val="22"/>
        </w:rPr>
      </w:pPr>
    </w:p>
    <w:p w14:paraId="44B3C724" w14:textId="77777777" w:rsidR="00A12B7A" w:rsidRDefault="00A12B7A" w:rsidP="002D26E9">
      <w:pPr>
        <w:spacing w:line="360" w:lineRule="auto"/>
        <w:rPr>
          <w:rFonts w:ascii="Arial" w:hAnsi="Arial" w:cs="Arial"/>
          <w:sz w:val="22"/>
          <w:szCs w:val="22"/>
        </w:rPr>
      </w:pPr>
    </w:p>
    <w:p w14:paraId="48959F5F" w14:textId="77777777" w:rsidR="00A12B7A" w:rsidRDefault="00A12B7A" w:rsidP="002D26E9">
      <w:pPr>
        <w:spacing w:line="360" w:lineRule="auto"/>
        <w:rPr>
          <w:rFonts w:ascii="Arial" w:hAnsi="Arial" w:cs="Arial"/>
          <w:sz w:val="22"/>
          <w:szCs w:val="22"/>
        </w:rPr>
      </w:pPr>
    </w:p>
    <w:p w14:paraId="10458A06" w14:textId="77777777" w:rsidR="00A12B7A" w:rsidRDefault="00A12B7A" w:rsidP="002D26E9">
      <w:pPr>
        <w:spacing w:line="360" w:lineRule="auto"/>
        <w:rPr>
          <w:rFonts w:ascii="Arial" w:hAnsi="Arial" w:cs="Arial"/>
          <w:sz w:val="22"/>
          <w:szCs w:val="22"/>
        </w:rPr>
      </w:pPr>
    </w:p>
    <w:p w14:paraId="06E6321B" w14:textId="77777777" w:rsidR="00A12B7A" w:rsidRDefault="00A12B7A" w:rsidP="002D26E9">
      <w:pPr>
        <w:spacing w:line="360" w:lineRule="auto"/>
        <w:rPr>
          <w:rFonts w:ascii="Arial" w:hAnsi="Arial" w:cs="Arial"/>
          <w:sz w:val="22"/>
          <w:szCs w:val="22"/>
        </w:rPr>
      </w:pPr>
    </w:p>
    <w:p w14:paraId="161D7EFD" w14:textId="77777777" w:rsidR="00A12B7A" w:rsidRDefault="00A12B7A" w:rsidP="002D26E9">
      <w:pPr>
        <w:spacing w:line="360" w:lineRule="auto"/>
        <w:rPr>
          <w:rFonts w:ascii="Arial" w:hAnsi="Arial" w:cs="Arial"/>
          <w:sz w:val="22"/>
          <w:szCs w:val="22"/>
        </w:rPr>
      </w:pPr>
    </w:p>
    <w:p w14:paraId="06A79DD9" w14:textId="77777777" w:rsidR="00A12B7A" w:rsidRDefault="00A12B7A" w:rsidP="002D26E9">
      <w:pPr>
        <w:spacing w:line="360" w:lineRule="auto"/>
        <w:rPr>
          <w:rFonts w:ascii="Arial" w:hAnsi="Arial" w:cs="Arial"/>
          <w:sz w:val="22"/>
          <w:szCs w:val="22"/>
        </w:rPr>
      </w:pPr>
    </w:p>
    <w:p w14:paraId="4DE5F386" w14:textId="0C5DB7C1" w:rsidR="00A12B7A" w:rsidRPr="00977DC8" w:rsidRDefault="00A12B7A" w:rsidP="00977DC8">
      <w:pPr>
        <w:pStyle w:val="Heading2"/>
        <w:jc w:val="center"/>
        <w:rPr>
          <w:rFonts w:ascii="Arial" w:hAnsi="Arial" w:cs="Arial"/>
          <w:sz w:val="40"/>
          <w:szCs w:val="40"/>
        </w:rPr>
      </w:pPr>
      <w:bookmarkStart w:id="14" w:name="_Toc242205682"/>
      <w:r w:rsidRPr="00977DC8">
        <w:rPr>
          <w:rFonts w:ascii="Arial" w:hAnsi="Arial" w:cs="Arial"/>
          <w:sz w:val="40"/>
          <w:szCs w:val="40"/>
        </w:rPr>
        <w:lastRenderedPageBreak/>
        <w:t>Reference List</w:t>
      </w:r>
      <w:bookmarkEnd w:id="14"/>
    </w:p>
    <w:p w14:paraId="69442A93" w14:textId="77777777" w:rsidR="00977DC8" w:rsidRDefault="00977DC8" w:rsidP="00977DC8">
      <w:pPr>
        <w:spacing w:line="360" w:lineRule="auto"/>
        <w:jc w:val="both"/>
        <w:rPr>
          <w:rFonts w:ascii="Arial" w:hAnsi="Arial" w:cs="Arial"/>
          <w:sz w:val="22"/>
          <w:szCs w:val="22"/>
        </w:rPr>
      </w:pPr>
    </w:p>
    <w:p w14:paraId="77222EDA"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Blease, C.R., </w:t>
      </w:r>
      <w:proofErr w:type="spellStart"/>
      <w:r w:rsidRPr="00A12B7A">
        <w:rPr>
          <w:rFonts w:ascii="Arial" w:hAnsi="Arial" w:cs="Arial"/>
          <w:sz w:val="22"/>
          <w:szCs w:val="22"/>
        </w:rPr>
        <w:t>Kharko</w:t>
      </w:r>
      <w:proofErr w:type="spellEnd"/>
      <w:r w:rsidRPr="00A12B7A">
        <w:rPr>
          <w:rFonts w:ascii="Arial" w:hAnsi="Arial" w:cs="Arial"/>
          <w:sz w:val="22"/>
          <w:szCs w:val="22"/>
        </w:rPr>
        <w:t xml:space="preserve">, A., Dong, Z., Jones, R.B., Davidge, G., Hagglund, M., Turner, A., DesRoches, C. and McMillan, B. (2024) ‘Experiences and opinions of general practitioners with patient online record access: an online survey in England’, </w:t>
      </w:r>
      <w:r w:rsidRPr="00A12B7A">
        <w:rPr>
          <w:rFonts w:ascii="Arial" w:hAnsi="Arial" w:cs="Arial"/>
          <w:i/>
          <w:iCs/>
          <w:sz w:val="22"/>
          <w:szCs w:val="22"/>
        </w:rPr>
        <w:t>BMJ Open</w:t>
      </w:r>
      <w:r w:rsidRPr="00A12B7A">
        <w:rPr>
          <w:rFonts w:ascii="Arial" w:hAnsi="Arial" w:cs="Arial"/>
          <w:sz w:val="22"/>
          <w:szCs w:val="22"/>
        </w:rPr>
        <w:t xml:space="preserve">, 14(1), e078158. Available at: </w:t>
      </w:r>
      <w:hyperlink r:id="rId7" w:history="1">
        <w:r w:rsidRPr="00A12B7A">
          <w:rPr>
            <w:rStyle w:val="Hyperlink"/>
            <w:rFonts w:ascii="Arial" w:hAnsi="Arial" w:cs="Arial"/>
            <w:sz w:val="22"/>
            <w:szCs w:val="22"/>
          </w:rPr>
          <w:t>https://doi.org/</w:t>
        </w:r>
        <w:r w:rsidRPr="00A12B7A">
          <w:rPr>
            <w:rStyle w:val="Hyperlink"/>
            <w:rFonts w:ascii="Arial" w:hAnsi="Arial" w:cs="Arial"/>
            <w:sz w:val="22"/>
            <w:szCs w:val="22"/>
          </w:rPr>
          <w:t>1</w:t>
        </w:r>
        <w:r w:rsidRPr="00A12B7A">
          <w:rPr>
            <w:rStyle w:val="Hyperlink"/>
            <w:rFonts w:ascii="Arial" w:hAnsi="Arial" w:cs="Arial"/>
            <w:sz w:val="22"/>
            <w:szCs w:val="22"/>
          </w:rPr>
          <w:t>0.1136/bmjopen-2023-078158</w:t>
        </w:r>
      </w:hyperlink>
      <w:r w:rsidRPr="00A12B7A">
        <w:rPr>
          <w:rFonts w:ascii="Arial" w:hAnsi="Arial" w:cs="Arial"/>
          <w:sz w:val="22"/>
          <w:szCs w:val="22"/>
        </w:rPr>
        <w:t xml:space="preserve"> (Accessed:</w:t>
      </w:r>
      <w:r>
        <w:rPr>
          <w:rFonts w:ascii="Arial" w:hAnsi="Arial" w:cs="Arial"/>
          <w:sz w:val="22"/>
          <w:szCs w:val="22"/>
        </w:rPr>
        <w:t xml:space="preserve"> 1</w:t>
      </w:r>
      <w:r w:rsidRPr="00A12B7A">
        <w:rPr>
          <w:rFonts w:ascii="Arial" w:hAnsi="Arial" w:cs="Arial"/>
          <w:sz w:val="22"/>
          <w:szCs w:val="22"/>
        </w:rPr>
        <w:t xml:space="preserve"> October 2026).</w:t>
      </w:r>
    </w:p>
    <w:p w14:paraId="756C5F26"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Department of Health and Social Care and NHS England (2022) </w:t>
      </w:r>
      <w:r w:rsidRPr="00A12B7A">
        <w:rPr>
          <w:rFonts w:ascii="Arial" w:hAnsi="Arial" w:cs="Arial"/>
          <w:i/>
          <w:iCs/>
          <w:sz w:val="22"/>
          <w:szCs w:val="22"/>
        </w:rPr>
        <w:t>A plan for digital health and social care</w:t>
      </w:r>
      <w:r w:rsidRPr="00A12B7A">
        <w:rPr>
          <w:rFonts w:ascii="Arial" w:hAnsi="Arial" w:cs="Arial"/>
          <w:sz w:val="22"/>
          <w:szCs w:val="22"/>
        </w:rPr>
        <w:t xml:space="preserve">. London: Department of Health and Social Care. Available at: </w:t>
      </w:r>
      <w:hyperlink r:id="rId8" w:history="1">
        <w:r w:rsidRPr="00A12B7A">
          <w:rPr>
            <w:rStyle w:val="Hyperlink"/>
            <w:rFonts w:ascii="Arial" w:hAnsi="Arial" w:cs="Arial"/>
            <w:sz w:val="22"/>
            <w:szCs w:val="22"/>
          </w:rPr>
          <w:t>https://www.gov.uk/government/publ</w:t>
        </w:r>
        <w:r w:rsidRPr="00A12B7A">
          <w:rPr>
            <w:rStyle w:val="Hyperlink"/>
            <w:rFonts w:ascii="Arial" w:hAnsi="Arial" w:cs="Arial"/>
            <w:sz w:val="22"/>
            <w:szCs w:val="22"/>
          </w:rPr>
          <w:t>i</w:t>
        </w:r>
        <w:r w:rsidRPr="00A12B7A">
          <w:rPr>
            <w:rStyle w:val="Hyperlink"/>
            <w:rFonts w:ascii="Arial" w:hAnsi="Arial" w:cs="Arial"/>
            <w:sz w:val="22"/>
            <w:szCs w:val="22"/>
          </w:rPr>
          <w:t>cations/a-plan-for-digital-health-and-social-care/a-plan-for-digital-health-and-social-care</w:t>
        </w:r>
      </w:hyperlink>
      <w:r w:rsidRPr="00A12B7A">
        <w:rPr>
          <w:rFonts w:ascii="Arial" w:hAnsi="Arial" w:cs="Arial"/>
          <w:sz w:val="22"/>
          <w:szCs w:val="22"/>
        </w:rPr>
        <w:t xml:space="preserve"> (Accessed: </w:t>
      </w:r>
      <w:r>
        <w:rPr>
          <w:rFonts w:ascii="Arial" w:hAnsi="Arial" w:cs="Arial"/>
          <w:sz w:val="22"/>
          <w:szCs w:val="22"/>
        </w:rPr>
        <w:t xml:space="preserve">1 </w:t>
      </w:r>
      <w:r w:rsidRPr="00A12B7A">
        <w:rPr>
          <w:rFonts w:ascii="Arial" w:hAnsi="Arial" w:cs="Arial"/>
          <w:sz w:val="22"/>
          <w:szCs w:val="22"/>
        </w:rPr>
        <w:t>October 2026).</w:t>
      </w:r>
    </w:p>
    <w:p w14:paraId="598B1BAE"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Goldberg, N., Herrmann, C., Di Gion, P., Hautsch, V., Hefter, K., </w:t>
      </w:r>
      <w:proofErr w:type="spellStart"/>
      <w:r w:rsidRPr="00A12B7A">
        <w:rPr>
          <w:rFonts w:ascii="Arial" w:hAnsi="Arial" w:cs="Arial"/>
          <w:sz w:val="22"/>
          <w:szCs w:val="22"/>
        </w:rPr>
        <w:t>Langebartels</w:t>
      </w:r>
      <w:proofErr w:type="spellEnd"/>
      <w:r w:rsidRPr="00A12B7A">
        <w:rPr>
          <w:rFonts w:ascii="Arial" w:hAnsi="Arial" w:cs="Arial"/>
          <w:sz w:val="22"/>
          <w:szCs w:val="22"/>
        </w:rPr>
        <w:t xml:space="preserve">, G., Pfaff, H., </w:t>
      </w:r>
      <w:proofErr w:type="spellStart"/>
      <w:r w:rsidRPr="00A12B7A">
        <w:rPr>
          <w:rFonts w:ascii="Arial" w:hAnsi="Arial" w:cs="Arial"/>
          <w:sz w:val="22"/>
          <w:szCs w:val="22"/>
        </w:rPr>
        <w:t>Ansmann</w:t>
      </w:r>
      <w:proofErr w:type="spellEnd"/>
      <w:r w:rsidRPr="00A12B7A">
        <w:rPr>
          <w:rFonts w:ascii="Arial" w:hAnsi="Arial" w:cs="Arial"/>
          <w:sz w:val="22"/>
          <w:szCs w:val="22"/>
        </w:rPr>
        <w:t xml:space="preserve">, L., Karbach, U. and Wurster, F. (2025) ‘Sociodemographic and socioeconomic determinants for the usage of digital patient portals in hospitals: systematic review and meta-analysis on the digital divide’, </w:t>
      </w:r>
      <w:r w:rsidRPr="00A12B7A">
        <w:rPr>
          <w:rFonts w:ascii="Arial" w:hAnsi="Arial" w:cs="Arial"/>
          <w:i/>
          <w:iCs/>
          <w:sz w:val="22"/>
          <w:szCs w:val="22"/>
        </w:rPr>
        <w:t>Journal of Medical Internet Research</w:t>
      </w:r>
      <w:r w:rsidRPr="00A12B7A">
        <w:rPr>
          <w:rFonts w:ascii="Arial" w:hAnsi="Arial" w:cs="Arial"/>
          <w:sz w:val="22"/>
          <w:szCs w:val="22"/>
        </w:rPr>
        <w:t xml:space="preserve">, 27, e68091. Available at: </w:t>
      </w:r>
      <w:hyperlink r:id="rId9" w:history="1">
        <w:r w:rsidRPr="00A12B7A">
          <w:rPr>
            <w:rStyle w:val="Hyperlink"/>
            <w:rFonts w:ascii="Arial" w:hAnsi="Arial" w:cs="Arial"/>
            <w:sz w:val="22"/>
            <w:szCs w:val="22"/>
          </w:rPr>
          <w:t>https://doi.org/10.2196/68</w:t>
        </w:r>
        <w:r w:rsidRPr="00A12B7A">
          <w:rPr>
            <w:rStyle w:val="Hyperlink"/>
            <w:rFonts w:ascii="Arial" w:hAnsi="Arial" w:cs="Arial"/>
            <w:sz w:val="22"/>
            <w:szCs w:val="22"/>
          </w:rPr>
          <w:t>0</w:t>
        </w:r>
        <w:r w:rsidRPr="00A12B7A">
          <w:rPr>
            <w:rStyle w:val="Hyperlink"/>
            <w:rFonts w:ascii="Arial" w:hAnsi="Arial" w:cs="Arial"/>
            <w:sz w:val="22"/>
            <w:szCs w:val="22"/>
          </w:rPr>
          <w:t>91</w:t>
        </w:r>
      </w:hyperlink>
      <w:r w:rsidRPr="00A12B7A">
        <w:rPr>
          <w:rFonts w:ascii="Arial" w:hAnsi="Arial" w:cs="Arial"/>
          <w:sz w:val="22"/>
          <w:szCs w:val="22"/>
        </w:rPr>
        <w:t xml:space="preserve"> (Accessed: </w:t>
      </w:r>
      <w:r>
        <w:rPr>
          <w:rFonts w:ascii="Arial" w:hAnsi="Arial" w:cs="Arial"/>
          <w:sz w:val="22"/>
          <w:szCs w:val="22"/>
        </w:rPr>
        <w:t>2</w:t>
      </w:r>
      <w:r w:rsidRPr="00A12B7A">
        <w:rPr>
          <w:rFonts w:ascii="Arial" w:hAnsi="Arial" w:cs="Arial"/>
          <w:sz w:val="22"/>
          <w:szCs w:val="22"/>
        </w:rPr>
        <w:t xml:space="preserve"> October 2026).</w:t>
      </w:r>
    </w:p>
    <w:p w14:paraId="48B1CB2F"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Greaves, F., Papoutsi, C., KC, S., et al. (2026) </w:t>
      </w:r>
      <w:r w:rsidRPr="00A12B7A">
        <w:rPr>
          <w:rFonts w:ascii="Arial" w:hAnsi="Arial" w:cs="Arial"/>
          <w:i/>
          <w:iCs/>
          <w:sz w:val="22"/>
          <w:szCs w:val="22"/>
        </w:rPr>
        <w:t>Evaluating the national rollout of the NHS App in England using qualitative and quantitative methods</w:t>
      </w:r>
      <w:r w:rsidRPr="00A12B7A">
        <w:rPr>
          <w:rFonts w:ascii="Arial" w:hAnsi="Arial" w:cs="Arial"/>
          <w:sz w:val="22"/>
          <w:szCs w:val="22"/>
        </w:rPr>
        <w:t xml:space="preserve">. Health and Social Care Delivery Research, 14(15). Southampton: National Institute for Health and Care Research. Available at: </w:t>
      </w:r>
      <w:hyperlink r:id="rId10" w:history="1">
        <w:r w:rsidRPr="00A12B7A">
          <w:rPr>
            <w:rStyle w:val="Hyperlink"/>
            <w:rFonts w:ascii="Arial" w:hAnsi="Arial" w:cs="Arial"/>
            <w:sz w:val="22"/>
            <w:szCs w:val="22"/>
          </w:rPr>
          <w:t>https://www.ncbi.nlm.nih.gov/books/NBK6</w:t>
        </w:r>
        <w:r w:rsidRPr="00A12B7A">
          <w:rPr>
            <w:rStyle w:val="Hyperlink"/>
            <w:rFonts w:ascii="Arial" w:hAnsi="Arial" w:cs="Arial"/>
            <w:sz w:val="22"/>
            <w:szCs w:val="22"/>
          </w:rPr>
          <w:t>2</w:t>
        </w:r>
        <w:r w:rsidRPr="00A12B7A">
          <w:rPr>
            <w:rStyle w:val="Hyperlink"/>
            <w:rFonts w:ascii="Arial" w:hAnsi="Arial" w:cs="Arial"/>
            <w:sz w:val="22"/>
            <w:szCs w:val="22"/>
          </w:rPr>
          <w:t>2650/</w:t>
        </w:r>
      </w:hyperlink>
      <w:r w:rsidRPr="00A12B7A">
        <w:rPr>
          <w:rFonts w:ascii="Arial" w:hAnsi="Arial" w:cs="Arial"/>
          <w:sz w:val="22"/>
          <w:szCs w:val="22"/>
        </w:rPr>
        <w:t xml:space="preserve"> (Accessed: </w:t>
      </w:r>
      <w:r>
        <w:rPr>
          <w:rFonts w:ascii="Arial" w:hAnsi="Arial" w:cs="Arial"/>
          <w:sz w:val="22"/>
          <w:szCs w:val="22"/>
        </w:rPr>
        <w:t xml:space="preserve">2 </w:t>
      </w:r>
      <w:r w:rsidRPr="00A12B7A">
        <w:rPr>
          <w:rFonts w:ascii="Arial" w:hAnsi="Arial" w:cs="Arial"/>
          <w:sz w:val="22"/>
          <w:szCs w:val="22"/>
        </w:rPr>
        <w:t>October 2026).</w:t>
      </w:r>
    </w:p>
    <w:p w14:paraId="67CCB645"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Information Commissioner's Office (2024) </w:t>
      </w:r>
      <w:r w:rsidRPr="00A12B7A">
        <w:rPr>
          <w:rFonts w:ascii="Arial" w:hAnsi="Arial" w:cs="Arial"/>
          <w:i/>
          <w:iCs/>
          <w:sz w:val="22"/>
          <w:szCs w:val="22"/>
        </w:rPr>
        <w:t>What is special category data?</w:t>
      </w:r>
      <w:r w:rsidRPr="00A12B7A">
        <w:rPr>
          <w:rFonts w:ascii="Arial" w:hAnsi="Arial" w:cs="Arial"/>
          <w:sz w:val="22"/>
          <w:szCs w:val="22"/>
        </w:rPr>
        <w:t xml:space="preserve"> Available at: </w:t>
      </w:r>
      <w:hyperlink r:id="rId11" w:history="1">
        <w:r w:rsidRPr="00A12B7A">
          <w:rPr>
            <w:rStyle w:val="Hyperlink"/>
            <w:rFonts w:ascii="Arial" w:hAnsi="Arial" w:cs="Arial"/>
            <w:sz w:val="22"/>
            <w:szCs w:val="22"/>
          </w:rPr>
          <w:t>https://ico.org.uk/for-organisations/uk-gdpr-guidance-and-r</w:t>
        </w:r>
        <w:r w:rsidRPr="00A12B7A">
          <w:rPr>
            <w:rStyle w:val="Hyperlink"/>
            <w:rFonts w:ascii="Arial" w:hAnsi="Arial" w:cs="Arial"/>
            <w:sz w:val="22"/>
            <w:szCs w:val="22"/>
          </w:rPr>
          <w:t>e</w:t>
        </w:r>
        <w:r w:rsidRPr="00A12B7A">
          <w:rPr>
            <w:rStyle w:val="Hyperlink"/>
            <w:rFonts w:ascii="Arial" w:hAnsi="Arial" w:cs="Arial"/>
            <w:sz w:val="22"/>
            <w:szCs w:val="22"/>
          </w:rPr>
          <w:t>sources/lawful-basis/special-category-data/what-is-special-category-data/</w:t>
        </w:r>
      </w:hyperlink>
      <w:r w:rsidRPr="00A12B7A">
        <w:rPr>
          <w:rFonts w:ascii="Arial" w:hAnsi="Arial" w:cs="Arial"/>
          <w:sz w:val="22"/>
          <w:szCs w:val="22"/>
        </w:rPr>
        <w:t xml:space="preserve"> (Accessed: </w:t>
      </w:r>
      <w:r>
        <w:rPr>
          <w:rFonts w:ascii="Arial" w:hAnsi="Arial" w:cs="Arial"/>
          <w:sz w:val="22"/>
          <w:szCs w:val="22"/>
        </w:rPr>
        <w:t>5</w:t>
      </w:r>
      <w:r w:rsidRPr="00A12B7A">
        <w:rPr>
          <w:rFonts w:ascii="Arial" w:hAnsi="Arial" w:cs="Arial"/>
          <w:sz w:val="22"/>
          <w:szCs w:val="22"/>
        </w:rPr>
        <w:t xml:space="preserve"> October 2026).</w:t>
      </w:r>
    </w:p>
    <w:p w14:paraId="337959FF"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KC, S., Papoutsi, C., Reidy, C., Gudgin, B., Powell, J., Majeed, A., Greaves, F. and Laverty, A.A. (2024) ‘Differences in use of a patient portal across sociodemographic groups: observational study of the NHS App in England’, </w:t>
      </w:r>
      <w:r w:rsidRPr="00A12B7A">
        <w:rPr>
          <w:rFonts w:ascii="Arial" w:hAnsi="Arial" w:cs="Arial"/>
          <w:i/>
          <w:iCs/>
          <w:sz w:val="22"/>
          <w:szCs w:val="22"/>
        </w:rPr>
        <w:t>Journal of Medical Internet Research</w:t>
      </w:r>
      <w:r w:rsidRPr="00A12B7A">
        <w:rPr>
          <w:rFonts w:ascii="Arial" w:hAnsi="Arial" w:cs="Arial"/>
          <w:sz w:val="22"/>
          <w:szCs w:val="22"/>
        </w:rPr>
        <w:t xml:space="preserve">, 26, e56320. Available at: </w:t>
      </w:r>
      <w:hyperlink r:id="rId12" w:history="1">
        <w:r w:rsidRPr="00A12B7A">
          <w:rPr>
            <w:rStyle w:val="Hyperlink"/>
            <w:rFonts w:ascii="Arial" w:hAnsi="Arial" w:cs="Arial"/>
            <w:sz w:val="22"/>
            <w:szCs w:val="22"/>
          </w:rPr>
          <w:t>https://doi.org/10.2196/56320</w:t>
        </w:r>
      </w:hyperlink>
      <w:r w:rsidRPr="00A12B7A">
        <w:rPr>
          <w:rFonts w:ascii="Arial" w:hAnsi="Arial" w:cs="Arial"/>
          <w:sz w:val="22"/>
          <w:szCs w:val="22"/>
        </w:rPr>
        <w:t xml:space="preserve"> (Accessed: </w:t>
      </w:r>
      <w:r>
        <w:rPr>
          <w:rFonts w:ascii="Arial" w:hAnsi="Arial" w:cs="Arial"/>
          <w:sz w:val="22"/>
          <w:szCs w:val="22"/>
        </w:rPr>
        <w:t xml:space="preserve">4 </w:t>
      </w:r>
      <w:r w:rsidRPr="00A12B7A">
        <w:rPr>
          <w:rFonts w:ascii="Arial" w:hAnsi="Arial" w:cs="Arial"/>
          <w:sz w:val="22"/>
          <w:szCs w:val="22"/>
        </w:rPr>
        <w:t>October 2026).</w:t>
      </w:r>
    </w:p>
    <w:p w14:paraId="517E58D0"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KC, S., Papoutsi, C., Reidy, C., Gudgin, B., Powell, J., Majeed, A., Greaves, F. and Laverty, A.A. (2025) ‘Ease of access to general practice, patient experience and use of the NHS App: an ecological analysis of English data’, </w:t>
      </w:r>
      <w:r w:rsidRPr="00A12B7A">
        <w:rPr>
          <w:rFonts w:ascii="Arial" w:hAnsi="Arial" w:cs="Arial"/>
          <w:i/>
          <w:iCs/>
          <w:sz w:val="22"/>
          <w:szCs w:val="22"/>
        </w:rPr>
        <w:t>JRSM Open</w:t>
      </w:r>
      <w:r w:rsidRPr="00A12B7A">
        <w:rPr>
          <w:rFonts w:ascii="Arial" w:hAnsi="Arial" w:cs="Arial"/>
          <w:sz w:val="22"/>
          <w:szCs w:val="22"/>
        </w:rPr>
        <w:t xml:space="preserve">, 16(12). Available at: </w:t>
      </w:r>
      <w:hyperlink r:id="rId13" w:history="1">
        <w:r w:rsidRPr="00A12B7A">
          <w:rPr>
            <w:rStyle w:val="Hyperlink"/>
            <w:rFonts w:ascii="Arial" w:hAnsi="Arial" w:cs="Arial"/>
            <w:sz w:val="22"/>
            <w:szCs w:val="22"/>
          </w:rPr>
          <w:t>https://doi.org/10.1177/20542704251398918</w:t>
        </w:r>
      </w:hyperlink>
      <w:r w:rsidRPr="00A12B7A">
        <w:rPr>
          <w:rFonts w:ascii="Arial" w:hAnsi="Arial" w:cs="Arial"/>
          <w:sz w:val="22"/>
          <w:szCs w:val="22"/>
        </w:rPr>
        <w:t xml:space="preserve"> (Accessed: 5 October 2026).</w:t>
      </w:r>
    </w:p>
    <w:p w14:paraId="772200D8"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NHS England (2019) ‘NHS App begins public rollout’. Available at: </w:t>
      </w:r>
      <w:hyperlink r:id="rId14" w:history="1">
        <w:r w:rsidRPr="00A12B7A">
          <w:rPr>
            <w:rStyle w:val="Hyperlink"/>
            <w:rFonts w:ascii="Arial" w:hAnsi="Arial" w:cs="Arial"/>
            <w:sz w:val="22"/>
            <w:szCs w:val="22"/>
          </w:rPr>
          <w:t>https://www.england.nhs.uk/2019/01/nhs-app-begins-</w:t>
        </w:r>
        <w:r w:rsidRPr="00A12B7A">
          <w:rPr>
            <w:rStyle w:val="Hyperlink"/>
            <w:rFonts w:ascii="Arial" w:hAnsi="Arial" w:cs="Arial"/>
            <w:sz w:val="22"/>
            <w:szCs w:val="22"/>
          </w:rPr>
          <w:t>p</w:t>
        </w:r>
        <w:r w:rsidRPr="00A12B7A">
          <w:rPr>
            <w:rStyle w:val="Hyperlink"/>
            <w:rFonts w:ascii="Arial" w:hAnsi="Arial" w:cs="Arial"/>
            <w:sz w:val="22"/>
            <w:szCs w:val="22"/>
          </w:rPr>
          <w:t>ublic-rollout/</w:t>
        </w:r>
      </w:hyperlink>
      <w:r w:rsidRPr="00A12B7A">
        <w:rPr>
          <w:rFonts w:ascii="Arial" w:hAnsi="Arial" w:cs="Arial"/>
          <w:sz w:val="22"/>
          <w:szCs w:val="22"/>
        </w:rPr>
        <w:t xml:space="preserve"> (Accessed: </w:t>
      </w:r>
      <w:r>
        <w:rPr>
          <w:rFonts w:ascii="Arial" w:hAnsi="Arial" w:cs="Arial"/>
          <w:sz w:val="22"/>
          <w:szCs w:val="22"/>
        </w:rPr>
        <w:t xml:space="preserve">8 </w:t>
      </w:r>
      <w:r w:rsidRPr="00A12B7A">
        <w:rPr>
          <w:rFonts w:ascii="Arial" w:hAnsi="Arial" w:cs="Arial"/>
          <w:sz w:val="22"/>
          <w:szCs w:val="22"/>
        </w:rPr>
        <w:t>October 2026).</w:t>
      </w:r>
    </w:p>
    <w:p w14:paraId="6E876423"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lastRenderedPageBreak/>
        <w:t xml:space="preserve">NHS England (2023) </w:t>
      </w:r>
      <w:r w:rsidRPr="00A12B7A">
        <w:rPr>
          <w:rFonts w:ascii="Arial" w:hAnsi="Arial" w:cs="Arial"/>
          <w:i/>
          <w:iCs/>
          <w:sz w:val="22"/>
          <w:szCs w:val="22"/>
        </w:rPr>
        <w:t>Digital maturity assessment: What Good Looks Like</w:t>
      </w:r>
      <w:r w:rsidRPr="00A12B7A">
        <w:rPr>
          <w:rFonts w:ascii="Arial" w:hAnsi="Arial" w:cs="Arial"/>
          <w:sz w:val="22"/>
          <w:szCs w:val="22"/>
        </w:rPr>
        <w:t xml:space="preserve">. Available at: </w:t>
      </w:r>
      <w:hyperlink r:id="rId15" w:history="1">
        <w:r w:rsidRPr="00A12B7A">
          <w:rPr>
            <w:rStyle w:val="Hyperlink"/>
            <w:rFonts w:ascii="Arial" w:hAnsi="Arial" w:cs="Arial"/>
            <w:sz w:val="22"/>
            <w:szCs w:val="22"/>
          </w:rPr>
          <w:t>https://www.england.nhs.uk/long-read/digital-maturity-assessme</w:t>
        </w:r>
        <w:r w:rsidRPr="00A12B7A">
          <w:rPr>
            <w:rStyle w:val="Hyperlink"/>
            <w:rFonts w:ascii="Arial" w:hAnsi="Arial" w:cs="Arial"/>
            <w:sz w:val="22"/>
            <w:szCs w:val="22"/>
          </w:rPr>
          <w:t>n</w:t>
        </w:r>
        <w:r w:rsidRPr="00A12B7A">
          <w:rPr>
            <w:rStyle w:val="Hyperlink"/>
            <w:rFonts w:ascii="Arial" w:hAnsi="Arial" w:cs="Arial"/>
            <w:sz w:val="22"/>
            <w:szCs w:val="22"/>
          </w:rPr>
          <w:t>t/</w:t>
        </w:r>
      </w:hyperlink>
      <w:r w:rsidRPr="00A12B7A">
        <w:rPr>
          <w:rFonts w:ascii="Arial" w:hAnsi="Arial" w:cs="Arial"/>
          <w:sz w:val="22"/>
          <w:szCs w:val="22"/>
        </w:rPr>
        <w:t xml:space="preserve"> (Accessed: </w:t>
      </w:r>
      <w:r>
        <w:rPr>
          <w:rFonts w:ascii="Arial" w:hAnsi="Arial" w:cs="Arial"/>
          <w:sz w:val="22"/>
          <w:szCs w:val="22"/>
        </w:rPr>
        <w:t xml:space="preserve">12 </w:t>
      </w:r>
      <w:r w:rsidRPr="00A12B7A">
        <w:rPr>
          <w:rFonts w:ascii="Arial" w:hAnsi="Arial" w:cs="Arial"/>
          <w:sz w:val="22"/>
          <w:szCs w:val="22"/>
        </w:rPr>
        <w:t>October 2026).</w:t>
      </w:r>
    </w:p>
    <w:p w14:paraId="5B1994B7"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NHS England (2025a) </w:t>
      </w:r>
      <w:r w:rsidRPr="00A12B7A">
        <w:rPr>
          <w:rFonts w:ascii="Arial" w:hAnsi="Arial" w:cs="Arial"/>
          <w:i/>
          <w:iCs/>
          <w:sz w:val="22"/>
          <w:szCs w:val="22"/>
        </w:rPr>
        <w:t>Performance report 2024/25</w:t>
      </w:r>
      <w:r w:rsidRPr="00A12B7A">
        <w:rPr>
          <w:rFonts w:ascii="Arial" w:hAnsi="Arial" w:cs="Arial"/>
          <w:sz w:val="22"/>
          <w:szCs w:val="22"/>
        </w:rPr>
        <w:t xml:space="preserve">. Available at: </w:t>
      </w:r>
      <w:hyperlink r:id="rId16" w:history="1">
        <w:r w:rsidRPr="00A12B7A">
          <w:rPr>
            <w:rStyle w:val="Hyperlink"/>
            <w:rFonts w:ascii="Arial" w:hAnsi="Arial" w:cs="Arial"/>
            <w:sz w:val="22"/>
            <w:szCs w:val="22"/>
          </w:rPr>
          <w:t>https://www.england.nhs.uk/long-read/performance-r</w:t>
        </w:r>
        <w:r w:rsidRPr="00A12B7A">
          <w:rPr>
            <w:rStyle w:val="Hyperlink"/>
            <w:rFonts w:ascii="Arial" w:hAnsi="Arial" w:cs="Arial"/>
            <w:sz w:val="22"/>
            <w:szCs w:val="22"/>
          </w:rPr>
          <w:t>e</w:t>
        </w:r>
        <w:r w:rsidRPr="00A12B7A">
          <w:rPr>
            <w:rStyle w:val="Hyperlink"/>
            <w:rFonts w:ascii="Arial" w:hAnsi="Arial" w:cs="Arial"/>
            <w:sz w:val="22"/>
            <w:szCs w:val="22"/>
          </w:rPr>
          <w:t>port-24-25/</w:t>
        </w:r>
      </w:hyperlink>
      <w:r w:rsidRPr="00A12B7A">
        <w:rPr>
          <w:rFonts w:ascii="Arial" w:hAnsi="Arial" w:cs="Arial"/>
          <w:sz w:val="22"/>
          <w:szCs w:val="22"/>
        </w:rPr>
        <w:t xml:space="preserve"> (Accessed: </w:t>
      </w:r>
      <w:r>
        <w:rPr>
          <w:rFonts w:ascii="Arial" w:hAnsi="Arial" w:cs="Arial"/>
          <w:sz w:val="22"/>
          <w:szCs w:val="22"/>
        </w:rPr>
        <w:t>16</w:t>
      </w:r>
      <w:r w:rsidRPr="00A12B7A">
        <w:rPr>
          <w:rFonts w:ascii="Arial" w:hAnsi="Arial" w:cs="Arial"/>
          <w:sz w:val="22"/>
          <w:szCs w:val="22"/>
        </w:rPr>
        <w:t xml:space="preserve"> October 2026).</w:t>
      </w:r>
    </w:p>
    <w:p w14:paraId="7F6B1003"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NHS England (2025b) ‘“Amazon-style” prescription tracking goes live in NHS App for millions of </w:t>
      </w:r>
      <w:proofErr w:type="gramStart"/>
      <w:r w:rsidRPr="00A12B7A">
        <w:rPr>
          <w:rFonts w:ascii="Arial" w:hAnsi="Arial" w:cs="Arial"/>
          <w:sz w:val="22"/>
          <w:szCs w:val="22"/>
        </w:rPr>
        <w:t>patients’</w:t>
      </w:r>
      <w:proofErr w:type="gramEnd"/>
      <w:r w:rsidRPr="00A12B7A">
        <w:rPr>
          <w:rFonts w:ascii="Arial" w:hAnsi="Arial" w:cs="Arial"/>
          <w:sz w:val="22"/>
          <w:szCs w:val="22"/>
        </w:rPr>
        <w:t xml:space="preserve">. Available at: </w:t>
      </w:r>
      <w:hyperlink r:id="rId17" w:history="1">
        <w:r w:rsidRPr="00A12B7A">
          <w:rPr>
            <w:rStyle w:val="Hyperlink"/>
            <w:rFonts w:ascii="Arial" w:hAnsi="Arial" w:cs="Arial"/>
            <w:sz w:val="22"/>
            <w:szCs w:val="22"/>
          </w:rPr>
          <w:t>https://www.england.nhs.uk/2025/05/am</w:t>
        </w:r>
        <w:r w:rsidRPr="00A12B7A">
          <w:rPr>
            <w:rStyle w:val="Hyperlink"/>
            <w:rFonts w:ascii="Arial" w:hAnsi="Arial" w:cs="Arial"/>
            <w:sz w:val="22"/>
            <w:szCs w:val="22"/>
          </w:rPr>
          <w:t>a</w:t>
        </w:r>
        <w:r w:rsidRPr="00A12B7A">
          <w:rPr>
            <w:rStyle w:val="Hyperlink"/>
            <w:rFonts w:ascii="Arial" w:hAnsi="Arial" w:cs="Arial"/>
            <w:sz w:val="22"/>
            <w:szCs w:val="22"/>
          </w:rPr>
          <w:t>zon-style-prescription-tracking-goes-live-in-nhs-app-for-millions-of-patients/</w:t>
        </w:r>
      </w:hyperlink>
      <w:r w:rsidRPr="00A12B7A">
        <w:rPr>
          <w:rFonts w:ascii="Arial" w:hAnsi="Arial" w:cs="Arial"/>
          <w:sz w:val="22"/>
          <w:szCs w:val="22"/>
        </w:rPr>
        <w:t xml:space="preserve"> (Accessed: </w:t>
      </w:r>
      <w:r>
        <w:rPr>
          <w:rFonts w:ascii="Arial" w:hAnsi="Arial" w:cs="Arial"/>
          <w:sz w:val="22"/>
          <w:szCs w:val="22"/>
        </w:rPr>
        <w:t xml:space="preserve">12 </w:t>
      </w:r>
      <w:r w:rsidRPr="00A12B7A">
        <w:rPr>
          <w:rFonts w:ascii="Arial" w:hAnsi="Arial" w:cs="Arial"/>
          <w:sz w:val="22"/>
          <w:szCs w:val="22"/>
        </w:rPr>
        <w:t>October 2026).</w:t>
      </w:r>
    </w:p>
    <w:p w14:paraId="495233A2" w14:textId="77777777" w:rsidR="00977DC8" w:rsidRPr="00A12B7A" w:rsidRDefault="00977DC8" w:rsidP="00977DC8">
      <w:pPr>
        <w:spacing w:line="360" w:lineRule="auto"/>
        <w:jc w:val="both"/>
        <w:rPr>
          <w:rFonts w:ascii="Arial" w:hAnsi="Arial" w:cs="Arial"/>
          <w:sz w:val="22"/>
          <w:szCs w:val="22"/>
        </w:rPr>
      </w:pPr>
      <w:r w:rsidRPr="00A12B7A">
        <w:rPr>
          <w:rFonts w:ascii="Arial" w:hAnsi="Arial" w:cs="Arial"/>
          <w:sz w:val="22"/>
          <w:szCs w:val="22"/>
        </w:rPr>
        <w:t xml:space="preserve">Reidy, C., Papoutsi, C., KC, S., </w:t>
      </w:r>
      <w:proofErr w:type="spellStart"/>
      <w:r w:rsidRPr="00A12B7A">
        <w:rPr>
          <w:rFonts w:ascii="Arial" w:hAnsi="Arial" w:cs="Arial"/>
          <w:sz w:val="22"/>
          <w:szCs w:val="22"/>
        </w:rPr>
        <w:t>Gudgin</w:t>
      </w:r>
      <w:proofErr w:type="spellEnd"/>
      <w:r w:rsidRPr="00A12B7A">
        <w:rPr>
          <w:rFonts w:ascii="Arial" w:hAnsi="Arial" w:cs="Arial"/>
          <w:sz w:val="22"/>
          <w:szCs w:val="22"/>
        </w:rPr>
        <w:t xml:space="preserve">, B., Laverty, A.A., Greaves, F. and Powell, J. (2025) ‘Qualitative evaluation of the implementation and national roll-out of the NHS App in England’, </w:t>
      </w:r>
      <w:r w:rsidRPr="00A12B7A">
        <w:rPr>
          <w:rFonts w:ascii="Arial" w:hAnsi="Arial" w:cs="Arial"/>
          <w:i/>
          <w:iCs/>
          <w:sz w:val="22"/>
          <w:szCs w:val="22"/>
        </w:rPr>
        <w:t>BMC Medicine</w:t>
      </w:r>
      <w:r w:rsidRPr="00A12B7A">
        <w:rPr>
          <w:rFonts w:ascii="Arial" w:hAnsi="Arial" w:cs="Arial"/>
          <w:sz w:val="22"/>
          <w:szCs w:val="22"/>
        </w:rPr>
        <w:t xml:space="preserve">, 23(1), 20. Available at: </w:t>
      </w:r>
      <w:hyperlink r:id="rId18" w:history="1">
        <w:r w:rsidRPr="00A12B7A">
          <w:rPr>
            <w:rStyle w:val="Hyperlink"/>
            <w:rFonts w:ascii="Arial" w:hAnsi="Arial" w:cs="Arial"/>
            <w:sz w:val="22"/>
            <w:szCs w:val="22"/>
          </w:rPr>
          <w:t>https://doi.org/10.1186/s12916-024-03842-w</w:t>
        </w:r>
      </w:hyperlink>
      <w:r w:rsidRPr="00A12B7A">
        <w:rPr>
          <w:rFonts w:ascii="Arial" w:hAnsi="Arial" w:cs="Arial"/>
          <w:sz w:val="22"/>
          <w:szCs w:val="22"/>
        </w:rPr>
        <w:t xml:space="preserve"> (Accessed: </w:t>
      </w:r>
      <w:r>
        <w:rPr>
          <w:rFonts w:ascii="Arial" w:hAnsi="Arial" w:cs="Arial"/>
          <w:sz w:val="22"/>
          <w:szCs w:val="22"/>
        </w:rPr>
        <w:t>12</w:t>
      </w:r>
      <w:r w:rsidRPr="00A12B7A">
        <w:rPr>
          <w:rFonts w:ascii="Arial" w:hAnsi="Arial" w:cs="Arial"/>
          <w:sz w:val="22"/>
          <w:szCs w:val="22"/>
        </w:rPr>
        <w:t xml:space="preserve"> October 2026).</w:t>
      </w:r>
    </w:p>
    <w:p w14:paraId="6489B26D" w14:textId="77777777" w:rsidR="00A12B7A" w:rsidRDefault="00A12B7A" w:rsidP="00977DC8">
      <w:pPr>
        <w:spacing w:line="360" w:lineRule="auto"/>
        <w:jc w:val="both"/>
        <w:rPr>
          <w:rFonts w:ascii="Arial" w:hAnsi="Arial" w:cs="Arial"/>
          <w:sz w:val="22"/>
          <w:szCs w:val="22"/>
        </w:rPr>
      </w:pPr>
    </w:p>
    <w:p w14:paraId="154F7621" w14:textId="77777777" w:rsidR="00A12B7A" w:rsidRDefault="00A12B7A" w:rsidP="00977DC8">
      <w:pPr>
        <w:spacing w:line="360" w:lineRule="auto"/>
        <w:jc w:val="both"/>
        <w:rPr>
          <w:rFonts w:ascii="Arial" w:hAnsi="Arial" w:cs="Arial"/>
          <w:sz w:val="22"/>
          <w:szCs w:val="22"/>
        </w:rPr>
      </w:pPr>
    </w:p>
    <w:p w14:paraId="7E53803A" w14:textId="77777777" w:rsidR="00A12B7A" w:rsidRDefault="00A12B7A" w:rsidP="00977DC8">
      <w:pPr>
        <w:spacing w:line="360" w:lineRule="auto"/>
        <w:jc w:val="both"/>
        <w:rPr>
          <w:rFonts w:ascii="Arial" w:hAnsi="Arial" w:cs="Arial"/>
          <w:sz w:val="22"/>
          <w:szCs w:val="22"/>
        </w:rPr>
      </w:pPr>
    </w:p>
    <w:p w14:paraId="7EDB2159" w14:textId="77777777" w:rsidR="00A12B7A" w:rsidRDefault="00A12B7A" w:rsidP="00977DC8">
      <w:pPr>
        <w:spacing w:line="360" w:lineRule="auto"/>
        <w:jc w:val="both"/>
        <w:rPr>
          <w:rFonts w:ascii="Arial" w:hAnsi="Arial" w:cs="Arial"/>
          <w:sz w:val="22"/>
          <w:szCs w:val="22"/>
        </w:rPr>
      </w:pPr>
    </w:p>
    <w:p w14:paraId="59CFC3E5" w14:textId="77777777" w:rsidR="00A12B7A" w:rsidRDefault="00A12B7A" w:rsidP="002D26E9">
      <w:pPr>
        <w:spacing w:line="360" w:lineRule="auto"/>
        <w:rPr>
          <w:rFonts w:ascii="Arial" w:hAnsi="Arial" w:cs="Arial"/>
          <w:sz w:val="22"/>
          <w:szCs w:val="22"/>
        </w:rPr>
      </w:pPr>
    </w:p>
    <w:p w14:paraId="638F31B3" w14:textId="77777777" w:rsidR="00A12B7A" w:rsidRDefault="00A12B7A" w:rsidP="002D26E9">
      <w:pPr>
        <w:spacing w:line="360" w:lineRule="auto"/>
        <w:rPr>
          <w:rFonts w:ascii="Arial" w:hAnsi="Arial" w:cs="Arial"/>
          <w:sz w:val="22"/>
          <w:szCs w:val="22"/>
        </w:rPr>
      </w:pPr>
    </w:p>
    <w:p w14:paraId="51D33C1E" w14:textId="77777777" w:rsidR="00A12B7A" w:rsidRDefault="00A12B7A" w:rsidP="002D26E9">
      <w:pPr>
        <w:spacing w:line="360" w:lineRule="auto"/>
        <w:rPr>
          <w:rFonts w:ascii="Arial" w:hAnsi="Arial" w:cs="Arial"/>
          <w:sz w:val="22"/>
          <w:szCs w:val="22"/>
        </w:rPr>
      </w:pPr>
    </w:p>
    <w:p w14:paraId="786766F1" w14:textId="77777777" w:rsidR="00A12B7A" w:rsidRPr="002D26E9" w:rsidRDefault="00A12B7A" w:rsidP="002D26E9">
      <w:pPr>
        <w:spacing w:line="360" w:lineRule="auto"/>
        <w:rPr>
          <w:rFonts w:ascii="Arial" w:hAnsi="Arial" w:cs="Arial"/>
          <w:sz w:val="22"/>
          <w:szCs w:val="22"/>
        </w:rPr>
      </w:pPr>
    </w:p>
    <w:sectPr w:rsidR="00A12B7A" w:rsidRPr="002D26E9">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C023D" w14:textId="77777777" w:rsidR="001E10B0" w:rsidRDefault="001E10B0" w:rsidP="00977DC8">
      <w:pPr>
        <w:spacing w:after="0" w:line="240" w:lineRule="auto"/>
      </w:pPr>
      <w:r>
        <w:separator/>
      </w:r>
    </w:p>
  </w:endnote>
  <w:endnote w:type="continuationSeparator" w:id="0">
    <w:p w14:paraId="08C8C3B6" w14:textId="77777777" w:rsidR="001E10B0" w:rsidRDefault="001E10B0" w:rsidP="00977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1D9AC" w14:textId="77777777" w:rsidR="001E10B0" w:rsidRDefault="001E10B0" w:rsidP="00977DC8">
      <w:pPr>
        <w:spacing w:after="0" w:line="240" w:lineRule="auto"/>
      </w:pPr>
      <w:r>
        <w:separator/>
      </w:r>
    </w:p>
  </w:footnote>
  <w:footnote w:type="continuationSeparator" w:id="0">
    <w:p w14:paraId="1492CE6A" w14:textId="77777777" w:rsidR="001E10B0" w:rsidRDefault="001E10B0" w:rsidP="00977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745583"/>
      <w:docPartObj>
        <w:docPartGallery w:val="Page Numbers (Top of Page)"/>
        <w:docPartUnique/>
      </w:docPartObj>
    </w:sdtPr>
    <w:sdtContent>
      <w:p w14:paraId="1094DE5E" w14:textId="7FCE18A4" w:rsidR="00977DC8" w:rsidRDefault="00977DC8">
        <w:pPr>
          <w:pStyle w:val="Header"/>
          <w:jc w:val="center"/>
        </w:pPr>
        <w:r>
          <w:fldChar w:fldCharType="begin"/>
        </w:r>
        <w:r>
          <w:instrText>PAGE   \* MERGEFORMAT</w:instrText>
        </w:r>
        <w:r>
          <w:fldChar w:fldCharType="separate"/>
        </w:r>
        <w:r>
          <w:t>2</w:t>
        </w:r>
        <w:r>
          <w:fldChar w:fldCharType="end"/>
        </w:r>
      </w:p>
    </w:sdtContent>
  </w:sdt>
  <w:p w14:paraId="1CF83404" w14:textId="77777777" w:rsidR="00977DC8" w:rsidRDefault="00977D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06"/>
    <w:rsid w:val="00010DFD"/>
    <w:rsid w:val="00014CEC"/>
    <w:rsid w:val="001E10B0"/>
    <w:rsid w:val="002D26E9"/>
    <w:rsid w:val="006E28F0"/>
    <w:rsid w:val="00842B06"/>
    <w:rsid w:val="00875410"/>
    <w:rsid w:val="00977DC8"/>
    <w:rsid w:val="00A12B7A"/>
    <w:rsid w:val="00EA4DEC"/>
    <w:rsid w:val="00ED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0BA89"/>
  <w15:chartTrackingRefBased/>
  <w15:docId w15:val="{64E54E44-D106-4D21-8DA0-4C5BE7B9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2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B06"/>
    <w:rPr>
      <w:rFonts w:eastAsiaTheme="majorEastAsia" w:cstheme="majorBidi"/>
      <w:color w:val="272727" w:themeColor="text1" w:themeTint="D8"/>
    </w:rPr>
  </w:style>
  <w:style w:type="paragraph" w:styleId="Title">
    <w:name w:val="Title"/>
    <w:basedOn w:val="Normal"/>
    <w:next w:val="Normal"/>
    <w:link w:val="TitleChar"/>
    <w:uiPriority w:val="10"/>
    <w:qFormat/>
    <w:rsid w:val="00842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B06"/>
    <w:pPr>
      <w:spacing w:before="160"/>
      <w:jc w:val="center"/>
    </w:pPr>
    <w:rPr>
      <w:i/>
      <w:iCs/>
      <w:color w:val="404040" w:themeColor="text1" w:themeTint="BF"/>
    </w:rPr>
  </w:style>
  <w:style w:type="character" w:customStyle="1" w:styleId="QuoteChar">
    <w:name w:val="Quote Char"/>
    <w:basedOn w:val="DefaultParagraphFont"/>
    <w:link w:val="Quote"/>
    <w:uiPriority w:val="29"/>
    <w:rsid w:val="00842B06"/>
    <w:rPr>
      <w:i/>
      <w:iCs/>
      <w:color w:val="404040" w:themeColor="text1" w:themeTint="BF"/>
    </w:rPr>
  </w:style>
  <w:style w:type="paragraph" w:styleId="ListParagraph">
    <w:name w:val="List Paragraph"/>
    <w:basedOn w:val="Normal"/>
    <w:uiPriority w:val="34"/>
    <w:qFormat/>
    <w:rsid w:val="00842B06"/>
    <w:pPr>
      <w:ind w:left="720"/>
      <w:contextualSpacing/>
    </w:pPr>
  </w:style>
  <w:style w:type="character" w:styleId="IntenseEmphasis">
    <w:name w:val="Intense Emphasis"/>
    <w:basedOn w:val="DefaultParagraphFont"/>
    <w:uiPriority w:val="21"/>
    <w:qFormat/>
    <w:rsid w:val="00842B06"/>
    <w:rPr>
      <w:i/>
      <w:iCs/>
      <w:color w:val="0F4761" w:themeColor="accent1" w:themeShade="BF"/>
    </w:rPr>
  </w:style>
  <w:style w:type="paragraph" w:styleId="IntenseQuote">
    <w:name w:val="Intense Quote"/>
    <w:basedOn w:val="Normal"/>
    <w:next w:val="Normal"/>
    <w:link w:val="IntenseQuoteChar"/>
    <w:uiPriority w:val="30"/>
    <w:qFormat/>
    <w:rsid w:val="00842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B06"/>
    <w:rPr>
      <w:i/>
      <w:iCs/>
      <w:color w:val="0F4761" w:themeColor="accent1" w:themeShade="BF"/>
    </w:rPr>
  </w:style>
  <w:style w:type="character" w:styleId="IntenseReference">
    <w:name w:val="Intense Reference"/>
    <w:basedOn w:val="DefaultParagraphFont"/>
    <w:uiPriority w:val="32"/>
    <w:qFormat/>
    <w:rsid w:val="00842B06"/>
    <w:rPr>
      <w:b/>
      <w:bCs/>
      <w:smallCaps/>
      <w:color w:val="0F4761" w:themeColor="accent1" w:themeShade="BF"/>
      <w:spacing w:val="5"/>
    </w:rPr>
  </w:style>
  <w:style w:type="character" w:styleId="Hyperlink">
    <w:name w:val="Hyperlink"/>
    <w:basedOn w:val="DefaultParagraphFont"/>
    <w:uiPriority w:val="99"/>
    <w:unhideWhenUsed/>
    <w:rsid w:val="00A12B7A"/>
    <w:rPr>
      <w:color w:val="467886" w:themeColor="hyperlink"/>
      <w:u w:val="single"/>
    </w:rPr>
  </w:style>
  <w:style w:type="character" w:styleId="UnresolvedMention">
    <w:name w:val="Unresolved Mention"/>
    <w:basedOn w:val="DefaultParagraphFont"/>
    <w:uiPriority w:val="99"/>
    <w:semiHidden/>
    <w:unhideWhenUsed/>
    <w:rsid w:val="00A12B7A"/>
    <w:rPr>
      <w:color w:val="605E5C"/>
      <w:shd w:val="clear" w:color="auto" w:fill="E1DFDD"/>
    </w:rPr>
  </w:style>
  <w:style w:type="character" w:styleId="FollowedHyperlink">
    <w:name w:val="FollowedHyperlink"/>
    <w:basedOn w:val="DefaultParagraphFont"/>
    <w:uiPriority w:val="99"/>
    <w:semiHidden/>
    <w:unhideWhenUsed/>
    <w:rsid w:val="00A12B7A"/>
    <w:rPr>
      <w:color w:val="96607D" w:themeColor="followedHyperlink"/>
      <w:u w:val="single"/>
    </w:rPr>
  </w:style>
  <w:style w:type="paragraph" w:styleId="Header">
    <w:name w:val="header"/>
    <w:basedOn w:val="Normal"/>
    <w:link w:val="HeaderChar"/>
    <w:uiPriority w:val="99"/>
    <w:unhideWhenUsed/>
    <w:rsid w:val="00977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DC8"/>
  </w:style>
  <w:style w:type="paragraph" w:styleId="Footer">
    <w:name w:val="footer"/>
    <w:basedOn w:val="Normal"/>
    <w:link w:val="FooterChar"/>
    <w:uiPriority w:val="99"/>
    <w:unhideWhenUsed/>
    <w:rsid w:val="00977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DC8"/>
  </w:style>
  <w:style w:type="paragraph" w:styleId="TOCHeading">
    <w:name w:val="TOC Heading"/>
    <w:basedOn w:val="Heading1"/>
    <w:next w:val="Normal"/>
    <w:uiPriority w:val="39"/>
    <w:unhideWhenUsed/>
    <w:qFormat/>
    <w:rsid w:val="00977DC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977DC8"/>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977DC8"/>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977DC8"/>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a-plan-for-digital-health-and-social-care" TargetMode="External"/><Relationship Id="rId13" Type="http://schemas.openxmlformats.org/officeDocument/2006/relationships/hyperlink" Target="https://doi.org/10.1177/20542704251398918" TargetMode="External"/><Relationship Id="rId18" Type="http://schemas.openxmlformats.org/officeDocument/2006/relationships/hyperlink" Target="https://doi.org/10.1186/s12916-024-03842-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36/bmjopen-2023-078158" TargetMode="External"/><Relationship Id="rId12" Type="http://schemas.openxmlformats.org/officeDocument/2006/relationships/hyperlink" Target="https://doi.org/10.2196/56320" TargetMode="External"/><Relationship Id="rId17" Type="http://schemas.openxmlformats.org/officeDocument/2006/relationships/hyperlink" Target="https://www.england.nhs.uk/2025/05/amazon-style-prescription-tracking-goes-live-in-nhs-app-for-millions-of-patients/" TargetMode="External"/><Relationship Id="rId2" Type="http://schemas.openxmlformats.org/officeDocument/2006/relationships/styles" Target="styles.xml"/><Relationship Id="rId16" Type="http://schemas.openxmlformats.org/officeDocument/2006/relationships/hyperlink" Target="https://www.england.nhs.uk/long-read/performance-report-24-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co.org.uk/for-organisations/uk-gdpr-guidance-and-resources/lawful-basis/special-category-data/what-is-special-category-data/" TargetMode="External"/><Relationship Id="rId5" Type="http://schemas.openxmlformats.org/officeDocument/2006/relationships/footnotes" Target="footnotes.xml"/><Relationship Id="rId15" Type="http://schemas.openxmlformats.org/officeDocument/2006/relationships/hyperlink" Target="https://www.england.nhs.uk/long-read/digital-maturity-assessment/" TargetMode="External"/><Relationship Id="rId10" Type="http://schemas.openxmlformats.org/officeDocument/2006/relationships/hyperlink" Target="https://www.ncbi.nlm.nih.gov/books/NBK62265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2196/68091" TargetMode="External"/><Relationship Id="rId14" Type="http://schemas.openxmlformats.org/officeDocument/2006/relationships/hyperlink" Target="https://www.england.nhs.uk/2019/01/nhs-app-begins-public-roll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C573C-6137-494A-A605-BDCB2F7BF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Balan</dc:creator>
  <cp:keywords/>
  <dc:description/>
  <cp:lastModifiedBy>Catalina Paun</cp:lastModifiedBy>
  <cp:revision>2</cp:revision>
  <dcterms:created xsi:type="dcterms:W3CDTF">2026-10-06T18:04:00Z</dcterms:created>
  <dcterms:modified xsi:type="dcterms:W3CDTF">2026-10-06T18:04:00Z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d803b9a0ea23649367c0799d3b012da2c8fabd1fd6414bc31ea3a9a411625c56</vt:lpwstr>
  </property>
</Properties>
</file>