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821A0" w14:textId="1889D79B" w:rsidR="004C6C1C" w:rsidRPr="00F21F49" w:rsidRDefault="00F516CD" w:rsidP="00C74D23">
      <w:pPr>
        <w:spacing w:line="360" w:lineRule="auto"/>
        <w:rPr>
          <w:rFonts w:ascii="Arial" w:hAnsi="Arial" w:cs="Arial"/>
          <w:b/>
          <w:bCs/>
          <w:sz w:val="24"/>
          <w:szCs w:val="24"/>
        </w:rPr>
      </w:pPr>
      <w:r w:rsidRPr="00F21F49">
        <w:rPr>
          <w:rFonts w:ascii="Arial" w:hAnsi="Arial" w:cs="Arial"/>
          <w:b/>
          <w:bCs/>
          <w:sz w:val="24"/>
          <w:szCs w:val="24"/>
        </w:rPr>
        <w:t>Lisa Jones</w:t>
      </w:r>
    </w:p>
    <w:p w14:paraId="7B2126D4" w14:textId="16D00DF8" w:rsidR="00AE4EA0" w:rsidRPr="00F21F49" w:rsidRDefault="00AE4EA0" w:rsidP="00C74D23">
      <w:pPr>
        <w:spacing w:line="360" w:lineRule="auto"/>
        <w:rPr>
          <w:rFonts w:ascii="Arial" w:hAnsi="Arial" w:cs="Arial"/>
          <w:b/>
          <w:bCs/>
          <w:sz w:val="24"/>
          <w:szCs w:val="24"/>
        </w:rPr>
      </w:pPr>
      <w:r w:rsidRPr="00F21F49">
        <w:rPr>
          <w:rFonts w:ascii="Arial" w:hAnsi="Arial" w:cs="Arial"/>
          <w:b/>
          <w:bCs/>
          <w:sz w:val="24"/>
          <w:szCs w:val="24"/>
        </w:rPr>
        <w:t>1301544</w:t>
      </w:r>
    </w:p>
    <w:p w14:paraId="0222639A" w14:textId="08A47D3E" w:rsidR="00F516CD" w:rsidRPr="00F21F49" w:rsidRDefault="00C85BC0" w:rsidP="00C74D23">
      <w:pPr>
        <w:spacing w:line="360" w:lineRule="auto"/>
        <w:rPr>
          <w:rFonts w:ascii="Arial" w:hAnsi="Arial" w:cs="Arial"/>
          <w:b/>
          <w:bCs/>
          <w:sz w:val="24"/>
          <w:szCs w:val="24"/>
        </w:rPr>
      </w:pPr>
      <w:r w:rsidRPr="00F21F49">
        <w:rPr>
          <w:rFonts w:ascii="Arial" w:hAnsi="Arial" w:cs="Arial"/>
          <w:b/>
          <w:bCs/>
          <w:sz w:val="24"/>
          <w:szCs w:val="24"/>
        </w:rPr>
        <w:t xml:space="preserve">Social Inclusion and Equality </w:t>
      </w:r>
    </w:p>
    <w:p w14:paraId="29657B15" w14:textId="3F2CF8D9" w:rsidR="00C85BC0" w:rsidRPr="00F21F49" w:rsidRDefault="00C85BC0" w:rsidP="00C74D23">
      <w:pPr>
        <w:spacing w:line="360" w:lineRule="auto"/>
        <w:rPr>
          <w:rFonts w:ascii="Arial" w:hAnsi="Arial" w:cs="Arial"/>
          <w:b/>
          <w:bCs/>
          <w:sz w:val="24"/>
          <w:szCs w:val="24"/>
        </w:rPr>
      </w:pPr>
      <w:r w:rsidRPr="00F21F49">
        <w:rPr>
          <w:rFonts w:ascii="Arial" w:hAnsi="Arial" w:cs="Arial"/>
          <w:b/>
          <w:bCs/>
          <w:sz w:val="24"/>
          <w:szCs w:val="24"/>
        </w:rPr>
        <w:t>ECES4003</w:t>
      </w:r>
    </w:p>
    <w:p w14:paraId="3B537194" w14:textId="77777777" w:rsidR="00C85BC0" w:rsidRPr="00F21F49" w:rsidRDefault="00C85BC0" w:rsidP="00C74D23">
      <w:pPr>
        <w:spacing w:line="360" w:lineRule="auto"/>
        <w:rPr>
          <w:rFonts w:ascii="Arial" w:hAnsi="Arial" w:cs="Arial"/>
          <w:sz w:val="24"/>
          <w:szCs w:val="24"/>
        </w:rPr>
      </w:pPr>
    </w:p>
    <w:p w14:paraId="1CAF099D" w14:textId="4479B380" w:rsidR="00FA3F32" w:rsidRPr="00F21F49" w:rsidRDefault="00FA3F32" w:rsidP="00C74D23">
      <w:pPr>
        <w:spacing w:line="360" w:lineRule="auto"/>
        <w:rPr>
          <w:rFonts w:ascii="Arial" w:hAnsi="Arial" w:cs="Arial"/>
          <w:sz w:val="24"/>
          <w:szCs w:val="24"/>
          <w:u w:val="single"/>
        </w:rPr>
      </w:pPr>
      <w:r w:rsidRPr="00F21F49">
        <w:rPr>
          <w:rFonts w:ascii="Arial" w:hAnsi="Arial" w:cs="Arial"/>
          <w:sz w:val="24"/>
          <w:szCs w:val="24"/>
          <w:u w:val="single"/>
        </w:rPr>
        <w:t>What are the key social elements that impact on a learner's ability to access education?</w:t>
      </w:r>
    </w:p>
    <w:p w14:paraId="02107B65" w14:textId="77777777" w:rsidR="00FA3F32" w:rsidRPr="00F21F49" w:rsidRDefault="00FA3F32" w:rsidP="00C74D23">
      <w:pPr>
        <w:spacing w:line="360" w:lineRule="auto"/>
        <w:rPr>
          <w:rFonts w:ascii="Arial" w:hAnsi="Arial" w:cs="Arial"/>
          <w:sz w:val="24"/>
          <w:szCs w:val="24"/>
        </w:rPr>
      </w:pPr>
    </w:p>
    <w:p w14:paraId="4D5A7D60" w14:textId="2F15014B"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This essay will be focusing on some of the key social elements the writer considers to have an impact on a learners ability to access education.  Education is regarded as a universal human right. Education instil</w:t>
      </w:r>
      <w:r w:rsidR="00F66A8E">
        <w:rPr>
          <w:rFonts w:ascii="Arial" w:hAnsi="Arial" w:cs="Arial"/>
          <w:sz w:val="24"/>
          <w:szCs w:val="24"/>
        </w:rPr>
        <w:t>ls</w:t>
      </w:r>
      <w:r w:rsidRPr="00F21F49">
        <w:rPr>
          <w:rFonts w:ascii="Arial" w:hAnsi="Arial" w:cs="Arial"/>
          <w:sz w:val="24"/>
          <w:szCs w:val="24"/>
        </w:rPr>
        <w:t xml:space="preserve"> important life skills such as self confidence, better decision making, self discipline, a sense of responsibility,  leadership and teamwork among children and prevents them for enduring social embarrassment and social exclusion.  According to Unicef</w:t>
      </w:r>
      <w:r w:rsidR="00DA0296">
        <w:rPr>
          <w:rFonts w:ascii="Arial" w:hAnsi="Arial" w:cs="Arial"/>
          <w:sz w:val="24"/>
          <w:szCs w:val="24"/>
        </w:rPr>
        <w:t>, (2018)</w:t>
      </w:r>
      <w:r w:rsidRPr="00F21F49">
        <w:rPr>
          <w:rFonts w:ascii="Arial" w:hAnsi="Arial" w:cs="Arial"/>
          <w:sz w:val="24"/>
          <w:szCs w:val="24"/>
        </w:rPr>
        <w:t xml:space="preserve"> education provides children with the knowledge and skills to realise their full potential and grow up to build a better life</w:t>
      </w:r>
      <w:r w:rsidR="00DA0296">
        <w:rPr>
          <w:rFonts w:ascii="Arial" w:hAnsi="Arial" w:cs="Arial"/>
          <w:sz w:val="24"/>
          <w:szCs w:val="24"/>
        </w:rPr>
        <w:t>.</w:t>
      </w:r>
      <w:r w:rsidRPr="00F21F49">
        <w:rPr>
          <w:rFonts w:ascii="Arial" w:hAnsi="Arial" w:cs="Arial"/>
          <w:sz w:val="24"/>
          <w:szCs w:val="24"/>
        </w:rPr>
        <w:t xml:space="preserve">  The lack of access to education leaves a child vulnerable by denying them the right to an education </w:t>
      </w:r>
      <w:r w:rsidR="00311D6C" w:rsidRPr="00F21F49">
        <w:rPr>
          <w:rFonts w:ascii="Arial" w:hAnsi="Arial" w:cs="Arial"/>
          <w:sz w:val="24"/>
          <w:szCs w:val="24"/>
        </w:rPr>
        <w:t>(</w:t>
      </w:r>
      <w:proofErr w:type="spellStart"/>
      <w:r w:rsidR="00311D6C" w:rsidRPr="00F21F49">
        <w:rPr>
          <w:rFonts w:ascii="Arial" w:hAnsi="Arial" w:cs="Arial"/>
          <w:sz w:val="24"/>
          <w:szCs w:val="24"/>
        </w:rPr>
        <w:t>Rueckert</w:t>
      </w:r>
      <w:proofErr w:type="spellEnd"/>
      <w:r w:rsidR="00311D6C" w:rsidRPr="00F21F49">
        <w:rPr>
          <w:rFonts w:ascii="Arial" w:hAnsi="Arial" w:cs="Arial"/>
          <w:sz w:val="24"/>
          <w:szCs w:val="24"/>
        </w:rPr>
        <w:t>, 2019)</w:t>
      </w:r>
      <w:r w:rsidRPr="00F21F49">
        <w:rPr>
          <w:rFonts w:ascii="Arial" w:hAnsi="Arial" w:cs="Arial"/>
          <w:sz w:val="24"/>
          <w:szCs w:val="24"/>
        </w:rPr>
        <w:t xml:space="preserve">.   </w:t>
      </w:r>
    </w:p>
    <w:p w14:paraId="2388A1BF" w14:textId="77777777"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 </w:t>
      </w:r>
    </w:p>
    <w:p w14:paraId="4BB1ED02" w14:textId="0D1FB4A7"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This assignment will include a number of barriers that prevent young people from accessing education and achieving their full potential due to their social circumstances. Adverse Childhood Experiences are considered to be social circumstances that are likely to impact on a learner’s ability to access education. Adverse childhood experiences are likely to have many negative long term affects on an individual from childhood throughout their adult years.  Adverse childhood experiences can have significant consequences to a young person’s behaviour and cognitive development and therefore impede their education attainment. Due to the number of adverse childhood experiences that are likely that have the ability to  hinder access to education the writer will be focusing on some of </w:t>
      </w:r>
      <w:r w:rsidR="00B00D87">
        <w:rPr>
          <w:rFonts w:ascii="Arial" w:hAnsi="Arial" w:cs="Arial"/>
          <w:sz w:val="24"/>
          <w:szCs w:val="24"/>
        </w:rPr>
        <w:t xml:space="preserve">the </w:t>
      </w:r>
      <w:r w:rsidRPr="00F21F49">
        <w:rPr>
          <w:rFonts w:ascii="Arial" w:hAnsi="Arial" w:cs="Arial"/>
          <w:sz w:val="24"/>
          <w:szCs w:val="24"/>
        </w:rPr>
        <w:t>implicating factors which include:  Poverty, neglect, poor mental health and bullying.  Within this assignment the writer will refer to the evidence, policies, reports and practices put in place to help tackle some of the barriers to children accessing education.</w:t>
      </w:r>
    </w:p>
    <w:p w14:paraId="03DE50A7" w14:textId="77777777" w:rsidR="00FA3F32" w:rsidRPr="00F21F49" w:rsidRDefault="00FA3F32" w:rsidP="00C74D23">
      <w:pPr>
        <w:spacing w:line="360" w:lineRule="auto"/>
        <w:rPr>
          <w:rFonts w:ascii="Arial" w:hAnsi="Arial" w:cs="Arial"/>
          <w:sz w:val="24"/>
          <w:szCs w:val="24"/>
        </w:rPr>
      </w:pPr>
    </w:p>
    <w:p w14:paraId="02C8D1DE" w14:textId="77777777"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 As mentioned in the introduction the writer considers poverty to be a key social element that may impact a learner. According to Habitat for Humanity, (2017) </w:t>
      </w:r>
      <w:r w:rsidRPr="00F21F49">
        <w:rPr>
          <w:rFonts w:ascii="Arial" w:hAnsi="Arial" w:cs="Arial"/>
          <w:sz w:val="24"/>
          <w:szCs w:val="24"/>
        </w:rPr>
        <w:lastRenderedPageBreak/>
        <w:t>poverty in simple terms means not having enough money to afford basic needs that allow a decent standard of living.  However it is well documented in the literature that poverty can be separated into two groups, Relative Poverty and Absolute Poverty. Relative poverty is a condition where the household income is 50% lower than the average household income. Absolute Poverty is a condition characterised by severe deprivation of basic human needs; where a household income is insufficient to afford basic necessities such as, food, healthcare, sanitation facilities and education. The criteria for Absolute poverty cannot be changed by economic growth, whereas the criteria for Relative poverty can (</w:t>
      </w:r>
      <w:proofErr w:type="spellStart"/>
      <w:r w:rsidRPr="00F21F49">
        <w:rPr>
          <w:rFonts w:ascii="Arial" w:hAnsi="Arial" w:cs="Arial"/>
          <w:sz w:val="24"/>
          <w:szCs w:val="24"/>
        </w:rPr>
        <w:t>Pettinger</w:t>
      </w:r>
      <w:proofErr w:type="spellEnd"/>
      <w:r w:rsidRPr="00F21F49">
        <w:rPr>
          <w:rFonts w:ascii="Arial" w:hAnsi="Arial" w:cs="Arial"/>
          <w:sz w:val="24"/>
          <w:szCs w:val="24"/>
        </w:rPr>
        <w:t>, 2020). The writer will focus mostly on absolute poverty and then lead onto generational poverty and how this ultimately affects the schooling of children subjected to a background engulfed in poverty.</w:t>
      </w:r>
    </w:p>
    <w:p w14:paraId="6D27D1CA" w14:textId="77777777" w:rsidR="00FA3F32" w:rsidRPr="00F21F49" w:rsidRDefault="00FA3F32" w:rsidP="00C74D23">
      <w:pPr>
        <w:spacing w:line="360" w:lineRule="auto"/>
        <w:rPr>
          <w:rFonts w:ascii="Arial" w:hAnsi="Arial" w:cs="Arial"/>
          <w:sz w:val="24"/>
          <w:szCs w:val="24"/>
        </w:rPr>
      </w:pPr>
    </w:p>
    <w:p w14:paraId="2BA82FAB" w14:textId="141B893A"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Poverty can affect a learners access to education in a number of ways, from not being able to afford appropriate school uniform, equipment or even after school clubs. According to Busby, (2019) a study had shown that children from poorer families are three times less likely to take part in any extra-curricular activities. There are a number of possible reasons as to why young people from lower income families may not participate in such activities; cost barriers, access difficulties such as transport and also the fear of not fitting in. Research has shown that children aged 10-15 from higher income families are almost three times more likely to engage in music activities and classes compared to those from lower income families. It has also been found that 2 in 3 children from wealthier families take part in some form of sport compared to the 46% of young people from poorer families (busby, 2019). The research evidence above shows a significant disparity between the two socio-economic family types, the evidence suggests that children from wealthier backgrounds are significantly more advantageous than young people from poorer backgrounds. Although evidence does show that children who take part in extra-curricular activities tend to have better behaviour and performance inside school, there are many other factors as to why children from more deprived backgrounds show poorer performance and behaviour at school. According to Jensen, (2009) the prevailing theory amongst Psychologists and child development experts is that behaviour ultimately stems form a combination of genetics and environment. The writer’s response to this statement is to deduc</w:t>
      </w:r>
      <w:r w:rsidR="00AD04AB">
        <w:rPr>
          <w:rFonts w:ascii="Arial" w:hAnsi="Arial" w:cs="Arial"/>
          <w:sz w:val="24"/>
          <w:szCs w:val="24"/>
        </w:rPr>
        <w:t>t</w:t>
      </w:r>
      <w:r w:rsidRPr="00F21F49">
        <w:rPr>
          <w:rFonts w:ascii="Arial" w:hAnsi="Arial" w:cs="Arial"/>
          <w:sz w:val="24"/>
          <w:szCs w:val="24"/>
        </w:rPr>
        <w:t xml:space="preserve"> that children from generational poverty have little chance of breaking the perpetuated cycle of their background. </w:t>
      </w:r>
      <w:r w:rsidRPr="00F21F49">
        <w:rPr>
          <w:rFonts w:ascii="Arial" w:hAnsi="Arial" w:cs="Arial"/>
          <w:sz w:val="24"/>
          <w:szCs w:val="24"/>
        </w:rPr>
        <w:lastRenderedPageBreak/>
        <w:t>Jensen’s research stretches further and explores the biological impacts that poverty has on children from the early years. According to Jensen, (2009) children from low income families face emotional and social instability. This is typically due to the weak or anxious attachments formed by infants in poverty and this creates the basis for significant insecurity and low self-esteem in childhood (Jensen, 2009). The writer would suggest that the low self esteem and social instability caused by poverty are contributing factors in why children from low income families are less likely to participate in extra-curricular activities, have low attendance at school and avoid seeking additional help, alongside the lack of financial means. Children from low income families are also more likely to go to school hungry; according to Kellogg</w:t>
      </w:r>
      <w:r w:rsidR="007F2013" w:rsidRPr="00F21F49">
        <w:rPr>
          <w:rFonts w:ascii="Arial" w:hAnsi="Arial" w:cs="Arial"/>
          <w:sz w:val="24"/>
          <w:szCs w:val="24"/>
        </w:rPr>
        <w:t>’s</w:t>
      </w:r>
      <w:r w:rsidRPr="00F21F49">
        <w:rPr>
          <w:rFonts w:ascii="Arial" w:hAnsi="Arial" w:cs="Arial"/>
          <w:sz w:val="24"/>
          <w:szCs w:val="24"/>
        </w:rPr>
        <w:t>, (2012) 2.4 children in every class in England and Wales will arrive to school hungry at least once a week. Hunger can cause behavioural issues in the classroom which potentially affect the overall learning atmosphere of the classroom</w:t>
      </w:r>
      <w:r w:rsidR="00FF2AF9">
        <w:rPr>
          <w:rFonts w:ascii="Arial" w:hAnsi="Arial" w:cs="Arial"/>
          <w:sz w:val="24"/>
          <w:szCs w:val="24"/>
        </w:rPr>
        <w:t>,</w:t>
      </w:r>
      <w:r w:rsidRPr="00F21F49">
        <w:rPr>
          <w:rFonts w:ascii="Arial" w:hAnsi="Arial" w:cs="Arial"/>
          <w:sz w:val="24"/>
          <w:szCs w:val="24"/>
        </w:rPr>
        <w:t xml:space="preserve"> subsequently impacting the learning of others in the class (https.//borgenproject.org). A child’s brain develops rapidly and without adequate nutrition there will be long term effects on a child’s learning ability.  Research has shown that children who arrive to school hungry will lose 8.4 hours a week of learning; this equates to a 70% loss of a child’s primary education (Kelloggs, 2012).  Hunger causes a child to have depleted </w:t>
      </w:r>
      <w:r w:rsidR="0075047F" w:rsidRPr="00F21F49">
        <w:rPr>
          <w:rFonts w:ascii="Arial" w:hAnsi="Arial" w:cs="Arial"/>
          <w:sz w:val="24"/>
          <w:szCs w:val="24"/>
        </w:rPr>
        <w:t>energy</w:t>
      </w:r>
      <w:r w:rsidRPr="00F21F49">
        <w:rPr>
          <w:rFonts w:ascii="Arial" w:hAnsi="Arial" w:cs="Arial"/>
          <w:sz w:val="24"/>
          <w:szCs w:val="24"/>
        </w:rPr>
        <w:t xml:space="preserve"> stores which affects memory and concentration levels.  The writer considers these findings very problematic and concerning, it demonstrates how disadvantaged children from poor families are in regards to education attainment compared to those from wealthier families simply by not having the basic need of food. Thankfully, there are practices in place to help reduce the number of children arriving to school hungry, one being Kellogg</w:t>
      </w:r>
      <w:r w:rsidR="007D290E" w:rsidRPr="00F21F49">
        <w:rPr>
          <w:rFonts w:ascii="Arial" w:hAnsi="Arial" w:cs="Arial"/>
          <w:sz w:val="24"/>
          <w:szCs w:val="24"/>
        </w:rPr>
        <w:t>’</w:t>
      </w:r>
      <w:r w:rsidRPr="00F21F49">
        <w:rPr>
          <w:rFonts w:ascii="Arial" w:hAnsi="Arial" w:cs="Arial"/>
          <w:sz w:val="24"/>
          <w:szCs w:val="24"/>
        </w:rPr>
        <w:t>s which has set up breakfast clubs for schools across England and Wales. According to the Kellogg</w:t>
      </w:r>
      <w:r w:rsidR="007D290E" w:rsidRPr="00F21F49">
        <w:rPr>
          <w:rFonts w:ascii="Arial" w:hAnsi="Arial" w:cs="Arial"/>
          <w:sz w:val="24"/>
          <w:szCs w:val="24"/>
        </w:rPr>
        <w:t>’</w:t>
      </w:r>
      <w:r w:rsidRPr="00F21F49">
        <w:rPr>
          <w:rFonts w:ascii="Arial" w:hAnsi="Arial" w:cs="Arial"/>
          <w:sz w:val="24"/>
          <w:szCs w:val="24"/>
        </w:rPr>
        <w:t xml:space="preserve">s website, it has been stated that 69% of teachers find that breakfast clubs have a positive impact on their ability to teach their class. Children from low income families also face issues regarding school uniform and equipment. Children from poorer families are more likely to have poor attendance due to not having the appropriate uniform and equipment. The writer would suggest that this is caused by embarrassment or a fear of being bullied for not having the basic school necessities. Furthermore, the writer explored what local schools in Wales are doing in order to tackle some of the key causes that poverty has on a learners attendance. </w:t>
      </w:r>
      <w:proofErr w:type="spellStart"/>
      <w:r w:rsidRPr="00F21F49">
        <w:rPr>
          <w:rFonts w:ascii="Arial" w:hAnsi="Arial" w:cs="Arial"/>
          <w:sz w:val="24"/>
          <w:szCs w:val="24"/>
        </w:rPr>
        <w:t>Estyn</w:t>
      </w:r>
      <w:proofErr w:type="spellEnd"/>
      <w:r w:rsidRPr="00F21F49">
        <w:rPr>
          <w:rFonts w:ascii="Arial" w:hAnsi="Arial" w:cs="Arial"/>
          <w:sz w:val="24"/>
          <w:szCs w:val="24"/>
        </w:rPr>
        <w:t xml:space="preserve">, (2012) created a report called, “Effective Practice in Tackling Poverty and Disadvantage in Schools’. The report highlights </w:t>
      </w:r>
      <w:r w:rsidRPr="00F21F49">
        <w:rPr>
          <w:rFonts w:ascii="Arial" w:hAnsi="Arial" w:cs="Arial"/>
          <w:sz w:val="24"/>
          <w:szCs w:val="24"/>
        </w:rPr>
        <w:lastRenderedPageBreak/>
        <w:t xml:space="preserve">some of the most common issues regarding poverty and school attendance in one of Wales’ most deprived areas. </w:t>
      </w:r>
      <w:proofErr w:type="spellStart"/>
      <w:r w:rsidRPr="00F21F49">
        <w:rPr>
          <w:rFonts w:ascii="Arial" w:hAnsi="Arial" w:cs="Arial"/>
          <w:sz w:val="24"/>
          <w:szCs w:val="24"/>
        </w:rPr>
        <w:t>Cefyn</w:t>
      </w:r>
      <w:proofErr w:type="spellEnd"/>
      <w:r w:rsidRPr="00F21F49">
        <w:rPr>
          <w:rFonts w:ascii="Arial" w:hAnsi="Arial" w:cs="Arial"/>
          <w:sz w:val="24"/>
          <w:szCs w:val="24"/>
        </w:rPr>
        <w:t xml:space="preserve"> </w:t>
      </w:r>
      <w:proofErr w:type="spellStart"/>
      <w:r w:rsidRPr="00F21F49">
        <w:rPr>
          <w:rFonts w:ascii="Arial" w:hAnsi="Arial" w:cs="Arial"/>
          <w:sz w:val="24"/>
          <w:szCs w:val="24"/>
        </w:rPr>
        <w:t>Hengoed</w:t>
      </w:r>
      <w:proofErr w:type="spellEnd"/>
      <w:r w:rsidRPr="00F21F49">
        <w:rPr>
          <w:rFonts w:ascii="Arial" w:hAnsi="Arial" w:cs="Arial"/>
          <w:sz w:val="24"/>
          <w:szCs w:val="24"/>
        </w:rPr>
        <w:t xml:space="preserve"> Comprehensive School is a mixed school with pupils aged 11-16. The school is located on the east side of Swansea and is has been ranked the 11</w:t>
      </w:r>
      <w:r w:rsidRPr="00F21F49">
        <w:rPr>
          <w:rFonts w:ascii="Arial" w:hAnsi="Arial" w:cs="Arial"/>
          <w:sz w:val="24"/>
          <w:szCs w:val="24"/>
          <w:vertAlign w:val="superscript"/>
        </w:rPr>
        <w:t>th</w:t>
      </w:r>
      <w:r w:rsidRPr="00F21F49">
        <w:rPr>
          <w:rFonts w:ascii="Arial" w:hAnsi="Arial" w:cs="Arial"/>
          <w:sz w:val="24"/>
          <w:szCs w:val="24"/>
        </w:rPr>
        <w:t xml:space="preserve"> most deprived ward in Wales. A staggering 73% of learners live in 30% of the poorest areas in Wales. There are 664 total students on roll at the school with 36% of them entitled to free school meals. These findings suggest to the writer that there is a relationship between children who qualify for free school meals and low attendance. This may be because of parents not being able to afford the other basic needs that children require for school. Following a school inspection in 2005, a recommendation was proposed for the school to make a strategic plan to improve their attendance record due to it being deemed unsatisfactory. The plan comprised of implementing four elements that focus on the schools curriculum. The writer found this a rather disappointing read as it surprised the writer of how little investigation took place into exploring other causes to the poor attendance. There appeared to be no evidence in the report suggesting  any help could be provided for families who struggled to finance school uniform and or  supplies.</w:t>
      </w:r>
    </w:p>
    <w:p w14:paraId="6E397248" w14:textId="77777777"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   </w:t>
      </w:r>
    </w:p>
    <w:p w14:paraId="2CE23915" w14:textId="1C1AE730"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Neglect is another adverse childhood experience considered to impact on a child’s ability to access education.  In basic terms neglect is the failure of a responsible adult/parent to provide care and the basic needs of a child or children in their care (</w:t>
      </w:r>
      <w:proofErr w:type="spellStart"/>
      <w:r w:rsidRPr="00F21F49">
        <w:rPr>
          <w:rFonts w:ascii="Arial" w:hAnsi="Arial" w:cs="Arial"/>
          <w:sz w:val="24"/>
          <w:szCs w:val="24"/>
        </w:rPr>
        <w:t>childwelfare</w:t>
      </w:r>
      <w:proofErr w:type="spellEnd"/>
      <w:r w:rsidR="0099727A">
        <w:rPr>
          <w:rFonts w:ascii="Arial" w:hAnsi="Arial" w:cs="Arial"/>
          <w:sz w:val="24"/>
          <w:szCs w:val="24"/>
        </w:rPr>
        <w:t>, n.d</w:t>
      </w:r>
      <w:r w:rsidRPr="00F21F49">
        <w:rPr>
          <w:rFonts w:ascii="Arial" w:hAnsi="Arial" w:cs="Arial"/>
          <w:sz w:val="24"/>
          <w:szCs w:val="24"/>
        </w:rPr>
        <w:t xml:space="preserve">).   According to a research study called ‘The Impact of Initial Adaption to School’ by Jody Todd Manly, Michael Lynch, [...], and Sanne N. Wortel, (2013) neglected children had significantly lower scoring behaviour and academic performance than those non-neglected children. The research suggests that neglected children have lower levels of attainment due to not completing each year and having more school difficulties, such as truancy, repeating a grade and getting suspended or expelled due to poor behaviour (Manly et al., 2013).  Scientific evidence shows that young children with low caregiver responsiveness may develop significant mental health and physical impairments. These include, cognitive delays, impaired executive function and self regulation skills and disruption to the body’s stress response (Harvard University, 2020). As mentioned above, children from limited caregiver responsiveness are less likely to understand the importance of attainment and education due to their exposure of what may be generational poverty, </w:t>
      </w:r>
      <w:r w:rsidRPr="00F21F49">
        <w:rPr>
          <w:rFonts w:ascii="Arial" w:hAnsi="Arial" w:cs="Arial"/>
          <w:sz w:val="24"/>
          <w:szCs w:val="24"/>
        </w:rPr>
        <w:lastRenderedPageBreak/>
        <w:t>lack of motivation and a fixed self fulfilling prophecy. Children exposed to this kind of behaviour and lifestyle often view their world of opportunities as limited to the life they have been exposed to; children from such backgrounds may not see the point in applying themselves at school because they feel they are destined to repeat the perpetuated cycle they were born into. Children raised in poverty or in conditions that cause adverse childhood experiences are likely to be faced with inter-generational factors; parents who did not attend higher education or engage in their own schooling may not support their children throughout their education as they deem it as pointless or unimportant (</w:t>
      </w:r>
      <w:proofErr w:type="spellStart"/>
      <w:r w:rsidRPr="00F21F49">
        <w:rPr>
          <w:rFonts w:ascii="Arial" w:hAnsi="Arial" w:cs="Arial"/>
          <w:sz w:val="24"/>
          <w:szCs w:val="24"/>
        </w:rPr>
        <w:t>Pirrie</w:t>
      </w:r>
      <w:proofErr w:type="spellEnd"/>
      <w:r w:rsidRPr="00F21F49">
        <w:rPr>
          <w:rFonts w:ascii="Arial" w:hAnsi="Arial" w:cs="Arial"/>
          <w:sz w:val="24"/>
          <w:szCs w:val="24"/>
        </w:rPr>
        <w:t xml:space="preserve"> and </w:t>
      </w:r>
      <w:proofErr w:type="spellStart"/>
      <w:r w:rsidRPr="00F21F49">
        <w:rPr>
          <w:rFonts w:ascii="Arial" w:hAnsi="Arial" w:cs="Arial"/>
          <w:sz w:val="24"/>
          <w:szCs w:val="24"/>
        </w:rPr>
        <w:t>Hockings</w:t>
      </w:r>
      <w:proofErr w:type="spellEnd"/>
      <w:r w:rsidRPr="00F21F49">
        <w:rPr>
          <w:rFonts w:ascii="Arial" w:hAnsi="Arial" w:cs="Arial"/>
          <w:sz w:val="24"/>
          <w:szCs w:val="24"/>
        </w:rPr>
        <w:t xml:space="preserve">, 2012). In order to tackle inter-generational factors and mirroring the Welsh government introduced a scheme with an ethos that attempts the break the perpetuated cycle of generational poverty. The scheme is called, ‘Re-writing the Future’, and focuses on four main elements to help tackle the generational cycle of low attainment and achievement caused by poverty. The four elements are: High Quality Learning and Teaching, Early Intervention, High Expectations and Aspirations and lastly, Family and Community Engagement. </w:t>
      </w:r>
    </w:p>
    <w:p w14:paraId="7DB49718" w14:textId="77777777" w:rsidR="00FA3F32" w:rsidRPr="00F21F49" w:rsidRDefault="00FA3F32" w:rsidP="00C74D23">
      <w:pPr>
        <w:spacing w:line="360" w:lineRule="auto"/>
        <w:rPr>
          <w:rFonts w:ascii="Arial" w:hAnsi="Arial" w:cs="Arial"/>
          <w:sz w:val="24"/>
          <w:szCs w:val="24"/>
        </w:rPr>
      </w:pPr>
    </w:p>
    <w:p w14:paraId="141563F7" w14:textId="4E773D6B"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The writer also considers Mental ill health and Wellbeing to be a social element that may affect a learners ability to access education. Mental health and wellbeing is a broad term for what an individual may be going through emotionally however some issues related to mental health can manifest into physical issues as a consequence of mental ill health.  There are many different diagnosis and illnesses that cover mental health spectrum; some mental illness may be mild or severe. However, both can have severe implications on a young person’s wellbeing, concentration and attainment level throughout their schooling experience.</w:t>
      </w:r>
    </w:p>
    <w:p w14:paraId="13A8B21B" w14:textId="77777777" w:rsidR="00FA3F32" w:rsidRPr="00F21F49" w:rsidRDefault="00FA3F32" w:rsidP="00C74D23">
      <w:pPr>
        <w:spacing w:line="360" w:lineRule="auto"/>
        <w:rPr>
          <w:rFonts w:ascii="Arial" w:hAnsi="Arial" w:cs="Arial"/>
          <w:sz w:val="24"/>
          <w:szCs w:val="24"/>
        </w:rPr>
      </w:pPr>
    </w:p>
    <w:p w14:paraId="49C57233" w14:textId="77777777"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 Mental Health and Wellbeing can cause severe implications on a young person’s ability to access education; possible reason’s like not being able to focus in class because of depression or anxiety, not attending school or classes due to social anxiety or failing to attend school because of the shame in physical consequences of a mental health condition, i.e anorexia or self harm. A vicious circle can be identified with a young person battling internalised demons; depression and anxiety can disrupt sleep, resulting in poor engagement and concentration in class and not being able to attain the standard of work expected that then provokes further depressive and anxious thoughts and behaviour (Ford, 2019). According to Ford, (2019) </w:t>
      </w:r>
      <w:r w:rsidRPr="00F21F49">
        <w:rPr>
          <w:rFonts w:ascii="Arial" w:hAnsi="Arial" w:cs="Arial"/>
          <w:sz w:val="24"/>
          <w:szCs w:val="24"/>
        </w:rPr>
        <w:lastRenderedPageBreak/>
        <w:t xml:space="preserve">depression in particular is often associated with unauthorised attendance, whereas long term poor absence is linked to self-harm and suicidal thoughts and behaviour. Young learners having a considerable amount of time out of school due to their mental health and wellbeing can cause devastating affects for their future prospects. Not attaining well at school can limit a person’s options in life due to not having the essential credentials to have a decent paid job, this then can pro-long the persons battle with poor mental health and wellbeing. </w:t>
      </w:r>
    </w:p>
    <w:p w14:paraId="36BAF7CD" w14:textId="77777777" w:rsidR="00FA3F32" w:rsidRPr="00F21F49" w:rsidRDefault="00FA3F32" w:rsidP="00C74D23">
      <w:pPr>
        <w:spacing w:line="360" w:lineRule="auto"/>
        <w:rPr>
          <w:rFonts w:ascii="Arial" w:hAnsi="Arial" w:cs="Arial"/>
          <w:sz w:val="24"/>
          <w:szCs w:val="24"/>
        </w:rPr>
      </w:pPr>
    </w:p>
    <w:p w14:paraId="3DC1552E" w14:textId="42EF145D"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The writer has explored the strategies that schools have put in place to help tackle this issue. A report written by White, </w:t>
      </w:r>
      <w:proofErr w:type="spellStart"/>
      <w:r w:rsidRPr="00F21F49">
        <w:rPr>
          <w:rFonts w:ascii="Arial" w:hAnsi="Arial" w:cs="Arial"/>
          <w:sz w:val="24"/>
          <w:szCs w:val="24"/>
        </w:rPr>
        <w:t>Gibb</w:t>
      </w:r>
      <w:proofErr w:type="spellEnd"/>
      <w:r w:rsidRPr="00F21F49">
        <w:rPr>
          <w:rFonts w:ascii="Arial" w:hAnsi="Arial" w:cs="Arial"/>
          <w:sz w:val="24"/>
          <w:szCs w:val="24"/>
        </w:rPr>
        <w:t>, Lea, Street, (2017) called, ‘Supporting Mental Health in Schools and Colleges’ for the Department for Education presented some of the strategies put in place by various schools and colleges in the UK to help overcome the issues surrounding poor mental health and attendance. They found that a large number of their case studies introduced methods such as, teaching students meditation and relaxation techniques, implementing initiatives from external organisations that support mental health, peer mentoring and councillors w</w:t>
      </w:r>
      <w:r w:rsidR="00974A88" w:rsidRPr="00F21F49">
        <w:rPr>
          <w:rFonts w:ascii="Arial" w:hAnsi="Arial" w:cs="Arial"/>
          <w:sz w:val="24"/>
          <w:szCs w:val="24"/>
        </w:rPr>
        <w:t>ere</w:t>
      </w:r>
      <w:r w:rsidRPr="00F21F49">
        <w:rPr>
          <w:rFonts w:ascii="Arial" w:hAnsi="Arial" w:cs="Arial"/>
          <w:sz w:val="24"/>
          <w:szCs w:val="24"/>
        </w:rPr>
        <w:t xml:space="preserve"> also available at both schools and colleges. </w:t>
      </w:r>
    </w:p>
    <w:p w14:paraId="3CED9A28" w14:textId="77777777" w:rsidR="00FA3F32" w:rsidRPr="00F21F49" w:rsidRDefault="00FA3F32" w:rsidP="00C74D23">
      <w:pPr>
        <w:spacing w:line="360" w:lineRule="auto"/>
        <w:rPr>
          <w:rFonts w:ascii="Arial" w:hAnsi="Arial" w:cs="Arial"/>
          <w:sz w:val="24"/>
          <w:szCs w:val="24"/>
        </w:rPr>
      </w:pPr>
    </w:p>
    <w:p w14:paraId="023FBF36" w14:textId="77777777" w:rsidR="00FA3F32" w:rsidRPr="00F21F49" w:rsidRDefault="00FA3F32" w:rsidP="00C74D23">
      <w:pPr>
        <w:spacing w:line="360" w:lineRule="auto"/>
        <w:rPr>
          <w:rFonts w:ascii="Arial" w:hAnsi="Arial" w:cs="Arial"/>
          <w:sz w:val="24"/>
          <w:szCs w:val="24"/>
        </w:rPr>
      </w:pPr>
    </w:p>
    <w:p w14:paraId="62972374" w14:textId="77777777"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Another adverse childhood experiences is Bullying. Bullying can have major implications for a learner to access education. Bullying is when a person faces repeated negative verbal or physical actions on the part of one or more persons. The fear of attending school in response to bullying is an incredibly common consequence.  According to </w:t>
      </w:r>
      <w:proofErr w:type="spellStart"/>
      <w:r w:rsidRPr="00F21F49">
        <w:rPr>
          <w:rFonts w:ascii="Arial" w:hAnsi="Arial" w:cs="Arial"/>
          <w:sz w:val="24"/>
          <w:szCs w:val="24"/>
        </w:rPr>
        <w:t>Mullvain</w:t>
      </w:r>
      <w:proofErr w:type="spellEnd"/>
      <w:r w:rsidRPr="00F21F49">
        <w:rPr>
          <w:rFonts w:ascii="Arial" w:hAnsi="Arial" w:cs="Arial"/>
          <w:sz w:val="24"/>
          <w:szCs w:val="24"/>
        </w:rPr>
        <w:t xml:space="preserve">, (2016) in the year of April 2015 a study taken place in a district of central Georgia, USA to find a correlation between students being bullied and their attendance and attainment. Over 700 incidents in the district were reported in the school year of 2011-2012 where children were getting teased or bullied. Results from the Georgia Department of Education Student Health Survey indicated that 36.2% of sixth graders, 31.9% of seventh graders and 28.9% of eighth graders in the district reported to being picked on or teased at school in the last 30 days. Later findings had shown that 3% of children missed school within 30 days due to feeling unsafe. These findings demonstrate the scope of the problem in what is a local district let alone what the possible findings may present on a global scale. The writer would suggest that the above findings represent a severe problem with the </w:t>
      </w:r>
      <w:r w:rsidRPr="00F21F49">
        <w:rPr>
          <w:rFonts w:ascii="Arial" w:hAnsi="Arial" w:cs="Arial"/>
          <w:sz w:val="24"/>
          <w:szCs w:val="24"/>
        </w:rPr>
        <w:lastRenderedPageBreak/>
        <w:t xml:space="preserve">relationship between young people who are bullied and their attendance at school. It is not an unknown fact that children who do not attend school regularly often fail to achieve good grades. </w:t>
      </w:r>
    </w:p>
    <w:p w14:paraId="5B37F2C2" w14:textId="77777777" w:rsidR="00FA3F32" w:rsidRPr="00F21F49" w:rsidRDefault="00FA3F32" w:rsidP="00C74D23">
      <w:pPr>
        <w:spacing w:line="360" w:lineRule="auto"/>
        <w:rPr>
          <w:rFonts w:ascii="Arial" w:hAnsi="Arial" w:cs="Arial"/>
          <w:sz w:val="24"/>
          <w:szCs w:val="24"/>
        </w:rPr>
      </w:pPr>
    </w:p>
    <w:p w14:paraId="0C68D040" w14:textId="77777777" w:rsidR="00FA3F32" w:rsidRPr="00F21F49" w:rsidRDefault="00FA3F32" w:rsidP="00C74D23">
      <w:pPr>
        <w:spacing w:line="360" w:lineRule="auto"/>
        <w:rPr>
          <w:rFonts w:ascii="Arial" w:hAnsi="Arial" w:cs="Arial"/>
          <w:sz w:val="24"/>
          <w:szCs w:val="24"/>
        </w:rPr>
      </w:pPr>
    </w:p>
    <w:p w14:paraId="2C09DD93" w14:textId="0F0FF808"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In conclusion, the four social elements the writer chose to explore on affecting a learners ability to access education all interlink in some form of way. The writer has gained knowledge of the fact that having one of the social exclusion elements often induce another element e.g. poverty and neglect are often interlinked.</w:t>
      </w:r>
    </w:p>
    <w:p w14:paraId="11861E55" w14:textId="77777777" w:rsidR="00FA3F32" w:rsidRPr="00F21F49" w:rsidRDefault="00FA3F32" w:rsidP="00C74D23">
      <w:pPr>
        <w:spacing w:line="360" w:lineRule="auto"/>
        <w:rPr>
          <w:rFonts w:ascii="Arial" w:hAnsi="Arial" w:cs="Arial"/>
          <w:sz w:val="24"/>
          <w:szCs w:val="24"/>
        </w:rPr>
      </w:pPr>
    </w:p>
    <w:p w14:paraId="614652C2" w14:textId="77777777" w:rsidR="00FA3F32" w:rsidRPr="00F21F49" w:rsidRDefault="00FA3F32" w:rsidP="00C74D23">
      <w:pPr>
        <w:spacing w:line="360" w:lineRule="auto"/>
        <w:rPr>
          <w:rFonts w:ascii="Arial" w:hAnsi="Arial" w:cs="Arial"/>
          <w:sz w:val="24"/>
          <w:szCs w:val="24"/>
        </w:rPr>
      </w:pPr>
    </w:p>
    <w:p w14:paraId="61E1B8F0" w14:textId="5EF05912" w:rsidR="00FA3F32" w:rsidRPr="00F21F49" w:rsidRDefault="003665C0" w:rsidP="00C74D23">
      <w:pPr>
        <w:spacing w:line="360" w:lineRule="auto"/>
        <w:rPr>
          <w:rFonts w:ascii="Arial" w:hAnsi="Arial" w:cs="Arial"/>
          <w:sz w:val="24"/>
          <w:szCs w:val="24"/>
        </w:rPr>
      </w:pPr>
      <w:r w:rsidRPr="00F21F49">
        <w:rPr>
          <w:rFonts w:ascii="Arial" w:hAnsi="Arial" w:cs="Arial"/>
          <w:sz w:val="24"/>
          <w:szCs w:val="24"/>
        </w:rPr>
        <w:t>Raised</w:t>
      </w:r>
      <w:r w:rsidR="00FA3F32" w:rsidRPr="00F21F49">
        <w:rPr>
          <w:rFonts w:ascii="Arial" w:hAnsi="Arial" w:cs="Arial"/>
          <w:sz w:val="24"/>
          <w:szCs w:val="24"/>
        </w:rPr>
        <w:t xml:space="preserve"> in generational poverty fits into the catalyst for adverse childhood experiences in which most cases of adverse childhood experiences can lead toward poor mental health and wellbeing. This indicates a vicious circle in what is called</w:t>
      </w:r>
      <w:r w:rsidR="000D560F">
        <w:rPr>
          <w:rFonts w:ascii="Arial" w:hAnsi="Arial" w:cs="Arial"/>
          <w:sz w:val="24"/>
          <w:szCs w:val="24"/>
        </w:rPr>
        <w:t xml:space="preserve"> a lack of</w:t>
      </w:r>
      <w:r w:rsidR="00FA3F32" w:rsidRPr="00F21F49">
        <w:rPr>
          <w:rFonts w:ascii="Arial" w:hAnsi="Arial" w:cs="Arial"/>
          <w:sz w:val="24"/>
          <w:szCs w:val="24"/>
        </w:rPr>
        <w:t xml:space="preserve"> social </w:t>
      </w:r>
      <w:r w:rsidR="000D560F">
        <w:rPr>
          <w:rFonts w:ascii="Arial" w:hAnsi="Arial" w:cs="Arial"/>
          <w:sz w:val="24"/>
          <w:szCs w:val="24"/>
        </w:rPr>
        <w:t>mo</w:t>
      </w:r>
      <w:r w:rsidR="00FA3F32" w:rsidRPr="00F21F49">
        <w:rPr>
          <w:rFonts w:ascii="Arial" w:hAnsi="Arial" w:cs="Arial"/>
          <w:sz w:val="24"/>
          <w:szCs w:val="24"/>
        </w:rPr>
        <w:t>bility. Those considered to fit into the social exclusion category are often faced with being marginalised, labelled and then in result have blurred vision of other life possibilities. The lack of access to education causes many issues such as poverty, neglect, mental ill health and bullying. These adverse experience in turn have the potential to cause poor physical and emotional health, low self esteem and a lack of knowledge and skills to realise one's full potential. The Adverse childhood experiences discussed in this essay implies they can negatively impact on an individual through out their entire life span. The literature suggests that Adverse childhood experiences are likely to perpetuate generationally without the appropriate intervention. The writer therefore, can deduc</w:t>
      </w:r>
      <w:r w:rsidR="00E12975" w:rsidRPr="00F21F49">
        <w:rPr>
          <w:rFonts w:ascii="Arial" w:hAnsi="Arial" w:cs="Arial"/>
          <w:sz w:val="24"/>
          <w:szCs w:val="24"/>
        </w:rPr>
        <w:t>t</w:t>
      </w:r>
      <w:r w:rsidR="00FA3F32" w:rsidRPr="00F21F49">
        <w:rPr>
          <w:rFonts w:ascii="Arial" w:hAnsi="Arial" w:cs="Arial"/>
          <w:sz w:val="24"/>
          <w:szCs w:val="24"/>
        </w:rPr>
        <w:t xml:space="preserve"> from the evidence discussed in this essay that children having access to education may give them the realisation that they can gain the confidence and the knowledge and skills to break the cycle of negative experiences they have encountered in order to build a better life.</w:t>
      </w:r>
    </w:p>
    <w:p w14:paraId="2B80AE93" w14:textId="77777777" w:rsidR="00FA3F32" w:rsidRPr="00F21F49" w:rsidRDefault="00FA3F32" w:rsidP="00C74D23">
      <w:pPr>
        <w:spacing w:line="360" w:lineRule="auto"/>
        <w:rPr>
          <w:rFonts w:ascii="Arial" w:hAnsi="Arial" w:cs="Arial"/>
          <w:sz w:val="24"/>
          <w:szCs w:val="24"/>
        </w:rPr>
      </w:pPr>
    </w:p>
    <w:p w14:paraId="02B5F9A6" w14:textId="77777777" w:rsidR="00FA3F32" w:rsidRPr="00F21F49" w:rsidRDefault="00FA3F32" w:rsidP="00C74D23">
      <w:pPr>
        <w:spacing w:line="360" w:lineRule="auto"/>
        <w:rPr>
          <w:rFonts w:ascii="Arial" w:hAnsi="Arial" w:cs="Arial"/>
          <w:sz w:val="24"/>
          <w:szCs w:val="24"/>
        </w:rPr>
      </w:pPr>
    </w:p>
    <w:p w14:paraId="1A370A48" w14:textId="77777777" w:rsidR="00FA3F32" w:rsidRPr="00F21F49" w:rsidRDefault="00FA3F32" w:rsidP="00C74D23">
      <w:pPr>
        <w:spacing w:line="360" w:lineRule="auto"/>
        <w:rPr>
          <w:rFonts w:ascii="Arial" w:hAnsi="Arial" w:cs="Arial"/>
          <w:sz w:val="24"/>
          <w:szCs w:val="24"/>
        </w:rPr>
      </w:pPr>
    </w:p>
    <w:p w14:paraId="4C922FBE" w14:textId="77777777" w:rsidR="00FA3F32" w:rsidRPr="00F21F49" w:rsidRDefault="00FA3F32" w:rsidP="00C74D23">
      <w:pPr>
        <w:spacing w:line="360" w:lineRule="auto"/>
        <w:rPr>
          <w:rFonts w:ascii="Arial" w:hAnsi="Arial" w:cs="Arial"/>
          <w:sz w:val="24"/>
          <w:szCs w:val="24"/>
          <w:u w:val="single"/>
        </w:rPr>
      </w:pPr>
      <w:r w:rsidRPr="00F21F49">
        <w:rPr>
          <w:rFonts w:ascii="Arial" w:hAnsi="Arial" w:cs="Arial"/>
          <w:sz w:val="24"/>
          <w:szCs w:val="24"/>
          <w:u w:val="single"/>
        </w:rPr>
        <w:t>Bibliography:</w:t>
      </w:r>
    </w:p>
    <w:p w14:paraId="18C0C570" w14:textId="77777777" w:rsidR="00BA2910" w:rsidRPr="00F21F49" w:rsidRDefault="00BA2910" w:rsidP="00C74D23">
      <w:pPr>
        <w:spacing w:line="360" w:lineRule="auto"/>
        <w:rPr>
          <w:rFonts w:ascii="Arial" w:hAnsi="Arial" w:cs="Arial"/>
          <w:sz w:val="24"/>
          <w:szCs w:val="24"/>
        </w:rPr>
      </w:pPr>
    </w:p>
    <w:p w14:paraId="1F3E76B9" w14:textId="793F9EEC"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Busby, E., 2019. Poorest Children Three Times More Likely To Miss Out On Extra-Curricular Activities, Study Finds. [online] The Independent. Available at: </w:t>
      </w:r>
      <w:r w:rsidRPr="00F21F49">
        <w:rPr>
          <w:rFonts w:ascii="Arial" w:hAnsi="Arial" w:cs="Arial"/>
          <w:sz w:val="24"/>
          <w:szCs w:val="24"/>
        </w:rPr>
        <w:lastRenderedPageBreak/>
        <w:t>&lt;https://www.independent.co.uk/news/education/education-news/poverty-children-school-extracurricular-music-sport-social-mobility-family-a9010936.html&gt; [Accessed 21 April 2020].</w:t>
      </w:r>
    </w:p>
    <w:p w14:paraId="0752CD6B" w14:textId="77777777" w:rsidR="00BA2910" w:rsidRPr="00F21F49" w:rsidRDefault="00FA3F32" w:rsidP="00C74D23">
      <w:pPr>
        <w:spacing w:line="360" w:lineRule="auto"/>
        <w:rPr>
          <w:rFonts w:ascii="Arial" w:hAnsi="Arial" w:cs="Arial"/>
          <w:sz w:val="24"/>
          <w:szCs w:val="24"/>
        </w:rPr>
      </w:pPr>
      <w:r w:rsidRPr="00F21F49">
        <w:rPr>
          <w:rFonts w:ascii="Arial" w:hAnsi="Arial" w:cs="Arial"/>
          <w:sz w:val="24"/>
          <w:szCs w:val="24"/>
        </w:rPr>
        <w:t>Center on the Developing Child at Harvard University. 2020. Neglect. [online] Available at: &lt;https://developingchild.harvard.edu/science/deep-dives/neglect/&gt; [Accessed 5 April 2020].</w:t>
      </w:r>
    </w:p>
    <w:p w14:paraId="2DCF79F3" w14:textId="77777777" w:rsidR="005F4BDC" w:rsidRPr="00F21F49" w:rsidRDefault="005F4BDC" w:rsidP="00C74D23">
      <w:pPr>
        <w:spacing w:line="360" w:lineRule="auto"/>
        <w:rPr>
          <w:rFonts w:ascii="Arial" w:hAnsi="Arial" w:cs="Arial"/>
          <w:sz w:val="24"/>
          <w:szCs w:val="24"/>
        </w:rPr>
      </w:pPr>
    </w:p>
    <w:p w14:paraId="72BEAD25" w14:textId="006495B2"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Jensen, E., 2009. Teaching With Poverty In Mind. ASCD.</w:t>
      </w:r>
    </w:p>
    <w:p w14:paraId="4EB7EF25" w14:textId="77777777" w:rsidR="006E56F4" w:rsidRPr="00F21F49" w:rsidRDefault="006E56F4" w:rsidP="00C74D23">
      <w:pPr>
        <w:spacing w:line="360" w:lineRule="auto"/>
        <w:rPr>
          <w:rFonts w:ascii="Arial" w:hAnsi="Arial" w:cs="Arial"/>
          <w:sz w:val="24"/>
          <w:szCs w:val="24"/>
        </w:rPr>
      </w:pPr>
    </w:p>
    <w:p w14:paraId="20BC6DA8" w14:textId="5DE5C135" w:rsidR="00FA3F32" w:rsidRDefault="00FA3F32" w:rsidP="00C74D23">
      <w:pPr>
        <w:spacing w:line="360" w:lineRule="auto"/>
        <w:rPr>
          <w:rFonts w:ascii="Arial" w:hAnsi="Arial" w:cs="Arial"/>
          <w:sz w:val="24"/>
          <w:szCs w:val="24"/>
        </w:rPr>
      </w:pPr>
      <w:r w:rsidRPr="00F21F49">
        <w:rPr>
          <w:rFonts w:ascii="Arial" w:hAnsi="Arial" w:cs="Arial"/>
          <w:sz w:val="24"/>
          <w:szCs w:val="24"/>
        </w:rPr>
        <w:t>Kelloggs.co.uk. 2012. [online] Available at: &lt;https://www.kelloggs.co.uk/content/dam/europe/kelloggs_gb/pdf/R2_Kellogg_A_Lost_Education.pdf&gt; [Accessed 14 April 2020].</w:t>
      </w:r>
    </w:p>
    <w:p w14:paraId="52320803" w14:textId="646A3B4C" w:rsidR="00F10996" w:rsidRDefault="00F10996" w:rsidP="00C74D23">
      <w:pPr>
        <w:spacing w:line="360" w:lineRule="auto"/>
        <w:rPr>
          <w:rFonts w:ascii="Arial" w:hAnsi="Arial" w:cs="Arial"/>
          <w:sz w:val="24"/>
          <w:szCs w:val="24"/>
        </w:rPr>
      </w:pPr>
    </w:p>
    <w:p w14:paraId="5A71B524" w14:textId="6E7CC95D" w:rsidR="00F10996" w:rsidRPr="00F21F49" w:rsidRDefault="00F10996" w:rsidP="00C74D23">
      <w:pPr>
        <w:spacing w:line="360" w:lineRule="auto"/>
        <w:rPr>
          <w:rFonts w:ascii="Arial" w:hAnsi="Arial" w:cs="Arial"/>
          <w:sz w:val="24"/>
          <w:szCs w:val="24"/>
        </w:rPr>
      </w:pPr>
      <w:r w:rsidRPr="00F10996">
        <w:rPr>
          <w:rFonts w:ascii="Arial" w:hAnsi="Arial" w:cs="Arial"/>
          <w:sz w:val="24"/>
          <w:szCs w:val="24"/>
        </w:rPr>
        <w:t xml:space="preserve">Lewis, S., 2012. Effective practice in tackling poverty and disadvantage in schools. </w:t>
      </w:r>
      <w:proofErr w:type="spellStart"/>
      <w:r w:rsidRPr="00F10996">
        <w:rPr>
          <w:rFonts w:ascii="Arial" w:hAnsi="Arial" w:cs="Arial"/>
          <w:sz w:val="24"/>
          <w:szCs w:val="24"/>
        </w:rPr>
        <w:t>Estyn</w:t>
      </w:r>
      <w:proofErr w:type="spellEnd"/>
      <w:r w:rsidRPr="00F10996">
        <w:rPr>
          <w:rFonts w:ascii="Arial" w:hAnsi="Arial" w:cs="Arial"/>
          <w:sz w:val="24"/>
          <w:szCs w:val="24"/>
        </w:rPr>
        <w:t>,.</w:t>
      </w:r>
    </w:p>
    <w:p w14:paraId="193FB5B3" w14:textId="77777777" w:rsidR="006E56F4" w:rsidRPr="00F21F49" w:rsidRDefault="006E56F4" w:rsidP="00C74D23">
      <w:pPr>
        <w:spacing w:line="360" w:lineRule="auto"/>
        <w:rPr>
          <w:rFonts w:ascii="Arial" w:hAnsi="Arial" w:cs="Arial"/>
          <w:sz w:val="24"/>
          <w:szCs w:val="24"/>
        </w:rPr>
      </w:pPr>
    </w:p>
    <w:p w14:paraId="77C7971A" w14:textId="015E49BE"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Manly, J., Lynch, M., Oshri, A., Herzog, M. and Wortel, S., 2013. The Impact of Neglect on Initial Adaptation to School. Child Maltreatment, 18(3), pp.155-170.</w:t>
      </w:r>
    </w:p>
    <w:p w14:paraId="3CC99FC1" w14:textId="77777777" w:rsidR="006E56F4" w:rsidRPr="00F21F49" w:rsidRDefault="006E56F4" w:rsidP="00C74D23">
      <w:pPr>
        <w:spacing w:line="360" w:lineRule="auto"/>
        <w:rPr>
          <w:rFonts w:ascii="Arial" w:hAnsi="Arial" w:cs="Arial"/>
          <w:sz w:val="24"/>
          <w:szCs w:val="24"/>
        </w:rPr>
      </w:pPr>
    </w:p>
    <w:p w14:paraId="3EFCAED1" w14:textId="3C2A45EE" w:rsidR="00FA3F32" w:rsidRPr="00F21F49" w:rsidRDefault="00FA3F32" w:rsidP="00C74D23">
      <w:pPr>
        <w:spacing w:line="360" w:lineRule="auto"/>
        <w:rPr>
          <w:rFonts w:ascii="Arial" w:hAnsi="Arial" w:cs="Arial"/>
          <w:sz w:val="24"/>
          <w:szCs w:val="24"/>
        </w:rPr>
      </w:pPr>
      <w:proofErr w:type="spellStart"/>
      <w:r w:rsidRPr="00F21F49">
        <w:rPr>
          <w:rFonts w:ascii="Arial" w:hAnsi="Arial" w:cs="Arial"/>
          <w:sz w:val="24"/>
          <w:szCs w:val="24"/>
        </w:rPr>
        <w:t>Mullvain</w:t>
      </w:r>
      <w:proofErr w:type="spellEnd"/>
      <w:r w:rsidRPr="00F21F49">
        <w:rPr>
          <w:rFonts w:ascii="Arial" w:hAnsi="Arial" w:cs="Arial"/>
          <w:sz w:val="24"/>
          <w:szCs w:val="24"/>
        </w:rPr>
        <w:t>, P., 2016. Examining The Relationship Between Bullying, Attendance, And Achievement In Schools. [online] Scholarworks.waldenu.edu. Available at: &lt;https://scholarworks.waldenu.edu/cgi/viewcontent.cgi?article=3717&amp;context=dissertations&gt; [Accessed 15 April 2020].</w:t>
      </w:r>
    </w:p>
    <w:p w14:paraId="6027C303" w14:textId="77777777" w:rsidR="006E56F4" w:rsidRPr="00F21F49" w:rsidRDefault="006E56F4" w:rsidP="00C74D23">
      <w:pPr>
        <w:spacing w:line="360" w:lineRule="auto"/>
        <w:rPr>
          <w:rFonts w:ascii="Arial" w:hAnsi="Arial" w:cs="Arial"/>
          <w:sz w:val="24"/>
          <w:szCs w:val="24"/>
        </w:rPr>
      </w:pPr>
    </w:p>
    <w:p w14:paraId="7ECB50D4" w14:textId="1EA273ED" w:rsidR="00FA3F32" w:rsidRPr="00F21F49" w:rsidRDefault="00060014" w:rsidP="00C74D23">
      <w:pPr>
        <w:spacing w:line="360" w:lineRule="auto"/>
        <w:rPr>
          <w:rFonts w:ascii="Arial" w:hAnsi="Arial" w:cs="Arial"/>
          <w:sz w:val="24"/>
          <w:szCs w:val="24"/>
        </w:rPr>
      </w:pPr>
      <w:proofErr w:type="spellStart"/>
      <w:r w:rsidRPr="00F21F49">
        <w:rPr>
          <w:rFonts w:ascii="Arial" w:hAnsi="Arial" w:cs="Arial"/>
          <w:sz w:val="24"/>
          <w:szCs w:val="24"/>
        </w:rPr>
        <w:t>Pettinger</w:t>
      </w:r>
      <w:proofErr w:type="spellEnd"/>
      <w:r w:rsidRPr="00F21F49">
        <w:rPr>
          <w:rFonts w:ascii="Arial" w:hAnsi="Arial" w:cs="Arial"/>
          <w:sz w:val="24"/>
          <w:szCs w:val="24"/>
        </w:rPr>
        <w:t>, T., 2020. Definition Of Absolute And Relative Poverty - Economics Help. [online] Economics Help. Available at: &lt;https://www.economicshelp.org/blog/glossary/definition-of-absolute-and-relative-poverty/&gt; [Accessed 23 April 2020].</w:t>
      </w:r>
    </w:p>
    <w:p w14:paraId="59460730" w14:textId="6E8EB033" w:rsidR="00871458" w:rsidRPr="00F21F49" w:rsidRDefault="00871458" w:rsidP="00C74D23">
      <w:pPr>
        <w:spacing w:line="360" w:lineRule="auto"/>
        <w:rPr>
          <w:rFonts w:ascii="Arial" w:hAnsi="Arial" w:cs="Arial"/>
          <w:sz w:val="24"/>
          <w:szCs w:val="24"/>
        </w:rPr>
      </w:pPr>
    </w:p>
    <w:p w14:paraId="730A86B7" w14:textId="634A6485" w:rsidR="00871458" w:rsidRPr="00F21F49" w:rsidRDefault="00871458" w:rsidP="00C74D23">
      <w:pPr>
        <w:spacing w:line="360" w:lineRule="auto"/>
        <w:rPr>
          <w:rFonts w:ascii="Arial" w:hAnsi="Arial" w:cs="Arial"/>
          <w:sz w:val="24"/>
          <w:szCs w:val="24"/>
        </w:rPr>
      </w:pPr>
      <w:proofErr w:type="spellStart"/>
      <w:r w:rsidRPr="00F21F49">
        <w:rPr>
          <w:rFonts w:ascii="Arial" w:hAnsi="Arial" w:cs="Arial"/>
          <w:sz w:val="24"/>
          <w:szCs w:val="24"/>
        </w:rPr>
        <w:t>Rueckert</w:t>
      </w:r>
      <w:proofErr w:type="spellEnd"/>
      <w:r w:rsidRPr="00F21F49">
        <w:rPr>
          <w:rFonts w:ascii="Arial" w:hAnsi="Arial" w:cs="Arial"/>
          <w:sz w:val="24"/>
          <w:szCs w:val="24"/>
        </w:rPr>
        <w:t>, P., 2019. 10 Barriers To Education That Children Living In Poverty Face. [online] Global Citizen. Available at: &lt;https://www.globalcitizen.org/en/content/10-barriers-to-education-around-the-world-2/&gt; [Accessed 11 April 2020].</w:t>
      </w:r>
    </w:p>
    <w:p w14:paraId="37FF3914" w14:textId="553D8A48" w:rsidR="00A20EA4" w:rsidRPr="00F21F49" w:rsidRDefault="00A20EA4" w:rsidP="00C74D23">
      <w:pPr>
        <w:spacing w:line="360" w:lineRule="auto"/>
        <w:rPr>
          <w:rFonts w:ascii="Arial" w:hAnsi="Arial" w:cs="Arial"/>
          <w:sz w:val="24"/>
          <w:szCs w:val="24"/>
        </w:rPr>
      </w:pPr>
    </w:p>
    <w:p w14:paraId="34EEDA14" w14:textId="55309102" w:rsidR="00A20EA4" w:rsidRPr="00F21F49" w:rsidRDefault="00A20EA4" w:rsidP="00C74D23">
      <w:pPr>
        <w:spacing w:line="360" w:lineRule="auto"/>
        <w:rPr>
          <w:rFonts w:ascii="Arial" w:hAnsi="Arial" w:cs="Arial"/>
          <w:sz w:val="24"/>
          <w:szCs w:val="24"/>
        </w:rPr>
      </w:pPr>
      <w:r w:rsidRPr="00F21F49">
        <w:rPr>
          <w:rFonts w:ascii="Arial" w:hAnsi="Arial" w:cs="Arial"/>
          <w:sz w:val="24"/>
          <w:szCs w:val="24"/>
        </w:rPr>
        <w:lastRenderedPageBreak/>
        <w:t>The Independent. 2020. Poorest Children Three Times More Likely To Miss Out On Extra-Curricular Activities, Study Finds. [online] Available at: &lt;https://www.independent.co.uk/news/education/education-news/poverty-children-school-extracurricular-music-sport-social-mobility-family-a9010936.html&gt; [Accessed 23 April 2020].</w:t>
      </w:r>
    </w:p>
    <w:p w14:paraId="637A1A02" w14:textId="77777777" w:rsidR="00963A60" w:rsidRPr="00F21F49" w:rsidRDefault="00963A60" w:rsidP="00C74D23">
      <w:pPr>
        <w:spacing w:line="360" w:lineRule="auto"/>
        <w:rPr>
          <w:rFonts w:ascii="Arial" w:hAnsi="Arial" w:cs="Arial"/>
          <w:sz w:val="24"/>
          <w:szCs w:val="24"/>
        </w:rPr>
      </w:pPr>
    </w:p>
    <w:p w14:paraId="1D00433E" w14:textId="57048549" w:rsidR="00A20EA4" w:rsidRPr="00F21F49" w:rsidRDefault="00D01F1E" w:rsidP="00C74D23">
      <w:pPr>
        <w:spacing w:line="360" w:lineRule="auto"/>
        <w:rPr>
          <w:rFonts w:ascii="Arial" w:hAnsi="Arial" w:cs="Arial"/>
          <w:sz w:val="24"/>
          <w:szCs w:val="24"/>
        </w:rPr>
      </w:pPr>
      <w:r w:rsidRPr="00F21F49">
        <w:rPr>
          <w:rFonts w:ascii="Arial" w:hAnsi="Arial" w:cs="Arial"/>
          <w:sz w:val="24"/>
          <w:szCs w:val="24"/>
        </w:rPr>
        <w:t>Unicef.org. n.d. Education. [online] Available at: &lt;https://www.unicef.org/education&gt; [Accessed 11 April 2020].</w:t>
      </w:r>
    </w:p>
    <w:p w14:paraId="75C48879" w14:textId="29030150" w:rsidR="00FA3F32" w:rsidRPr="00F21F49" w:rsidRDefault="00FA3F32" w:rsidP="00C74D23">
      <w:pPr>
        <w:spacing w:line="360" w:lineRule="auto"/>
        <w:rPr>
          <w:rFonts w:ascii="Arial" w:hAnsi="Arial" w:cs="Arial"/>
          <w:sz w:val="24"/>
          <w:szCs w:val="24"/>
        </w:rPr>
      </w:pPr>
    </w:p>
    <w:p w14:paraId="0FB4769B" w14:textId="77777777" w:rsidR="00FA3F32" w:rsidRPr="00F21F49" w:rsidRDefault="00FA3F32" w:rsidP="00C74D23">
      <w:pPr>
        <w:spacing w:line="360" w:lineRule="auto"/>
        <w:rPr>
          <w:rFonts w:ascii="Arial" w:hAnsi="Arial" w:cs="Arial"/>
          <w:sz w:val="24"/>
          <w:szCs w:val="24"/>
        </w:rPr>
      </w:pPr>
    </w:p>
    <w:p w14:paraId="1936DA79" w14:textId="066F66F3" w:rsidR="00FA3F32" w:rsidRPr="00F21F49" w:rsidRDefault="00FA3F32" w:rsidP="00C74D23">
      <w:pPr>
        <w:spacing w:line="360" w:lineRule="auto"/>
        <w:rPr>
          <w:rFonts w:ascii="Arial" w:hAnsi="Arial" w:cs="Arial"/>
          <w:sz w:val="24"/>
          <w:szCs w:val="24"/>
        </w:rPr>
      </w:pPr>
    </w:p>
    <w:p w14:paraId="68681657" w14:textId="77777777" w:rsidR="00FA3F32" w:rsidRPr="00F21F49" w:rsidRDefault="00FA3F32" w:rsidP="00C74D23">
      <w:pPr>
        <w:spacing w:line="360" w:lineRule="auto"/>
        <w:rPr>
          <w:rFonts w:ascii="Arial" w:hAnsi="Arial" w:cs="Arial"/>
          <w:sz w:val="24"/>
          <w:szCs w:val="24"/>
        </w:rPr>
      </w:pPr>
    </w:p>
    <w:p w14:paraId="7C2E0542" w14:textId="77777777" w:rsidR="00FA3F32" w:rsidRPr="00F21F49" w:rsidRDefault="00FA3F32" w:rsidP="00C74D23">
      <w:pPr>
        <w:spacing w:line="360" w:lineRule="auto"/>
        <w:rPr>
          <w:rFonts w:ascii="Arial" w:hAnsi="Arial" w:cs="Arial"/>
          <w:sz w:val="24"/>
          <w:szCs w:val="24"/>
        </w:rPr>
      </w:pPr>
    </w:p>
    <w:p w14:paraId="0C8CA646" w14:textId="77777777" w:rsidR="00FA3F32" w:rsidRPr="00F21F49" w:rsidRDefault="00FA3F32" w:rsidP="00C74D23">
      <w:pPr>
        <w:spacing w:line="360" w:lineRule="auto"/>
        <w:rPr>
          <w:rFonts w:ascii="Arial" w:hAnsi="Arial" w:cs="Arial"/>
          <w:sz w:val="24"/>
          <w:szCs w:val="24"/>
        </w:rPr>
      </w:pPr>
    </w:p>
    <w:p w14:paraId="0AD3711F" w14:textId="77777777" w:rsidR="00FA3F32" w:rsidRPr="00F21F49" w:rsidRDefault="00FA3F32" w:rsidP="00C74D23">
      <w:pPr>
        <w:spacing w:line="360" w:lineRule="auto"/>
        <w:rPr>
          <w:rFonts w:ascii="Arial" w:hAnsi="Arial" w:cs="Arial"/>
          <w:sz w:val="24"/>
          <w:szCs w:val="24"/>
        </w:rPr>
      </w:pPr>
      <w:r w:rsidRPr="00F21F49">
        <w:rPr>
          <w:rFonts w:ascii="Arial" w:hAnsi="Arial" w:cs="Arial"/>
          <w:sz w:val="24"/>
          <w:szCs w:val="24"/>
        </w:rPr>
        <w:t xml:space="preserve"> </w:t>
      </w:r>
    </w:p>
    <w:p w14:paraId="6CA773BF" w14:textId="77777777" w:rsidR="00FA3F32" w:rsidRPr="00F21F49" w:rsidRDefault="00FA3F32" w:rsidP="00C74D23">
      <w:pPr>
        <w:spacing w:line="360" w:lineRule="auto"/>
        <w:rPr>
          <w:rFonts w:ascii="Arial" w:hAnsi="Arial" w:cs="Arial"/>
          <w:sz w:val="24"/>
          <w:szCs w:val="24"/>
        </w:rPr>
      </w:pPr>
    </w:p>
    <w:p w14:paraId="6F105D25" w14:textId="77777777" w:rsidR="00FA3F32" w:rsidRPr="00F21F49" w:rsidRDefault="00FA3F32" w:rsidP="00C74D23">
      <w:pPr>
        <w:spacing w:line="360" w:lineRule="auto"/>
        <w:rPr>
          <w:rFonts w:ascii="Arial" w:hAnsi="Arial" w:cs="Arial"/>
          <w:sz w:val="24"/>
          <w:szCs w:val="24"/>
        </w:rPr>
      </w:pPr>
    </w:p>
    <w:sectPr w:rsidR="00FA3F32" w:rsidRPr="00F21F49" w:rsidSect="00DC1E4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41FB2" w14:textId="77777777" w:rsidR="00280763" w:rsidRDefault="00280763" w:rsidP="001D69B9">
      <w:r>
        <w:separator/>
      </w:r>
    </w:p>
  </w:endnote>
  <w:endnote w:type="continuationSeparator" w:id="0">
    <w:p w14:paraId="7184603E" w14:textId="77777777" w:rsidR="00280763" w:rsidRDefault="00280763" w:rsidP="001D69B9">
      <w:r>
        <w:continuationSeparator/>
      </w:r>
    </w:p>
  </w:endnote>
  <w:endnote w:type="continuationNotice" w:id="1">
    <w:p w14:paraId="394FBE75" w14:textId="77777777" w:rsidR="00280763" w:rsidRDefault="00280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A0" w:firstRow="1" w:lastRow="0" w:firstColumn="1" w:lastColumn="0" w:noHBand="0" w:noVBand="0"/>
    </w:tblPr>
    <w:tblGrid>
      <w:gridCol w:w="3009"/>
      <w:gridCol w:w="3009"/>
      <w:gridCol w:w="3009"/>
    </w:tblGrid>
    <w:tr w:rsidR="00FA3F32" w:rsidRPr="007A45A7" w14:paraId="2C9CA6B2" w14:textId="77777777" w:rsidTr="569E55B7">
      <w:tc>
        <w:tcPr>
          <w:tcW w:w="3009" w:type="dxa"/>
        </w:tcPr>
        <w:p w14:paraId="0480611A" w14:textId="77777777" w:rsidR="00FA3F32" w:rsidRPr="007A45A7" w:rsidRDefault="00FA3F32" w:rsidP="569E55B7">
          <w:pPr>
            <w:pStyle w:val="Header"/>
            <w:ind w:left="-115"/>
          </w:pPr>
        </w:p>
      </w:tc>
      <w:tc>
        <w:tcPr>
          <w:tcW w:w="3009" w:type="dxa"/>
        </w:tcPr>
        <w:p w14:paraId="4C19E295" w14:textId="77777777" w:rsidR="00FA3F32" w:rsidRPr="007A45A7" w:rsidRDefault="00FA3F32" w:rsidP="569E55B7">
          <w:pPr>
            <w:pStyle w:val="Header"/>
            <w:jc w:val="center"/>
          </w:pPr>
        </w:p>
      </w:tc>
      <w:tc>
        <w:tcPr>
          <w:tcW w:w="3009" w:type="dxa"/>
        </w:tcPr>
        <w:p w14:paraId="18165A8E" w14:textId="77777777" w:rsidR="00FA3F32" w:rsidRPr="007A45A7" w:rsidRDefault="00FA3F32" w:rsidP="569E55B7">
          <w:pPr>
            <w:pStyle w:val="Header"/>
            <w:ind w:right="-115"/>
            <w:jc w:val="right"/>
          </w:pPr>
        </w:p>
      </w:tc>
    </w:tr>
  </w:tbl>
  <w:p w14:paraId="10B3BB7B" w14:textId="77777777" w:rsidR="00FA3F32" w:rsidRDefault="00FA3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CF58D" w14:textId="77777777" w:rsidR="00280763" w:rsidRDefault="00280763" w:rsidP="001D69B9">
      <w:r>
        <w:separator/>
      </w:r>
    </w:p>
  </w:footnote>
  <w:footnote w:type="continuationSeparator" w:id="0">
    <w:p w14:paraId="2A36A447" w14:textId="77777777" w:rsidR="00280763" w:rsidRDefault="00280763" w:rsidP="001D69B9">
      <w:r>
        <w:continuationSeparator/>
      </w:r>
    </w:p>
  </w:footnote>
  <w:footnote w:type="continuationNotice" w:id="1">
    <w:p w14:paraId="4619B254" w14:textId="77777777" w:rsidR="00280763" w:rsidRDefault="002807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A0" w:firstRow="1" w:lastRow="0" w:firstColumn="1" w:lastColumn="0" w:noHBand="0" w:noVBand="0"/>
    </w:tblPr>
    <w:tblGrid>
      <w:gridCol w:w="3009"/>
      <w:gridCol w:w="3009"/>
      <w:gridCol w:w="3009"/>
    </w:tblGrid>
    <w:tr w:rsidR="00FA3F32" w:rsidRPr="007A45A7" w14:paraId="000F7171" w14:textId="77777777" w:rsidTr="569E55B7">
      <w:tc>
        <w:tcPr>
          <w:tcW w:w="3009" w:type="dxa"/>
        </w:tcPr>
        <w:p w14:paraId="4D0EC686" w14:textId="77777777" w:rsidR="00FA3F32" w:rsidRPr="007A45A7" w:rsidRDefault="00FA3F32" w:rsidP="569E55B7">
          <w:pPr>
            <w:pStyle w:val="Header"/>
            <w:ind w:left="-115"/>
          </w:pPr>
        </w:p>
      </w:tc>
      <w:tc>
        <w:tcPr>
          <w:tcW w:w="3009" w:type="dxa"/>
        </w:tcPr>
        <w:p w14:paraId="4AE2D8FF" w14:textId="77777777" w:rsidR="00FA3F32" w:rsidRPr="007A45A7" w:rsidRDefault="00FA3F32" w:rsidP="569E55B7">
          <w:pPr>
            <w:pStyle w:val="Header"/>
            <w:jc w:val="center"/>
          </w:pPr>
        </w:p>
      </w:tc>
      <w:tc>
        <w:tcPr>
          <w:tcW w:w="3009" w:type="dxa"/>
        </w:tcPr>
        <w:p w14:paraId="7BAB9210" w14:textId="77777777" w:rsidR="00FA3F32" w:rsidRPr="007A45A7" w:rsidRDefault="00FA3F32" w:rsidP="569E55B7">
          <w:pPr>
            <w:pStyle w:val="Header"/>
            <w:ind w:right="-115"/>
            <w:jc w:val="right"/>
          </w:pPr>
        </w:p>
      </w:tc>
    </w:tr>
  </w:tbl>
  <w:p w14:paraId="6B7FB8D1" w14:textId="77777777" w:rsidR="00FA3F32" w:rsidRDefault="00FA3F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EA"/>
    <w:rsid w:val="00010377"/>
    <w:rsid w:val="000163B7"/>
    <w:rsid w:val="00016F36"/>
    <w:rsid w:val="000254C6"/>
    <w:rsid w:val="00026C66"/>
    <w:rsid w:val="00032B0E"/>
    <w:rsid w:val="00033FAB"/>
    <w:rsid w:val="00036DBB"/>
    <w:rsid w:val="00037B0A"/>
    <w:rsid w:val="00046017"/>
    <w:rsid w:val="00052459"/>
    <w:rsid w:val="0005558D"/>
    <w:rsid w:val="00060014"/>
    <w:rsid w:val="00067E4C"/>
    <w:rsid w:val="00074185"/>
    <w:rsid w:val="000742FC"/>
    <w:rsid w:val="00076B31"/>
    <w:rsid w:val="0008769E"/>
    <w:rsid w:val="0009221D"/>
    <w:rsid w:val="000927F0"/>
    <w:rsid w:val="00095117"/>
    <w:rsid w:val="00095609"/>
    <w:rsid w:val="000A0FBF"/>
    <w:rsid w:val="000B2E0C"/>
    <w:rsid w:val="000B5C92"/>
    <w:rsid w:val="000C0FCA"/>
    <w:rsid w:val="000C3167"/>
    <w:rsid w:val="000C575A"/>
    <w:rsid w:val="000C59BA"/>
    <w:rsid w:val="000D022F"/>
    <w:rsid w:val="000D2912"/>
    <w:rsid w:val="000D560F"/>
    <w:rsid w:val="000D7C27"/>
    <w:rsid w:val="000F0AFA"/>
    <w:rsid w:val="000F46AF"/>
    <w:rsid w:val="000F46F2"/>
    <w:rsid w:val="000F5A8E"/>
    <w:rsid w:val="000F793C"/>
    <w:rsid w:val="001010B4"/>
    <w:rsid w:val="001032B3"/>
    <w:rsid w:val="0010350F"/>
    <w:rsid w:val="0011086C"/>
    <w:rsid w:val="001123FC"/>
    <w:rsid w:val="00116DE0"/>
    <w:rsid w:val="00117AF9"/>
    <w:rsid w:val="00120A84"/>
    <w:rsid w:val="00127110"/>
    <w:rsid w:val="001308C0"/>
    <w:rsid w:val="00130CE9"/>
    <w:rsid w:val="0013243A"/>
    <w:rsid w:val="00137DFD"/>
    <w:rsid w:val="0014445C"/>
    <w:rsid w:val="00155F28"/>
    <w:rsid w:val="0016232A"/>
    <w:rsid w:val="00162673"/>
    <w:rsid w:val="00162F1E"/>
    <w:rsid w:val="00163762"/>
    <w:rsid w:val="00165942"/>
    <w:rsid w:val="00166C8E"/>
    <w:rsid w:val="001745B0"/>
    <w:rsid w:val="00175B3F"/>
    <w:rsid w:val="00185865"/>
    <w:rsid w:val="00185A99"/>
    <w:rsid w:val="00185EF0"/>
    <w:rsid w:val="00193CD7"/>
    <w:rsid w:val="001A0C29"/>
    <w:rsid w:val="001A32E5"/>
    <w:rsid w:val="001A332F"/>
    <w:rsid w:val="001A6F8F"/>
    <w:rsid w:val="001B1EA5"/>
    <w:rsid w:val="001B3441"/>
    <w:rsid w:val="001B425E"/>
    <w:rsid w:val="001C36C3"/>
    <w:rsid w:val="001C5414"/>
    <w:rsid w:val="001D69B9"/>
    <w:rsid w:val="001E1D9C"/>
    <w:rsid w:val="001E3345"/>
    <w:rsid w:val="001E6806"/>
    <w:rsid w:val="002032CD"/>
    <w:rsid w:val="00211988"/>
    <w:rsid w:val="0022129C"/>
    <w:rsid w:val="00225C89"/>
    <w:rsid w:val="002309D2"/>
    <w:rsid w:val="00233BC9"/>
    <w:rsid w:val="002403F6"/>
    <w:rsid w:val="00241EB8"/>
    <w:rsid w:val="002449AF"/>
    <w:rsid w:val="00245D35"/>
    <w:rsid w:val="002471D9"/>
    <w:rsid w:val="0025505D"/>
    <w:rsid w:val="002565F9"/>
    <w:rsid w:val="00271BB7"/>
    <w:rsid w:val="00272437"/>
    <w:rsid w:val="00274081"/>
    <w:rsid w:val="00277CE4"/>
    <w:rsid w:val="00280763"/>
    <w:rsid w:val="00282258"/>
    <w:rsid w:val="00285A76"/>
    <w:rsid w:val="002B0ADF"/>
    <w:rsid w:val="002B4CA3"/>
    <w:rsid w:val="002B756B"/>
    <w:rsid w:val="002D2401"/>
    <w:rsid w:val="002E4C96"/>
    <w:rsid w:val="002E7969"/>
    <w:rsid w:val="002F0385"/>
    <w:rsid w:val="00305E0F"/>
    <w:rsid w:val="003073DA"/>
    <w:rsid w:val="00310556"/>
    <w:rsid w:val="00311D6C"/>
    <w:rsid w:val="00324F60"/>
    <w:rsid w:val="00326593"/>
    <w:rsid w:val="00327F6F"/>
    <w:rsid w:val="00330CAB"/>
    <w:rsid w:val="003325DE"/>
    <w:rsid w:val="003378D3"/>
    <w:rsid w:val="0034014A"/>
    <w:rsid w:val="00345DD4"/>
    <w:rsid w:val="0034749D"/>
    <w:rsid w:val="003478FC"/>
    <w:rsid w:val="00351487"/>
    <w:rsid w:val="003618DD"/>
    <w:rsid w:val="00361C1B"/>
    <w:rsid w:val="003665C0"/>
    <w:rsid w:val="0036779D"/>
    <w:rsid w:val="003773B8"/>
    <w:rsid w:val="00382541"/>
    <w:rsid w:val="00387468"/>
    <w:rsid w:val="003A58F3"/>
    <w:rsid w:val="003B1028"/>
    <w:rsid w:val="003C0B8A"/>
    <w:rsid w:val="003C0D7D"/>
    <w:rsid w:val="003C5ACE"/>
    <w:rsid w:val="003C6E75"/>
    <w:rsid w:val="003D793A"/>
    <w:rsid w:val="003F0863"/>
    <w:rsid w:val="00414DFF"/>
    <w:rsid w:val="00415D6B"/>
    <w:rsid w:val="00415DD0"/>
    <w:rsid w:val="00422B68"/>
    <w:rsid w:val="0042428D"/>
    <w:rsid w:val="004267E2"/>
    <w:rsid w:val="0042705E"/>
    <w:rsid w:val="0043059F"/>
    <w:rsid w:val="0043448B"/>
    <w:rsid w:val="004354BA"/>
    <w:rsid w:val="00436B12"/>
    <w:rsid w:val="0044043C"/>
    <w:rsid w:val="00446427"/>
    <w:rsid w:val="00451B0C"/>
    <w:rsid w:val="00457CF1"/>
    <w:rsid w:val="004620A6"/>
    <w:rsid w:val="00464B5E"/>
    <w:rsid w:val="00477141"/>
    <w:rsid w:val="00490893"/>
    <w:rsid w:val="00494ADA"/>
    <w:rsid w:val="004957EF"/>
    <w:rsid w:val="00496A2B"/>
    <w:rsid w:val="004A7E9E"/>
    <w:rsid w:val="004B0BF0"/>
    <w:rsid w:val="004B5443"/>
    <w:rsid w:val="004B5779"/>
    <w:rsid w:val="004B748A"/>
    <w:rsid w:val="004C2891"/>
    <w:rsid w:val="004C6C1C"/>
    <w:rsid w:val="004D2631"/>
    <w:rsid w:val="004D43E7"/>
    <w:rsid w:val="004D6898"/>
    <w:rsid w:val="004E4408"/>
    <w:rsid w:val="004E7AB7"/>
    <w:rsid w:val="004F1ECD"/>
    <w:rsid w:val="004F4578"/>
    <w:rsid w:val="004F5652"/>
    <w:rsid w:val="004F7647"/>
    <w:rsid w:val="004F7FCA"/>
    <w:rsid w:val="00500761"/>
    <w:rsid w:val="0050199A"/>
    <w:rsid w:val="00501F0A"/>
    <w:rsid w:val="00505502"/>
    <w:rsid w:val="00514E05"/>
    <w:rsid w:val="00515B98"/>
    <w:rsid w:val="005161E4"/>
    <w:rsid w:val="00517E97"/>
    <w:rsid w:val="00521BE7"/>
    <w:rsid w:val="00524B6C"/>
    <w:rsid w:val="00536A0A"/>
    <w:rsid w:val="0054722E"/>
    <w:rsid w:val="00551510"/>
    <w:rsid w:val="00553752"/>
    <w:rsid w:val="0056470B"/>
    <w:rsid w:val="00564C66"/>
    <w:rsid w:val="00573BF7"/>
    <w:rsid w:val="005855C6"/>
    <w:rsid w:val="005875A7"/>
    <w:rsid w:val="005900D0"/>
    <w:rsid w:val="00593B97"/>
    <w:rsid w:val="00593F61"/>
    <w:rsid w:val="00596379"/>
    <w:rsid w:val="005A0843"/>
    <w:rsid w:val="005A5E54"/>
    <w:rsid w:val="005B0C6F"/>
    <w:rsid w:val="005B0EF1"/>
    <w:rsid w:val="005B1249"/>
    <w:rsid w:val="005B4FFE"/>
    <w:rsid w:val="005C255F"/>
    <w:rsid w:val="005D17BE"/>
    <w:rsid w:val="005D2F67"/>
    <w:rsid w:val="005D425C"/>
    <w:rsid w:val="005F4BDC"/>
    <w:rsid w:val="005F7CA9"/>
    <w:rsid w:val="00600226"/>
    <w:rsid w:val="006023DC"/>
    <w:rsid w:val="00602D17"/>
    <w:rsid w:val="006164F2"/>
    <w:rsid w:val="00625140"/>
    <w:rsid w:val="006261EB"/>
    <w:rsid w:val="00646E5C"/>
    <w:rsid w:val="006518FA"/>
    <w:rsid w:val="006556A2"/>
    <w:rsid w:val="006602B0"/>
    <w:rsid w:val="00662D5E"/>
    <w:rsid w:val="00666E51"/>
    <w:rsid w:val="00667C06"/>
    <w:rsid w:val="0067010B"/>
    <w:rsid w:val="00674B84"/>
    <w:rsid w:val="006756D3"/>
    <w:rsid w:val="00696EE7"/>
    <w:rsid w:val="006A2979"/>
    <w:rsid w:val="006A67E7"/>
    <w:rsid w:val="006A76CE"/>
    <w:rsid w:val="006B1B88"/>
    <w:rsid w:val="006C0614"/>
    <w:rsid w:val="006C33EF"/>
    <w:rsid w:val="006C717D"/>
    <w:rsid w:val="006D075A"/>
    <w:rsid w:val="006D10BB"/>
    <w:rsid w:val="006D21C5"/>
    <w:rsid w:val="006D322B"/>
    <w:rsid w:val="006D3388"/>
    <w:rsid w:val="006D6177"/>
    <w:rsid w:val="006E1F0E"/>
    <w:rsid w:val="006E494E"/>
    <w:rsid w:val="006E56F4"/>
    <w:rsid w:val="006E5762"/>
    <w:rsid w:val="006E6487"/>
    <w:rsid w:val="00701DEE"/>
    <w:rsid w:val="00724C6F"/>
    <w:rsid w:val="007250E8"/>
    <w:rsid w:val="00725D54"/>
    <w:rsid w:val="0073072B"/>
    <w:rsid w:val="00730AF1"/>
    <w:rsid w:val="007324C3"/>
    <w:rsid w:val="00744799"/>
    <w:rsid w:val="0075047F"/>
    <w:rsid w:val="00762240"/>
    <w:rsid w:val="007629AB"/>
    <w:rsid w:val="007631F1"/>
    <w:rsid w:val="00765F47"/>
    <w:rsid w:val="0076629D"/>
    <w:rsid w:val="00775010"/>
    <w:rsid w:val="00776A1D"/>
    <w:rsid w:val="00777E23"/>
    <w:rsid w:val="00780D25"/>
    <w:rsid w:val="00792AC7"/>
    <w:rsid w:val="007939EB"/>
    <w:rsid w:val="00794703"/>
    <w:rsid w:val="0079544A"/>
    <w:rsid w:val="00795856"/>
    <w:rsid w:val="007A03D9"/>
    <w:rsid w:val="007A2DD1"/>
    <w:rsid w:val="007A3BAA"/>
    <w:rsid w:val="007A45A7"/>
    <w:rsid w:val="007A4BA5"/>
    <w:rsid w:val="007A54A3"/>
    <w:rsid w:val="007A5FA0"/>
    <w:rsid w:val="007B2B59"/>
    <w:rsid w:val="007B78E3"/>
    <w:rsid w:val="007C0842"/>
    <w:rsid w:val="007C4A31"/>
    <w:rsid w:val="007D2691"/>
    <w:rsid w:val="007D290E"/>
    <w:rsid w:val="007D2DB2"/>
    <w:rsid w:val="007D7421"/>
    <w:rsid w:val="007E690E"/>
    <w:rsid w:val="007F2013"/>
    <w:rsid w:val="007F49D0"/>
    <w:rsid w:val="00801FD3"/>
    <w:rsid w:val="00810BE1"/>
    <w:rsid w:val="0081139C"/>
    <w:rsid w:val="00812307"/>
    <w:rsid w:val="00812784"/>
    <w:rsid w:val="00813C60"/>
    <w:rsid w:val="00817A2B"/>
    <w:rsid w:val="00822650"/>
    <w:rsid w:val="00834CF6"/>
    <w:rsid w:val="008535B6"/>
    <w:rsid w:val="00862889"/>
    <w:rsid w:val="00863291"/>
    <w:rsid w:val="008639AD"/>
    <w:rsid w:val="00871458"/>
    <w:rsid w:val="00871D19"/>
    <w:rsid w:val="00873662"/>
    <w:rsid w:val="00886BD9"/>
    <w:rsid w:val="008A265E"/>
    <w:rsid w:val="008A2AFA"/>
    <w:rsid w:val="008A3370"/>
    <w:rsid w:val="008A35A8"/>
    <w:rsid w:val="008A76BE"/>
    <w:rsid w:val="008B6609"/>
    <w:rsid w:val="008B6699"/>
    <w:rsid w:val="008C46A9"/>
    <w:rsid w:val="008C6A9A"/>
    <w:rsid w:val="008D13B3"/>
    <w:rsid w:val="008D709D"/>
    <w:rsid w:val="008D752C"/>
    <w:rsid w:val="008E0B89"/>
    <w:rsid w:val="008E315A"/>
    <w:rsid w:val="008F0D91"/>
    <w:rsid w:val="008F63B5"/>
    <w:rsid w:val="008F657F"/>
    <w:rsid w:val="008F6FD1"/>
    <w:rsid w:val="00907719"/>
    <w:rsid w:val="00910BDB"/>
    <w:rsid w:val="00911323"/>
    <w:rsid w:val="009215BA"/>
    <w:rsid w:val="00922830"/>
    <w:rsid w:val="00922E41"/>
    <w:rsid w:val="009238A1"/>
    <w:rsid w:val="009242DE"/>
    <w:rsid w:val="00924874"/>
    <w:rsid w:val="00925B1B"/>
    <w:rsid w:val="009279FF"/>
    <w:rsid w:val="00932390"/>
    <w:rsid w:val="0093582C"/>
    <w:rsid w:val="00943F66"/>
    <w:rsid w:val="00952F4A"/>
    <w:rsid w:val="00962B27"/>
    <w:rsid w:val="00963A60"/>
    <w:rsid w:val="00974A88"/>
    <w:rsid w:val="009758CD"/>
    <w:rsid w:val="00981563"/>
    <w:rsid w:val="00985823"/>
    <w:rsid w:val="009863E9"/>
    <w:rsid w:val="00990C6E"/>
    <w:rsid w:val="009939D6"/>
    <w:rsid w:val="00995353"/>
    <w:rsid w:val="0099727A"/>
    <w:rsid w:val="009B79B4"/>
    <w:rsid w:val="009C4CD0"/>
    <w:rsid w:val="009D3D7E"/>
    <w:rsid w:val="009D41C9"/>
    <w:rsid w:val="009D6CB4"/>
    <w:rsid w:val="009E0CD6"/>
    <w:rsid w:val="009E1D43"/>
    <w:rsid w:val="009E3E95"/>
    <w:rsid w:val="009E4AF7"/>
    <w:rsid w:val="009E4DE5"/>
    <w:rsid w:val="009E504F"/>
    <w:rsid w:val="009E6BE2"/>
    <w:rsid w:val="009E6CA5"/>
    <w:rsid w:val="009F0116"/>
    <w:rsid w:val="009F3A37"/>
    <w:rsid w:val="009F77DB"/>
    <w:rsid w:val="00A0180B"/>
    <w:rsid w:val="00A102BF"/>
    <w:rsid w:val="00A143CC"/>
    <w:rsid w:val="00A20EA4"/>
    <w:rsid w:val="00A22E26"/>
    <w:rsid w:val="00A23877"/>
    <w:rsid w:val="00A30847"/>
    <w:rsid w:val="00A30895"/>
    <w:rsid w:val="00A31D12"/>
    <w:rsid w:val="00A329BA"/>
    <w:rsid w:val="00A34546"/>
    <w:rsid w:val="00A362AE"/>
    <w:rsid w:val="00A4491F"/>
    <w:rsid w:val="00A44BA1"/>
    <w:rsid w:val="00A46999"/>
    <w:rsid w:val="00A66EE0"/>
    <w:rsid w:val="00A67F89"/>
    <w:rsid w:val="00A7031C"/>
    <w:rsid w:val="00A722B7"/>
    <w:rsid w:val="00A745E5"/>
    <w:rsid w:val="00A84E1E"/>
    <w:rsid w:val="00A8596D"/>
    <w:rsid w:val="00A90C2F"/>
    <w:rsid w:val="00A95857"/>
    <w:rsid w:val="00A976BB"/>
    <w:rsid w:val="00AA4075"/>
    <w:rsid w:val="00AA5A38"/>
    <w:rsid w:val="00AA5BCE"/>
    <w:rsid w:val="00AB05E2"/>
    <w:rsid w:val="00AB072C"/>
    <w:rsid w:val="00AC6E93"/>
    <w:rsid w:val="00AD04AB"/>
    <w:rsid w:val="00AD0959"/>
    <w:rsid w:val="00AD128E"/>
    <w:rsid w:val="00AD355E"/>
    <w:rsid w:val="00AD6B4F"/>
    <w:rsid w:val="00AE3EBA"/>
    <w:rsid w:val="00AE4EA0"/>
    <w:rsid w:val="00AE66A2"/>
    <w:rsid w:val="00AF295C"/>
    <w:rsid w:val="00AF5767"/>
    <w:rsid w:val="00B00D87"/>
    <w:rsid w:val="00B01433"/>
    <w:rsid w:val="00B0686C"/>
    <w:rsid w:val="00B07FB5"/>
    <w:rsid w:val="00B1115B"/>
    <w:rsid w:val="00B160C0"/>
    <w:rsid w:val="00B24E25"/>
    <w:rsid w:val="00B25191"/>
    <w:rsid w:val="00B262C3"/>
    <w:rsid w:val="00B320DD"/>
    <w:rsid w:val="00B3331C"/>
    <w:rsid w:val="00B35EB5"/>
    <w:rsid w:val="00B36843"/>
    <w:rsid w:val="00B369B1"/>
    <w:rsid w:val="00B3752E"/>
    <w:rsid w:val="00B40245"/>
    <w:rsid w:val="00B422E0"/>
    <w:rsid w:val="00B42B2B"/>
    <w:rsid w:val="00B52DCF"/>
    <w:rsid w:val="00B57442"/>
    <w:rsid w:val="00B61DD4"/>
    <w:rsid w:val="00B64680"/>
    <w:rsid w:val="00B8156B"/>
    <w:rsid w:val="00B8568A"/>
    <w:rsid w:val="00B911D3"/>
    <w:rsid w:val="00B92E5A"/>
    <w:rsid w:val="00B9322E"/>
    <w:rsid w:val="00B95086"/>
    <w:rsid w:val="00BA270A"/>
    <w:rsid w:val="00BA2910"/>
    <w:rsid w:val="00BA38EA"/>
    <w:rsid w:val="00BA65DD"/>
    <w:rsid w:val="00BA7DED"/>
    <w:rsid w:val="00BB06BD"/>
    <w:rsid w:val="00BB1F3D"/>
    <w:rsid w:val="00BB2BB8"/>
    <w:rsid w:val="00BB52CA"/>
    <w:rsid w:val="00BC278C"/>
    <w:rsid w:val="00BC2C54"/>
    <w:rsid w:val="00BD6389"/>
    <w:rsid w:val="00BD74F5"/>
    <w:rsid w:val="00BE059A"/>
    <w:rsid w:val="00BE4ACE"/>
    <w:rsid w:val="00BE5224"/>
    <w:rsid w:val="00BE61C5"/>
    <w:rsid w:val="00BE634F"/>
    <w:rsid w:val="00BE776C"/>
    <w:rsid w:val="00BF044A"/>
    <w:rsid w:val="00BF16A3"/>
    <w:rsid w:val="00BF29AE"/>
    <w:rsid w:val="00BF6333"/>
    <w:rsid w:val="00C000E3"/>
    <w:rsid w:val="00C053B8"/>
    <w:rsid w:val="00C142AB"/>
    <w:rsid w:val="00C305DD"/>
    <w:rsid w:val="00C41D98"/>
    <w:rsid w:val="00C41E71"/>
    <w:rsid w:val="00C44A9C"/>
    <w:rsid w:val="00C51CC3"/>
    <w:rsid w:val="00C544E2"/>
    <w:rsid w:val="00C54649"/>
    <w:rsid w:val="00C60347"/>
    <w:rsid w:val="00C614CB"/>
    <w:rsid w:val="00C61C42"/>
    <w:rsid w:val="00C61FC5"/>
    <w:rsid w:val="00C657BD"/>
    <w:rsid w:val="00C657D9"/>
    <w:rsid w:val="00C71329"/>
    <w:rsid w:val="00C74D23"/>
    <w:rsid w:val="00C76418"/>
    <w:rsid w:val="00C768DE"/>
    <w:rsid w:val="00C85BC0"/>
    <w:rsid w:val="00C8652E"/>
    <w:rsid w:val="00C92D42"/>
    <w:rsid w:val="00C93651"/>
    <w:rsid w:val="00C941F2"/>
    <w:rsid w:val="00C947D1"/>
    <w:rsid w:val="00C967AA"/>
    <w:rsid w:val="00C96B32"/>
    <w:rsid w:val="00CA7560"/>
    <w:rsid w:val="00CB731B"/>
    <w:rsid w:val="00CB78B5"/>
    <w:rsid w:val="00CC005D"/>
    <w:rsid w:val="00CC1479"/>
    <w:rsid w:val="00CC60C4"/>
    <w:rsid w:val="00CC6441"/>
    <w:rsid w:val="00CD430D"/>
    <w:rsid w:val="00CD4B7D"/>
    <w:rsid w:val="00CD539F"/>
    <w:rsid w:val="00CD5DD8"/>
    <w:rsid w:val="00CE49C9"/>
    <w:rsid w:val="00CE60F8"/>
    <w:rsid w:val="00D01F1E"/>
    <w:rsid w:val="00D16366"/>
    <w:rsid w:val="00D2176E"/>
    <w:rsid w:val="00D267FD"/>
    <w:rsid w:val="00D26C0B"/>
    <w:rsid w:val="00D422A1"/>
    <w:rsid w:val="00D42478"/>
    <w:rsid w:val="00D44C7D"/>
    <w:rsid w:val="00D4643D"/>
    <w:rsid w:val="00D52C5F"/>
    <w:rsid w:val="00D640AE"/>
    <w:rsid w:val="00D640BD"/>
    <w:rsid w:val="00D65B5F"/>
    <w:rsid w:val="00D72A4E"/>
    <w:rsid w:val="00D7534D"/>
    <w:rsid w:val="00D75E23"/>
    <w:rsid w:val="00D80BFA"/>
    <w:rsid w:val="00D81417"/>
    <w:rsid w:val="00D9026A"/>
    <w:rsid w:val="00D96EF4"/>
    <w:rsid w:val="00DA0296"/>
    <w:rsid w:val="00DA252C"/>
    <w:rsid w:val="00DA2B51"/>
    <w:rsid w:val="00DB4050"/>
    <w:rsid w:val="00DB76A5"/>
    <w:rsid w:val="00DB7D1F"/>
    <w:rsid w:val="00DC1E4F"/>
    <w:rsid w:val="00DC5C69"/>
    <w:rsid w:val="00DD228D"/>
    <w:rsid w:val="00DD2A59"/>
    <w:rsid w:val="00DD328E"/>
    <w:rsid w:val="00DD5F47"/>
    <w:rsid w:val="00DE1EFB"/>
    <w:rsid w:val="00DE1F5C"/>
    <w:rsid w:val="00DF7A01"/>
    <w:rsid w:val="00E07CC7"/>
    <w:rsid w:val="00E12975"/>
    <w:rsid w:val="00E12BA2"/>
    <w:rsid w:val="00E15B1E"/>
    <w:rsid w:val="00E1735C"/>
    <w:rsid w:val="00E226BE"/>
    <w:rsid w:val="00E231A0"/>
    <w:rsid w:val="00E30061"/>
    <w:rsid w:val="00E307C4"/>
    <w:rsid w:val="00E317EE"/>
    <w:rsid w:val="00E33E3D"/>
    <w:rsid w:val="00E35DFE"/>
    <w:rsid w:val="00E54179"/>
    <w:rsid w:val="00E55939"/>
    <w:rsid w:val="00E644EB"/>
    <w:rsid w:val="00E737D3"/>
    <w:rsid w:val="00E75B20"/>
    <w:rsid w:val="00E82252"/>
    <w:rsid w:val="00E876EC"/>
    <w:rsid w:val="00EA01F2"/>
    <w:rsid w:val="00EA56E0"/>
    <w:rsid w:val="00EA63F6"/>
    <w:rsid w:val="00EB228B"/>
    <w:rsid w:val="00EB23FA"/>
    <w:rsid w:val="00EB7D4F"/>
    <w:rsid w:val="00EC142F"/>
    <w:rsid w:val="00EC2E58"/>
    <w:rsid w:val="00EC567C"/>
    <w:rsid w:val="00EC5DF3"/>
    <w:rsid w:val="00EC737A"/>
    <w:rsid w:val="00ED1B5E"/>
    <w:rsid w:val="00ED2A15"/>
    <w:rsid w:val="00ED2D66"/>
    <w:rsid w:val="00ED5679"/>
    <w:rsid w:val="00EE0E9C"/>
    <w:rsid w:val="00EE3CF6"/>
    <w:rsid w:val="00EE4C57"/>
    <w:rsid w:val="00EE558F"/>
    <w:rsid w:val="00EF6B68"/>
    <w:rsid w:val="00F01BB1"/>
    <w:rsid w:val="00F07807"/>
    <w:rsid w:val="00F10996"/>
    <w:rsid w:val="00F11126"/>
    <w:rsid w:val="00F20171"/>
    <w:rsid w:val="00F21F49"/>
    <w:rsid w:val="00F23B39"/>
    <w:rsid w:val="00F253F5"/>
    <w:rsid w:val="00F319FF"/>
    <w:rsid w:val="00F33C26"/>
    <w:rsid w:val="00F33F3D"/>
    <w:rsid w:val="00F45433"/>
    <w:rsid w:val="00F46033"/>
    <w:rsid w:val="00F51241"/>
    <w:rsid w:val="00F516CD"/>
    <w:rsid w:val="00F53D15"/>
    <w:rsid w:val="00F60A06"/>
    <w:rsid w:val="00F65BA0"/>
    <w:rsid w:val="00F66A8E"/>
    <w:rsid w:val="00F71727"/>
    <w:rsid w:val="00F83448"/>
    <w:rsid w:val="00F866E5"/>
    <w:rsid w:val="00F87E9E"/>
    <w:rsid w:val="00F9343F"/>
    <w:rsid w:val="00F94B1E"/>
    <w:rsid w:val="00F96A1D"/>
    <w:rsid w:val="00FA3F32"/>
    <w:rsid w:val="00FA63FC"/>
    <w:rsid w:val="00FA76F9"/>
    <w:rsid w:val="00FA7E30"/>
    <w:rsid w:val="00FB3BBB"/>
    <w:rsid w:val="00FB623D"/>
    <w:rsid w:val="00FC3186"/>
    <w:rsid w:val="00FC5658"/>
    <w:rsid w:val="00FC6409"/>
    <w:rsid w:val="00FD0D40"/>
    <w:rsid w:val="00FF29F4"/>
    <w:rsid w:val="00FF2AF9"/>
    <w:rsid w:val="00FF2D7A"/>
    <w:rsid w:val="00FF3F0B"/>
    <w:rsid w:val="569E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06BB5C5"/>
  <w15:docId w15:val="{406E3D26-CB1C-7440-990F-354BC050F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E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D69B9"/>
    <w:pPr>
      <w:tabs>
        <w:tab w:val="center" w:pos="4513"/>
        <w:tab w:val="right" w:pos="9026"/>
      </w:tabs>
    </w:pPr>
  </w:style>
  <w:style w:type="character" w:customStyle="1" w:styleId="HeaderChar">
    <w:name w:val="Header Char"/>
    <w:basedOn w:val="DefaultParagraphFont"/>
    <w:link w:val="Header"/>
    <w:uiPriority w:val="99"/>
    <w:locked/>
    <w:rsid w:val="001D69B9"/>
    <w:rPr>
      <w:rFonts w:cs="Times New Roman"/>
    </w:rPr>
  </w:style>
  <w:style w:type="paragraph" w:styleId="Footer">
    <w:name w:val="footer"/>
    <w:basedOn w:val="Normal"/>
    <w:link w:val="FooterChar"/>
    <w:uiPriority w:val="99"/>
    <w:rsid w:val="001D69B9"/>
    <w:pPr>
      <w:tabs>
        <w:tab w:val="center" w:pos="4513"/>
        <w:tab w:val="right" w:pos="9026"/>
      </w:tabs>
    </w:pPr>
  </w:style>
  <w:style w:type="character" w:customStyle="1" w:styleId="FooterChar">
    <w:name w:val="Footer Char"/>
    <w:basedOn w:val="DefaultParagraphFont"/>
    <w:link w:val="Footer"/>
    <w:uiPriority w:val="99"/>
    <w:locked/>
    <w:rsid w:val="001D69B9"/>
    <w:rPr>
      <w:rFonts w:cs="Times New Roman"/>
    </w:rPr>
  </w:style>
  <w:style w:type="table" w:styleId="TableGrid">
    <w:name w:val="Table Grid"/>
    <w:basedOn w:val="TableNormal"/>
    <w:uiPriority w:val="99"/>
    <w:rsid w:val="00593F6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rsid w:val="00F01BB1"/>
    <w:rPr>
      <w:rFonts w:cs="Times New Roman"/>
      <w:color w:val="0000FF"/>
      <w:u w:val="single"/>
    </w:rPr>
  </w:style>
  <w:style w:type="paragraph" w:styleId="FootnoteText">
    <w:name w:val="footnote text"/>
    <w:basedOn w:val="Normal"/>
    <w:link w:val="FootnoteTextChar"/>
    <w:uiPriority w:val="99"/>
    <w:semiHidden/>
    <w:unhideWhenUsed/>
    <w:rsid w:val="006C0614"/>
    <w:rPr>
      <w:sz w:val="20"/>
      <w:szCs w:val="20"/>
    </w:rPr>
  </w:style>
  <w:style w:type="character" w:customStyle="1" w:styleId="FootnoteTextChar">
    <w:name w:val="Footnote Text Char"/>
    <w:basedOn w:val="DefaultParagraphFont"/>
    <w:link w:val="FootnoteText"/>
    <w:uiPriority w:val="99"/>
    <w:semiHidden/>
    <w:rsid w:val="006C0614"/>
    <w:rPr>
      <w:sz w:val="20"/>
      <w:szCs w:val="20"/>
    </w:rPr>
  </w:style>
  <w:style w:type="character" w:styleId="FootnoteReference">
    <w:name w:val="footnote reference"/>
    <w:basedOn w:val="DefaultParagraphFont"/>
    <w:uiPriority w:val="99"/>
    <w:semiHidden/>
    <w:unhideWhenUsed/>
    <w:rsid w:val="006C06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2888</Words>
  <Characters>16512</Characters>
  <Application>Microsoft Office Word</Application>
  <DocSecurity>0</DocSecurity>
  <Lines>284</Lines>
  <Paragraphs>27</Paragraphs>
  <ScaleCrop>false</ScaleCrop>
  <Company/>
  <LinksUpToDate>false</LinksUpToDate>
  <CharactersWithSpaces>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key social elements that impact on a learner's ability to access education</dc:title>
  <dc:subject/>
  <dc:creator>Lisa Jones (1301544)</dc:creator>
  <cp:keywords/>
  <dc:description/>
  <cp:lastModifiedBy>Lisa Jones (1301544)</cp:lastModifiedBy>
  <cp:revision>2</cp:revision>
  <dcterms:created xsi:type="dcterms:W3CDTF">2020-04-26T21:47:00Z</dcterms:created>
  <dcterms:modified xsi:type="dcterms:W3CDTF">2020-04-26T21:47:00Z</dcterms:modified>
</cp:coreProperties>
</file>