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b w:val="1"/>
          <w:bCs w:val="1"/>
          <w:sz w:val="36"/>
          <w:szCs w:val="36"/>
        </w:rPr>
      </w:pPr>
      <w:bookmarkStart w:colFirst="0" w:colLast="0" w:name="_udjcr76ohcpa" w:id="0"/>
      <w:bookmarkEnd w:id="0"/>
      <w:r w:rsidDel="00000000" w:rsidR="00000000" w:rsidRPr="00000000">
        <w:rPr/>
        <w:drawing>
          <wp:inline distB="0" distT="0" distL="0" distR="0">
            <wp:extent cx="4525234" cy="1804292"/>
            <wp:effectExtent b="0" l="0" r="0" t="0"/>
            <wp:docPr descr="University of Wales Trinity Saint David and Tata Steel - National Center for Universities &amp; Business" id="1" name="image1.png"/>
            <a:graphic>
              <a:graphicData uri="http://schemas.openxmlformats.org/drawingml/2006/picture">
                <pic:pic>
                  <pic:nvPicPr>
                    <pic:cNvPr descr="University of Wales Trinity Saint David and Tata Steel - National Center for Universities &amp; Business" id="0" name="image1.png"/>
                    <pic:cNvPicPr preferRelativeResize="0"/>
                  </pic:nvPicPr>
                  <pic:blipFill>
                    <a:blip r:embed="rId6"/>
                    <a:srcRect b="0" l="0" r="0" t="0"/>
                    <a:stretch>
                      <a:fillRect/>
                    </a:stretch>
                  </pic:blipFill>
                  <pic:spPr>
                    <a:xfrm>
                      <a:off x="0" y="0"/>
                      <a:ext cx="4525234" cy="180429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jc w:val="center"/>
        <w:rPr>
          <w:b w:val="1"/>
          <w:bCs w:val="1"/>
        </w:rPr>
      </w:pPr>
      <w:r w:rsidDel="00000000" w:rsidR="00000000" w:rsidRPr="00000000">
        <w:rPr>
          <w:b w:val="1"/>
          <w:bCs w:val="1"/>
          <w:rtl w:val="0"/>
        </w:rPr>
        <w:t xml:space="preserve">Assessment component 1: Portfolio</w:t>
      </w:r>
    </w:p>
    <w:p w:rsidR="00000000" w:rsidDel="00000000" w:rsidP="00000000" w:rsidRDefault="00000000" w:rsidRPr="00000000" w14:paraId="00000003">
      <w:pPr>
        <w:pStyle w:val="Title"/>
        <w:jc w:val="center"/>
        <w:rPr>
          <w:b w:val="1"/>
          <w:bCs w:val="1"/>
          <w:sz w:val="36"/>
          <w:szCs w:val="36"/>
        </w:rPr>
      </w:pPr>
      <w:r w:rsidDel="00000000" w:rsidR="00000000" w:rsidRPr="00000000">
        <w:rPr>
          <w:b w:val="1"/>
          <w:bCs w:val="1"/>
          <w:sz w:val="36"/>
          <w:szCs w:val="36"/>
          <w:rtl w:val="0"/>
        </w:rPr>
        <w:t xml:space="preserve">Programme: Master of Business Administration</w:t>
      </w:r>
    </w:p>
    <w:p w:rsidR="00000000" w:rsidDel="00000000" w:rsidP="00000000" w:rsidRDefault="00000000" w:rsidRPr="00000000" w14:paraId="00000004">
      <w:pPr>
        <w:pStyle w:val="Title"/>
        <w:jc w:val="center"/>
        <w:rPr>
          <w:b w:val="1"/>
          <w:bCs w:val="1"/>
          <w:sz w:val="36"/>
          <w:szCs w:val="36"/>
        </w:rPr>
      </w:pPr>
      <w:bookmarkStart w:colFirst="0" w:colLast="0" w:name="_q54zrcgcj34v" w:id="1"/>
      <w:bookmarkEnd w:id="1"/>
      <w:r w:rsidDel="00000000" w:rsidR="00000000" w:rsidRPr="00000000">
        <w:rPr>
          <w:b w:val="1"/>
          <w:bCs w:val="1"/>
          <w:sz w:val="36"/>
          <w:szCs w:val="36"/>
          <w:rtl w:val="0"/>
        </w:rPr>
        <w:t xml:space="preserve">Module: Marketing Management</w:t>
      </w:r>
    </w:p>
    <w:p w:rsidR="00000000" w:rsidDel="00000000" w:rsidP="00000000" w:rsidRDefault="00000000" w:rsidRPr="00000000" w14:paraId="00000005">
      <w:pPr>
        <w:pStyle w:val="Title"/>
        <w:jc w:val="center"/>
        <w:rPr>
          <w:b w:val="1"/>
          <w:bCs w:val="1"/>
          <w:sz w:val="36"/>
          <w:szCs w:val="36"/>
        </w:rPr>
      </w:pPr>
      <w:bookmarkStart w:colFirst="0" w:colLast="0" w:name="_kvkchiu3plv" w:id="2"/>
      <w:bookmarkEnd w:id="2"/>
      <w:r w:rsidDel="00000000" w:rsidR="00000000" w:rsidRPr="00000000">
        <w:rPr>
          <w:b w:val="1"/>
          <w:bCs w:val="1"/>
          <w:sz w:val="36"/>
          <w:szCs w:val="36"/>
          <w:rtl w:val="0"/>
        </w:rPr>
        <w:t xml:space="preserve">Module code: LCMB7024</w:t>
      </w:r>
    </w:p>
    <w:p w:rsidR="00000000" w:rsidDel="00000000" w:rsidP="00000000" w:rsidRDefault="00000000" w:rsidRPr="00000000" w14:paraId="00000006">
      <w:pPr>
        <w:tabs>
          <w:tab w:val="left" w:leader="none" w:pos="3276"/>
        </w:tabs>
        <w:jc w:val="center"/>
        <w:rPr>
          <w:b w:val="1"/>
          <w:bCs w:val="1"/>
          <w:sz w:val="36"/>
          <w:szCs w:val="36"/>
        </w:rPr>
      </w:pPr>
      <w:r w:rsidDel="00000000" w:rsidR="00000000" w:rsidRPr="00000000">
        <w:rPr>
          <w:b w:val="1"/>
          <w:bCs w:val="1"/>
          <w:sz w:val="36"/>
          <w:szCs w:val="36"/>
          <w:rtl w:val="0"/>
        </w:rPr>
        <w:t xml:space="preserve">Lecturer Name: Taonga Kaonga Sobere-Snithers (Birmingham)</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b w:val="1"/>
          <w:bCs w:val="1"/>
          <w:sz w:val="28"/>
          <w:szCs w:val="28"/>
        </w:rPr>
      </w:pPr>
      <w:r w:rsidDel="00000000" w:rsidR="00000000" w:rsidRPr="00000000">
        <w:rPr>
          <w:b w:val="1"/>
          <w:bCs w:val="1"/>
          <w:sz w:val="28"/>
          <w:szCs w:val="28"/>
          <w:rtl w:val="0"/>
        </w:rPr>
        <w:t xml:space="preserve">STUDENT NAME: HET SAKARIYA</w:t>
      </w:r>
    </w:p>
    <w:p w:rsidR="00000000" w:rsidDel="00000000" w:rsidP="00000000" w:rsidRDefault="00000000" w:rsidRPr="00000000" w14:paraId="00000009">
      <w:pPr>
        <w:jc w:val="center"/>
        <w:rPr>
          <w:b w:val="1"/>
          <w:bCs w:val="1"/>
          <w:sz w:val="28"/>
          <w:szCs w:val="28"/>
        </w:rPr>
      </w:pPr>
      <w:r w:rsidDel="00000000" w:rsidR="00000000" w:rsidRPr="00000000">
        <w:rPr>
          <w:b w:val="1"/>
          <w:bCs w:val="1"/>
          <w:sz w:val="28"/>
          <w:szCs w:val="28"/>
          <w:rtl w:val="0"/>
        </w:rPr>
        <w:t xml:space="preserve">STUDENT ID: 2605591</w:t>
      </w:r>
    </w:p>
    <w:p w:rsidR="00000000" w:rsidDel="00000000" w:rsidP="00000000" w:rsidRDefault="00000000" w:rsidRPr="00000000" w14:paraId="0000000A">
      <w:pPr>
        <w:jc w:val="center"/>
        <w:rPr/>
      </w:pPr>
      <w:r w:rsidDel="00000000" w:rsidR="00000000" w:rsidRPr="00000000">
        <w:rPr>
          <w:b w:val="1"/>
          <w:bCs w:val="1"/>
          <w:sz w:val="28"/>
          <w:szCs w:val="28"/>
          <w:rtl w:val="0"/>
        </w:rPr>
        <w:t xml:space="preserve">DATE OF SUBMISSION: 21/10/2026</w:t>
      </w: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b w:val="1"/>
          <w:bCs w:val="1"/>
          <w:sz w:val="28"/>
          <w:szCs w:val="28"/>
        </w:rPr>
      </w:pPr>
      <w:r w:rsidDel="00000000" w:rsidR="00000000" w:rsidRPr="00000000">
        <w:rPr>
          <w:b w:val="1"/>
          <w:bCs w:val="1"/>
          <w:sz w:val="28"/>
          <w:szCs w:val="28"/>
          <w:rtl w:val="0"/>
        </w:rPr>
        <w:t xml:space="preserve">Table of Contents</w:t>
      </w:r>
    </w:p>
    <w:sdt>
      <w:sdtPr>
        <w:id w:val="293678136"/>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5h7igjrg0tp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 Marketing Environment Analysis</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gltagt15723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mzvqx9l3f9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Neutral environment and climate change (Environment)</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i40j78taql1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1.3 Government and regulatory environment (Legal)</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b9yj4ye6wj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1.4 Consumers and partners (Social)</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gvg1yw99mx2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2: Strategic Growth and Competitive Positioning</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me9mclkh3zv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Strategic Context</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t4aiouk58w0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Ansoff Matrix Analysis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8tt9r171wb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Recommended Growth Approach</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70ufk5txh0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Achieving Competitive Advantage</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cc9au4s0kih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2.5 Risks and Conclusion</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0bixj205ab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3: Managerial and Professional Reflection</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j8pqgbq2ibvw">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Choice of Company and Environmental Actors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ln14kl3ofg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Choice of Growth Strategies</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4nu1kiut1r8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Limitations of the Analysis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8r5v5powgu3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3.4 Information a Real Consultant Would Seek</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y7etoust76f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11</w:t>
            </w:r>
          </w:hyperlink>
          <w:r w:rsidDel="00000000" w:rsidR="00000000" w:rsidRPr="00000000">
            <w:rPr>
              <w:rtl w:val="0"/>
            </w:rPr>
          </w:r>
        </w:p>
        <w:p w:rsidR="00000000" w:rsidDel="00000000" w:rsidP="00000000" w:rsidRDefault="00000000" w:rsidRPr="00000000" w14:paraId="0000001D">
          <w:pPr>
            <w:widowControl w:val="0"/>
            <w:tabs>
              <w:tab w:val="right" w:leader="none" w:pos="9360"/>
            </w:tabs>
            <w:spacing w:after="0" w:before="60" w:lineRule="auto"/>
            <w:jc w:val="left"/>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5h7igjrg0tpv" w:id="3"/>
      <w:bookmarkEnd w:id="3"/>
      <w:r w:rsidDel="00000000" w:rsidR="00000000" w:rsidRPr="00000000">
        <w:rPr>
          <w:rtl w:val="0"/>
        </w:rPr>
        <w:t xml:space="preserve">Task 1: Marketing Environment Analysis </w:t>
      </w:r>
    </w:p>
    <w:p w:rsidR="00000000" w:rsidDel="00000000" w:rsidP="00000000" w:rsidRDefault="00000000" w:rsidRPr="00000000" w14:paraId="00000023">
      <w:pPr>
        <w:pStyle w:val="Heading2"/>
        <w:rPr/>
      </w:pPr>
      <w:bookmarkStart w:colFirst="0" w:colLast="0" w:name="_gltagt15723n" w:id="4"/>
      <w:bookmarkEnd w:id="4"/>
      <w:r w:rsidDel="00000000" w:rsidR="00000000" w:rsidRPr="00000000">
        <w:rPr>
          <w:rtl w:val="0"/>
        </w:rPr>
        <w:t xml:space="preserve">1.1 Introduction</w:t>
      </w:r>
    </w:p>
    <w:p w:rsidR="00000000" w:rsidDel="00000000" w:rsidP="00000000" w:rsidRDefault="00000000" w:rsidRPr="00000000" w14:paraId="00000024">
      <w:pPr>
        <w:rPr/>
      </w:pPr>
      <w:r w:rsidDel="00000000" w:rsidR="00000000" w:rsidRPr="00000000">
        <w:rPr>
          <w:rtl w:val="0"/>
        </w:rPr>
        <w:t xml:space="preserve">The marketing environment includes external forces which affect opportunities, threats and value creation. The overall copper, iron and steelmaking Coal BHP is very much linked with the energy transition and emission-intensive industries. The primary problem is to show how its products help with decarbonisation without exaggerating the contributions. These external factors are essential, including the natural environment and climate change pressure from the government and regulatory bodies and consumers, and value chain partners. The natural environment is essential for these factors as it creates the need for lower carbon production and decides whether or not BHP's sustainability assertions can be regarded as credible. </w:t>
      </w:r>
    </w:p>
    <w:p w:rsidR="00000000" w:rsidDel="00000000" w:rsidP="00000000" w:rsidRDefault="00000000" w:rsidRPr="00000000" w14:paraId="00000025">
      <w:pPr>
        <w:pStyle w:val="Heading2"/>
        <w:rPr/>
      </w:pPr>
      <w:bookmarkStart w:colFirst="0" w:colLast="0" w:name="_1mzvqx9l3f94" w:id="5"/>
      <w:bookmarkEnd w:id="5"/>
      <w:r w:rsidDel="00000000" w:rsidR="00000000" w:rsidRPr="00000000">
        <w:rPr>
          <w:rtl w:val="0"/>
        </w:rPr>
        <w:t xml:space="preserve">1.2 Neutral environment and climate change (Environment)</w:t>
      </w:r>
    </w:p>
    <w:p w:rsidR="00000000" w:rsidDel="00000000" w:rsidP="00000000" w:rsidRDefault="00000000" w:rsidRPr="00000000" w14:paraId="00000026">
      <w:pPr>
        <w:rPr/>
      </w:pPr>
      <w:r w:rsidDel="00000000" w:rsidR="00000000" w:rsidRPr="00000000">
        <w:rPr>
          <w:rtl w:val="0"/>
        </w:rPr>
        <w:t xml:space="preserve">The natural environment has the primary effect on BHP, as mining is a highly resource-demanding activity, and climate change brings major risks as well as the need to cut greenhouse gas emissions. Mining and Metals are responsible for around 25% of the emissions emitted by the world's 12,000 largest companies. It means that environmental performance is essential for proxy differentiation and for gaining access to the market. BHP also has to deal with operational emissions from diesel, fugitive and electricity methane, and significant emissions resulting from the consumption and processing of some products. </w:t>
      </w:r>
    </w:p>
    <w:p w:rsidR="00000000" w:rsidDel="00000000" w:rsidP="00000000" w:rsidRDefault="00000000" w:rsidRPr="00000000" w14:paraId="00000027">
      <w:pPr>
        <w:rPr/>
      </w:pPr>
      <w:r w:rsidDel="00000000" w:rsidR="00000000" w:rsidRPr="00000000">
        <w:rPr>
          <w:rtl w:val="0"/>
        </w:rPr>
        <w:t xml:space="preserve">BHP has developed a target to reduce its operational Scope 1 and Scope 2 emissions by at least 30% by fiscal year 2030 compared to the 2020 baseline, together with the long-term aim of achieving net zero by 2050. As part of the operational programme, the company is focused on the use of renewable electricity, methane management and operating trains with battery-electric haul trucks and locomotives. BHP has already reported that operational emissions in fiscal year 2025 were 36% lower than in its adjusted fiscal year 2020. However, the electrification of heavy equipment is also progressing more slowly than expected, due to difficulties related to the technologies and equipment delivery (BHP 2026a, BHP, 2026c). Along with that, the unadjusted scope and scope 2 emissions for fiscal year 2026 also increased by 8% from the previous year to 9.4 MICO, mainly as a result of production activity and changes to the accounting factors (BHP, 2026a). </w:t>
      </w:r>
    </w:p>
    <w:p w:rsidR="00000000" w:rsidDel="00000000" w:rsidP="00000000" w:rsidRDefault="00000000" w:rsidRPr="00000000" w14:paraId="00000028">
      <w:pPr>
        <w:rPr/>
      </w:pPr>
      <w:r w:rsidDel="00000000" w:rsidR="00000000" w:rsidRPr="00000000">
        <w:rPr>
          <w:rtl w:val="0"/>
        </w:rPr>
        <w:t xml:space="preserve">A major problem is related to emissions along the value chain. The unadjusted Scope 3 inventory for BHP in its financial year 2026 was around 429 million tonnes of CO</w:t>
      </w:r>
      <w:r w:rsidDel="00000000" w:rsidR="00000000" w:rsidRPr="00000000">
        <w:rPr>
          <w:vertAlign w:val="subscript"/>
          <w:rtl w:val="0"/>
        </w:rPr>
        <w:t xml:space="preserve">2</w:t>
      </w:r>
      <w:r w:rsidDel="00000000" w:rsidR="00000000" w:rsidRPr="00000000">
        <w:rPr>
          <w:rtl w:val="0"/>
        </w:rPr>
        <w:t xml:space="preserve"> equivalent. It is around 1% more than in the financial year 2025. 85% of the inventory stated related to the downstream processing of iron ore and steelmaking coal (BHP, 2026a). The adjusted Scope 3 used for monitoring the long-term objective was 383.8 MCO</w:t>
      </w:r>
      <w:r w:rsidDel="00000000" w:rsidR="00000000" w:rsidRPr="00000000">
        <w:rPr>
          <w:vertAlign w:val="subscript"/>
          <w:rtl w:val="0"/>
        </w:rPr>
        <w:t xml:space="preserve">2</w:t>
      </w:r>
      <w:r w:rsidDel="00000000" w:rsidR="00000000" w:rsidRPr="00000000">
        <w:rPr>
          <w:rtl w:val="0"/>
        </w:rPr>
        <w:t xml:space="preserve">, 9% above the adjusted reference level for the financial year 2020. As a result, operational improvements have not properly led to minimisation in the value chain footprint reported. </w:t>
      </w:r>
    </w:p>
    <w:p w:rsidR="00000000" w:rsidDel="00000000" w:rsidP="00000000" w:rsidRDefault="00000000" w:rsidRPr="00000000" w14:paraId="00000029">
      <w:pPr>
        <w:pStyle w:val="Heading2"/>
        <w:rPr/>
      </w:pPr>
      <w:bookmarkStart w:colFirst="0" w:colLast="0" w:name="_i40j78taql1c" w:id="6"/>
      <w:bookmarkEnd w:id="6"/>
      <w:r w:rsidDel="00000000" w:rsidR="00000000" w:rsidRPr="00000000">
        <w:rPr>
          <w:rtl w:val="0"/>
        </w:rPr>
        <w:t xml:space="preserve">1.3 Government and regulatory environment (Legal)</w:t>
      </w:r>
    </w:p>
    <w:p w:rsidR="00000000" w:rsidDel="00000000" w:rsidP="00000000" w:rsidRDefault="00000000" w:rsidRPr="00000000" w14:paraId="0000002A">
      <w:pPr>
        <w:rPr/>
      </w:pPr>
      <w:r w:rsidDel="00000000" w:rsidR="00000000" w:rsidRPr="00000000">
        <w:rPr>
          <w:rtl w:val="0"/>
        </w:rPr>
        <w:t xml:space="preserve">Government action is also a factor, as emissions rules also increase the production cost for carbon-intensive goods and affect the criteria used at the time of seeking suppliers. The Australian reformed safeguard mechanism applies to facilities that emit more than 100000 tonnes of CO</w:t>
      </w:r>
      <w:r w:rsidDel="00000000" w:rsidR="00000000" w:rsidRPr="00000000">
        <w:rPr>
          <w:vertAlign w:val="subscript"/>
          <w:rtl w:val="0"/>
        </w:rPr>
        <w:t xml:space="preserve">2</w:t>
      </w:r>
      <w:r w:rsidDel="00000000" w:rsidR="00000000" w:rsidRPr="00000000">
        <w:rPr>
          <w:rtl w:val="0"/>
        </w:rPr>
        <w:t xml:space="preserve"> per year and reduces the baseline of facilities concerned by 4.9% each year up to 2030. It provides the scheme-specific settings that are taken into account (DCCEEW, 2026). For BHP, these requirements reinforce the need for the energy-efficient use of renewable power and electrification. It also makes it essential to measure things properly in order to claim low-carbon status. </w:t>
      </w:r>
    </w:p>
    <w:p w:rsidR="00000000" w:rsidDel="00000000" w:rsidP="00000000" w:rsidRDefault="00000000" w:rsidRPr="00000000" w14:paraId="0000002B">
      <w:pPr>
        <w:rPr/>
      </w:pPr>
      <w:r w:rsidDel="00000000" w:rsidR="00000000" w:rsidRPr="00000000">
        <w:rPr>
          <w:rtl w:val="0"/>
        </w:rPr>
        <w:t xml:space="preserve">The international policy also has an impact on downstream demand. The European Union's carbon border adjustment mechanism begins its final phase on 1 January, 2026 and involves certain carbon-intensive products such as steel and iron. Under the mechanism, importers are required to report the embedded emissions and submit the relevant certificates (European Commission, 2026). Even though the rules do not directly impose a change for each tonne of BHP's iron ore, they can influence the input decisions of the steel makers and their competitiveness, which indirectly encourages BHP to offer reliable emissions data and support lower-emission steel routes. </w:t>
      </w:r>
    </w:p>
    <w:p w:rsidR="00000000" w:rsidDel="00000000" w:rsidP="00000000" w:rsidRDefault="00000000" w:rsidRPr="00000000" w14:paraId="0000002C">
      <w:pPr>
        <w:rPr/>
      </w:pPr>
      <w:r w:rsidDel="00000000" w:rsidR="00000000" w:rsidRPr="00000000">
        <w:rPr>
          <w:rtl w:val="0"/>
        </w:rPr>
        <w:t xml:space="preserve">Regulation also may lead to the demand for clever materials, as definitions vary, methods of calculation differ, and national policies are different. Due to these issues, uncertainty is also produced. BHP needs a consistent system for accounting for its emissions and clear statements which distinguish between absolute emissions, emissions intensity and value chain emissions. If compliance is seen as the basic standard, then evidence of environmental leadership is needed. The greenwashing risk can also be reduced, and confidence can be maintained in the different markets. </w:t>
      </w:r>
    </w:p>
    <w:p w:rsidR="00000000" w:rsidDel="00000000" w:rsidP="00000000" w:rsidRDefault="00000000" w:rsidRPr="00000000" w14:paraId="0000002D">
      <w:pPr>
        <w:pStyle w:val="Heading2"/>
        <w:rPr/>
      </w:pPr>
      <w:bookmarkStart w:colFirst="0" w:colLast="0" w:name="_5b9yj4ye6wjy" w:id="7"/>
      <w:bookmarkEnd w:id="7"/>
      <w:r w:rsidDel="00000000" w:rsidR="00000000" w:rsidRPr="00000000">
        <w:rPr>
          <w:rtl w:val="0"/>
        </w:rPr>
        <w:t xml:space="preserve">1.4 Consumers and partners (Social)</w:t>
      </w:r>
    </w:p>
    <w:p w:rsidR="00000000" w:rsidDel="00000000" w:rsidP="00000000" w:rsidRDefault="00000000" w:rsidRPr="00000000" w14:paraId="0000002E">
      <w:pPr>
        <w:rPr/>
      </w:pPr>
      <w:r w:rsidDel="00000000" w:rsidR="00000000" w:rsidRPr="00000000">
        <w:rPr>
          <w:rtl w:val="0"/>
        </w:rPr>
        <w:t xml:space="preserve">Consumers in the steelmaking sector are the third factor, as it is they who decide if lower-emission technologies and product proposals end up being commercially viable. As BHP is an iron ore supplier and not a producer of finished steel, it has to collaborate with the steelmakers, researchers, developers, and energy suppliers in order to negatively impact the downstream emissions.</w:t>
      </w:r>
    </w:p>
    <w:p w:rsidR="00000000" w:rsidDel="00000000" w:rsidP="00000000" w:rsidRDefault="00000000" w:rsidRPr="00000000" w14:paraId="0000002F">
      <w:pPr>
        <w:rPr/>
      </w:pPr>
      <w:r w:rsidDel="00000000" w:rsidR="00000000" w:rsidRPr="00000000">
        <w:rPr>
          <w:rtl w:val="0"/>
        </w:rPr>
        <w:t xml:space="preserve">A major example of this is the extension of the five-year agreements with China Baowu in September 2026. Two companies intend to advance the modified blast furnace methods with the aim of achieving at least 30% reductions in emission intensity and to carry out further trials, including the Pilbara ores of BHP, in both direct reduced iron and electric smelting processes. Previous trials also resulted in iron with about a 50% reduction in CO</w:t>
      </w:r>
      <w:r w:rsidDel="00000000" w:rsidR="00000000" w:rsidRPr="00000000">
        <w:rPr>
          <w:vertAlign w:val="subscript"/>
          <w:rtl w:val="0"/>
        </w:rPr>
        <w:t xml:space="preserve">2</w:t>
      </w:r>
      <w:r w:rsidDel="00000000" w:rsidR="00000000" w:rsidRPr="00000000">
        <w:rPr>
          <w:rtl w:val="0"/>
        </w:rPr>
        <w:t xml:space="preserve"> intensity compared with blast furnace hot metal, and the combined direct reduced iron method could, in principle, reduce the emissions by more than 80% if low-emission renewable electricity and hydrogen are available (BHP, 2026b).</w:t>
      </w:r>
    </w:p>
    <w:p w:rsidR="00000000" w:rsidDel="00000000" w:rsidP="00000000" w:rsidRDefault="00000000" w:rsidRPr="00000000" w14:paraId="00000030">
      <w:pPr>
        <w:rPr/>
      </w:pPr>
      <w:r w:rsidDel="00000000" w:rsidR="00000000" w:rsidRPr="00000000">
        <w:rPr>
          <w:rtl w:val="0"/>
        </w:rPr>
        <w:t xml:space="preserve">Through these primary collaborations, BHP is able to promote the ore capability, technical support and joint decarbonisation together with the physical product. Consumer management therefore also goes beyond mere promotions. This company is now furthermore supporting the overall carbon capture pilots on its existing blast furnace operation, including the trials which showed the technical potential for large-scale CO</w:t>
      </w:r>
      <w:r w:rsidDel="00000000" w:rsidR="00000000" w:rsidRPr="00000000">
        <w:rPr>
          <w:vertAlign w:val="subscript"/>
          <w:rtl w:val="0"/>
        </w:rPr>
        <w:t xml:space="preserve">2</w:t>
      </w:r>
      <w:r w:rsidDel="00000000" w:rsidR="00000000" w:rsidRPr="00000000">
        <w:rPr>
          <w:rtl w:val="0"/>
        </w:rPr>
        <w:t xml:space="preserve"> capture (BHP, 2026c). These initiatives are relevant as existing blast furnaces are still essential, whereas hydrogen-based alternatives need clean infrastructure, clean electricity and additional commercial developments. This partnership also links product development with consumer investment plans and could help to secure the long-term demand as steelmaking technologies are evolving.</w:t>
      </w:r>
    </w:p>
    <w:p w:rsidR="00000000" w:rsidDel="00000000" w:rsidP="00000000" w:rsidRDefault="00000000" w:rsidRPr="00000000" w14:paraId="00000031">
      <w:pPr>
        <w:rPr/>
      </w:pPr>
      <w:r w:rsidDel="00000000" w:rsidR="00000000" w:rsidRPr="00000000">
        <w:rPr>
          <w:rtl w:val="0"/>
        </w:rPr>
        <w:t xml:space="preserve">Market demand is also still the limiting factor. As per the International Energy Agency, commitments by consumers to buy near-zero-emissions steel are increasing (IEA, 2025a). They are not enough to allow production to scale up. Construction premium can also increase the gap between the consumer sustaining hourly commitments and actual decisions they make when purchasing. In this case, technical demonstrations do not show that there is a large and profitable market. Therefore, BHP needs solid commitments from consumers, reliable product-level emission data and evidence that the benefits outweigh any premium it has to pay. It should not treat the results from the pilot projects as if they were already established commercial outcomes. </w:t>
      </w:r>
    </w:p>
    <w:p w:rsidR="00000000" w:rsidDel="00000000" w:rsidP="00000000" w:rsidRDefault="00000000" w:rsidRPr="00000000" w14:paraId="00000032">
      <w:pPr>
        <w:pStyle w:val="Heading1"/>
        <w:rPr/>
      </w:pPr>
      <w:bookmarkStart w:colFirst="0" w:colLast="0" w:name="_gvg1yw99mx22" w:id="8"/>
      <w:bookmarkEnd w:id="8"/>
      <w:r w:rsidDel="00000000" w:rsidR="00000000" w:rsidRPr="00000000">
        <w:rPr>
          <w:rtl w:val="0"/>
        </w:rPr>
        <w:t xml:space="preserve">Task 2: Strategic Growth and Competitive Positioning</w:t>
      </w:r>
    </w:p>
    <w:p w:rsidR="00000000" w:rsidDel="00000000" w:rsidP="00000000" w:rsidRDefault="00000000" w:rsidRPr="00000000" w14:paraId="00000033">
      <w:pPr>
        <w:pStyle w:val="Heading2"/>
        <w:rPr/>
      </w:pPr>
      <w:bookmarkStart w:colFirst="0" w:colLast="0" w:name="_me9mclkh3zvy" w:id="9"/>
      <w:bookmarkEnd w:id="9"/>
      <w:r w:rsidDel="00000000" w:rsidR="00000000" w:rsidRPr="00000000">
        <w:rPr>
          <w:rtl w:val="0"/>
        </w:rPr>
        <w:t xml:space="preserve">2.1 Strategic Context</w:t>
      </w:r>
    </w:p>
    <w:p w:rsidR="00000000" w:rsidDel="00000000" w:rsidP="00000000" w:rsidRDefault="00000000" w:rsidRPr="00000000" w14:paraId="00000034">
      <w:pPr>
        <w:rPr/>
      </w:pPr>
      <w:r w:rsidDel="00000000" w:rsidR="00000000" w:rsidRPr="00000000">
        <w:rPr>
          <w:rtl w:val="0"/>
        </w:rPr>
        <w:t xml:space="preserve">Task 1 demonstrated that the credibility of BHP relies on reducing the emissions it has control over and impacting those it does not. In FY2026, operational Scope 1 and Scope 2 emissions were 9.4 Mt CO</w:t>
      </w:r>
      <w:r w:rsidDel="00000000" w:rsidR="00000000" w:rsidRPr="00000000">
        <w:rPr>
          <w:vertAlign w:val="subscript"/>
          <w:rtl w:val="0"/>
        </w:rPr>
        <w:t xml:space="preserve">2</w:t>
      </w:r>
      <w:r w:rsidDel="00000000" w:rsidR="00000000" w:rsidRPr="00000000">
        <w:rPr>
          <w:rtl w:val="0"/>
        </w:rPr>
        <w:t xml:space="preserve">-e, which is 33% less than FY2020, but approximately 85% of reported Scope 3 emissions are the result of customers processing iron ore and steelmaking coal (BHP, 2026e). The growth needs to in turn minimise exposure to carbon intensive demand. This is the concept of societal marketing that obliges companies to create customer value without affecting the wellbeing of the society (Kotler et al., 2020). </w:t>
      </w:r>
    </w:p>
    <w:p w:rsidR="00000000" w:rsidDel="00000000" w:rsidP="00000000" w:rsidRDefault="00000000" w:rsidRPr="00000000" w14:paraId="00000035">
      <w:pPr>
        <w:pStyle w:val="Heading2"/>
        <w:rPr/>
      </w:pPr>
      <w:bookmarkStart w:colFirst="0" w:colLast="0" w:name="_t4aiouk58w0m" w:id="10"/>
      <w:bookmarkEnd w:id="10"/>
      <w:r w:rsidDel="00000000" w:rsidR="00000000" w:rsidRPr="00000000">
        <w:rPr>
          <w:rtl w:val="0"/>
        </w:rPr>
        <w:t xml:space="preserve">2.2 Ansoff Matrix Analysis</w:t>
      </w:r>
    </w:p>
    <w:p w:rsidR="00000000" w:rsidDel="00000000" w:rsidP="00000000" w:rsidRDefault="00000000" w:rsidRPr="00000000" w14:paraId="00000036">
      <w:pPr>
        <w:rPr/>
      </w:pPr>
      <w:r w:rsidDel="00000000" w:rsidR="00000000" w:rsidRPr="00000000">
        <w:rPr>
          <w:rtl w:val="0"/>
        </w:rPr>
        <w:t xml:space="preserve">The Ansoff Matrix classifies growth by product and market novelty, with risk rising from market penetration to diversification (Hooley et al., 2020). Table 1 applies it to BHP.</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85"/>
        <w:gridCol w:w="3555"/>
        <w:gridCol w:w="3420"/>
        <w:tblGridChange w:id="0">
          <w:tblGrid>
            <w:gridCol w:w="2385"/>
            <w:gridCol w:w="3555"/>
            <w:gridCol w:w="3420"/>
          </w:tblGrid>
        </w:tblGridChange>
      </w:tblGrid>
      <w:tr>
        <w:trPr>
          <w:cantSplit w:val="0"/>
          <w:tblHeader w:val="0"/>
        </w:trPr>
        <w:tc>
          <w:tcPr/>
          <w:p w:rsidR="00000000" w:rsidDel="00000000" w:rsidP="00000000" w:rsidRDefault="00000000" w:rsidRPr="00000000" w14:paraId="00000037">
            <w:pPr>
              <w:rPr/>
            </w:pPr>
            <w:r w:rsidDel="00000000" w:rsidR="00000000" w:rsidRPr="00000000">
              <w:rPr>
                <w:rtl w:val="0"/>
              </w:rPr>
            </w:r>
          </w:p>
        </w:tc>
        <w:tc>
          <w:tcPr/>
          <w:p w:rsidR="00000000" w:rsidDel="00000000" w:rsidP="00000000" w:rsidRDefault="00000000" w:rsidRPr="00000000" w14:paraId="00000038">
            <w:pPr>
              <w:jc w:val="center"/>
              <w:rPr>
                <w:b w:val="1"/>
                <w:bCs w:val="1"/>
              </w:rPr>
            </w:pPr>
            <w:r w:rsidDel="00000000" w:rsidR="00000000" w:rsidRPr="00000000">
              <w:rPr>
                <w:b w:val="1"/>
                <w:bCs w:val="1"/>
                <w:rtl w:val="0"/>
              </w:rPr>
              <w:t xml:space="preserve">Existing products</w:t>
            </w:r>
          </w:p>
        </w:tc>
        <w:tc>
          <w:tcPr/>
          <w:p w:rsidR="00000000" w:rsidDel="00000000" w:rsidP="00000000" w:rsidRDefault="00000000" w:rsidRPr="00000000" w14:paraId="00000039">
            <w:pPr>
              <w:jc w:val="center"/>
              <w:rPr>
                <w:b w:val="1"/>
                <w:bCs w:val="1"/>
              </w:rPr>
            </w:pPr>
            <w:r w:rsidDel="00000000" w:rsidR="00000000" w:rsidRPr="00000000">
              <w:rPr>
                <w:b w:val="1"/>
                <w:bCs w:val="1"/>
                <w:rtl w:val="0"/>
              </w:rPr>
              <w:t xml:space="preserve">New products</w:t>
            </w:r>
          </w:p>
        </w:tc>
      </w:tr>
      <w:tr>
        <w:trPr>
          <w:cantSplit w:val="0"/>
          <w:tblHeader w:val="0"/>
        </w:trPr>
        <w:tc>
          <w:tcPr/>
          <w:p w:rsidR="00000000" w:rsidDel="00000000" w:rsidP="00000000" w:rsidRDefault="00000000" w:rsidRPr="00000000" w14:paraId="0000003A">
            <w:pPr>
              <w:jc w:val="center"/>
              <w:rPr>
                <w:b w:val="1"/>
                <w:bCs w:val="1"/>
              </w:rPr>
            </w:pPr>
            <w:r w:rsidDel="00000000" w:rsidR="00000000" w:rsidRPr="00000000">
              <w:rPr>
                <w:b w:val="1"/>
                <w:bCs w:val="1"/>
                <w:rtl w:val="0"/>
              </w:rPr>
              <w:t xml:space="preserve">Existing markets</w:t>
            </w:r>
          </w:p>
        </w:tc>
        <w:tc>
          <w:tcPr/>
          <w:p w:rsidR="00000000" w:rsidDel="00000000" w:rsidP="00000000" w:rsidRDefault="00000000" w:rsidRPr="00000000" w14:paraId="0000003B">
            <w:pPr>
              <w:rPr/>
            </w:pPr>
            <w:r w:rsidDel="00000000" w:rsidR="00000000" w:rsidRPr="00000000">
              <w:rPr>
                <w:rtl w:val="0"/>
              </w:rPr>
              <w:t xml:space="preserve">Market penetration: grow copper volumes into electrification demand; supply current steelmakers with emissions-documented ore. Risk: low</w:t>
            </w:r>
          </w:p>
        </w:tc>
        <w:tc>
          <w:tcPr/>
          <w:p w:rsidR="00000000" w:rsidDel="00000000" w:rsidP="00000000" w:rsidRDefault="00000000" w:rsidRPr="00000000" w14:paraId="0000003C">
            <w:pPr>
              <w:rPr/>
            </w:pPr>
            <w:r w:rsidDel="00000000" w:rsidR="00000000" w:rsidRPr="00000000">
              <w:rPr>
                <w:rtl w:val="0"/>
              </w:rPr>
              <w:t xml:space="preserve">Product development: direct-reduction (DR)-suited, lower-emission ore products and technical services for current customers. Risk: medium</w:t>
            </w:r>
          </w:p>
        </w:tc>
      </w:tr>
      <w:tr>
        <w:trPr>
          <w:cantSplit w:val="0"/>
          <w:tblHeader w:val="0"/>
        </w:trPr>
        <w:tc>
          <w:tcPr/>
          <w:p w:rsidR="00000000" w:rsidDel="00000000" w:rsidP="00000000" w:rsidRDefault="00000000" w:rsidRPr="00000000" w14:paraId="0000003D">
            <w:pPr>
              <w:jc w:val="center"/>
              <w:rPr>
                <w:b w:val="1"/>
                <w:bCs w:val="1"/>
              </w:rPr>
            </w:pPr>
            <w:r w:rsidDel="00000000" w:rsidR="00000000" w:rsidRPr="00000000">
              <w:rPr>
                <w:b w:val="1"/>
                <w:bCs w:val="1"/>
                <w:rtl w:val="0"/>
              </w:rPr>
              <w:t xml:space="preserve">New markets</w:t>
            </w:r>
          </w:p>
        </w:tc>
        <w:tc>
          <w:tcPr/>
          <w:p w:rsidR="00000000" w:rsidDel="00000000" w:rsidP="00000000" w:rsidRDefault="00000000" w:rsidRPr="00000000" w14:paraId="0000003E">
            <w:pPr>
              <w:rPr/>
            </w:pPr>
            <w:r w:rsidDel="00000000" w:rsidR="00000000" w:rsidRPr="00000000">
              <w:rPr>
                <w:rtl w:val="0"/>
              </w:rPr>
              <w:t xml:space="preserve">Market development: place ore with emerging green-steel hubs and buyers exposed to carbon border costs. Risk: medium to high</w:t>
            </w:r>
          </w:p>
        </w:tc>
        <w:tc>
          <w:tcPr/>
          <w:p w:rsidR="00000000" w:rsidDel="00000000" w:rsidP="00000000" w:rsidRDefault="00000000" w:rsidRPr="00000000" w14:paraId="0000003F">
            <w:pPr>
              <w:rPr/>
            </w:pPr>
            <w:r w:rsidDel="00000000" w:rsidR="00000000" w:rsidRPr="00000000">
              <w:rPr>
                <w:rtl w:val="0"/>
              </w:rPr>
              <w:t xml:space="preserve">Diversification: potash (Jansen) for agriculture. Risk: high</w:t>
            </w:r>
          </w:p>
        </w:tc>
      </w:tr>
    </w:tbl>
    <w:p w:rsidR="00000000" w:rsidDel="00000000" w:rsidP="00000000" w:rsidRDefault="00000000" w:rsidRPr="00000000" w14:paraId="00000040">
      <w:pPr>
        <w:jc w:val="center"/>
        <w:rPr>
          <w:b w:val="1"/>
          <w:bCs w:val="1"/>
          <w:i w:val="1"/>
          <w:iCs w:val="1"/>
        </w:rPr>
      </w:pPr>
      <w:r w:rsidDel="00000000" w:rsidR="00000000" w:rsidRPr="00000000">
        <w:rPr>
          <w:b w:val="1"/>
          <w:bCs w:val="1"/>
          <w:i w:val="1"/>
          <w:iCs w:val="1"/>
          <w:rtl w:val="0"/>
        </w:rPr>
        <w:t xml:space="preserve">Table 1: Ansoff Matrix applied to BHP's lower-carbon transition </w:t>
      </w:r>
    </w:p>
    <w:p w:rsidR="00000000" w:rsidDel="00000000" w:rsidP="00000000" w:rsidRDefault="00000000" w:rsidRPr="00000000" w14:paraId="00000041">
      <w:pPr>
        <w:rPr/>
      </w:pPr>
      <w:r w:rsidDel="00000000" w:rsidR="00000000" w:rsidRPr="00000000">
        <w:rPr>
          <w:b w:val="1"/>
          <w:bCs w:val="1"/>
          <w:rtl w:val="0"/>
        </w:rPr>
        <w:t xml:space="preserve">Market penetration:</w:t>
      </w:r>
      <w:r w:rsidDel="00000000" w:rsidR="00000000" w:rsidRPr="00000000">
        <w:rPr>
          <w:rtl w:val="0"/>
        </w:rPr>
        <w:t xml:space="preserve"> The greatest leverage of BHP is copper. It has already supplied 54% of FY2026 Underlying EBITDA, at a 70% margin and forecasts could increase attributable production to approximately 2 Mtpa by FY2035 (BHP, 2026e). It is estimated that cleantech copper will increase between 7.7 Mt in 2024 and 10.9 Mt in 2030 according to the IEA (2025b), and announced projects do not fulfil more than 70% of the copper that net-zero pathways need. Penetration, however, does not reduce Scope 3 emissions, and even copper mining, in its turn, is energy- and water-intensive.</w:t>
      </w:r>
    </w:p>
    <w:p w:rsidR="00000000" w:rsidDel="00000000" w:rsidP="00000000" w:rsidRDefault="00000000" w:rsidRPr="00000000" w14:paraId="00000042">
      <w:pPr>
        <w:rPr/>
      </w:pPr>
      <w:r w:rsidDel="00000000" w:rsidR="00000000" w:rsidRPr="00000000">
        <w:rPr>
          <w:b w:val="1"/>
          <w:bCs w:val="1"/>
          <w:rtl w:val="0"/>
        </w:rPr>
        <w:t xml:space="preserve">Market development:</w:t>
      </w:r>
      <w:r w:rsidDel="00000000" w:rsidR="00000000" w:rsidRPr="00000000">
        <w:rPr>
          <w:rtl w:val="0"/>
        </w:rPr>
        <w:t xml:space="preserve"> Devlin et al. (2023) observe that competitive hydrogen steelmaking clusters are located near both high-quality renewables and ore and that just an estimated 4% of seaborne ore is DR-grade. Western Australia holds potential, and the increase in goethite in Pilbara ore limits the application of DR. Rahbari et al. (2025) demonstrate that smelter-BOF enabled DR makes lower-grade Pilbara ore competitive, but at USD 3.5/kg hydrogen with a carbon price of EUR 90/tCO2e, green steel is not profitable until in the near USD 4/kg range. New markets thus are conditional.</w:t>
      </w:r>
    </w:p>
    <w:p w:rsidR="00000000" w:rsidDel="00000000" w:rsidP="00000000" w:rsidRDefault="00000000" w:rsidRPr="00000000" w14:paraId="00000043">
      <w:pPr>
        <w:rPr/>
      </w:pPr>
      <w:r w:rsidDel="00000000" w:rsidR="00000000" w:rsidRPr="00000000">
        <w:rPr>
          <w:b w:val="1"/>
          <w:bCs w:val="1"/>
          <w:rtl w:val="0"/>
        </w:rPr>
        <w:t xml:space="preserve">Product development</w:t>
      </w:r>
      <w:r w:rsidDel="00000000" w:rsidR="00000000" w:rsidRPr="00000000">
        <w:rPr>
          <w:rtl w:val="0"/>
        </w:rPr>
        <w:t xml:space="preserve">: BHP has an opportunity to co-develop ore data and product level emission data at DR-suited with its current partners, building upon the agreement with China Baowu (BHP, 2026b) and the cash commitment of up to 186 million dollars in steelmaking partnerships (BHP, 2026e). This helps in responding to the demand gap given in Task 1 whereby buyer commitments are still too small to scale production (IEA, 2025a).</w:t>
      </w:r>
    </w:p>
    <w:p w:rsidR="00000000" w:rsidDel="00000000" w:rsidP="00000000" w:rsidRDefault="00000000" w:rsidRPr="00000000" w14:paraId="00000044">
      <w:pPr>
        <w:rPr/>
      </w:pPr>
      <w:r w:rsidDel="00000000" w:rsidR="00000000" w:rsidRPr="00000000">
        <w:rPr>
          <w:b w:val="1"/>
          <w:bCs w:val="1"/>
          <w:rtl w:val="0"/>
        </w:rPr>
        <w:t xml:space="preserve">Diversification: </w:t>
      </w:r>
      <w:r w:rsidDel="00000000" w:rsidR="00000000" w:rsidRPr="00000000">
        <w:rPr>
          <w:rtl w:val="0"/>
        </w:rPr>
        <w:t xml:space="preserve">Jansen describes the risk associated with the quadrant: the Stage 1 of the project is estimated to cost US$8.4 billion; the Stage 2 estimate increased between US 4.9 billion and US 6.9 billion, and a US2.3 billion impairment was recognised (BHP, 2026e). </w:t>
      </w:r>
    </w:p>
    <w:p w:rsidR="00000000" w:rsidDel="00000000" w:rsidP="00000000" w:rsidRDefault="00000000" w:rsidRPr="00000000" w14:paraId="00000045">
      <w:pPr>
        <w:pStyle w:val="Heading2"/>
        <w:rPr/>
      </w:pPr>
      <w:bookmarkStart w:colFirst="0" w:colLast="0" w:name="_18tt9r171wbg" w:id="11"/>
      <w:bookmarkEnd w:id="11"/>
      <w:r w:rsidDel="00000000" w:rsidR="00000000" w:rsidRPr="00000000">
        <w:rPr>
          <w:rtl w:val="0"/>
        </w:rPr>
        <w:t xml:space="preserve">2.3 Recommended Growth Approach</w:t>
      </w:r>
    </w:p>
    <w:p w:rsidR="00000000" w:rsidDel="00000000" w:rsidP="00000000" w:rsidRDefault="00000000" w:rsidRPr="00000000" w14:paraId="00000046">
      <w:pPr>
        <w:rPr/>
      </w:pPr>
      <w:r w:rsidDel="00000000" w:rsidR="00000000" w:rsidRPr="00000000">
        <w:rPr>
          <w:rtl w:val="0"/>
        </w:rPr>
        <w:t xml:space="preserve">The sequenced portfolio that I suggest is product development-led and copper-led penetration-funded. BHP needs to protect or hedge iron ore cash flows and grow copper in the short term. A medium-term objective is to commercialise DR-suited products with the current steelmakers. Market development is not to be made until customers have signed binding offtake or co-investment commitments and should be restricted to the completion of Jansen. This sequencing aligns risk with evidence, as technical pilots are yet to become evidence of a lucrative market (IEA, 2025a). </w:t>
      </w:r>
    </w:p>
    <w:p w:rsidR="00000000" w:rsidDel="00000000" w:rsidP="00000000" w:rsidRDefault="00000000" w:rsidRPr="00000000" w14:paraId="00000047">
      <w:pPr>
        <w:pStyle w:val="Heading2"/>
        <w:rPr/>
      </w:pPr>
      <w:bookmarkStart w:colFirst="0" w:colLast="0" w:name="_670ufk5txh0w" w:id="12"/>
      <w:bookmarkEnd w:id="12"/>
      <w:r w:rsidDel="00000000" w:rsidR="00000000" w:rsidRPr="00000000">
        <w:rPr>
          <w:rtl w:val="0"/>
        </w:rPr>
        <w:t xml:space="preserve">2.4 Achieving Competitive Advantage</w:t>
      </w:r>
    </w:p>
    <w:p w:rsidR="00000000" w:rsidDel="00000000" w:rsidP="00000000" w:rsidRDefault="00000000" w:rsidRPr="00000000" w14:paraId="00000048">
      <w:pPr>
        <w:rPr/>
      </w:pPr>
      <w:r w:rsidDel="00000000" w:rsidR="00000000" w:rsidRPr="00000000">
        <w:rPr>
          <w:rtl w:val="0"/>
        </w:rPr>
        <w:t xml:space="preserve">Porter's generic strategies are cost leadership, differentiation and focus (Johnson et al., 2017). The current competitive advantage of BHP is the cost leadership whereby the costs of Western Australia Iron Ore units’ average US 19.66/t and that of Escondida is US 1.07/lb (BHP, 2026e). Since buyers of commodities pay little attention to brand premiums, BHP can maintain this base and introduce a differentiation emphasis in select niches: DR-fitted ore and verifiable reduction of emissions copper to the client with purchase aims or access to carbon frontiers.</w:t>
      </w:r>
    </w:p>
    <w:p w:rsidR="00000000" w:rsidDel="00000000" w:rsidP="00000000" w:rsidRDefault="00000000" w:rsidRPr="00000000" w14:paraId="00000049">
      <w:pPr>
        <w:rPr/>
      </w:pPr>
      <w:r w:rsidDel="00000000" w:rsidR="00000000" w:rsidRPr="00000000">
        <w:rPr>
          <w:rtl w:val="0"/>
        </w:rPr>
        <w:t xml:space="preserve">Porter cautions that companies that attempt to do both strategies might end up being in the middle (Johnson et al., 2017). One way BHP can mitigate this risk is by scale because differentiating product lines and value propositions will allow the company to cover the cost base to protect margin, yet premium products will be offered to specific segments. The advantage needs to be enduring because it is difficult to copy, and integrated ore knowledge, scale, and long-term alliances are both useful and exceptional assets of BHP (Whittington et al., 2023).</w:t>
      </w:r>
    </w:p>
    <w:p w:rsidR="00000000" w:rsidDel="00000000" w:rsidP="00000000" w:rsidRDefault="00000000" w:rsidRPr="00000000" w14:paraId="0000004A">
      <w:pPr>
        <w:rPr/>
      </w:pPr>
      <w:r w:rsidDel="00000000" w:rsidR="00000000" w:rsidRPr="00000000">
        <w:rPr>
          <w:rtl w:val="0"/>
        </w:rPr>
        <w:t xml:space="preserve">Credibility is a contribution of marketing. Independently evidenced, qualified claims on products that comply with eight principles of ACCC (2026) ensure trust since greenwashing might result in short-term benefits and long-term losses, such as lost trust in the market (Hu, Xu and Chen, 2026). </w:t>
      </w:r>
    </w:p>
    <w:p w:rsidR="00000000" w:rsidDel="00000000" w:rsidP="00000000" w:rsidRDefault="00000000" w:rsidRPr="00000000" w14:paraId="0000004B">
      <w:pPr>
        <w:pStyle w:val="Heading2"/>
        <w:rPr/>
      </w:pPr>
      <w:bookmarkStart w:colFirst="0" w:colLast="0" w:name="_cc9au4s0kihs" w:id="13"/>
      <w:bookmarkEnd w:id="13"/>
      <w:r w:rsidDel="00000000" w:rsidR="00000000" w:rsidRPr="00000000">
        <w:rPr>
          <w:rtl w:val="0"/>
        </w:rPr>
        <w:t xml:space="preserve">2.5 Risks and Conclusion</w:t>
      </w:r>
    </w:p>
    <w:p w:rsidR="00000000" w:rsidDel="00000000" w:rsidP="00000000" w:rsidRDefault="00000000" w:rsidRPr="00000000" w14:paraId="0000004C">
      <w:pPr>
        <w:rPr/>
      </w:pPr>
      <w:r w:rsidDel="00000000" w:rsidR="00000000" w:rsidRPr="00000000">
        <w:rPr>
          <w:rtl w:val="0"/>
        </w:rPr>
        <w:t xml:space="preserve">The main risks are the failure of a green premium to materialise, Pilbara ore price and capital overruns; they are reduced by gated decisions and transparent reporting. In sum, the plan transforms the cost position of BHP into lower-carbon differentiation without exaggerating it. </w:t>
      </w:r>
    </w:p>
    <w:p w:rsidR="00000000" w:rsidDel="00000000" w:rsidP="00000000" w:rsidRDefault="00000000" w:rsidRPr="00000000" w14:paraId="0000004D">
      <w:pPr>
        <w:pStyle w:val="Heading1"/>
        <w:rPr/>
      </w:pPr>
      <w:bookmarkStart w:colFirst="0" w:colLast="0" w:name="_50bixj205ab7" w:id="14"/>
      <w:bookmarkEnd w:id="14"/>
      <w:r w:rsidDel="00000000" w:rsidR="00000000" w:rsidRPr="00000000">
        <w:rPr>
          <w:rtl w:val="0"/>
        </w:rPr>
        <w:t xml:space="preserve">Task 3: Managerial and Professional Reflection</w:t>
      </w:r>
    </w:p>
    <w:p w:rsidR="00000000" w:rsidDel="00000000" w:rsidP="00000000" w:rsidRDefault="00000000" w:rsidRPr="00000000" w14:paraId="0000004E">
      <w:pPr>
        <w:pStyle w:val="Heading2"/>
        <w:rPr/>
      </w:pPr>
      <w:bookmarkStart w:colFirst="0" w:colLast="0" w:name="_j8pqgbq2ibvw" w:id="15"/>
      <w:bookmarkEnd w:id="15"/>
      <w:r w:rsidDel="00000000" w:rsidR="00000000" w:rsidRPr="00000000">
        <w:rPr>
          <w:rtl w:val="0"/>
        </w:rPr>
        <w:t xml:space="preserve">3.1 Choice of Company and Environmental Actors</w:t>
      </w:r>
    </w:p>
    <w:p w:rsidR="00000000" w:rsidDel="00000000" w:rsidP="00000000" w:rsidRDefault="00000000" w:rsidRPr="00000000" w14:paraId="0000004F">
      <w:pPr>
        <w:rPr/>
      </w:pPr>
      <w:r w:rsidDel="00000000" w:rsidR="00000000" w:rsidRPr="00000000">
        <w:rPr>
          <w:rtl w:val="0"/>
        </w:rPr>
        <w:t xml:space="preserve">I chose BHP since it puts to the test the core problem of credibility within the industry. Its business emissions are reducing, but value chain emissions, thus choices made concerning what to report, and to whom go directly to trust and value. BHP also issues elaborate, latest information, which enables factual analysis (BHP, 2026a). I focused on the natural environment since it generates the necessity to make products with lower carbon content and what claims can be made (Kotler et al., 2020). I included regulators as the cost and demand of the Safeguard Mechanism and carbon border conditions (DCCEW, 2025; European Commission, 2025) change, and customers and partners since it remains up to the steelmakers to determine the commercial viability of lower-emission products. I realise that not including competitors and investors restricted the perspective. </w:t>
      </w:r>
    </w:p>
    <w:p w:rsidR="00000000" w:rsidDel="00000000" w:rsidP="00000000" w:rsidRDefault="00000000" w:rsidRPr="00000000" w14:paraId="00000050">
      <w:pPr>
        <w:pStyle w:val="Heading2"/>
        <w:rPr/>
      </w:pPr>
      <w:bookmarkStart w:colFirst="0" w:colLast="0" w:name="_bln14kl3ofgo" w:id="16"/>
      <w:bookmarkEnd w:id="16"/>
      <w:r w:rsidDel="00000000" w:rsidR="00000000" w:rsidRPr="00000000">
        <w:rPr>
          <w:rtl w:val="0"/>
        </w:rPr>
        <w:t xml:space="preserve">3.2 Choice of Growth Strategies</w:t>
      </w:r>
    </w:p>
    <w:p w:rsidR="00000000" w:rsidDel="00000000" w:rsidP="00000000" w:rsidRDefault="00000000" w:rsidRPr="00000000" w14:paraId="00000051">
      <w:pPr>
        <w:rPr/>
      </w:pPr>
      <w:r w:rsidDel="00000000" w:rsidR="00000000" w:rsidRPr="00000000">
        <w:rPr>
          <w:rtl w:val="0"/>
        </w:rPr>
        <w:t xml:space="preserve">I preferred a sequenced Ansoff approach as the evidence on demand is weaker in comparison to the evidence on technology (IEA, 2025a). My intent was not to start diversifying after Jansen had hiked its costs and its impairment (BHP, 2026e). One trade-off I would discuss openly with leadership is that copper growth would enhance resilience but not necessarily limit its own largest impact on BHP, so should not be positioned as addressing Scope 3 emissions. </w:t>
      </w:r>
    </w:p>
    <w:p w:rsidR="00000000" w:rsidDel="00000000" w:rsidP="00000000" w:rsidRDefault="00000000" w:rsidRPr="00000000" w14:paraId="00000052">
      <w:pPr>
        <w:pStyle w:val="Heading2"/>
        <w:rPr/>
      </w:pPr>
      <w:bookmarkStart w:colFirst="0" w:colLast="0" w:name="_4nu1kiut1r84" w:id="17"/>
      <w:bookmarkEnd w:id="17"/>
      <w:r w:rsidDel="00000000" w:rsidR="00000000" w:rsidRPr="00000000">
        <w:rPr>
          <w:rtl w:val="0"/>
        </w:rPr>
        <w:t xml:space="preserve">3.3 Limitations of the Analysis</w:t>
      </w:r>
    </w:p>
    <w:p w:rsidR="00000000" w:rsidDel="00000000" w:rsidP="00000000" w:rsidRDefault="00000000" w:rsidRPr="00000000" w14:paraId="00000053">
      <w:pPr>
        <w:rPr/>
      </w:pPr>
      <w:r w:rsidDel="00000000" w:rsidR="00000000" w:rsidRPr="00000000">
        <w:rPr>
          <w:rtl w:val="0"/>
        </w:rPr>
        <w:t xml:space="preserve">The comparative study is based on the publicly available, mainly company-reported information. The figures of the FY2025 emission revisions after a shift in the Scope 2 methodology are restated figures that reveal the vulnerability of comparisons made (BHP, 2026e). The Ansoff Matrix lacks dynamics and fails to measure returns and competitor responses, and the argument of being caught between is debated. Hydrogen and carbon prices are also necessary to make assumptions in technology economics (Rahbari et al., 2025). Lastly, I lacked main customer evidence hence the assumption of premium and offtake are based on no evidence. </w:t>
      </w:r>
    </w:p>
    <w:p w:rsidR="00000000" w:rsidDel="00000000" w:rsidP="00000000" w:rsidRDefault="00000000" w:rsidRPr="00000000" w14:paraId="00000054">
      <w:pPr>
        <w:pStyle w:val="Heading2"/>
        <w:rPr/>
      </w:pPr>
      <w:bookmarkStart w:colFirst="0" w:colLast="0" w:name="_8r5v5powgu3j" w:id="18"/>
      <w:bookmarkEnd w:id="18"/>
      <w:r w:rsidDel="00000000" w:rsidR="00000000" w:rsidRPr="00000000">
        <w:rPr>
          <w:rtl w:val="0"/>
        </w:rPr>
        <w:t xml:space="preserve">3.4 Information a Real Consultant Would Seek</w:t>
      </w:r>
    </w:p>
    <w:p w:rsidR="00000000" w:rsidDel="00000000" w:rsidP="00000000" w:rsidRDefault="00000000" w:rsidRPr="00000000" w14:paraId="00000055">
      <w:pPr>
        <w:rPr/>
      </w:pPr>
      <w:r w:rsidDel="00000000" w:rsidR="00000000" w:rsidRPr="00000000">
        <w:rPr>
          <w:rtl w:val="0"/>
        </w:rPr>
        <w:t xml:space="preserve">Before finalising recommendations, a consultant would seek:</w:t>
      </w:r>
    </w:p>
    <w:p w:rsidR="00000000" w:rsidDel="00000000" w:rsidP="00000000" w:rsidRDefault="00000000" w:rsidRPr="00000000" w14:paraId="00000056">
      <w:pPr>
        <w:numPr>
          <w:ilvl w:val="0"/>
          <w:numId w:val="1"/>
        </w:numPr>
        <w:spacing w:after="0" w:lineRule="auto"/>
        <w:ind w:left="720" w:hanging="360"/>
        <w:rPr/>
      </w:pPr>
      <w:r w:rsidDel="00000000" w:rsidR="00000000" w:rsidRPr="00000000">
        <w:rPr>
          <w:rtl w:val="0"/>
        </w:rPr>
        <w:t xml:space="preserve">Customer interviews and purchase data willingness to pay, contract terms and technology roadmaps in the steelmaking processes;</w:t>
      </w:r>
    </w:p>
    <w:p w:rsidR="00000000" w:rsidDel="00000000" w:rsidP="00000000" w:rsidRDefault="00000000" w:rsidRPr="00000000" w14:paraId="00000057">
      <w:pPr>
        <w:numPr>
          <w:ilvl w:val="0"/>
          <w:numId w:val="1"/>
        </w:numPr>
        <w:spacing w:after="0" w:lineRule="auto"/>
        <w:ind w:left="720" w:hanging="360"/>
        <w:rPr/>
      </w:pPr>
      <w:r w:rsidDel="00000000" w:rsidR="00000000" w:rsidRPr="00000000">
        <w:rPr>
          <w:rtl w:val="0"/>
        </w:rPr>
        <w:t xml:space="preserve">Economic analysis of beneficiation, renewable power and hydrogen prices, premium and carbon-price case;</w:t>
      </w:r>
    </w:p>
    <w:p w:rsidR="00000000" w:rsidDel="00000000" w:rsidP="00000000" w:rsidRDefault="00000000" w:rsidRPr="00000000" w14:paraId="00000058">
      <w:pPr>
        <w:numPr>
          <w:ilvl w:val="0"/>
          <w:numId w:val="1"/>
        </w:numPr>
        <w:spacing w:after="0" w:lineRule="auto"/>
        <w:ind w:left="720" w:hanging="360"/>
        <w:rPr/>
      </w:pPr>
      <w:r w:rsidDel="00000000" w:rsidR="00000000" w:rsidRPr="00000000">
        <w:rPr>
          <w:rtl w:val="0"/>
        </w:rPr>
        <w:t xml:space="preserve">Competitor positioning especially Rio Tinto, Vale and Fortescue;</w:t>
      </w:r>
    </w:p>
    <w:p w:rsidR="00000000" w:rsidDel="00000000" w:rsidP="00000000" w:rsidRDefault="00000000" w:rsidRPr="00000000" w14:paraId="00000059">
      <w:pPr>
        <w:numPr>
          <w:ilvl w:val="0"/>
          <w:numId w:val="1"/>
        </w:numPr>
        <w:spacing w:after="0" w:lineRule="auto"/>
        <w:ind w:left="720" w:hanging="360"/>
        <w:rPr/>
      </w:pPr>
      <w:r w:rsidDel="00000000" w:rsidR="00000000" w:rsidRPr="00000000">
        <w:rPr>
          <w:rtl w:val="0"/>
        </w:rPr>
        <w:t xml:space="preserve">Technical data regarding Pilbara ore applicability to DR (Devlin et al., 2023);</w:t>
      </w:r>
    </w:p>
    <w:p w:rsidR="00000000" w:rsidDel="00000000" w:rsidP="00000000" w:rsidRDefault="00000000" w:rsidRPr="00000000" w14:paraId="0000005A">
      <w:pPr>
        <w:numPr>
          <w:ilvl w:val="0"/>
          <w:numId w:val="1"/>
        </w:numPr>
        <w:spacing w:after="0" w:lineRule="auto"/>
        <w:ind w:left="720" w:hanging="360"/>
        <w:rPr/>
      </w:pPr>
      <w:r w:rsidDel="00000000" w:rsidR="00000000" w:rsidRPr="00000000">
        <w:rPr>
          <w:rtl w:val="0"/>
        </w:rPr>
        <w:t xml:space="preserve">Qualification into Australian incentives (Department of Industry, Science and Resources, 2025);</w:t>
      </w:r>
    </w:p>
    <w:p w:rsidR="00000000" w:rsidDel="00000000" w:rsidP="00000000" w:rsidRDefault="00000000" w:rsidRPr="00000000" w14:paraId="0000005B">
      <w:pPr>
        <w:numPr>
          <w:ilvl w:val="0"/>
          <w:numId w:val="1"/>
        </w:numPr>
        <w:spacing w:after="0" w:lineRule="auto"/>
        <w:ind w:left="720" w:hanging="360"/>
        <w:rPr/>
      </w:pPr>
      <w:r w:rsidDel="00000000" w:rsidR="00000000" w:rsidRPr="00000000">
        <w:rPr>
          <w:rtl w:val="0"/>
        </w:rPr>
        <w:t xml:space="preserve">Community, water and biodiversity effects; and</w:t>
      </w:r>
    </w:p>
    <w:p w:rsidR="00000000" w:rsidDel="00000000" w:rsidP="00000000" w:rsidRDefault="00000000" w:rsidRPr="00000000" w14:paraId="0000005C">
      <w:pPr>
        <w:numPr>
          <w:ilvl w:val="0"/>
          <w:numId w:val="1"/>
        </w:numPr>
        <w:ind w:left="720" w:hanging="360"/>
        <w:rPr/>
      </w:pPr>
      <w:r w:rsidDel="00000000" w:rsidR="00000000" w:rsidRPr="00000000">
        <w:rPr>
          <w:rtl w:val="0"/>
        </w:rPr>
        <w:t xml:space="preserve">Explanation of a statement in BHP FY2026 that the steelmaking measure will not be reported in FY2027 (BHP, 2026e), which impacts the ability to determine the achievement of Scope 3.</w:t>
      </w:r>
    </w:p>
    <w:p w:rsidR="00000000" w:rsidDel="00000000" w:rsidP="00000000" w:rsidRDefault="00000000" w:rsidRPr="00000000" w14:paraId="0000005D">
      <w:pPr>
        <w:rPr/>
      </w:pPr>
      <w:r w:rsidDel="00000000" w:rsidR="00000000" w:rsidRPr="00000000">
        <w:rPr>
          <w:rtl w:val="0"/>
        </w:rPr>
        <w:t xml:space="preserve">To put this before the leadership, I would emphasise that the recommendations are conditional and evidence-based, that plausible, verifiable claims have as much importance as the growth strategy itself. The activity demonstrated to me that marketing in a business-to-business resources company goes beyond promotion to evidencing, data and partnership designing.</w:t>
      </w: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bookmarkStart w:colFirst="0" w:colLast="0" w:name="_y7etoust76f0" w:id="19"/>
      <w:bookmarkEnd w:id="19"/>
      <w:r w:rsidDel="00000000" w:rsidR="00000000" w:rsidRPr="00000000">
        <w:rPr>
          <w:rtl w:val="0"/>
        </w:rPr>
        <w:t xml:space="preserve">Reference list</w:t>
      </w:r>
    </w:p>
    <w:p w:rsidR="00000000" w:rsidDel="00000000" w:rsidP="00000000" w:rsidRDefault="00000000" w:rsidRPr="00000000" w14:paraId="0000005F">
      <w:pPr>
        <w:spacing w:after="240" w:lineRule="auto"/>
        <w:rPr/>
      </w:pPr>
      <w:r w:rsidDel="00000000" w:rsidR="00000000" w:rsidRPr="00000000">
        <w:rPr>
          <w:rtl w:val="0"/>
        </w:rPr>
        <w:t xml:space="preserve">Australian Competition and Consumer Commission (ACCC) (2026) </w:t>
      </w:r>
      <w:r w:rsidDel="00000000" w:rsidR="00000000" w:rsidRPr="00000000">
        <w:rPr>
          <w:i w:val="1"/>
          <w:iCs w:val="1"/>
          <w:rtl w:val="0"/>
        </w:rPr>
        <w:t xml:space="preserve">Environmental and sustainability claims</w:t>
      </w:r>
      <w:r w:rsidDel="00000000" w:rsidR="00000000" w:rsidRPr="00000000">
        <w:rPr>
          <w:rtl w:val="0"/>
        </w:rPr>
        <w:t xml:space="preserve">. Available at: </w:t>
      </w:r>
      <w:hyperlink r:id="rId7">
        <w:r w:rsidDel="00000000" w:rsidR="00000000" w:rsidRPr="00000000">
          <w:rPr>
            <w:rtl w:val="0"/>
          </w:rPr>
          <w:t xml:space="preserve">https://www.accc.gov.au/business/advertising-and-promotions/environmental-and-sustainability-claims</w:t>
        </w:r>
      </w:hyperlink>
      <w:r w:rsidDel="00000000" w:rsidR="00000000" w:rsidRPr="00000000">
        <w:rPr>
          <w:rtl w:val="0"/>
        </w:rPr>
        <w:t xml:space="preserve"> (Accessed: 13 October 2026).</w:t>
      </w:r>
    </w:p>
    <w:p w:rsidR="00000000" w:rsidDel="00000000" w:rsidP="00000000" w:rsidRDefault="00000000" w:rsidRPr="00000000" w14:paraId="00000060">
      <w:pPr>
        <w:spacing w:after="240" w:lineRule="auto"/>
        <w:rPr/>
      </w:pPr>
      <w:r w:rsidDel="00000000" w:rsidR="00000000" w:rsidRPr="00000000">
        <w:rPr>
          <w:rtl w:val="0"/>
        </w:rPr>
        <w:t xml:space="preserve">BHP (2026a) </w:t>
      </w:r>
      <w:r w:rsidDel="00000000" w:rsidR="00000000" w:rsidRPr="00000000">
        <w:rPr>
          <w:i w:val="1"/>
          <w:iCs w:val="1"/>
          <w:rtl w:val="0"/>
        </w:rPr>
        <w:t xml:space="preserve">2026 Annual reporting</w:t>
      </w:r>
      <w:r w:rsidDel="00000000" w:rsidR="00000000" w:rsidRPr="00000000">
        <w:rPr>
          <w:rtl w:val="0"/>
        </w:rPr>
        <w:t xml:space="preserve">, </w:t>
      </w:r>
      <w:r w:rsidDel="00000000" w:rsidR="00000000" w:rsidRPr="00000000">
        <w:rPr>
          <w:i w:val="1"/>
          <w:iCs w:val="1"/>
          <w:rtl w:val="0"/>
        </w:rPr>
        <w:t xml:space="preserve">Bhp.com</w:t>
      </w:r>
      <w:r w:rsidDel="00000000" w:rsidR="00000000" w:rsidRPr="00000000">
        <w:rPr>
          <w:rtl w:val="0"/>
        </w:rPr>
        <w:t xml:space="preserve">. Available at: https://www.bhp.com/news/media-centre/reports-presentations/2026/08/2026-annual-reporting-suite (Accessed: 12 October 2026).</w:t>
      </w:r>
    </w:p>
    <w:p w:rsidR="00000000" w:rsidDel="00000000" w:rsidP="00000000" w:rsidRDefault="00000000" w:rsidRPr="00000000" w14:paraId="00000061">
      <w:pPr>
        <w:spacing w:after="240" w:lineRule="auto"/>
        <w:rPr/>
      </w:pPr>
      <w:r w:rsidDel="00000000" w:rsidR="00000000" w:rsidRPr="00000000">
        <w:rPr>
          <w:rtl w:val="0"/>
        </w:rPr>
        <w:t xml:space="preserve">BHP (2026b) </w:t>
      </w:r>
      <w:r w:rsidDel="00000000" w:rsidR="00000000" w:rsidRPr="00000000">
        <w:rPr>
          <w:i w:val="1"/>
          <w:iCs w:val="1"/>
          <w:rtl w:val="0"/>
        </w:rPr>
        <w:t xml:space="preserve">BHP and China Baowu renew steel decarbonisation partnership</w:t>
      </w:r>
      <w:r w:rsidDel="00000000" w:rsidR="00000000" w:rsidRPr="00000000">
        <w:rPr>
          <w:rtl w:val="0"/>
        </w:rPr>
        <w:t xml:space="preserve">. Available at: https://www.bhp.com/news/media-centre/releases/2026/09/bhp-and-china-baowu-renew-steel-decarbonisation-partnership (Accessed: 8 October 2026).</w:t>
      </w:r>
    </w:p>
    <w:p w:rsidR="00000000" w:rsidDel="00000000" w:rsidP="00000000" w:rsidRDefault="00000000" w:rsidRPr="00000000" w14:paraId="00000062">
      <w:pPr>
        <w:spacing w:after="240" w:lineRule="auto"/>
        <w:rPr/>
      </w:pPr>
      <w:r w:rsidDel="00000000" w:rsidR="00000000" w:rsidRPr="00000000">
        <w:rPr>
          <w:rtl w:val="0"/>
        </w:rPr>
        <w:t xml:space="preserve">BHP (2026c) </w:t>
      </w:r>
      <w:r w:rsidDel="00000000" w:rsidR="00000000" w:rsidRPr="00000000">
        <w:rPr>
          <w:i w:val="1"/>
          <w:iCs w:val="1"/>
          <w:rtl w:val="0"/>
        </w:rPr>
        <w:t xml:space="preserve">Progressing multiple technology pathways</w:t>
      </w:r>
      <w:r w:rsidDel="00000000" w:rsidR="00000000" w:rsidRPr="00000000">
        <w:rPr>
          <w:rtl w:val="0"/>
        </w:rPr>
        <w:t xml:space="preserve">, </w:t>
      </w:r>
      <w:r w:rsidDel="00000000" w:rsidR="00000000" w:rsidRPr="00000000">
        <w:rPr>
          <w:i w:val="1"/>
          <w:iCs w:val="1"/>
          <w:rtl w:val="0"/>
        </w:rPr>
        <w:t xml:space="preserve">BHP.com</w:t>
      </w:r>
      <w:r w:rsidDel="00000000" w:rsidR="00000000" w:rsidRPr="00000000">
        <w:rPr>
          <w:rtl w:val="0"/>
        </w:rPr>
        <w:t xml:space="preserve">. Available at: https://www.bhp.com/news/case-studies/2026/08/progressing-multiple-technology-pathways (Accessed: 12 October 2026).</w:t>
      </w:r>
    </w:p>
    <w:p w:rsidR="00000000" w:rsidDel="00000000" w:rsidP="00000000" w:rsidRDefault="00000000" w:rsidRPr="00000000" w14:paraId="00000063">
      <w:pPr>
        <w:spacing w:after="240" w:lineRule="auto"/>
        <w:rPr/>
      </w:pPr>
      <w:r w:rsidDel="00000000" w:rsidR="00000000" w:rsidRPr="00000000">
        <w:rPr>
          <w:rtl w:val="0"/>
        </w:rPr>
        <w:t xml:space="preserve">BHP (2026d) </w:t>
      </w:r>
      <w:r w:rsidDel="00000000" w:rsidR="00000000" w:rsidRPr="00000000">
        <w:rPr>
          <w:i w:val="1"/>
          <w:iCs w:val="1"/>
          <w:rtl w:val="0"/>
        </w:rPr>
        <w:t xml:space="preserve">Why electrification is gaining momentum across Australia’s mining sector</w:t>
      </w:r>
      <w:r w:rsidDel="00000000" w:rsidR="00000000" w:rsidRPr="00000000">
        <w:rPr>
          <w:rtl w:val="0"/>
        </w:rPr>
        <w:t xml:space="preserve">, </w:t>
      </w:r>
      <w:r w:rsidDel="00000000" w:rsidR="00000000" w:rsidRPr="00000000">
        <w:rPr>
          <w:i w:val="1"/>
          <w:iCs w:val="1"/>
          <w:rtl w:val="0"/>
        </w:rPr>
        <w:t xml:space="preserve">BHP.com</w:t>
      </w:r>
      <w:r w:rsidDel="00000000" w:rsidR="00000000" w:rsidRPr="00000000">
        <w:rPr>
          <w:rtl w:val="0"/>
        </w:rPr>
        <w:t xml:space="preserve">. Available at: https://www.bhp.com/news/bhp-insights/2026/06/why-electrification-is-gaining-momentum-across-australias-mining-sector (Accessed: 12 October 2026).</w:t>
      </w:r>
    </w:p>
    <w:p w:rsidR="00000000" w:rsidDel="00000000" w:rsidP="00000000" w:rsidRDefault="00000000" w:rsidRPr="00000000" w14:paraId="00000064">
      <w:pPr>
        <w:spacing w:after="240" w:lineRule="auto"/>
        <w:rPr/>
      </w:pPr>
      <w:r w:rsidDel="00000000" w:rsidR="00000000" w:rsidRPr="00000000">
        <w:rPr>
          <w:rtl w:val="0"/>
        </w:rPr>
        <w:t xml:space="preserve">Department of Climate Change, Energy, the Environment and Water (DCCEEW) (2025) </w:t>
      </w:r>
      <w:r w:rsidDel="00000000" w:rsidR="00000000" w:rsidRPr="00000000">
        <w:rPr>
          <w:i w:val="1"/>
          <w:iCs w:val="1"/>
          <w:rtl w:val="0"/>
        </w:rPr>
        <w:t xml:space="preserve">Safeguard mechanism overview - DCCEEW</w:t>
      </w:r>
      <w:r w:rsidDel="00000000" w:rsidR="00000000" w:rsidRPr="00000000">
        <w:rPr>
          <w:rtl w:val="0"/>
        </w:rPr>
        <w:t xml:space="preserve">, </w:t>
      </w:r>
      <w:r w:rsidDel="00000000" w:rsidR="00000000" w:rsidRPr="00000000">
        <w:rPr>
          <w:i w:val="1"/>
          <w:iCs w:val="1"/>
          <w:rtl w:val="0"/>
        </w:rPr>
        <w:t xml:space="preserve">Dcceew.gov.au</w:t>
      </w:r>
      <w:r w:rsidDel="00000000" w:rsidR="00000000" w:rsidRPr="00000000">
        <w:rPr>
          <w:rtl w:val="0"/>
        </w:rPr>
        <w:t xml:space="preserve">. Available at: https://www.dcceew.gov.au/climate-change/emissions-reporting/national-greenhouse-energy-reporting-scheme/safeguard-mechanism/overview (Accessed: 12 October 2026).</w:t>
      </w:r>
    </w:p>
    <w:p w:rsidR="00000000" w:rsidDel="00000000" w:rsidP="00000000" w:rsidRDefault="00000000" w:rsidRPr="00000000" w14:paraId="00000065">
      <w:pPr>
        <w:spacing w:after="240" w:lineRule="auto"/>
        <w:rPr/>
      </w:pPr>
      <w:r w:rsidDel="00000000" w:rsidR="00000000" w:rsidRPr="00000000">
        <w:rPr>
          <w:rtl w:val="0"/>
        </w:rPr>
        <w:t xml:space="preserve">Department of Industry, Science and Resources (2025) </w:t>
      </w:r>
      <w:r w:rsidDel="00000000" w:rsidR="00000000" w:rsidRPr="00000000">
        <w:rPr>
          <w:i w:val="1"/>
          <w:iCs w:val="1"/>
          <w:rtl w:val="0"/>
        </w:rPr>
        <w:t xml:space="preserve">Incentive for critical minerals production and processing in Australia</w:t>
      </w:r>
      <w:r w:rsidDel="00000000" w:rsidR="00000000" w:rsidRPr="00000000">
        <w:rPr>
          <w:rtl w:val="0"/>
        </w:rPr>
        <w:t xml:space="preserve">. Available at: </w:t>
      </w:r>
      <w:hyperlink r:id="rId8">
        <w:r w:rsidDel="00000000" w:rsidR="00000000" w:rsidRPr="00000000">
          <w:rPr>
            <w:rtl w:val="0"/>
          </w:rPr>
          <w:t xml:space="preserve">https://www.industry.gov.au/news/incentive-critical-minerals-production-and-processing-australia</w:t>
        </w:r>
      </w:hyperlink>
      <w:r w:rsidDel="00000000" w:rsidR="00000000" w:rsidRPr="00000000">
        <w:rPr>
          <w:rtl w:val="0"/>
        </w:rPr>
        <w:t xml:space="preserve"> (Accessed: 13 October 2026).</w:t>
      </w:r>
    </w:p>
    <w:p w:rsidR="00000000" w:rsidDel="00000000" w:rsidP="00000000" w:rsidRDefault="00000000" w:rsidRPr="00000000" w14:paraId="00000066">
      <w:pPr>
        <w:spacing w:after="240" w:lineRule="auto"/>
        <w:rPr/>
      </w:pPr>
      <w:r w:rsidDel="00000000" w:rsidR="00000000" w:rsidRPr="00000000">
        <w:rPr>
          <w:rtl w:val="0"/>
        </w:rPr>
        <w:t xml:space="preserve">Devlin, A. et al. (2023) ‘Global green hydrogen-based steel opportunities surrounding high quality renewable energy and iron ore deposits’, </w:t>
      </w:r>
      <w:r w:rsidDel="00000000" w:rsidR="00000000" w:rsidRPr="00000000">
        <w:rPr>
          <w:i w:val="1"/>
          <w:iCs w:val="1"/>
          <w:rtl w:val="0"/>
        </w:rPr>
        <w:t xml:space="preserve">Nature Communications</w:t>
      </w:r>
      <w:r w:rsidDel="00000000" w:rsidR="00000000" w:rsidRPr="00000000">
        <w:rPr>
          <w:rtl w:val="0"/>
        </w:rPr>
        <w:t xml:space="preserve">, 14, article 2578. Available at: https://www.nature.com/articles/s41467-023-38123-2 (Accessed: 13 October 2026).</w:t>
      </w:r>
    </w:p>
    <w:p w:rsidR="00000000" w:rsidDel="00000000" w:rsidP="00000000" w:rsidRDefault="00000000" w:rsidRPr="00000000" w14:paraId="00000067">
      <w:pPr>
        <w:spacing w:after="240" w:lineRule="auto"/>
        <w:rPr/>
      </w:pPr>
      <w:r w:rsidDel="00000000" w:rsidR="00000000" w:rsidRPr="00000000">
        <w:rPr>
          <w:rtl w:val="0"/>
        </w:rPr>
        <w:t xml:space="preserve">European Commission (2025) </w:t>
      </w:r>
      <w:r w:rsidDel="00000000" w:rsidR="00000000" w:rsidRPr="00000000">
        <w:rPr>
          <w:i w:val="1"/>
          <w:iCs w:val="1"/>
          <w:rtl w:val="0"/>
        </w:rPr>
        <w:t xml:space="preserve">Carbon border adjustment mechanism</w:t>
      </w:r>
      <w:r w:rsidDel="00000000" w:rsidR="00000000" w:rsidRPr="00000000">
        <w:rPr>
          <w:rtl w:val="0"/>
        </w:rPr>
        <w:t xml:space="preserve">, </w:t>
      </w:r>
      <w:r w:rsidDel="00000000" w:rsidR="00000000" w:rsidRPr="00000000">
        <w:rPr>
          <w:i w:val="1"/>
          <w:iCs w:val="1"/>
          <w:rtl w:val="0"/>
        </w:rPr>
        <w:t xml:space="preserve">European Commission</w:t>
      </w:r>
      <w:r w:rsidDel="00000000" w:rsidR="00000000" w:rsidRPr="00000000">
        <w:rPr>
          <w:rtl w:val="0"/>
        </w:rPr>
        <w:t xml:space="preserve">. Available at: https://taxation-customs.ec.europa.eu/carbon-border-adjustment-mechanism_en (Accessed: 12 October 2026).</w:t>
      </w:r>
    </w:p>
    <w:p w:rsidR="00000000" w:rsidDel="00000000" w:rsidP="00000000" w:rsidRDefault="00000000" w:rsidRPr="00000000" w14:paraId="00000068">
      <w:pPr>
        <w:spacing w:after="240" w:lineRule="auto"/>
        <w:rPr/>
      </w:pPr>
      <w:r w:rsidDel="00000000" w:rsidR="00000000" w:rsidRPr="00000000">
        <w:rPr>
          <w:rtl w:val="0"/>
        </w:rPr>
        <w:t xml:space="preserve">Hooley, G.J., Nicoulaud, B., Rudd, J.M. and Lee, N. (2020) </w:t>
      </w:r>
      <w:r w:rsidDel="00000000" w:rsidR="00000000" w:rsidRPr="00000000">
        <w:rPr>
          <w:i w:val="1"/>
          <w:iCs w:val="1"/>
          <w:rtl w:val="0"/>
        </w:rPr>
        <w:t xml:space="preserve">Marketing strategy and competitive positioning</w:t>
      </w:r>
      <w:r w:rsidDel="00000000" w:rsidR="00000000" w:rsidRPr="00000000">
        <w:rPr>
          <w:rtl w:val="0"/>
        </w:rPr>
        <w:t xml:space="preserve">. 7th edn. Harlow: Pearson.</w:t>
      </w:r>
    </w:p>
    <w:p w:rsidR="00000000" w:rsidDel="00000000" w:rsidP="00000000" w:rsidRDefault="00000000" w:rsidRPr="00000000" w14:paraId="00000069">
      <w:pPr>
        <w:spacing w:after="240" w:lineRule="auto"/>
        <w:rPr/>
      </w:pPr>
      <w:r w:rsidDel="00000000" w:rsidR="00000000" w:rsidRPr="00000000">
        <w:rPr>
          <w:rtl w:val="0"/>
        </w:rPr>
        <w:t xml:space="preserve">Hu, G., Xu, Z. and Chen, W. (2026) ‘Comparative mapping of ESG greenwashing research between China and the global context: a CiteSpace-based bibliometric analysis’, </w:t>
      </w:r>
      <w:r w:rsidDel="00000000" w:rsidR="00000000" w:rsidRPr="00000000">
        <w:rPr>
          <w:i w:val="1"/>
          <w:iCs w:val="1"/>
          <w:rtl w:val="0"/>
        </w:rPr>
        <w:t xml:space="preserve">Frontiers in Sustainability</w:t>
      </w:r>
      <w:r w:rsidDel="00000000" w:rsidR="00000000" w:rsidRPr="00000000">
        <w:rPr>
          <w:rtl w:val="0"/>
        </w:rPr>
        <w:t xml:space="preserve">. Available at: https://doi.org/10.3389/frsus.2025.1738383 (Accessed: 13 October 2026).</w:t>
      </w:r>
    </w:p>
    <w:p w:rsidR="00000000" w:rsidDel="00000000" w:rsidP="00000000" w:rsidRDefault="00000000" w:rsidRPr="00000000" w14:paraId="0000006A">
      <w:pPr>
        <w:spacing w:after="240" w:lineRule="auto"/>
        <w:rPr/>
      </w:pPr>
      <w:r w:rsidDel="00000000" w:rsidR="00000000" w:rsidRPr="00000000">
        <w:rPr>
          <w:rtl w:val="0"/>
        </w:rPr>
        <w:t xml:space="preserve">International Energy Agency (2025a) </w:t>
      </w:r>
      <w:r w:rsidDel="00000000" w:rsidR="00000000" w:rsidRPr="00000000">
        <w:rPr>
          <w:i w:val="1"/>
          <w:iCs w:val="1"/>
          <w:rtl w:val="0"/>
        </w:rPr>
        <w:t xml:space="preserve">Steel – breakthrough agenda report 2025 – analysis - IEA</w:t>
      </w:r>
      <w:r w:rsidDel="00000000" w:rsidR="00000000" w:rsidRPr="00000000">
        <w:rPr>
          <w:rtl w:val="0"/>
        </w:rPr>
        <w:t xml:space="preserve">, IEA. Available at: https://www.iea.org/reports/breakthrough-agenda-report-2025/steel (Accessed: 12 October 2026).</w:t>
      </w:r>
    </w:p>
    <w:p w:rsidR="00000000" w:rsidDel="00000000" w:rsidP="00000000" w:rsidRDefault="00000000" w:rsidRPr="00000000" w14:paraId="0000006B">
      <w:pPr>
        <w:spacing w:after="240" w:lineRule="auto"/>
        <w:rPr/>
      </w:pPr>
      <w:r w:rsidDel="00000000" w:rsidR="00000000" w:rsidRPr="00000000">
        <w:rPr>
          <w:rtl w:val="0"/>
        </w:rPr>
        <w:t xml:space="preserve">International Energy Agency (2025b) </w:t>
      </w:r>
      <w:r w:rsidDel="00000000" w:rsidR="00000000" w:rsidRPr="00000000">
        <w:rPr>
          <w:i w:val="1"/>
          <w:iCs w:val="1"/>
          <w:rtl w:val="0"/>
        </w:rPr>
        <w:t xml:space="preserve">Copper</w:t>
      </w:r>
      <w:r w:rsidDel="00000000" w:rsidR="00000000" w:rsidRPr="00000000">
        <w:rPr>
          <w:rtl w:val="0"/>
        </w:rPr>
        <w:t xml:space="preserve">, in </w:t>
      </w:r>
      <w:r w:rsidDel="00000000" w:rsidR="00000000" w:rsidRPr="00000000">
        <w:rPr>
          <w:i w:val="1"/>
          <w:iCs w:val="1"/>
          <w:rtl w:val="0"/>
        </w:rPr>
        <w:t xml:space="preserve">Global critical minerals outlook 2025</w:t>
      </w:r>
      <w:r w:rsidDel="00000000" w:rsidR="00000000" w:rsidRPr="00000000">
        <w:rPr>
          <w:rtl w:val="0"/>
        </w:rPr>
        <w:t xml:space="preserve">. Paris: IEA. Available at: https://iea.org/reports/copper-2 (Accessed: 13 October 2026).</w:t>
      </w:r>
    </w:p>
    <w:p w:rsidR="00000000" w:rsidDel="00000000" w:rsidP="00000000" w:rsidRDefault="00000000" w:rsidRPr="00000000" w14:paraId="0000006C">
      <w:pPr>
        <w:spacing w:after="240" w:lineRule="auto"/>
        <w:rPr/>
      </w:pPr>
      <w:r w:rsidDel="00000000" w:rsidR="00000000" w:rsidRPr="00000000">
        <w:rPr>
          <w:rtl w:val="0"/>
        </w:rPr>
        <w:t xml:space="preserve">Johnson, G., Whittington, R., Scholes, K., Angwin, D. and Regnér, P. (2017) </w:t>
      </w:r>
      <w:r w:rsidDel="00000000" w:rsidR="00000000" w:rsidRPr="00000000">
        <w:rPr>
          <w:i w:val="1"/>
          <w:iCs w:val="1"/>
          <w:rtl w:val="0"/>
        </w:rPr>
        <w:t xml:space="preserve">Exploring strategy: text and cases</w:t>
      </w:r>
      <w:r w:rsidDel="00000000" w:rsidR="00000000" w:rsidRPr="00000000">
        <w:rPr>
          <w:rtl w:val="0"/>
        </w:rPr>
        <w:t xml:space="preserve">. 11th edn. Harlow: Pearson Education.</w:t>
      </w:r>
    </w:p>
    <w:p w:rsidR="00000000" w:rsidDel="00000000" w:rsidP="00000000" w:rsidRDefault="00000000" w:rsidRPr="00000000" w14:paraId="0000006D">
      <w:pPr>
        <w:spacing w:after="240" w:lineRule="auto"/>
        <w:rPr/>
      </w:pPr>
      <w:r w:rsidDel="00000000" w:rsidR="00000000" w:rsidRPr="00000000">
        <w:rPr>
          <w:rtl w:val="0"/>
        </w:rPr>
        <w:t xml:space="preserve">Kotler, P., Armstrong, G., Harris, L., and Piercy, N. (2020) </w:t>
      </w:r>
      <w:r w:rsidDel="00000000" w:rsidR="00000000" w:rsidRPr="00000000">
        <w:rPr>
          <w:i w:val="1"/>
          <w:iCs w:val="1"/>
          <w:rtl w:val="0"/>
        </w:rPr>
        <w:t xml:space="preserve">Principles of marketing</w:t>
      </w:r>
      <w:r w:rsidDel="00000000" w:rsidR="00000000" w:rsidRPr="00000000">
        <w:rPr>
          <w:rtl w:val="0"/>
        </w:rPr>
        <w:t xml:space="preserve">. 8th European edn. Harlow: Pearson.</w:t>
      </w:r>
    </w:p>
    <w:p w:rsidR="00000000" w:rsidDel="00000000" w:rsidP="00000000" w:rsidRDefault="00000000" w:rsidRPr="00000000" w14:paraId="0000006E">
      <w:pPr>
        <w:spacing w:after="240" w:lineRule="auto"/>
        <w:rPr/>
      </w:pPr>
      <w:r w:rsidDel="00000000" w:rsidR="00000000" w:rsidRPr="00000000">
        <w:rPr>
          <w:rtl w:val="0"/>
        </w:rPr>
        <w:t xml:space="preserve">Kotler, P., Armstrong, G., Harris, L.C. and He, H. (2019) </w:t>
      </w:r>
      <w:r w:rsidDel="00000000" w:rsidR="00000000" w:rsidRPr="00000000">
        <w:rPr>
          <w:i w:val="1"/>
          <w:iCs w:val="1"/>
          <w:rtl w:val="0"/>
        </w:rPr>
        <w:t xml:space="preserve">Principles of marketing</w:t>
      </w:r>
      <w:r w:rsidDel="00000000" w:rsidR="00000000" w:rsidRPr="00000000">
        <w:rPr>
          <w:rtl w:val="0"/>
        </w:rPr>
        <w:t xml:space="preserve">. Pearson Higher Ed.</w:t>
      </w:r>
    </w:p>
    <w:p w:rsidR="00000000" w:rsidDel="00000000" w:rsidP="00000000" w:rsidRDefault="00000000" w:rsidRPr="00000000" w14:paraId="0000006F">
      <w:pPr>
        <w:spacing w:after="240" w:lineRule="auto"/>
        <w:rPr/>
      </w:pPr>
      <w:r w:rsidDel="00000000" w:rsidR="00000000" w:rsidRPr="00000000">
        <w:rPr>
          <w:rtl w:val="0"/>
        </w:rPr>
        <w:t xml:space="preserve">Rahbari, A. et al. (2025) ‘Production of green steel from low-grade ores: an end-to-end techno-economic assessment’, </w:t>
      </w:r>
      <w:r w:rsidDel="00000000" w:rsidR="00000000" w:rsidRPr="00000000">
        <w:rPr>
          <w:i w:val="1"/>
          <w:iCs w:val="1"/>
          <w:rtl w:val="0"/>
        </w:rPr>
        <w:t xml:space="preserve">Cell Reports Sustainability</w:t>
      </w:r>
      <w:r w:rsidDel="00000000" w:rsidR="00000000" w:rsidRPr="00000000">
        <w:rPr>
          <w:rtl w:val="0"/>
        </w:rPr>
        <w:t xml:space="preserve">, 2(1), 100301. Available at: https://doi.org/10.1016/j.crsus.2024.100301 (Accessed: 13 October 2026).</w:t>
      </w:r>
    </w:p>
    <w:p w:rsidR="00000000" w:rsidDel="00000000" w:rsidP="00000000" w:rsidRDefault="00000000" w:rsidRPr="00000000" w14:paraId="00000070">
      <w:pPr>
        <w:spacing w:after="240" w:lineRule="auto"/>
        <w:rPr/>
      </w:pPr>
      <w:r w:rsidDel="00000000" w:rsidR="00000000" w:rsidRPr="00000000">
        <w:rPr>
          <w:rtl w:val="0"/>
        </w:rPr>
        <w:t xml:space="preserve">Whittington, R., Regnér, P., Angwin, D., Johnson, G. and Scholes, K. (2023) </w:t>
      </w:r>
      <w:r w:rsidDel="00000000" w:rsidR="00000000" w:rsidRPr="00000000">
        <w:rPr>
          <w:i w:val="1"/>
          <w:iCs w:val="1"/>
          <w:rtl w:val="0"/>
        </w:rPr>
        <w:t xml:space="preserve">Exploring strategy: text and cases</w:t>
      </w:r>
      <w:r w:rsidDel="00000000" w:rsidR="00000000" w:rsidRPr="00000000">
        <w:rPr>
          <w:rtl w:val="0"/>
        </w:rPr>
        <w:t xml:space="preserve">. 13th edn. Harlow: Pearson.</w:t>
      </w:r>
    </w:p>
    <w:sectPr>
      <w:headerReference r:id="rId9" w:type="first"/>
      <w:footerReference r:id="rId10" w:type="default"/>
      <w:footerReference r:id="rId11"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i w:val="1"/>
      <w:i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accc.gov.au/business/advertising-and-promotions/environmental-and-sustainability-claims" TargetMode="External"/><Relationship Id="rId8" Type="http://schemas.openxmlformats.org/officeDocument/2006/relationships/hyperlink" Target="https://www.industry.gov.au/news/incentive-critical-minerals-production-and-processing-austral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