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8FDAB" w14:textId="77777777" w:rsidR="006E2CB2" w:rsidRDefault="006E2CB2" w:rsidP="006E2CB2">
      <w:pPr>
        <w:spacing w:line="360" w:lineRule="auto"/>
        <w:jc w:val="center"/>
        <w:rPr>
          <w:rFonts w:ascii="Arial" w:hAnsi="Arial" w:cs="Arial"/>
          <w:b/>
          <w:bCs/>
        </w:rPr>
      </w:pPr>
    </w:p>
    <w:p w14:paraId="6BDCA549" w14:textId="77777777" w:rsidR="006E2CB2" w:rsidRDefault="006E2CB2" w:rsidP="006E2CB2">
      <w:pPr>
        <w:spacing w:line="360" w:lineRule="auto"/>
        <w:jc w:val="center"/>
        <w:rPr>
          <w:rFonts w:ascii="Arial" w:hAnsi="Arial" w:cs="Arial"/>
          <w:b/>
          <w:bCs/>
        </w:rPr>
      </w:pPr>
    </w:p>
    <w:p w14:paraId="30CE7070" w14:textId="77777777" w:rsidR="006E2CB2" w:rsidRDefault="006E2CB2" w:rsidP="006E2CB2">
      <w:pPr>
        <w:spacing w:line="360" w:lineRule="auto"/>
        <w:jc w:val="center"/>
        <w:rPr>
          <w:rFonts w:ascii="Arial" w:hAnsi="Arial" w:cs="Arial"/>
          <w:b/>
          <w:bCs/>
        </w:rPr>
      </w:pPr>
    </w:p>
    <w:p w14:paraId="21E2A2D1" w14:textId="77777777" w:rsidR="006E2CB2" w:rsidRDefault="006E2CB2" w:rsidP="006E2CB2">
      <w:pPr>
        <w:spacing w:line="360" w:lineRule="auto"/>
        <w:jc w:val="center"/>
        <w:rPr>
          <w:rFonts w:ascii="Arial" w:hAnsi="Arial" w:cs="Arial"/>
          <w:b/>
          <w:bCs/>
        </w:rPr>
      </w:pPr>
    </w:p>
    <w:p w14:paraId="50F55AF7" w14:textId="2D00C950" w:rsidR="006E2CB2" w:rsidRDefault="006E2CB2" w:rsidP="006E2CB2">
      <w:pPr>
        <w:spacing w:line="360" w:lineRule="auto"/>
        <w:jc w:val="center"/>
        <w:rPr>
          <w:rFonts w:ascii="Arial" w:hAnsi="Arial" w:cs="Arial"/>
          <w:b/>
          <w:bCs/>
        </w:rPr>
      </w:pPr>
    </w:p>
    <w:p w14:paraId="1237DC34" w14:textId="55D273A9" w:rsidR="00D47E0B" w:rsidRDefault="00C97DCD" w:rsidP="006E2CB2">
      <w:pPr>
        <w:spacing w:line="360" w:lineRule="auto"/>
        <w:jc w:val="center"/>
        <w:rPr>
          <w:rFonts w:ascii="Arial" w:hAnsi="Arial" w:cs="Arial"/>
          <w:b/>
          <w:bCs/>
        </w:rPr>
      </w:pPr>
      <w:r>
        <w:rPr>
          <w:rFonts w:ascii="Arial" w:hAnsi="Arial" w:cs="Arial"/>
          <w:b/>
          <w:bCs/>
        </w:rPr>
        <w:t xml:space="preserve">STUDENT NAME: SAJIDA POSELAY </w:t>
      </w:r>
    </w:p>
    <w:p w14:paraId="2E7C67CF" w14:textId="18F6125A" w:rsidR="00D47E0B" w:rsidRDefault="00C97DCD" w:rsidP="00C97DCD">
      <w:pPr>
        <w:spacing w:line="360" w:lineRule="auto"/>
        <w:jc w:val="center"/>
        <w:rPr>
          <w:rFonts w:ascii="Arial" w:hAnsi="Arial" w:cs="Arial"/>
          <w:b/>
          <w:bCs/>
        </w:rPr>
      </w:pPr>
      <w:r>
        <w:rPr>
          <w:rFonts w:ascii="Arial" w:hAnsi="Arial" w:cs="Arial"/>
          <w:b/>
          <w:bCs/>
        </w:rPr>
        <w:t>STUDENT ID: 2407315</w:t>
      </w:r>
    </w:p>
    <w:p w14:paraId="4830E6EF" w14:textId="7FB398DD" w:rsidR="00F20241"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PROGRAMME: BSC HEALTH AND SOCIAL CARE</w:t>
      </w:r>
    </w:p>
    <w:p w14:paraId="0C4903E3" w14:textId="054653BC" w:rsidR="006E2CB2" w:rsidRPr="00F6206D" w:rsidRDefault="00F6206D" w:rsidP="00D47E0B">
      <w:pPr>
        <w:spacing w:line="360" w:lineRule="auto"/>
        <w:jc w:val="center"/>
        <w:rPr>
          <w:rFonts w:ascii="Arial" w:hAnsi="Arial" w:cs="Arial"/>
          <w:b/>
          <w:bCs/>
          <w:sz w:val="24"/>
          <w:szCs w:val="24"/>
        </w:rPr>
      </w:pPr>
      <w:r w:rsidRPr="00F6206D">
        <w:rPr>
          <w:rFonts w:ascii="Arial" w:hAnsi="Arial" w:cs="Arial"/>
          <w:b/>
          <w:bCs/>
          <w:sz w:val="24"/>
          <w:szCs w:val="24"/>
        </w:rPr>
        <w:t>MODULE: CHANGEMAKERS: CREATIVITY AND VALUE CREATION</w:t>
      </w:r>
    </w:p>
    <w:p w14:paraId="7034E30F" w14:textId="51012D2E"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ASSIGNMENT TITLE: COMPONENT 2: WRITTEN ASSIGNMENT (REPORT)</w:t>
      </w:r>
    </w:p>
    <w:p w14:paraId="0DE6E350" w14:textId="6D47EFA1"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UNIVERSITY OF WALES</w:t>
      </w:r>
    </w:p>
    <w:p w14:paraId="3DE76955" w14:textId="3EE4173D" w:rsidR="006E2CB2" w:rsidRPr="00F6206D" w:rsidRDefault="006E2CB2" w:rsidP="00D47E0B">
      <w:pPr>
        <w:spacing w:line="360" w:lineRule="auto"/>
        <w:jc w:val="center"/>
        <w:rPr>
          <w:rFonts w:ascii="Arial" w:hAnsi="Arial" w:cs="Arial"/>
          <w:b/>
          <w:bCs/>
          <w:sz w:val="24"/>
          <w:szCs w:val="24"/>
        </w:rPr>
      </w:pPr>
      <w:r w:rsidRPr="00F6206D">
        <w:rPr>
          <w:rFonts w:ascii="Arial" w:hAnsi="Arial" w:cs="Arial"/>
          <w:b/>
          <w:bCs/>
          <w:sz w:val="24"/>
          <w:szCs w:val="24"/>
        </w:rPr>
        <w:t>SUBMISSION DATE: APRIL 30</w:t>
      </w:r>
      <w:r w:rsidRPr="00F6206D">
        <w:rPr>
          <w:rFonts w:ascii="Arial" w:hAnsi="Arial" w:cs="Arial"/>
          <w:b/>
          <w:bCs/>
          <w:sz w:val="24"/>
          <w:szCs w:val="24"/>
          <w:vertAlign w:val="superscript"/>
        </w:rPr>
        <w:t>TH</w:t>
      </w:r>
      <w:r w:rsidRPr="00F6206D">
        <w:rPr>
          <w:rFonts w:ascii="Arial" w:hAnsi="Arial" w:cs="Arial"/>
          <w:b/>
          <w:bCs/>
          <w:sz w:val="24"/>
          <w:szCs w:val="24"/>
        </w:rPr>
        <w:t>, 2026</w:t>
      </w:r>
    </w:p>
    <w:p w14:paraId="18621680" w14:textId="77777777" w:rsidR="00F20241" w:rsidRPr="006E2CB2" w:rsidRDefault="00F20241" w:rsidP="006E2CB2">
      <w:pPr>
        <w:spacing w:line="360" w:lineRule="auto"/>
        <w:jc w:val="center"/>
        <w:rPr>
          <w:rFonts w:ascii="Arial" w:hAnsi="Arial" w:cs="Arial"/>
          <w:b/>
          <w:bCs/>
        </w:rPr>
      </w:pPr>
    </w:p>
    <w:p w14:paraId="2BD87B33" w14:textId="77777777" w:rsidR="00F20241" w:rsidRPr="006E2CB2" w:rsidRDefault="00F20241" w:rsidP="0047185C">
      <w:pPr>
        <w:spacing w:line="360" w:lineRule="auto"/>
        <w:jc w:val="both"/>
        <w:rPr>
          <w:rFonts w:ascii="Arial" w:hAnsi="Arial" w:cs="Arial"/>
          <w:b/>
          <w:bCs/>
        </w:rPr>
      </w:pPr>
    </w:p>
    <w:p w14:paraId="5F26BE0F" w14:textId="77777777" w:rsidR="006E2CB2" w:rsidRDefault="006E2CB2">
      <w:pPr>
        <w:rPr>
          <w:rFonts w:ascii="Arial" w:hAnsi="Arial" w:cs="Arial"/>
          <w:b/>
          <w:bCs/>
        </w:rPr>
      </w:pPr>
      <w:r>
        <w:rPr>
          <w:rFonts w:ascii="Arial" w:hAnsi="Arial" w:cs="Arial"/>
          <w:b/>
          <w:bCs/>
        </w:rPr>
        <w:br w:type="page"/>
      </w:r>
    </w:p>
    <w:p w14:paraId="579813DB" w14:textId="55C5EE76" w:rsidR="00F20241" w:rsidRPr="006E2CB2" w:rsidRDefault="00F20241" w:rsidP="0047185C">
      <w:pPr>
        <w:spacing w:line="360" w:lineRule="auto"/>
        <w:jc w:val="both"/>
        <w:rPr>
          <w:rFonts w:ascii="Arial" w:hAnsi="Arial" w:cs="Arial"/>
          <w:b/>
          <w:bCs/>
        </w:rPr>
      </w:pPr>
      <w:r w:rsidRPr="006E2CB2">
        <w:rPr>
          <w:rFonts w:ascii="Arial" w:hAnsi="Arial" w:cs="Arial"/>
          <w:b/>
          <w:bCs/>
        </w:rPr>
        <w:lastRenderedPageBreak/>
        <w:t>Part 1</w:t>
      </w:r>
      <w:r w:rsidR="00D47E0B">
        <w:rPr>
          <w:rFonts w:ascii="Arial" w:hAnsi="Arial" w:cs="Arial"/>
          <w:b/>
          <w:bCs/>
        </w:rPr>
        <w:t xml:space="preserve">: </w:t>
      </w:r>
      <w:r w:rsidRPr="006E2CB2">
        <w:rPr>
          <w:rFonts w:ascii="Arial" w:hAnsi="Arial" w:cs="Arial"/>
          <w:b/>
          <w:bCs/>
        </w:rPr>
        <w:t xml:space="preserve">Poster presentation </w:t>
      </w:r>
    </w:p>
    <w:p w14:paraId="1ADD2C7A" w14:textId="549745C4" w:rsidR="00F20241" w:rsidRPr="006E2CB2" w:rsidRDefault="00F20241" w:rsidP="0047185C">
      <w:pPr>
        <w:spacing w:line="360" w:lineRule="auto"/>
        <w:jc w:val="both"/>
        <w:rPr>
          <w:rFonts w:ascii="Arial" w:hAnsi="Arial" w:cs="Arial"/>
          <w:b/>
          <w:bCs/>
        </w:rPr>
      </w:pPr>
      <w:r w:rsidRPr="006E2CB2">
        <w:rPr>
          <w:rFonts w:ascii="Arial" w:hAnsi="Arial" w:cs="Arial"/>
          <w:b/>
          <w:bCs/>
        </w:rPr>
        <w:object w:dxaOrig="2917" w:dyaOrig="816" w14:anchorId="4A5C4DD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5.8pt;height:40.8pt" o:ole="">
            <v:imagedata r:id="rId6" o:title=""/>
          </v:shape>
          <o:OLEObject Type="Embed" ProgID="Package" ShapeID="_x0000_i1025" DrawAspect="Content" ObjectID="_1835727895" r:id="rId7"/>
        </w:object>
      </w:r>
    </w:p>
    <w:p w14:paraId="7F76F733" w14:textId="5D52FD73" w:rsidR="00F20241" w:rsidRPr="006E2CB2" w:rsidRDefault="00F20241" w:rsidP="0047185C">
      <w:pPr>
        <w:spacing w:line="360" w:lineRule="auto"/>
        <w:jc w:val="both"/>
        <w:rPr>
          <w:rFonts w:ascii="Arial" w:hAnsi="Arial" w:cs="Arial"/>
          <w:b/>
          <w:bCs/>
        </w:rPr>
      </w:pPr>
      <w:r w:rsidRPr="006E2CB2">
        <w:rPr>
          <w:rFonts w:ascii="Arial" w:hAnsi="Arial" w:cs="Arial"/>
          <w:b/>
          <w:bCs/>
          <w:noProof/>
        </w:rPr>
        <w:drawing>
          <wp:inline distT="0" distB="0" distL="0" distR="0" wp14:anchorId="4698CB84" wp14:editId="6E94CB95">
            <wp:extent cx="5731510" cy="32054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05480"/>
                    </a:xfrm>
                    <a:prstGeom prst="rect">
                      <a:avLst/>
                    </a:prstGeom>
                  </pic:spPr>
                </pic:pic>
              </a:graphicData>
            </a:graphic>
          </wp:inline>
        </w:drawing>
      </w:r>
    </w:p>
    <w:p w14:paraId="0ACB0B16" w14:textId="77777777" w:rsidR="006E2CB2" w:rsidRDefault="006E2CB2">
      <w:pPr>
        <w:rPr>
          <w:rFonts w:ascii="Arial" w:hAnsi="Arial" w:cs="Arial"/>
          <w:b/>
          <w:bCs/>
        </w:rPr>
      </w:pPr>
      <w:r>
        <w:rPr>
          <w:rFonts w:ascii="Arial" w:hAnsi="Arial" w:cs="Arial"/>
          <w:b/>
          <w:bCs/>
        </w:rPr>
        <w:br w:type="page"/>
      </w:r>
    </w:p>
    <w:p w14:paraId="3E719369" w14:textId="1C450384" w:rsidR="00F20241" w:rsidRPr="006E2CB2" w:rsidRDefault="00F20241" w:rsidP="0047185C">
      <w:pPr>
        <w:spacing w:line="360" w:lineRule="auto"/>
        <w:jc w:val="both"/>
        <w:rPr>
          <w:rFonts w:ascii="Arial" w:hAnsi="Arial" w:cs="Arial"/>
          <w:b/>
          <w:bCs/>
        </w:rPr>
      </w:pPr>
      <w:r w:rsidRPr="006E2CB2">
        <w:rPr>
          <w:rFonts w:ascii="Arial" w:hAnsi="Arial" w:cs="Arial"/>
          <w:b/>
          <w:bCs/>
        </w:rPr>
        <w:lastRenderedPageBreak/>
        <w:t>Part 2</w:t>
      </w:r>
      <w:r w:rsidR="00D47E0B">
        <w:rPr>
          <w:rFonts w:ascii="Arial" w:hAnsi="Arial" w:cs="Arial"/>
          <w:b/>
          <w:bCs/>
        </w:rPr>
        <w:t xml:space="preserve">: </w:t>
      </w:r>
      <w:r w:rsidRPr="006E2CB2">
        <w:rPr>
          <w:rFonts w:ascii="Arial" w:hAnsi="Arial" w:cs="Arial"/>
          <w:b/>
          <w:bCs/>
        </w:rPr>
        <w:t>Poster Pitch</w:t>
      </w:r>
    </w:p>
    <w:p w14:paraId="58BDCEBE" w14:textId="53D21B63" w:rsidR="0047185C" w:rsidRPr="006E2CB2" w:rsidRDefault="0047185C" w:rsidP="0047185C">
      <w:pPr>
        <w:spacing w:line="360" w:lineRule="auto"/>
        <w:jc w:val="both"/>
        <w:rPr>
          <w:rFonts w:ascii="Arial" w:hAnsi="Arial" w:cs="Arial"/>
          <w:b/>
          <w:bCs/>
        </w:rPr>
      </w:pPr>
      <w:r w:rsidRPr="006E2CB2">
        <w:rPr>
          <w:rFonts w:ascii="Arial" w:hAnsi="Arial" w:cs="Arial"/>
          <w:b/>
          <w:bCs/>
        </w:rPr>
        <w:t>Introduction</w:t>
      </w:r>
    </w:p>
    <w:p w14:paraId="04B13CA6" w14:textId="64260020" w:rsidR="0047185C" w:rsidRPr="006E2CB2" w:rsidRDefault="0047185C" w:rsidP="0047185C">
      <w:pPr>
        <w:spacing w:line="360" w:lineRule="auto"/>
        <w:jc w:val="both"/>
        <w:rPr>
          <w:rFonts w:ascii="Arial" w:hAnsi="Arial" w:cs="Arial"/>
        </w:rPr>
      </w:pPr>
      <w:r w:rsidRPr="006E2CB2">
        <w:rPr>
          <w:rFonts w:ascii="Arial" w:hAnsi="Arial" w:cs="Arial"/>
        </w:rPr>
        <w:t xml:space="preserve">The United Kingdom is </w:t>
      </w:r>
      <w:r w:rsidR="00927388">
        <w:rPr>
          <w:rFonts w:ascii="Arial" w:hAnsi="Arial" w:cs="Arial"/>
        </w:rPr>
        <w:t xml:space="preserve">in </w:t>
      </w:r>
      <w:r w:rsidRPr="006E2CB2">
        <w:rPr>
          <w:rFonts w:ascii="Arial" w:hAnsi="Arial" w:cs="Arial"/>
        </w:rPr>
        <w:t xml:space="preserve">a generational mental </w:t>
      </w:r>
      <w:r w:rsidR="00927388" w:rsidRPr="006E2CB2">
        <w:rPr>
          <w:rFonts w:ascii="Arial" w:hAnsi="Arial" w:cs="Arial"/>
        </w:rPr>
        <w:t>health</w:t>
      </w:r>
      <w:r w:rsidRPr="006E2CB2">
        <w:rPr>
          <w:rFonts w:ascii="Arial" w:hAnsi="Arial" w:cs="Arial"/>
        </w:rPr>
        <w:t xml:space="preserve"> Crisis NHS Digital (2023)</w:t>
      </w:r>
      <w:r w:rsidR="00927388">
        <w:rPr>
          <w:rFonts w:ascii="Arial" w:hAnsi="Arial" w:cs="Arial"/>
        </w:rPr>
        <w:t>. 1 mental disorder is probable</w:t>
      </w:r>
      <w:r w:rsidRPr="006E2CB2">
        <w:rPr>
          <w:rFonts w:ascii="Arial" w:hAnsi="Arial" w:cs="Arial"/>
        </w:rPr>
        <w:t xml:space="preserve"> among </w:t>
      </w:r>
      <w:r w:rsidR="00927388">
        <w:rPr>
          <w:rFonts w:ascii="Arial" w:hAnsi="Arial" w:cs="Arial"/>
        </w:rPr>
        <w:t xml:space="preserve">5 </w:t>
      </w:r>
      <w:r w:rsidRPr="006E2CB2">
        <w:rPr>
          <w:rFonts w:ascii="Arial" w:hAnsi="Arial" w:cs="Arial"/>
        </w:rPr>
        <w:t xml:space="preserve">young </w:t>
      </w:r>
      <w:r w:rsidR="00927388">
        <w:rPr>
          <w:rFonts w:ascii="Arial" w:hAnsi="Arial" w:cs="Arial"/>
        </w:rPr>
        <w:t>people</w:t>
      </w:r>
      <w:r w:rsidRPr="006E2CB2">
        <w:rPr>
          <w:rFonts w:ascii="Arial" w:hAnsi="Arial" w:cs="Arial"/>
        </w:rPr>
        <w:t xml:space="preserve"> aged 8-25 in 2023, almost two times higher than the 2017 statistics. The prevalence ranged from 23 per cent among the ages 17-19 years, but 2 out of 3 young people affected by this issue do not approach professional help due to the fear of stigma (Mind, 2024). The </w:t>
      </w:r>
      <w:r w:rsidR="00F96319">
        <w:rPr>
          <w:rFonts w:ascii="Arial" w:hAnsi="Arial" w:cs="Arial"/>
        </w:rPr>
        <w:t>solution to the issue is the</w:t>
      </w:r>
      <w:r w:rsidRPr="006E2CB2">
        <w:rPr>
          <w:rFonts w:ascii="Arial" w:hAnsi="Arial" w:cs="Arial"/>
        </w:rPr>
        <w:t xml:space="preserve"> You Are Not Alone </w:t>
      </w:r>
      <w:r w:rsidR="00F96319" w:rsidRPr="006E2CB2">
        <w:rPr>
          <w:rFonts w:ascii="Arial" w:hAnsi="Arial" w:cs="Arial"/>
        </w:rPr>
        <w:t>campaign</w:t>
      </w:r>
      <w:r w:rsidR="00F96319">
        <w:rPr>
          <w:rFonts w:ascii="Arial" w:hAnsi="Arial" w:cs="Arial"/>
        </w:rPr>
        <w:t xml:space="preserve">, </w:t>
      </w:r>
      <w:r w:rsidR="00F96319" w:rsidRPr="006E2CB2">
        <w:rPr>
          <w:rFonts w:ascii="Arial" w:hAnsi="Arial" w:cs="Arial"/>
        </w:rPr>
        <w:t>an</w:t>
      </w:r>
      <w:r w:rsidRPr="006E2CB2">
        <w:rPr>
          <w:rFonts w:ascii="Arial" w:hAnsi="Arial" w:cs="Arial"/>
        </w:rPr>
        <w:t xml:space="preserve"> innovation in public health professionally developed </w:t>
      </w:r>
      <w:r w:rsidR="00F96319">
        <w:rPr>
          <w:rFonts w:ascii="Arial" w:hAnsi="Arial" w:cs="Arial"/>
        </w:rPr>
        <w:t>to utilise</w:t>
      </w:r>
      <w:r w:rsidRPr="006E2CB2">
        <w:rPr>
          <w:rFonts w:ascii="Arial" w:hAnsi="Arial" w:cs="Arial"/>
        </w:rPr>
        <w:t xml:space="preserve"> creativity, in </w:t>
      </w:r>
      <w:r w:rsidR="00F96319">
        <w:rPr>
          <w:rFonts w:ascii="Arial" w:hAnsi="Arial" w:cs="Arial"/>
        </w:rPr>
        <w:t>line with</w:t>
      </w:r>
      <w:r w:rsidRPr="006E2CB2">
        <w:rPr>
          <w:rFonts w:ascii="Arial" w:hAnsi="Arial" w:cs="Arial"/>
        </w:rPr>
        <w:t xml:space="preserve"> social entrepreneurship suggested by Drucker (1985</w:t>
      </w:r>
      <w:r w:rsidR="00F96319">
        <w:rPr>
          <w:rFonts w:ascii="Arial" w:hAnsi="Arial" w:cs="Arial"/>
        </w:rPr>
        <w:t>)</w:t>
      </w:r>
      <w:r w:rsidRPr="006E2CB2">
        <w:rPr>
          <w:rFonts w:ascii="Arial" w:hAnsi="Arial" w:cs="Arial"/>
        </w:rPr>
        <w:t>. It serves as a campaign, strategy, and service at the same time.</w:t>
      </w:r>
    </w:p>
    <w:p w14:paraId="1E7055D1" w14:textId="20DFB1AE" w:rsidR="0047185C" w:rsidRPr="006E2CB2" w:rsidRDefault="0047185C" w:rsidP="0047185C">
      <w:pPr>
        <w:spacing w:line="360" w:lineRule="auto"/>
        <w:jc w:val="both"/>
        <w:rPr>
          <w:rFonts w:ascii="Arial" w:hAnsi="Arial" w:cs="Arial"/>
          <w:b/>
          <w:bCs/>
        </w:rPr>
      </w:pPr>
      <w:r w:rsidRPr="006E2CB2">
        <w:rPr>
          <w:rFonts w:ascii="Arial" w:hAnsi="Arial" w:cs="Arial"/>
          <w:b/>
          <w:bCs/>
        </w:rPr>
        <w:t>Theoretical and Policy Universal Foundation</w:t>
      </w:r>
    </w:p>
    <w:p w14:paraId="5698FE87" w14:textId="42459292" w:rsidR="0047185C" w:rsidRPr="006E2CB2" w:rsidRDefault="0047185C" w:rsidP="0047185C">
      <w:pPr>
        <w:spacing w:line="360" w:lineRule="auto"/>
        <w:jc w:val="both"/>
        <w:rPr>
          <w:rFonts w:ascii="Arial" w:hAnsi="Arial" w:cs="Arial"/>
        </w:rPr>
      </w:pPr>
      <w:r w:rsidRPr="006E2CB2">
        <w:rPr>
          <w:rFonts w:ascii="Arial" w:hAnsi="Arial" w:cs="Arial"/>
        </w:rPr>
        <w:t xml:space="preserve">This innovation is based upon two complementary frameworks. The Health Belief Model created by Rosenstock (1966) assumes that the perceived threat, individual susceptibility and the belief that useful action exists are the three factors that make the change in behaviour of a person possible, and all these factors are fulfilled by the campaign through its statistics, emotional appeal in the information and the links to the helplines provided through the QR-codes. The thesis by Goffman (1963), Stigma Theory, offers the opposite perspective: stigmatised people will hide the pain of an identity damaged in defending a spoiled identity. Normalisation-oriented campaigns have been </w:t>
      </w:r>
      <w:r w:rsidR="00C50E6F">
        <w:rPr>
          <w:rFonts w:ascii="Arial" w:hAnsi="Arial" w:cs="Arial"/>
        </w:rPr>
        <w:t>proven</w:t>
      </w:r>
      <w:r w:rsidRPr="006E2CB2">
        <w:rPr>
          <w:rFonts w:ascii="Arial" w:hAnsi="Arial" w:cs="Arial"/>
        </w:rPr>
        <w:t xml:space="preserve"> to significantly weaken this concealment, which explains why the non-clinical and inclusive design of the campaign is effective (Corrigan, 2016).</w:t>
      </w:r>
    </w:p>
    <w:p w14:paraId="5465AF8A" w14:textId="4E731EF8" w:rsidR="0047185C" w:rsidRPr="006E2CB2" w:rsidRDefault="0047185C" w:rsidP="0047185C">
      <w:pPr>
        <w:spacing w:line="360" w:lineRule="auto"/>
        <w:jc w:val="both"/>
        <w:rPr>
          <w:rFonts w:ascii="Arial" w:hAnsi="Arial" w:cs="Arial"/>
          <w:b/>
          <w:bCs/>
        </w:rPr>
      </w:pPr>
      <w:r w:rsidRPr="006E2CB2">
        <w:rPr>
          <w:rFonts w:ascii="Arial" w:hAnsi="Arial" w:cs="Arial"/>
          <w:b/>
          <w:bCs/>
        </w:rPr>
        <w:t>Target Community, Impact, and Public Engagement.</w:t>
      </w:r>
    </w:p>
    <w:p w14:paraId="5C0C14E7" w14:textId="0E8AFD3C" w:rsidR="0047185C" w:rsidRPr="006E2CB2" w:rsidRDefault="0047185C" w:rsidP="0047185C">
      <w:pPr>
        <w:spacing w:line="360" w:lineRule="auto"/>
        <w:jc w:val="both"/>
        <w:rPr>
          <w:rFonts w:ascii="Arial" w:hAnsi="Arial" w:cs="Arial"/>
        </w:rPr>
      </w:pPr>
      <w:r w:rsidRPr="006E2CB2">
        <w:rPr>
          <w:rFonts w:ascii="Arial" w:hAnsi="Arial" w:cs="Arial"/>
        </w:rPr>
        <w:t>The first group of respondents is the young adults aged 18-25: they have the highest mental health burden but are the least likely to seek help (</w:t>
      </w:r>
      <w:proofErr w:type="spellStart"/>
      <w:r w:rsidRPr="006E2CB2">
        <w:rPr>
          <w:rFonts w:ascii="Arial" w:hAnsi="Arial" w:cs="Arial"/>
        </w:rPr>
        <w:t>YoungMinds</w:t>
      </w:r>
      <w:proofErr w:type="spellEnd"/>
      <w:r w:rsidRPr="006E2CB2">
        <w:rPr>
          <w:rFonts w:ascii="Arial" w:hAnsi="Arial" w:cs="Arial"/>
        </w:rPr>
        <w:t>, 2024). The most significant professional delivery partners are considered to be GP practises, university counselling services, and community mental health teams - all with a pre-existing relationship with this age group. The campaign will be promoted to them on three media: A0/A1 posters in high-footfall locations; QR-enabled online content with live helplines; social media engagement through the use of a hashtag, specifically, #YouAreNotAloneUK. NHS procurement rates would mean very little in terms of print production cost, and QR digital infrastructure will be free of charge, hosted on NHS Digital, with no extra cost on Integrated Care Boards, so this is a high-impact, low-cost prevention investment.</w:t>
      </w:r>
    </w:p>
    <w:p w14:paraId="568ABE9A" w14:textId="7F7060C2" w:rsidR="0047185C" w:rsidRPr="006E2CB2" w:rsidRDefault="0047185C" w:rsidP="0047185C">
      <w:pPr>
        <w:spacing w:line="360" w:lineRule="auto"/>
        <w:jc w:val="both"/>
        <w:rPr>
          <w:rFonts w:ascii="Arial" w:hAnsi="Arial" w:cs="Arial"/>
        </w:rPr>
      </w:pPr>
      <w:r w:rsidRPr="006E2CB2">
        <w:rPr>
          <w:rFonts w:ascii="Arial" w:hAnsi="Arial" w:cs="Arial"/>
        </w:rPr>
        <w:t xml:space="preserve">There are secondary beneficiaries that are beyond an individual. The DHSC (2022) contextualises the early mental health intervention as a central economic priority in the </w:t>
      </w:r>
      <w:r w:rsidRPr="006E2CB2">
        <w:rPr>
          <w:rFonts w:ascii="Arial" w:hAnsi="Arial" w:cs="Arial"/>
        </w:rPr>
        <w:lastRenderedPageBreak/>
        <w:t>country, and prevention can lower the final NHS expenses by more than sixty per cent (NHS England, 2019). Families get to understand mental health; the community gets familiarised with normalised discourse. It does not mean that the general audience is passive; sharing the poster and using the hashtag makes people active agents to change the cultural norms that keep the youth silent. This participatory model is a social value creation model: joint action that creates a public good that no institution has access to separately.</w:t>
      </w:r>
    </w:p>
    <w:p w14:paraId="23BF0E3C" w14:textId="77777777" w:rsidR="0047185C" w:rsidRPr="006E2CB2" w:rsidRDefault="0047185C" w:rsidP="0047185C">
      <w:pPr>
        <w:spacing w:line="360" w:lineRule="auto"/>
        <w:jc w:val="both"/>
        <w:rPr>
          <w:rFonts w:ascii="Arial" w:hAnsi="Arial" w:cs="Arial"/>
          <w:b/>
          <w:bCs/>
        </w:rPr>
      </w:pPr>
      <w:r w:rsidRPr="006E2CB2">
        <w:rPr>
          <w:rFonts w:ascii="Arial" w:hAnsi="Arial" w:cs="Arial"/>
          <w:b/>
          <w:bCs/>
        </w:rPr>
        <w:t>Critical Evaluation</w:t>
      </w:r>
    </w:p>
    <w:p w14:paraId="7391EA09" w14:textId="06B193A4" w:rsidR="0047185C" w:rsidRPr="006E2CB2" w:rsidRDefault="0047185C" w:rsidP="0047185C">
      <w:pPr>
        <w:spacing w:line="360" w:lineRule="auto"/>
        <w:jc w:val="both"/>
        <w:rPr>
          <w:rFonts w:ascii="Arial" w:hAnsi="Arial" w:cs="Arial"/>
        </w:rPr>
      </w:pPr>
      <w:r w:rsidRPr="006E2CB2">
        <w:rPr>
          <w:rFonts w:ascii="Arial" w:hAnsi="Arial" w:cs="Arial"/>
        </w:rPr>
        <w:t xml:space="preserve">Intellectual rigour requires bearing in mind the constraints of this campaign. To begin with, interventions based on posters can be contested in their evidence base: whereas normalisation interventions lower the attitudinal levels of stigma (Corrigan, 2016), their impact on the real help-seeking behaviour is less clearly proven. This is why the campaign cannot be used as a standalone poster; the QR chatbot, institutional distribution to NHS ICBs and Mind, and social media amplification create a multi-modal system that is supposed to transform awareness into action. Second, there is always some structural inequality: QR and social media factors assume connectivity not guaranteed to all young people, especially those in less socioeconomic groups, as reliable. This is alleviated to some extent by the print component, but there must be permanent investment in physical distribution networks. Third, the score of the long-term effect needs to be checked: the 12-month rollout plan consists of outcome measurement through the </w:t>
      </w:r>
      <w:proofErr w:type="spellStart"/>
      <w:r w:rsidRPr="006E2CB2">
        <w:rPr>
          <w:rFonts w:ascii="Arial" w:hAnsi="Arial" w:cs="Arial"/>
        </w:rPr>
        <w:t>YoungMinds</w:t>
      </w:r>
      <w:proofErr w:type="spellEnd"/>
      <w:r w:rsidRPr="006E2CB2">
        <w:rPr>
          <w:rFonts w:ascii="Arial" w:hAnsi="Arial" w:cs="Arial"/>
        </w:rPr>
        <w:t xml:space="preserve"> partnership and reach analytics, yet post-campaign longitudinal statistics on the help-seeking rates are another gap that has yet to be bridged in the literature.</w:t>
      </w:r>
    </w:p>
    <w:p w14:paraId="3FCC5E18" w14:textId="77777777" w:rsidR="0047185C" w:rsidRPr="006E2CB2" w:rsidRDefault="0047185C" w:rsidP="0047185C">
      <w:pPr>
        <w:spacing w:line="360" w:lineRule="auto"/>
        <w:jc w:val="both"/>
        <w:rPr>
          <w:rFonts w:ascii="Arial" w:hAnsi="Arial" w:cs="Arial"/>
          <w:b/>
          <w:bCs/>
        </w:rPr>
      </w:pPr>
      <w:r w:rsidRPr="006E2CB2">
        <w:rPr>
          <w:rFonts w:ascii="Arial" w:hAnsi="Arial" w:cs="Arial"/>
          <w:b/>
          <w:bCs/>
        </w:rPr>
        <w:t>Conclusion</w:t>
      </w:r>
    </w:p>
    <w:p w14:paraId="41E401CC" w14:textId="07E40627" w:rsidR="00666549" w:rsidRPr="006E2CB2" w:rsidRDefault="0047185C" w:rsidP="0047185C">
      <w:pPr>
        <w:spacing w:line="360" w:lineRule="auto"/>
        <w:jc w:val="both"/>
        <w:rPr>
          <w:rFonts w:ascii="Arial" w:hAnsi="Arial" w:cs="Arial"/>
        </w:rPr>
      </w:pPr>
      <w:r w:rsidRPr="006E2CB2">
        <w:rPr>
          <w:rFonts w:ascii="Arial" w:hAnsi="Arial" w:cs="Arial"/>
        </w:rPr>
        <w:t>The campaign, You Are Not Alone, is a policy-focused, theoretically-based, and viable campaign. It is based on the Health Belief Model (Rosenstock, 1966) and the Stigma Theory proposed by Goffman (</w:t>
      </w:r>
      <w:r w:rsidR="00180EA4" w:rsidRPr="006E2CB2">
        <w:rPr>
          <w:rFonts w:ascii="Arial" w:hAnsi="Arial" w:cs="Arial"/>
        </w:rPr>
        <w:t>2009</w:t>
      </w:r>
      <w:r w:rsidRPr="006E2CB2">
        <w:rPr>
          <w:rFonts w:ascii="Arial" w:hAnsi="Arial" w:cs="Arial"/>
        </w:rPr>
        <w:t>), which fits the requirements of DHSC 2022 and the NICE CG123, and is designed with a strong focus on equity and the overall cost-effectiveness in the core, where the clinical services cannot intervene: before a young person decides whether to seek help or not. Its drawbacks are actual yet overcome; its prospects of changing the common good are enormous. The need is clear. The evidence is strong. This is a campaign that should be adopted.</w:t>
      </w:r>
    </w:p>
    <w:p w14:paraId="7808155F" w14:textId="77777777" w:rsidR="00C97DCD" w:rsidRDefault="00C97DCD">
      <w:pPr>
        <w:rPr>
          <w:rFonts w:ascii="Arial" w:eastAsia="Arial" w:hAnsi="Arial" w:cs="Arial"/>
          <w:b/>
          <w:bCs/>
          <w:lang w:val="en-KE" w:eastAsia="en-KE"/>
        </w:rPr>
      </w:pPr>
      <w:r>
        <w:br w:type="page"/>
      </w:r>
    </w:p>
    <w:p w14:paraId="2C1384C2" w14:textId="12378C25" w:rsidR="00180EA4" w:rsidRPr="00C97DCD" w:rsidRDefault="00180EA4" w:rsidP="00180EA4">
      <w:pPr>
        <w:pStyle w:val="Heading1"/>
        <w:spacing w:line="360" w:lineRule="auto"/>
        <w:rPr>
          <w:color w:val="auto"/>
          <w:sz w:val="22"/>
          <w:szCs w:val="22"/>
        </w:rPr>
      </w:pPr>
      <w:r w:rsidRPr="00C97DCD">
        <w:rPr>
          <w:color w:val="auto"/>
          <w:sz w:val="22"/>
          <w:szCs w:val="22"/>
        </w:rPr>
        <w:lastRenderedPageBreak/>
        <w:t>References</w:t>
      </w:r>
    </w:p>
    <w:p w14:paraId="03D8BE01" w14:textId="6CEFBC1F"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 xml:space="preserve">Corrigan, P.W. (2016) ‘Resolving mental illness stigma: should we seek normalisation or tell a different story?’, JAMA Psychiatry, 73(1), pp. 31–32. doi:10.1001/jamapsychiatry.2015.2206. </w:t>
      </w:r>
      <w:hyperlink r:id="rId9" w:history="1">
        <w:r w:rsidRPr="006E2CB2">
          <w:rPr>
            <w:rStyle w:val="Hyperlink"/>
            <w:rFonts w:ascii="Arial" w:eastAsia="Arial" w:hAnsi="Arial" w:cs="Arial"/>
          </w:rPr>
          <w:t>https://www.cambridge.org/core/services/aop-cambridge-core/content/view/9DF5F7F6BBCD505C179B80AFEB7B2ADA/S0007125000240804a.pdf/resolving_mental_illness_stigma_should_we_seek_normalcy_or_solidarity.pdf</w:t>
        </w:r>
      </w:hyperlink>
    </w:p>
    <w:p w14:paraId="2CFDD055"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Department of Health and Social Care (2022) Mental Health and Wellbeing Plan: Discussion Paper and Call for Evidence. London: DHSC.</w:t>
      </w:r>
      <w:r w:rsidRPr="006E2CB2">
        <w:rPr>
          <w:rFonts w:ascii="Arial" w:hAnsi="Arial" w:cs="Arial"/>
          <w:lang w:val="en-US"/>
        </w:rPr>
        <w:t xml:space="preserve"> </w:t>
      </w:r>
      <w:hyperlink r:id="rId10" w:history="1">
        <w:r w:rsidRPr="006E2CB2">
          <w:rPr>
            <w:rStyle w:val="Hyperlink"/>
            <w:rFonts w:ascii="Arial" w:hAnsi="Arial" w:cs="Arial"/>
          </w:rPr>
          <w:t>https://www.gov.uk/government/publications/mental-health-and-wellbeing-plan-discussion-paper-and-call-for-evidence</w:t>
        </w:r>
      </w:hyperlink>
    </w:p>
    <w:p w14:paraId="202E078D" w14:textId="07666E6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Drucker, P.F. (1985)</w:t>
      </w:r>
      <w:r w:rsidR="00115EC9">
        <w:rPr>
          <w:rFonts w:ascii="Arial" w:eastAsia="Arial" w:hAnsi="Arial" w:cs="Arial"/>
        </w:rPr>
        <w:t>.</w:t>
      </w:r>
      <w:r w:rsidRPr="006E2CB2">
        <w:rPr>
          <w:rFonts w:ascii="Arial" w:eastAsia="Arial" w:hAnsi="Arial" w:cs="Arial"/>
        </w:rPr>
        <w:t xml:space="preserve"> Innovation and Entrepreneurship: Practice and Principles. New York: Harper &amp; Row.</w:t>
      </w:r>
    </w:p>
    <w:p w14:paraId="20E46851" w14:textId="77777777" w:rsidR="00180EA4" w:rsidRPr="006E2CB2" w:rsidRDefault="00180EA4" w:rsidP="00180EA4">
      <w:pPr>
        <w:spacing w:before="80" w:after="80" w:line="360" w:lineRule="auto"/>
        <w:ind w:left="720" w:hanging="720"/>
        <w:jc w:val="both"/>
        <w:rPr>
          <w:rFonts w:ascii="Arial" w:hAnsi="Arial" w:cs="Arial"/>
        </w:rPr>
      </w:pPr>
      <w:r w:rsidRPr="006E2CB2">
        <w:rPr>
          <w:rFonts w:ascii="Arial" w:eastAsia="Arial" w:hAnsi="Arial" w:cs="Arial"/>
        </w:rPr>
        <w:t>Equality Act (2010) c.15. London: The Stationery Office.</w:t>
      </w:r>
    </w:p>
    <w:p w14:paraId="7582B8D3" w14:textId="7F82521A"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Goffman, E. (1963)</w:t>
      </w:r>
      <w:r w:rsidR="00115EC9">
        <w:rPr>
          <w:rFonts w:ascii="Arial" w:eastAsia="Arial" w:hAnsi="Arial" w:cs="Arial"/>
        </w:rPr>
        <w:t>.</w:t>
      </w:r>
      <w:r w:rsidRPr="006E2CB2">
        <w:rPr>
          <w:rFonts w:ascii="Arial" w:eastAsia="Arial" w:hAnsi="Arial" w:cs="Arial"/>
        </w:rPr>
        <w:t xml:space="preserve"> Stigma: Notes on the Management of Spoiled Identity. Englewood Cliffs, NJ: Prentice-Hall. </w:t>
      </w:r>
      <w:hyperlink r:id="rId11" w:history="1">
        <w:r w:rsidRPr="006E2CB2">
          <w:rPr>
            <w:rStyle w:val="Hyperlink"/>
            <w:rFonts w:ascii="Arial" w:eastAsia="Arial" w:hAnsi="Arial" w:cs="Arial"/>
          </w:rPr>
          <w:t>https://antropologiadeldelitoylasviolencias.wordpress.com/wp-content/uploads/2016/07/goffman-estigma-seleccion.pdf</w:t>
        </w:r>
      </w:hyperlink>
    </w:p>
    <w:p w14:paraId="32F968D8"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House of Commons Library (2025) Mental Health Statistics: Prevalence, Services and Funding. London: UK Parliament.</w:t>
      </w:r>
      <w:r w:rsidRPr="006E2CB2">
        <w:rPr>
          <w:rFonts w:ascii="Arial" w:hAnsi="Arial" w:cs="Arial"/>
          <w:lang w:val="en-US"/>
        </w:rPr>
        <w:t xml:space="preserve"> </w:t>
      </w:r>
      <w:hyperlink r:id="rId12" w:history="1">
        <w:r w:rsidRPr="006E2CB2">
          <w:rPr>
            <w:rStyle w:val="Hyperlink"/>
            <w:rFonts w:ascii="Arial" w:hAnsi="Arial" w:cs="Arial"/>
          </w:rPr>
          <w:t>https://commonslibrary.parliament.uk/research-briefings/sn06988/</w:t>
        </w:r>
      </w:hyperlink>
    </w:p>
    <w:p w14:paraId="2537F96B" w14:textId="2BD093A2"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Mind (2024)</w:t>
      </w:r>
      <w:r w:rsidR="00115EC9">
        <w:rPr>
          <w:rFonts w:ascii="Arial" w:eastAsia="Arial" w:hAnsi="Arial" w:cs="Arial"/>
        </w:rPr>
        <w:t>.</w:t>
      </w:r>
      <w:r w:rsidRPr="006E2CB2">
        <w:rPr>
          <w:rFonts w:ascii="Arial" w:eastAsia="Arial" w:hAnsi="Arial" w:cs="Arial"/>
        </w:rPr>
        <w:t xml:space="preserve"> Alarming Rise in Mental Health Stigma in England. London: Mind. </w:t>
      </w:r>
      <w:hyperlink r:id="rId13" w:history="1">
        <w:r w:rsidRPr="006E2CB2">
          <w:rPr>
            <w:rStyle w:val="Hyperlink"/>
            <w:rFonts w:ascii="Arial" w:hAnsi="Arial" w:cs="Arial"/>
          </w:rPr>
          <w:t>https://www.mind.org.uk/news-campaigns/news/alarming-rise-in-mental-health-stigma-says-mind</w:t>
        </w:r>
      </w:hyperlink>
    </w:p>
    <w:p w14:paraId="6F683444"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National Institute for Health and Care Excellence (2022) Common Mental Health Problems: Identification and Pathways to Care. CG123. London: NICE.</w:t>
      </w:r>
      <w:r w:rsidRPr="006E2CB2">
        <w:rPr>
          <w:rFonts w:ascii="Arial" w:hAnsi="Arial" w:cs="Arial"/>
          <w:lang w:val="en-US"/>
        </w:rPr>
        <w:t xml:space="preserve"> </w:t>
      </w:r>
      <w:hyperlink r:id="rId14" w:history="1">
        <w:r w:rsidRPr="006E2CB2">
          <w:rPr>
            <w:rStyle w:val="Hyperlink"/>
            <w:rFonts w:ascii="Arial" w:hAnsi="Arial" w:cs="Arial"/>
          </w:rPr>
          <w:t>https://www.nice.org.uk/guidance/cg123</w:t>
        </w:r>
      </w:hyperlink>
      <w:r w:rsidRPr="006E2CB2">
        <w:rPr>
          <w:rFonts w:ascii="Arial" w:eastAsia="Arial" w:hAnsi="Arial" w:cs="Arial"/>
        </w:rPr>
        <w:t xml:space="preserve"> </w:t>
      </w:r>
    </w:p>
    <w:p w14:paraId="0BAA0FF7"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 xml:space="preserve">NHS Digital (2023) Mental Health of Children and Young People in England 2023. London: NHS England. </w:t>
      </w:r>
      <w:hyperlink r:id="rId15" w:history="1">
        <w:r w:rsidRPr="006E2CB2">
          <w:rPr>
            <w:rStyle w:val="Hyperlink"/>
            <w:rFonts w:ascii="Arial" w:hAnsi="Arial" w:cs="Arial"/>
          </w:rPr>
          <w:t>https://digital.nhs.uk/data-and-information/publications/statistical/mental-health-of-children-and-young-people-in-england/2023</w:t>
        </w:r>
      </w:hyperlink>
    </w:p>
    <w:p w14:paraId="16332291"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t>NHS England (2019) NHS Mental Health Implementation Plan 2019/20–2023/24. London: NHS England.</w:t>
      </w:r>
    </w:p>
    <w:p w14:paraId="42C1D21E" w14:textId="69035856" w:rsidR="00180EA4" w:rsidRPr="006E2CB2" w:rsidRDefault="00180EA4" w:rsidP="00180EA4">
      <w:pPr>
        <w:spacing w:before="80" w:after="80" w:line="360" w:lineRule="auto"/>
        <w:jc w:val="both"/>
        <w:rPr>
          <w:rFonts w:ascii="Arial" w:eastAsia="Arial" w:hAnsi="Arial" w:cs="Arial"/>
        </w:rPr>
      </w:pPr>
      <w:r w:rsidRPr="006E2CB2">
        <w:rPr>
          <w:rFonts w:ascii="Arial" w:eastAsia="Arial" w:hAnsi="Arial" w:cs="Arial"/>
        </w:rPr>
        <w:t xml:space="preserve">Rosenstock, I.M. (1966) ‘Why people use health services’, Milbank Memorial Fund Quarterly, 44(3), pp. 94–127. </w:t>
      </w:r>
      <w:hyperlink r:id="rId16" w:history="1">
        <w:r w:rsidRPr="006E2CB2">
          <w:rPr>
            <w:rStyle w:val="Hyperlink"/>
            <w:rFonts w:ascii="Arial" w:eastAsia="Arial" w:hAnsi="Arial" w:cs="Arial"/>
          </w:rPr>
          <w:t>https://doi.org/10.2307/3348967</w:t>
        </w:r>
      </w:hyperlink>
    </w:p>
    <w:p w14:paraId="20A6A0A4" w14:textId="77777777" w:rsidR="00180EA4" w:rsidRPr="006E2CB2" w:rsidRDefault="00180EA4" w:rsidP="00180EA4">
      <w:pPr>
        <w:spacing w:before="80" w:after="80" w:line="360" w:lineRule="auto"/>
        <w:jc w:val="both"/>
        <w:rPr>
          <w:rFonts w:ascii="Arial" w:hAnsi="Arial" w:cs="Arial"/>
        </w:rPr>
      </w:pPr>
      <w:r w:rsidRPr="006E2CB2">
        <w:rPr>
          <w:rFonts w:ascii="Arial" w:eastAsia="Arial" w:hAnsi="Arial" w:cs="Arial"/>
        </w:rPr>
        <w:lastRenderedPageBreak/>
        <w:t xml:space="preserve">World Health Organisation (2022) World Mental Health Report: Transforming Mental Health for All. Geneva: WHO. </w:t>
      </w:r>
      <w:hyperlink r:id="rId17" w:history="1">
        <w:r w:rsidRPr="006E2CB2">
          <w:rPr>
            <w:rStyle w:val="Hyperlink"/>
            <w:rFonts w:ascii="Arial" w:hAnsi="Arial" w:cs="Arial"/>
          </w:rPr>
          <w:t>https://www.who.int/publications/i/item/9789240049338</w:t>
        </w:r>
      </w:hyperlink>
      <w:r w:rsidRPr="006E2CB2">
        <w:rPr>
          <w:rFonts w:ascii="Arial" w:eastAsia="Arial" w:hAnsi="Arial" w:cs="Arial"/>
        </w:rPr>
        <w:t xml:space="preserve"> </w:t>
      </w:r>
    </w:p>
    <w:p w14:paraId="336D81F4" w14:textId="77777777" w:rsidR="00180EA4" w:rsidRPr="006E2CB2" w:rsidRDefault="00180EA4" w:rsidP="00180EA4">
      <w:pPr>
        <w:spacing w:before="80" w:after="80" w:line="360" w:lineRule="auto"/>
        <w:jc w:val="both"/>
        <w:rPr>
          <w:rFonts w:ascii="Arial" w:hAnsi="Arial" w:cs="Arial"/>
        </w:rPr>
      </w:pPr>
      <w:proofErr w:type="spellStart"/>
      <w:r w:rsidRPr="006E2CB2">
        <w:rPr>
          <w:rFonts w:ascii="Arial" w:eastAsia="Arial" w:hAnsi="Arial" w:cs="Arial"/>
        </w:rPr>
        <w:t>YoungMinds</w:t>
      </w:r>
      <w:proofErr w:type="spellEnd"/>
      <w:r w:rsidRPr="006E2CB2">
        <w:rPr>
          <w:rFonts w:ascii="Arial" w:eastAsia="Arial" w:hAnsi="Arial" w:cs="Arial"/>
        </w:rPr>
        <w:t xml:space="preserve"> (2024) Mental Health Statistics: Children and Young People. London: </w:t>
      </w:r>
      <w:proofErr w:type="spellStart"/>
      <w:r w:rsidRPr="006E2CB2">
        <w:rPr>
          <w:rFonts w:ascii="Arial" w:eastAsia="Arial" w:hAnsi="Arial" w:cs="Arial"/>
        </w:rPr>
        <w:t>YoungMinds</w:t>
      </w:r>
      <w:proofErr w:type="spellEnd"/>
      <w:r w:rsidRPr="006E2CB2">
        <w:rPr>
          <w:rFonts w:ascii="Arial" w:eastAsia="Arial" w:hAnsi="Arial" w:cs="Arial"/>
        </w:rPr>
        <w:t>.</w:t>
      </w:r>
      <w:r w:rsidRPr="006E2CB2">
        <w:rPr>
          <w:rFonts w:ascii="Arial" w:hAnsi="Arial" w:cs="Arial"/>
          <w:lang w:val="en-US"/>
        </w:rPr>
        <w:t xml:space="preserve"> </w:t>
      </w:r>
      <w:hyperlink r:id="rId18" w:history="1">
        <w:r w:rsidRPr="006E2CB2">
          <w:rPr>
            <w:rStyle w:val="Hyperlink"/>
            <w:rFonts w:ascii="Arial" w:hAnsi="Arial" w:cs="Arial"/>
          </w:rPr>
          <w:t>https://www.youngminds.org.uk/about-us/media-centre/mental-health-statistics/</w:t>
        </w:r>
      </w:hyperlink>
    </w:p>
    <w:p w14:paraId="064BFC1C" w14:textId="77777777" w:rsidR="00180EA4" w:rsidRPr="006E2CB2" w:rsidRDefault="00180EA4" w:rsidP="0047185C">
      <w:pPr>
        <w:spacing w:line="360" w:lineRule="auto"/>
        <w:jc w:val="both"/>
        <w:rPr>
          <w:rFonts w:ascii="Arial" w:hAnsi="Arial" w:cs="Arial"/>
        </w:rPr>
      </w:pPr>
    </w:p>
    <w:sectPr w:rsidR="00180EA4" w:rsidRPr="006E2CB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2F730" w14:textId="77777777" w:rsidR="00A17526" w:rsidRDefault="00A17526" w:rsidP="006E2CB2">
      <w:pPr>
        <w:spacing w:after="0" w:line="240" w:lineRule="auto"/>
      </w:pPr>
      <w:r>
        <w:separator/>
      </w:r>
    </w:p>
  </w:endnote>
  <w:endnote w:type="continuationSeparator" w:id="0">
    <w:p w14:paraId="12461EF5" w14:textId="77777777" w:rsidR="00A17526" w:rsidRDefault="00A17526" w:rsidP="006E2C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975264"/>
      <w:docPartObj>
        <w:docPartGallery w:val="Page Numbers (Bottom of Page)"/>
        <w:docPartUnique/>
      </w:docPartObj>
    </w:sdtPr>
    <w:sdtContent>
      <w:sdt>
        <w:sdtPr>
          <w:id w:val="-1705238520"/>
          <w:docPartObj>
            <w:docPartGallery w:val="Page Numbers (Top of Page)"/>
            <w:docPartUnique/>
          </w:docPartObj>
        </w:sdtPr>
        <w:sdtContent>
          <w:p w14:paraId="25CC6531" w14:textId="5AA8FA7B" w:rsidR="006E2CB2" w:rsidRDefault="006E2CB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C1E8A96" w14:textId="77777777" w:rsidR="006E2CB2" w:rsidRDefault="006E2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F6C25" w14:textId="77777777" w:rsidR="00A17526" w:rsidRDefault="00A17526" w:rsidP="006E2CB2">
      <w:pPr>
        <w:spacing w:after="0" w:line="240" w:lineRule="auto"/>
      </w:pPr>
      <w:r>
        <w:separator/>
      </w:r>
    </w:p>
  </w:footnote>
  <w:footnote w:type="continuationSeparator" w:id="0">
    <w:p w14:paraId="3C3675F2" w14:textId="77777777" w:rsidR="00A17526" w:rsidRDefault="00A17526" w:rsidP="006E2C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5C"/>
    <w:rsid w:val="00115EC9"/>
    <w:rsid w:val="00180EA4"/>
    <w:rsid w:val="0047185C"/>
    <w:rsid w:val="00666549"/>
    <w:rsid w:val="006E2CB2"/>
    <w:rsid w:val="006E3B00"/>
    <w:rsid w:val="00927388"/>
    <w:rsid w:val="00A17526"/>
    <w:rsid w:val="00C50E6F"/>
    <w:rsid w:val="00C97DCD"/>
    <w:rsid w:val="00D47E0B"/>
    <w:rsid w:val="00F20241"/>
    <w:rsid w:val="00F6206D"/>
    <w:rsid w:val="00F96319"/>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D00FA"/>
  <w15:chartTrackingRefBased/>
  <w15:docId w15:val="{57FF5521-5874-43EF-8E6A-8F203BA6A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link w:val="Heading1Char"/>
    <w:uiPriority w:val="9"/>
    <w:qFormat/>
    <w:rsid w:val="00180EA4"/>
    <w:pPr>
      <w:spacing w:before="320" w:after="140" w:line="240" w:lineRule="auto"/>
      <w:outlineLvl w:val="0"/>
    </w:pPr>
    <w:rPr>
      <w:rFonts w:ascii="Arial" w:eastAsia="Arial" w:hAnsi="Arial" w:cs="Arial"/>
      <w:b/>
      <w:bCs/>
      <w:color w:val="3B0764"/>
      <w:sz w:val="28"/>
      <w:szCs w:val="28"/>
      <w:lang w:eastAsia="en-K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EA4"/>
    <w:rPr>
      <w:rFonts w:ascii="Arial" w:eastAsia="Arial" w:hAnsi="Arial" w:cs="Arial"/>
      <w:b/>
      <w:bCs/>
      <w:color w:val="3B0764"/>
      <w:sz w:val="28"/>
      <w:szCs w:val="28"/>
      <w:lang w:val="en-KE" w:eastAsia="en-KE"/>
    </w:rPr>
  </w:style>
  <w:style w:type="character" w:styleId="Hyperlink">
    <w:name w:val="Hyperlink"/>
    <w:uiPriority w:val="99"/>
    <w:unhideWhenUsed/>
    <w:rsid w:val="00180EA4"/>
    <w:rPr>
      <w:color w:val="0563C1"/>
      <w:u w:val="single"/>
    </w:rPr>
  </w:style>
  <w:style w:type="character" w:styleId="UnresolvedMention">
    <w:name w:val="Unresolved Mention"/>
    <w:basedOn w:val="DefaultParagraphFont"/>
    <w:uiPriority w:val="99"/>
    <w:semiHidden/>
    <w:unhideWhenUsed/>
    <w:rsid w:val="00180EA4"/>
    <w:rPr>
      <w:color w:val="605E5C"/>
      <w:shd w:val="clear" w:color="auto" w:fill="E1DFDD"/>
    </w:rPr>
  </w:style>
  <w:style w:type="paragraph" w:styleId="Header">
    <w:name w:val="header"/>
    <w:basedOn w:val="Normal"/>
    <w:link w:val="HeaderChar"/>
    <w:uiPriority w:val="99"/>
    <w:unhideWhenUsed/>
    <w:rsid w:val="006E2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CB2"/>
    <w:rPr>
      <w:lang w:val="en-GB"/>
    </w:rPr>
  </w:style>
  <w:style w:type="paragraph" w:styleId="Footer">
    <w:name w:val="footer"/>
    <w:basedOn w:val="Normal"/>
    <w:link w:val="FooterChar"/>
    <w:uiPriority w:val="99"/>
    <w:unhideWhenUsed/>
    <w:rsid w:val="006E2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CB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news-campaigns/news/alarming-rise-in-mental-health-stigma-says-mind" TargetMode="External"/><Relationship Id="rId18" Type="http://schemas.openxmlformats.org/officeDocument/2006/relationships/hyperlink" Target="https://www.youngminds.org.uk/about-us/media-centre/mental-health-statistic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oleObject" Target="embeddings/oleObject1.bin"/><Relationship Id="rId12" Type="http://schemas.openxmlformats.org/officeDocument/2006/relationships/hyperlink" Target="https://commonslibrary.parliament.uk/research-briefings/sn06988/" TargetMode="External"/><Relationship Id="rId17" Type="http://schemas.openxmlformats.org/officeDocument/2006/relationships/hyperlink" Target="https://www.who.int/publications/i/item/9789240049338" TargetMode="External"/><Relationship Id="rId2" Type="http://schemas.openxmlformats.org/officeDocument/2006/relationships/settings" Target="settings.xml"/><Relationship Id="rId16" Type="http://schemas.openxmlformats.org/officeDocument/2006/relationships/hyperlink" Target="https://doi.org/10.2307/334896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yperlink" Target="https://antropologiadeldelitoylasviolencias.wordpress.com/wp-content/uploads/2016/07/goffman-estigma-seleccion.pdf" TargetMode="External"/><Relationship Id="rId5" Type="http://schemas.openxmlformats.org/officeDocument/2006/relationships/endnotes" Target="endnotes.xml"/><Relationship Id="rId15" Type="http://schemas.openxmlformats.org/officeDocument/2006/relationships/hyperlink" Target="https://digital.nhs.uk/data-and-information/publications/statistical/mental-health-of-children-and-young-people-in-england/2023" TargetMode="External"/><Relationship Id="rId10" Type="http://schemas.openxmlformats.org/officeDocument/2006/relationships/hyperlink" Target="https://www.gov.uk/government/publications/mental-health-and-wellbeing-plan-discussion-paper-and-call-for-evidence"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cambridge.org/core/services/aop-cambridge-core/content/view/9DF5F7F6BBCD505C179B80AFEB7B2ADA/S0007125000240804a.pdf/resolving_mental_illness_stigma_should_we_seek_normalcy_or_solidarity.pdf" TargetMode="External"/><Relationship Id="rId14" Type="http://schemas.openxmlformats.org/officeDocument/2006/relationships/hyperlink" Target="https://www.nice.org.uk/guidance/cg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6</Pages>
  <Words>1318</Words>
  <Characters>7517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2026-03-22T19:35:00Z</dcterms:created>
  <dcterms:modified xsi:type="dcterms:W3CDTF">2026-03-22T20:38:00Z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257b0614-5003-4004-85d3-f782c9e2b4a1</vt:lpwstr>
  </property>
</Properties>
</file>