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7A3CA" w14:textId="7AB08F28" w:rsidR="00AA1F0B" w:rsidRDefault="00AA1F0B" w:rsidP="00287DB5">
      <w:pPr>
        <w:pStyle w:val="NormalWeb"/>
        <w:rPr>
          <w:rFonts w:ascii="Arial" w:hAnsi="Arial" w:cs="Arial"/>
          <w:b/>
          <w:bCs/>
          <w:color w:val="000000"/>
          <w:sz w:val="44"/>
          <w:szCs w:val="44"/>
        </w:rPr>
      </w:pPr>
      <w:r w:rsidRPr="00A406E5">
        <w:rPr>
          <w:rFonts w:ascii="Arial" w:hAnsi="Arial" w:cs="Arial"/>
          <w:noProof/>
        </w:rPr>
        <w:drawing>
          <wp:anchor distT="0" distB="0" distL="114300" distR="114300" simplePos="0" relativeHeight="251659264" behindDoc="0" locked="0" layoutInCell="1" allowOverlap="1" wp14:anchorId="0C0F40B9" wp14:editId="6A823D1A">
            <wp:simplePos x="0" y="0"/>
            <wp:positionH relativeFrom="margin">
              <wp:posOffset>1076325</wp:posOffset>
            </wp:positionH>
            <wp:positionV relativeFrom="margin">
              <wp:posOffset>11430</wp:posOffset>
            </wp:positionV>
            <wp:extent cx="2076450" cy="101917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10">
                      <a:extLst>
                        <a:ext uri="{BEBA8EAE-BF5A-486C-A8C5-ECC9F3942E4B}">
                          <a14:imgProps xmlns:a14="http://schemas.microsoft.com/office/drawing/2010/main">
                            <a14:imgLayer r:embed="rId9">
                              <a14:imgEffect>
                                <a14:sharpenSoften amount="50000"/>
                              </a14:imgEffect>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2076450" cy="1019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436AF3" w14:textId="48C2F7FD" w:rsidR="00287DB5" w:rsidRDefault="00287DB5" w:rsidP="00287DB5">
      <w:pPr>
        <w:pStyle w:val="NormalWeb"/>
        <w:rPr>
          <w:rFonts w:ascii="Arial" w:hAnsi="Arial" w:cs="Arial"/>
          <w:b/>
          <w:bCs/>
          <w:color w:val="000000"/>
          <w:sz w:val="44"/>
          <w:szCs w:val="44"/>
        </w:rPr>
      </w:pPr>
    </w:p>
    <w:p w14:paraId="766AB3D5" w14:textId="77777777" w:rsidR="00287DB5" w:rsidRDefault="00287DB5" w:rsidP="00287DB5">
      <w:pPr>
        <w:pStyle w:val="NormalWeb"/>
        <w:rPr>
          <w:rFonts w:ascii="Arial" w:hAnsi="Arial" w:cs="Arial"/>
          <w:b/>
          <w:bCs/>
          <w:color w:val="000000"/>
          <w:sz w:val="44"/>
          <w:szCs w:val="44"/>
        </w:rPr>
      </w:pPr>
    </w:p>
    <w:tbl>
      <w:tblPr>
        <w:tblStyle w:val="TableGrid"/>
        <w:tblW w:w="10065" w:type="dxa"/>
        <w:tblInd w:w="-431" w:type="dxa"/>
        <w:tblLook w:val="04A0" w:firstRow="1" w:lastRow="0" w:firstColumn="1" w:lastColumn="0" w:noHBand="0" w:noVBand="1"/>
      </w:tblPr>
      <w:tblGrid>
        <w:gridCol w:w="4249"/>
        <w:gridCol w:w="350"/>
        <w:gridCol w:w="5466"/>
      </w:tblGrid>
      <w:tr w:rsidR="00287DB5" w14:paraId="71388CE1" w14:textId="77777777" w:rsidTr="00287DB5">
        <w:trPr>
          <w:trHeight w:val="705"/>
        </w:trPr>
        <w:tc>
          <w:tcPr>
            <w:tcW w:w="4249" w:type="dxa"/>
          </w:tcPr>
          <w:p w14:paraId="7681DE1F" w14:textId="77777777" w:rsidR="00287DB5" w:rsidRPr="00827695" w:rsidRDefault="00287DB5" w:rsidP="009B4B8E">
            <w:pPr>
              <w:rPr>
                <w:rFonts w:cs="Times New Roman"/>
                <w:b/>
                <w:bCs/>
                <w:sz w:val="44"/>
                <w:szCs w:val="44"/>
              </w:rPr>
            </w:pPr>
            <w:r w:rsidRPr="00827695">
              <w:rPr>
                <w:rFonts w:cs="Times New Roman"/>
                <w:b/>
                <w:bCs/>
                <w:sz w:val="44"/>
                <w:szCs w:val="44"/>
              </w:rPr>
              <w:t>STUDENT NAME</w:t>
            </w:r>
          </w:p>
        </w:tc>
        <w:tc>
          <w:tcPr>
            <w:tcW w:w="350" w:type="dxa"/>
          </w:tcPr>
          <w:p w14:paraId="6F335341" w14:textId="77777777" w:rsidR="00287DB5" w:rsidRDefault="00287DB5" w:rsidP="009B4B8E">
            <w:pPr>
              <w:pStyle w:val="NormalWeb"/>
              <w:rPr>
                <w:rFonts w:ascii="Arial" w:hAnsi="Arial" w:cs="Arial"/>
                <w:b/>
                <w:bCs/>
                <w:color w:val="000000"/>
                <w:sz w:val="44"/>
                <w:szCs w:val="44"/>
              </w:rPr>
            </w:pPr>
            <w:r w:rsidRPr="00CD2A25">
              <w:rPr>
                <w:b/>
                <w:bCs/>
                <w:color w:val="000000"/>
                <w:sz w:val="40"/>
                <w:szCs w:val="40"/>
              </w:rPr>
              <w:t>:</w:t>
            </w:r>
          </w:p>
        </w:tc>
        <w:tc>
          <w:tcPr>
            <w:tcW w:w="5466" w:type="dxa"/>
          </w:tcPr>
          <w:p w14:paraId="1F0DD888" w14:textId="77777777" w:rsidR="00287DB5" w:rsidRDefault="00287DB5" w:rsidP="009B4B8E">
            <w:pPr>
              <w:pStyle w:val="NormalWeb"/>
              <w:rPr>
                <w:rFonts w:ascii="Arial" w:hAnsi="Arial" w:cs="Arial"/>
                <w:b/>
                <w:bCs/>
                <w:color w:val="000000"/>
                <w:sz w:val="44"/>
                <w:szCs w:val="44"/>
              </w:rPr>
            </w:pPr>
            <w:r w:rsidRPr="00CD2A25">
              <w:rPr>
                <w:color w:val="000000"/>
                <w:sz w:val="40"/>
                <w:szCs w:val="40"/>
              </w:rPr>
              <w:t>NISHANT NYACHHON</w:t>
            </w:r>
          </w:p>
        </w:tc>
      </w:tr>
      <w:tr w:rsidR="00287DB5" w14:paraId="69FB14FD" w14:textId="77777777" w:rsidTr="00287DB5">
        <w:trPr>
          <w:trHeight w:val="700"/>
        </w:trPr>
        <w:tc>
          <w:tcPr>
            <w:tcW w:w="4249" w:type="dxa"/>
          </w:tcPr>
          <w:p w14:paraId="21818BC7" w14:textId="77777777" w:rsidR="00287DB5" w:rsidRPr="00827695" w:rsidRDefault="00287DB5" w:rsidP="009B4B8E">
            <w:pPr>
              <w:rPr>
                <w:rFonts w:cs="Times New Roman"/>
                <w:b/>
                <w:bCs/>
                <w:sz w:val="44"/>
                <w:szCs w:val="44"/>
              </w:rPr>
            </w:pPr>
            <w:r w:rsidRPr="00827695">
              <w:rPr>
                <w:rFonts w:cs="Times New Roman"/>
                <w:b/>
                <w:bCs/>
                <w:sz w:val="44"/>
                <w:szCs w:val="44"/>
              </w:rPr>
              <w:t>STUDENT ID</w:t>
            </w:r>
          </w:p>
        </w:tc>
        <w:tc>
          <w:tcPr>
            <w:tcW w:w="350" w:type="dxa"/>
          </w:tcPr>
          <w:p w14:paraId="01DC0479" w14:textId="77777777" w:rsidR="00287DB5" w:rsidRDefault="00287DB5" w:rsidP="009B4B8E">
            <w:pPr>
              <w:pStyle w:val="NormalWeb"/>
              <w:rPr>
                <w:rFonts w:ascii="Arial" w:hAnsi="Arial" w:cs="Arial"/>
                <w:b/>
                <w:bCs/>
                <w:color w:val="000000"/>
                <w:sz w:val="44"/>
                <w:szCs w:val="44"/>
              </w:rPr>
            </w:pPr>
            <w:r w:rsidRPr="00CD2A25">
              <w:rPr>
                <w:b/>
                <w:bCs/>
                <w:color w:val="000000"/>
                <w:sz w:val="40"/>
                <w:szCs w:val="40"/>
              </w:rPr>
              <w:t>:</w:t>
            </w:r>
          </w:p>
        </w:tc>
        <w:tc>
          <w:tcPr>
            <w:tcW w:w="5466" w:type="dxa"/>
          </w:tcPr>
          <w:p w14:paraId="70A44BC1" w14:textId="77777777" w:rsidR="00287DB5" w:rsidRDefault="00287DB5" w:rsidP="009B4B8E">
            <w:pPr>
              <w:pStyle w:val="NormalWeb"/>
              <w:rPr>
                <w:rFonts w:ascii="Arial" w:hAnsi="Arial" w:cs="Arial"/>
                <w:b/>
                <w:bCs/>
                <w:color w:val="000000"/>
                <w:sz w:val="44"/>
                <w:szCs w:val="44"/>
              </w:rPr>
            </w:pPr>
            <w:r w:rsidRPr="00CD2A25">
              <w:rPr>
                <w:color w:val="000000"/>
                <w:sz w:val="40"/>
                <w:szCs w:val="40"/>
              </w:rPr>
              <w:t>2241625</w:t>
            </w:r>
          </w:p>
        </w:tc>
      </w:tr>
      <w:tr w:rsidR="00287DB5" w14:paraId="1CB9BD1E" w14:textId="77777777" w:rsidTr="00287DB5">
        <w:trPr>
          <w:trHeight w:val="1121"/>
        </w:trPr>
        <w:tc>
          <w:tcPr>
            <w:tcW w:w="4249" w:type="dxa"/>
          </w:tcPr>
          <w:p w14:paraId="606111A3" w14:textId="77777777" w:rsidR="00287DB5" w:rsidRPr="00827695" w:rsidRDefault="00287DB5" w:rsidP="009B4B8E">
            <w:pPr>
              <w:rPr>
                <w:rFonts w:cs="Times New Roman"/>
                <w:b/>
                <w:bCs/>
                <w:sz w:val="44"/>
                <w:szCs w:val="44"/>
              </w:rPr>
            </w:pPr>
            <w:r w:rsidRPr="00827695">
              <w:rPr>
                <w:rFonts w:cs="Times New Roman"/>
                <w:b/>
                <w:bCs/>
                <w:sz w:val="44"/>
                <w:szCs w:val="44"/>
              </w:rPr>
              <w:t>PROGRAMME</w:t>
            </w:r>
          </w:p>
        </w:tc>
        <w:tc>
          <w:tcPr>
            <w:tcW w:w="350" w:type="dxa"/>
          </w:tcPr>
          <w:p w14:paraId="06EE915B" w14:textId="77777777" w:rsidR="00287DB5" w:rsidRDefault="00287DB5" w:rsidP="009B4B8E">
            <w:pPr>
              <w:pStyle w:val="NormalWeb"/>
              <w:rPr>
                <w:rFonts w:ascii="Arial" w:hAnsi="Arial" w:cs="Arial"/>
                <w:b/>
                <w:bCs/>
                <w:color w:val="000000"/>
                <w:sz w:val="44"/>
                <w:szCs w:val="44"/>
              </w:rPr>
            </w:pPr>
            <w:r w:rsidRPr="00CD2A25">
              <w:rPr>
                <w:b/>
                <w:bCs/>
                <w:color w:val="000000"/>
                <w:sz w:val="40"/>
                <w:szCs w:val="40"/>
              </w:rPr>
              <w:t>:</w:t>
            </w:r>
          </w:p>
        </w:tc>
        <w:tc>
          <w:tcPr>
            <w:tcW w:w="5466" w:type="dxa"/>
          </w:tcPr>
          <w:p w14:paraId="094AFC32" w14:textId="77777777" w:rsidR="00287DB5" w:rsidRDefault="00287DB5" w:rsidP="009B4B8E">
            <w:pPr>
              <w:pStyle w:val="NormalWeb"/>
              <w:rPr>
                <w:rFonts w:ascii="Arial" w:hAnsi="Arial" w:cs="Arial"/>
                <w:b/>
                <w:bCs/>
                <w:color w:val="000000"/>
                <w:sz w:val="44"/>
                <w:szCs w:val="44"/>
              </w:rPr>
            </w:pPr>
            <w:r>
              <w:rPr>
                <w:color w:val="000000"/>
                <w:sz w:val="40"/>
                <w:szCs w:val="40"/>
              </w:rPr>
              <w:t>MASTER IN BUSINESS ADMINISTRATION</w:t>
            </w:r>
          </w:p>
        </w:tc>
      </w:tr>
      <w:tr w:rsidR="00287DB5" w14:paraId="075F3A02" w14:textId="77777777" w:rsidTr="00287DB5">
        <w:trPr>
          <w:trHeight w:val="712"/>
        </w:trPr>
        <w:tc>
          <w:tcPr>
            <w:tcW w:w="4249" w:type="dxa"/>
          </w:tcPr>
          <w:p w14:paraId="1C98EF28" w14:textId="77777777" w:rsidR="00287DB5" w:rsidRPr="00827695" w:rsidRDefault="00287DB5" w:rsidP="009B4B8E">
            <w:pPr>
              <w:rPr>
                <w:rFonts w:cs="Times New Roman"/>
                <w:b/>
                <w:bCs/>
                <w:sz w:val="44"/>
                <w:szCs w:val="44"/>
              </w:rPr>
            </w:pPr>
            <w:r w:rsidRPr="00827695">
              <w:rPr>
                <w:rFonts w:cs="Times New Roman"/>
                <w:b/>
                <w:bCs/>
                <w:sz w:val="44"/>
                <w:szCs w:val="44"/>
              </w:rPr>
              <w:t>MODULE</w:t>
            </w:r>
          </w:p>
        </w:tc>
        <w:tc>
          <w:tcPr>
            <w:tcW w:w="350" w:type="dxa"/>
          </w:tcPr>
          <w:p w14:paraId="321BA168" w14:textId="77777777" w:rsidR="00287DB5" w:rsidRDefault="00287DB5" w:rsidP="009B4B8E">
            <w:pPr>
              <w:pStyle w:val="NormalWeb"/>
              <w:rPr>
                <w:rFonts w:ascii="Arial" w:hAnsi="Arial" w:cs="Arial"/>
                <w:b/>
                <w:bCs/>
                <w:color w:val="000000"/>
                <w:sz w:val="44"/>
                <w:szCs w:val="44"/>
              </w:rPr>
            </w:pPr>
            <w:r w:rsidRPr="00CD2A25">
              <w:rPr>
                <w:b/>
                <w:bCs/>
                <w:color w:val="000000"/>
                <w:sz w:val="40"/>
                <w:szCs w:val="40"/>
              </w:rPr>
              <w:t>:</w:t>
            </w:r>
          </w:p>
        </w:tc>
        <w:tc>
          <w:tcPr>
            <w:tcW w:w="5466" w:type="dxa"/>
          </w:tcPr>
          <w:p w14:paraId="690BDE62" w14:textId="5B9F096A" w:rsidR="00287DB5" w:rsidRDefault="00287DB5" w:rsidP="009B4B8E">
            <w:pPr>
              <w:pStyle w:val="NormalWeb"/>
              <w:rPr>
                <w:rFonts w:ascii="Arial" w:hAnsi="Arial" w:cs="Arial"/>
                <w:b/>
                <w:bCs/>
                <w:color w:val="000000"/>
                <w:sz w:val="44"/>
                <w:szCs w:val="44"/>
              </w:rPr>
            </w:pPr>
            <w:r>
              <w:rPr>
                <w:color w:val="000000"/>
                <w:sz w:val="40"/>
                <w:szCs w:val="40"/>
                <w:lang w:val="en-US"/>
              </w:rPr>
              <w:t>INTERNATIONAL BUSINESS</w:t>
            </w:r>
          </w:p>
        </w:tc>
      </w:tr>
      <w:tr w:rsidR="00287DB5" w14:paraId="565CDFB8" w14:textId="77777777" w:rsidTr="00287DB5">
        <w:trPr>
          <w:trHeight w:val="680"/>
        </w:trPr>
        <w:tc>
          <w:tcPr>
            <w:tcW w:w="4249" w:type="dxa"/>
          </w:tcPr>
          <w:p w14:paraId="6B41217C" w14:textId="77777777" w:rsidR="00287DB5" w:rsidRPr="00827695" w:rsidRDefault="00287DB5" w:rsidP="009B4B8E">
            <w:pPr>
              <w:rPr>
                <w:rFonts w:cs="Times New Roman"/>
                <w:b/>
                <w:bCs/>
                <w:sz w:val="44"/>
                <w:szCs w:val="44"/>
              </w:rPr>
            </w:pPr>
            <w:r w:rsidRPr="00827695">
              <w:rPr>
                <w:rFonts w:cs="Times New Roman"/>
                <w:b/>
                <w:bCs/>
                <w:sz w:val="44"/>
                <w:szCs w:val="44"/>
              </w:rPr>
              <w:t>MODULE CODE</w:t>
            </w:r>
          </w:p>
        </w:tc>
        <w:tc>
          <w:tcPr>
            <w:tcW w:w="350" w:type="dxa"/>
          </w:tcPr>
          <w:p w14:paraId="3CAE8C2E" w14:textId="77777777" w:rsidR="00287DB5" w:rsidRDefault="00287DB5" w:rsidP="009B4B8E">
            <w:pPr>
              <w:pStyle w:val="NormalWeb"/>
              <w:rPr>
                <w:rFonts w:ascii="Arial" w:hAnsi="Arial" w:cs="Arial"/>
                <w:b/>
                <w:bCs/>
                <w:color w:val="000000"/>
                <w:sz w:val="44"/>
                <w:szCs w:val="44"/>
              </w:rPr>
            </w:pPr>
            <w:r w:rsidRPr="00CD2A25">
              <w:rPr>
                <w:b/>
                <w:bCs/>
                <w:color w:val="000000"/>
                <w:sz w:val="40"/>
                <w:szCs w:val="40"/>
              </w:rPr>
              <w:t>:</w:t>
            </w:r>
          </w:p>
        </w:tc>
        <w:tc>
          <w:tcPr>
            <w:tcW w:w="5466" w:type="dxa"/>
          </w:tcPr>
          <w:p w14:paraId="0F449D8D" w14:textId="4C5AC50B" w:rsidR="00287DB5" w:rsidRDefault="00287DB5" w:rsidP="009B4B8E">
            <w:pPr>
              <w:pStyle w:val="NormalWeb"/>
              <w:rPr>
                <w:rFonts w:ascii="Arial" w:hAnsi="Arial" w:cs="Arial"/>
                <w:b/>
                <w:bCs/>
                <w:color w:val="000000"/>
                <w:sz w:val="44"/>
                <w:szCs w:val="44"/>
              </w:rPr>
            </w:pPr>
            <w:r w:rsidRPr="00CD2A25">
              <w:rPr>
                <w:color w:val="000000"/>
                <w:sz w:val="40"/>
                <w:szCs w:val="40"/>
                <w:lang w:val="en-US"/>
              </w:rPr>
              <w:t>LCMB70</w:t>
            </w:r>
            <w:r>
              <w:rPr>
                <w:color w:val="000000"/>
                <w:sz w:val="40"/>
                <w:szCs w:val="40"/>
                <w:lang w:val="en-US"/>
              </w:rPr>
              <w:t>14</w:t>
            </w:r>
          </w:p>
        </w:tc>
      </w:tr>
      <w:tr w:rsidR="00287DB5" w14:paraId="0A2F09CD" w14:textId="77777777" w:rsidTr="00287DB5">
        <w:trPr>
          <w:trHeight w:val="1271"/>
        </w:trPr>
        <w:tc>
          <w:tcPr>
            <w:tcW w:w="4249" w:type="dxa"/>
          </w:tcPr>
          <w:p w14:paraId="43FF8A35" w14:textId="77777777" w:rsidR="00287DB5" w:rsidRPr="00827695" w:rsidRDefault="00287DB5" w:rsidP="009B4B8E">
            <w:pPr>
              <w:rPr>
                <w:rFonts w:cs="Times New Roman"/>
                <w:b/>
                <w:bCs/>
                <w:sz w:val="44"/>
                <w:szCs w:val="44"/>
              </w:rPr>
            </w:pPr>
            <w:r w:rsidRPr="00827695">
              <w:rPr>
                <w:rFonts w:cs="Times New Roman"/>
                <w:b/>
                <w:bCs/>
                <w:sz w:val="44"/>
                <w:szCs w:val="44"/>
              </w:rPr>
              <w:t>ASSIGNMENT TITLE</w:t>
            </w:r>
          </w:p>
        </w:tc>
        <w:tc>
          <w:tcPr>
            <w:tcW w:w="350" w:type="dxa"/>
          </w:tcPr>
          <w:p w14:paraId="3D65F077" w14:textId="77777777" w:rsidR="00287DB5" w:rsidRPr="00CD2A25" w:rsidRDefault="00287DB5" w:rsidP="009B4B8E">
            <w:pPr>
              <w:pStyle w:val="NormalWeb"/>
              <w:rPr>
                <w:b/>
                <w:bCs/>
                <w:color w:val="000000"/>
                <w:sz w:val="40"/>
                <w:szCs w:val="40"/>
              </w:rPr>
            </w:pPr>
            <w:r w:rsidRPr="00CD2A25">
              <w:rPr>
                <w:b/>
                <w:bCs/>
                <w:color w:val="000000"/>
                <w:sz w:val="40"/>
                <w:szCs w:val="40"/>
              </w:rPr>
              <w:t>:</w:t>
            </w:r>
          </w:p>
        </w:tc>
        <w:tc>
          <w:tcPr>
            <w:tcW w:w="5466" w:type="dxa"/>
          </w:tcPr>
          <w:p w14:paraId="0AC6DD93" w14:textId="477AB5CB" w:rsidR="00287DB5" w:rsidRPr="00CD2A25" w:rsidRDefault="00287DB5" w:rsidP="009B4B8E">
            <w:pPr>
              <w:pStyle w:val="NormalWeb"/>
              <w:rPr>
                <w:color w:val="000000"/>
                <w:sz w:val="40"/>
                <w:szCs w:val="40"/>
                <w:lang w:val="en-US"/>
              </w:rPr>
            </w:pPr>
            <w:r>
              <w:rPr>
                <w:color w:val="000000"/>
                <w:sz w:val="40"/>
                <w:szCs w:val="40"/>
                <w:lang w:val="en-US"/>
              </w:rPr>
              <w:t>INTERNATIONAL BUSINESS</w:t>
            </w:r>
            <w:r w:rsidRPr="00827695">
              <w:rPr>
                <w:color w:val="000000"/>
                <w:sz w:val="40"/>
                <w:szCs w:val="40"/>
                <w:lang w:val="en-US"/>
              </w:rPr>
              <w:t xml:space="preserve"> </w:t>
            </w:r>
          </w:p>
        </w:tc>
      </w:tr>
      <w:tr w:rsidR="00287DB5" w14:paraId="6B88768A" w14:textId="77777777" w:rsidTr="00287DB5">
        <w:trPr>
          <w:trHeight w:val="695"/>
        </w:trPr>
        <w:tc>
          <w:tcPr>
            <w:tcW w:w="4249" w:type="dxa"/>
          </w:tcPr>
          <w:p w14:paraId="4997B631" w14:textId="77777777" w:rsidR="00287DB5" w:rsidRPr="00827695" w:rsidRDefault="00287DB5" w:rsidP="009B4B8E">
            <w:pPr>
              <w:rPr>
                <w:rFonts w:cs="Times New Roman"/>
                <w:b/>
                <w:bCs/>
                <w:sz w:val="44"/>
                <w:szCs w:val="44"/>
              </w:rPr>
            </w:pPr>
            <w:r w:rsidRPr="00827695">
              <w:rPr>
                <w:rFonts w:cs="Times New Roman"/>
                <w:b/>
                <w:bCs/>
                <w:sz w:val="44"/>
                <w:szCs w:val="44"/>
              </w:rPr>
              <w:t>LECTURER</w:t>
            </w:r>
          </w:p>
        </w:tc>
        <w:tc>
          <w:tcPr>
            <w:tcW w:w="350" w:type="dxa"/>
          </w:tcPr>
          <w:p w14:paraId="5C3562E5" w14:textId="77777777" w:rsidR="00287DB5" w:rsidRDefault="00287DB5" w:rsidP="009B4B8E">
            <w:pPr>
              <w:pStyle w:val="NormalWeb"/>
              <w:rPr>
                <w:rFonts w:ascii="Arial" w:hAnsi="Arial" w:cs="Arial"/>
                <w:b/>
                <w:bCs/>
                <w:color w:val="000000"/>
                <w:sz w:val="44"/>
                <w:szCs w:val="44"/>
              </w:rPr>
            </w:pPr>
            <w:r w:rsidRPr="00CD2A25">
              <w:rPr>
                <w:b/>
                <w:bCs/>
                <w:color w:val="000000"/>
                <w:sz w:val="40"/>
                <w:szCs w:val="40"/>
              </w:rPr>
              <w:t>:</w:t>
            </w:r>
          </w:p>
        </w:tc>
        <w:tc>
          <w:tcPr>
            <w:tcW w:w="5466" w:type="dxa"/>
          </w:tcPr>
          <w:p w14:paraId="071FD704" w14:textId="70CE6EB4" w:rsidR="00287DB5" w:rsidRDefault="00317536" w:rsidP="009B4B8E">
            <w:pPr>
              <w:pStyle w:val="NormalWeb"/>
              <w:rPr>
                <w:rFonts w:ascii="Arial" w:hAnsi="Arial" w:cs="Arial"/>
                <w:b/>
                <w:bCs/>
                <w:color w:val="000000"/>
                <w:sz w:val="44"/>
                <w:szCs w:val="44"/>
              </w:rPr>
            </w:pPr>
            <w:r>
              <w:rPr>
                <w:color w:val="000000"/>
                <w:sz w:val="40"/>
                <w:szCs w:val="40"/>
                <w:lang w:val="en-US"/>
              </w:rPr>
              <w:t xml:space="preserve">Dr. </w:t>
            </w:r>
            <w:r w:rsidR="00AA1F0B" w:rsidRPr="00AA1F0B">
              <w:rPr>
                <w:color w:val="000000"/>
                <w:sz w:val="40"/>
                <w:szCs w:val="40"/>
                <w:lang w:val="en-US"/>
              </w:rPr>
              <w:t>Liyan</w:t>
            </w:r>
            <w:r w:rsidR="00AA1F0B">
              <w:rPr>
                <w:color w:val="000000"/>
                <w:sz w:val="40"/>
                <w:szCs w:val="40"/>
                <w:lang w:val="en-US"/>
              </w:rPr>
              <w:t>a</w:t>
            </w:r>
            <w:r w:rsidR="00AA1F0B" w:rsidRPr="00AA1F0B">
              <w:rPr>
                <w:color w:val="000000"/>
                <w:sz w:val="40"/>
                <w:szCs w:val="40"/>
                <w:lang w:val="en-US"/>
              </w:rPr>
              <w:t>ge Rodrigo</w:t>
            </w:r>
          </w:p>
        </w:tc>
      </w:tr>
    </w:tbl>
    <w:p w14:paraId="6D386DE9" w14:textId="77777777" w:rsidR="00287DB5" w:rsidRDefault="00287DB5" w:rsidP="00287DB5">
      <w:pPr>
        <w:pStyle w:val="NormalWeb"/>
        <w:rPr>
          <w:rFonts w:ascii="Arial" w:hAnsi="Arial" w:cs="Arial"/>
          <w:b/>
          <w:bCs/>
          <w:color w:val="000000"/>
          <w:sz w:val="44"/>
          <w:szCs w:val="44"/>
        </w:rPr>
      </w:pPr>
    </w:p>
    <w:p w14:paraId="28DD857F" w14:textId="77777777" w:rsidR="00287DB5" w:rsidRDefault="00287DB5" w:rsidP="00287DB5">
      <w:pPr>
        <w:pStyle w:val="NormalWeb"/>
        <w:rPr>
          <w:rFonts w:ascii="Arial" w:hAnsi="Arial" w:cs="Arial"/>
          <w:b/>
          <w:bCs/>
          <w:color w:val="000000"/>
          <w:sz w:val="44"/>
          <w:szCs w:val="44"/>
        </w:rPr>
      </w:pPr>
    </w:p>
    <w:p w14:paraId="55572ABC" w14:textId="77777777" w:rsidR="00287DB5" w:rsidRDefault="00287DB5" w:rsidP="00287DB5">
      <w:pPr>
        <w:pStyle w:val="NormalWeb"/>
        <w:rPr>
          <w:rFonts w:ascii="Arial" w:hAnsi="Arial" w:cs="Arial"/>
          <w:b/>
          <w:bCs/>
          <w:color w:val="000000"/>
          <w:sz w:val="44"/>
          <w:szCs w:val="44"/>
        </w:rPr>
      </w:pPr>
    </w:p>
    <w:p w14:paraId="77D09E90" w14:textId="77777777" w:rsidR="00EF1957" w:rsidRDefault="00EF1957" w:rsidP="005800FD">
      <w:pPr>
        <w:spacing w:line="259" w:lineRule="auto"/>
        <w:jc w:val="center"/>
        <w:rPr>
          <w:b/>
          <w:bCs/>
          <w:sz w:val="50"/>
          <w:szCs w:val="50"/>
          <w:u w:val="single"/>
          <w:lang w:val="en-GB"/>
        </w:rPr>
      </w:pPr>
    </w:p>
    <w:p w14:paraId="0E7435CF" w14:textId="77777777" w:rsidR="00EF1957" w:rsidRDefault="00EF1957" w:rsidP="005800FD">
      <w:pPr>
        <w:spacing w:line="259" w:lineRule="auto"/>
        <w:jc w:val="center"/>
        <w:rPr>
          <w:b/>
          <w:bCs/>
          <w:sz w:val="50"/>
          <w:szCs w:val="50"/>
          <w:u w:val="single"/>
          <w:lang w:val="en-GB"/>
        </w:rPr>
      </w:pPr>
    </w:p>
    <w:p w14:paraId="1E616E89" w14:textId="77777777" w:rsidR="00EF1957" w:rsidRDefault="00EF1957" w:rsidP="005800FD">
      <w:pPr>
        <w:spacing w:line="259" w:lineRule="auto"/>
        <w:jc w:val="center"/>
        <w:rPr>
          <w:b/>
          <w:bCs/>
          <w:sz w:val="50"/>
          <w:szCs w:val="50"/>
          <w:u w:val="single"/>
          <w:lang w:val="en-GB"/>
        </w:rPr>
      </w:pPr>
    </w:p>
    <w:sdt>
      <w:sdtPr>
        <w:rPr>
          <w:rFonts w:ascii="Times New Roman" w:eastAsiaTheme="minorHAnsi" w:hAnsi="Times New Roman" w:cs="Times New Roman"/>
          <w:color w:val="auto"/>
          <w:kern w:val="2"/>
          <w:sz w:val="24"/>
          <w:szCs w:val="24"/>
          <w:lang w:val="en-GB"/>
          <w14:ligatures w14:val="standardContextual"/>
        </w:rPr>
        <w:id w:val="-1316717788"/>
        <w:docPartObj>
          <w:docPartGallery w:val="Table of Contents"/>
          <w:docPartUnique/>
        </w:docPartObj>
      </w:sdtPr>
      <w:sdtEndPr>
        <w:rPr>
          <w:b/>
          <w:bCs/>
          <w:noProof/>
        </w:rPr>
      </w:sdtEndPr>
      <w:sdtContent>
        <w:p w14:paraId="0269E5A2" w14:textId="0A3242E8" w:rsidR="00FD0081" w:rsidRPr="00AA1F0B" w:rsidRDefault="00FD0081" w:rsidP="00AA1F0B">
          <w:pPr>
            <w:pStyle w:val="TOCHeading"/>
            <w:spacing w:line="360" w:lineRule="auto"/>
            <w:jc w:val="center"/>
            <w:rPr>
              <w:b/>
              <w:bCs/>
              <w:sz w:val="50"/>
              <w:szCs w:val="50"/>
              <w:u w:val="single"/>
              <w:lang w:val="en-GB"/>
            </w:rPr>
          </w:pPr>
          <w:r w:rsidRPr="00EF1957">
            <w:rPr>
              <w:rFonts w:ascii="Times New Roman" w:hAnsi="Times New Roman" w:cs="Times New Roman"/>
              <w:b/>
              <w:bCs/>
              <w:color w:val="auto"/>
              <w:sz w:val="24"/>
              <w:szCs w:val="24"/>
              <w:u w:val="single"/>
              <w:lang w:val="en-GB"/>
            </w:rPr>
            <w:t>Table of Contents</w:t>
          </w:r>
        </w:p>
        <w:p w14:paraId="7598A193" w14:textId="4E426EB9" w:rsidR="005800FD" w:rsidRPr="00287DB5" w:rsidRDefault="00FD0081" w:rsidP="005800FD">
          <w:pPr>
            <w:pStyle w:val="TOC1"/>
            <w:tabs>
              <w:tab w:val="right" w:leader="dot" w:pos="9350"/>
            </w:tabs>
            <w:rPr>
              <w:rFonts w:asciiTheme="minorHAnsi" w:eastAsiaTheme="minorEastAsia" w:hAnsiTheme="minorHAnsi"/>
              <w:noProof/>
              <w:sz w:val="22"/>
              <w:lang w:val="en-GB" w:eastAsia="en-IN"/>
            </w:rPr>
          </w:pPr>
          <w:r w:rsidRPr="00EF1957">
            <w:rPr>
              <w:rFonts w:cs="Times New Roman"/>
              <w:szCs w:val="24"/>
              <w:lang w:val="en-GB"/>
            </w:rPr>
            <w:fldChar w:fldCharType="begin"/>
          </w:r>
          <w:r w:rsidRPr="00EF1957">
            <w:rPr>
              <w:rFonts w:cs="Times New Roman"/>
              <w:szCs w:val="24"/>
              <w:lang w:val="en-GB"/>
            </w:rPr>
            <w:instrText xml:space="preserve"> TOC \o "1-3" \h \z \u </w:instrText>
          </w:r>
          <w:r w:rsidRPr="00EF1957">
            <w:rPr>
              <w:rFonts w:cs="Times New Roman"/>
              <w:szCs w:val="24"/>
              <w:lang w:val="en-GB"/>
            </w:rPr>
            <w:fldChar w:fldCharType="separate"/>
          </w:r>
          <w:hyperlink w:anchor="_Toc150868584" w:history="1">
            <w:r w:rsidR="005800FD" w:rsidRPr="00287DB5">
              <w:rPr>
                <w:rStyle w:val="Hyperlink"/>
                <w:noProof/>
                <w:sz w:val="22"/>
                <w:lang w:val="en-GB"/>
              </w:rPr>
              <w:t>Introduction</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_Toc150868584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3</w:t>
            </w:r>
            <w:r w:rsidR="005800FD" w:rsidRPr="00287DB5">
              <w:rPr>
                <w:noProof/>
                <w:webHidden/>
                <w:sz w:val="22"/>
                <w:lang w:val="en-GB"/>
              </w:rPr>
              <w:fldChar w:fldCharType="end"/>
            </w:r>
          </w:hyperlink>
        </w:p>
        <w:p w14:paraId="7B7B7158" w14:textId="184007B4" w:rsidR="005800FD" w:rsidRPr="00287DB5" w:rsidRDefault="00000000" w:rsidP="005800FD">
          <w:pPr>
            <w:pStyle w:val="TOC2"/>
            <w:tabs>
              <w:tab w:val="right" w:leader="dot" w:pos="9350"/>
            </w:tabs>
            <w:rPr>
              <w:rFonts w:asciiTheme="minorHAnsi" w:eastAsiaTheme="minorEastAsia" w:hAnsiTheme="minorHAnsi"/>
              <w:noProof/>
              <w:sz w:val="22"/>
              <w:lang w:val="en-GB" w:eastAsia="en-IN"/>
            </w:rPr>
          </w:pPr>
          <w:hyperlink w:anchor="_Toc150868585" w:history="1">
            <w:r w:rsidR="005800FD" w:rsidRPr="00287DB5">
              <w:rPr>
                <w:rStyle w:val="Hyperlink"/>
                <w:noProof/>
                <w:sz w:val="22"/>
                <w:lang w:val="en-GB"/>
              </w:rPr>
              <w:t>1. Background Analysis:</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_Toc150868585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4</w:t>
            </w:r>
            <w:r w:rsidR="005800FD" w:rsidRPr="00287DB5">
              <w:rPr>
                <w:noProof/>
                <w:webHidden/>
                <w:sz w:val="22"/>
                <w:lang w:val="en-GB"/>
              </w:rPr>
              <w:fldChar w:fldCharType="end"/>
            </w:r>
          </w:hyperlink>
        </w:p>
        <w:p w14:paraId="49B8415E" w14:textId="2CDD89C2" w:rsidR="005800FD" w:rsidRPr="00287DB5" w:rsidRDefault="00000000" w:rsidP="005800FD">
          <w:pPr>
            <w:pStyle w:val="TOC2"/>
            <w:tabs>
              <w:tab w:val="right" w:leader="dot" w:pos="9350"/>
            </w:tabs>
            <w:rPr>
              <w:rFonts w:asciiTheme="minorHAnsi" w:eastAsiaTheme="minorEastAsia" w:hAnsiTheme="minorHAnsi"/>
              <w:noProof/>
              <w:sz w:val="22"/>
              <w:lang w:val="en-GB" w:eastAsia="en-IN"/>
            </w:rPr>
          </w:pPr>
          <w:hyperlink w:anchor="_Toc150868586" w:history="1">
            <w:r w:rsidR="005800FD" w:rsidRPr="00287DB5">
              <w:rPr>
                <w:rStyle w:val="Hyperlink"/>
                <w:noProof/>
                <w:sz w:val="22"/>
                <w:lang w:val="en-GB"/>
              </w:rPr>
              <w:t>2. Internationalization Strategies:</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_Toc150868586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5</w:t>
            </w:r>
            <w:r w:rsidR="005800FD" w:rsidRPr="00287DB5">
              <w:rPr>
                <w:noProof/>
                <w:webHidden/>
                <w:sz w:val="22"/>
                <w:lang w:val="en-GB"/>
              </w:rPr>
              <w:fldChar w:fldCharType="end"/>
            </w:r>
          </w:hyperlink>
        </w:p>
        <w:p w14:paraId="3CB08B7D" w14:textId="42B495AF"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587" w:history="1">
            <w:r w:rsidR="005800FD" w:rsidRPr="00287DB5">
              <w:rPr>
                <w:rStyle w:val="Hyperlink"/>
                <w:noProof/>
                <w:sz w:val="22"/>
                <w:lang w:val="en-GB"/>
              </w:rPr>
              <w:t>2.1 Ethnocentric Approach</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_Toc150868587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5</w:t>
            </w:r>
            <w:r w:rsidR="005800FD" w:rsidRPr="00287DB5">
              <w:rPr>
                <w:noProof/>
                <w:webHidden/>
                <w:sz w:val="22"/>
                <w:lang w:val="en-GB"/>
              </w:rPr>
              <w:fldChar w:fldCharType="end"/>
            </w:r>
          </w:hyperlink>
        </w:p>
        <w:p w14:paraId="5BE41A2B" w14:textId="22B321E5"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588" w:history="1">
            <w:r w:rsidR="005800FD" w:rsidRPr="00287DB5">
              <w:rPr>
                <w:rStyle w:val="Hyperlink"/>
                <w:noProof/>
                <w:sz w:val="22"/>
                <w:lang w:val="en-GB"/>
              </w:rPr>
              <w:t>2.2 Polycentric Approach</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_Toc150868588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6</w:t>
            </w:r>
            <w:r w:rsidR="005800FD" w:rsidRPr="00287DB5">
              <w:rPr>
                <w:noProof/>
                <w:webHidden/>
                <w:sz w:val="22"/>
                <w:lang w:val="en-GB"/>
              </w:rPr>
              <w:fldChar w:fldCharType="end"/>
            </w:r>
          </w:hyperlink>
        </w:p>
        <w:p w14:paraId="58CCC2B4" w14:textId="655239F3"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589" w:history="1">
            <w:r w:rsidR="005800FD" w:rsidRPr="00287DB5">
              <w:rPr>
                <w:rStyle w:val="Hyperlink"/>
                <w:noProof/>
                <w:sz w:val="22"/>
                <w:lang w:val="en-GB"/>
              </w:rPr>
              <w:t>2.3 Geocentric Approach</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_Toc150868589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6</w:t>
            </w:r>
            <w:r w:rsidR="005800FD" w:rsidRPr="00287DB5">
              <w:rPr>
                <w:noProof/>
                <w:webHidden/>
                <w:sz w:val="22"/>
                <w:lang w:val="en-GB"/>
              </w:rPr>
              <w:fldChar w:fldCharType="end"/>
            </w:r>
          </w:hyperlink>
        </w:p>
        <w:p w14:paraId="4256607D" w14:textId="244C0E0E"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590" w:history="1">
            <w:r w:rsidR="005800FD" w:rsidRPr="00287DB5">
              <w:rPr>
                <w:rStyle w:val="Hyperlink"/>
                <w:noProof/>
                <w:sz w:val="22"/>
                <w:lang w:val="en-GB"/>
              </w:rPr>
              <w:t>2.4 Comparative Analysis in the Pharmaceutical Industry</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_Toc150868590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7</w:t>
            </w:r>
            <w:r w:rsidR="005800FD" w:rsidRPr="00287DB5">
              <w:rPr>
                <w:noProof/>
                <w:webHidden/>
                <w:sz w:val="22"/>
                <w:lang w:val="en-GB"/>
              </w:rPr>
              <w:fldChar w:fldCharType="end"/>
            </w:r>
          </w:hyperlink>
        </w:p>
        <w:p w14:paraId="06C060DF" w14:textId="19461506" w:rsidR="005800FD" w:rsidRPr="00287DB5" w:rsidRDefault="00000000" w:rsidP="005800FD">
          <w:pPr>
            <w:pStyle w:val="TOC2"/>
            <w:tabs>
              <w:tab w:val="right" w:leader="dot" w:pos="9350"/>
            </w:tabs>
            <w:rPr>
              <w:rFonts w:asciiTheme="minorHAnsi" w:eastAsiaTheme="minorEastAsia" w:hAnsiTheme="minorHAnsi"/>
              <w:noProof/>
              <w:sz w:val="22"/>
              <w:lang w:val="en-GB" w:eastAsia="en-IN"/>
            </w:rPr>
          </w:pPr>
          <w:hyperlink w:anchor="_Toc150868591" w:history="1">
            <w:r w:rsidR="005800FD" w:rsidRPr="00287DB5">
              <w:rPr>
                <w:rStyle w:val="Hyperlink"/>
                <w:noProof/>
                <w:sz w:val="22"/>
                <w:lang w:val="en-GB"/>
              </w:rPr>
              <w:t>3. Company’s Internationalization Approach:</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_Toc150868591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8</w:t>
            </w:r>
            <w:r w:rsidR="005800FD" w:rsidRPr="00287DB5">
              <w:rPr>
                <w:noProof/>
                <w:webHidden/>
                <w:sz w:val="22"/>
                <w:lang w:val="en-GB"/>
              </w:rPr>
              <w:fldChar w:fldCharType="end"/>
            </w:r>
          </w:hyperlink>
        </w:p>
        <w:p w14:paraId="1D510D1A" w14:textId="5A64CE4D"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592" w:history="1">
            <w:r w:rsidR="005800FD" w:rsidRPr="00287DB5">
              <w:rPr>
                <w:rStyle w:val="Hyperlink"/>
                <w:noProof/>
                <w:sz w:val="22"/>
                <w:lang w:val="en-GB"/>
              </w:rPr>
              <w:t>3.1 Analysis of AstraZeneca’s Strategy: Ethnocentric, Polycentric, or Geocentric?</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_Toc150868592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8</w:t>
            </w:r>
            <w:r w:rsidR="005800FD" w:rsidRPr="00287DB5">
              <w:rPr>
                <w:noProof/>
                <w:webHidden/>
                <w:sz w:val="22"/>
                <w:lang w:val="en-GB"/>
              </w:rPr>
              <w:fldChar w:fldCharType="end"/>
            </w:r>
          </w:hyperlink>
        </w:p>
        <w:p w14:paraId="497059DD" w14:textId="01FB23F7"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593" w:history="1">
            <w:r w:rsidR="005800FD" w:rsidRPr="00287DB5">
              <w:rPr>
                <w:rStyle w:val="Hyperlink"/>
                <w:noProof/>
                <w:sz w:val="22"/>
                <w:lang w:val="en-GB"/>
              </w:rPr>
              <w:t>3.2 Factors Influencing AstraZeneca’s Strategic Decisions</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_Toc150868593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8</w:t>
            </w:r>
            <w:r w:rsidR="005800FD" w:rsidRPr="00287DB5">
              <w:rPr>
                <w:noProof/>
                <w:webHidden/>
                <w:sz w:val="22"/>
                <w:lang w:val="en-GB"/>
              </w:rPr>
              <w:fldChar w:fldCharType="end"/>
            </w:r>
          </w:hyperlink>
        </w:p>
        <w:p w14:paraId="76344EB2" w14:textId="6899E4FF"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594" w:history="1">
            <w:r w:rsidR="005800FD" w:rsidRPr="00287DB5">
              <w:rPr>
                <w:rStyle w:val="Hyperlink"/>
                <w:noProof/>
                <w:sz w:val="22"/>
                <w:lang w:val="en-GB"/>
              </w:rPr>
              <w:t>3.3 Impact of Company’s Culture and Leadership</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_Toc150868594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9</w:t>
            </w:r>
            <w:r w:rsidR="005800FD" w:rsidRPr="00287DB5">
              <w:rPr>
                <w:noProof/>
                <w:webHidden/>
                <w:sz w:val="22"/>
                <w:lang w:val="en-GB"/>
              </w:rPr>
              <w:fldChar w:fldCharType="end"/>
            </w:r>
          </w:hyperlink>
        </w:p>
        <w:p w14:paraId="4FBBF395" w14:textId="68752A0E"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595" w:history="1">
            <w:r w:rsidR="005800FD" w:rsidRPr="00287DB5">
              <w:rPr>
                <w:rStyle w:val="Hyperlink"/>
                <w:noProof/>
                <w:sz w:val="22"/>
                <w:lang w:val="en-GB"/>
              </w:rPr>
              <w:t>3.4 Impact of Market Dynamics</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_Toc150868595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9</w:t>
            </w:r>
            <w:r w:rsidR="005800FD" w:rsidRPr="00287DB5">
              <w:rPr>
                <w:noProof/>
                <w:webHidden/>
                <w:sz w:val="22"/>
                <w:lang w:val="en-GB"/>
              </w:rPr>
              <w:fldChar w:fldCharType="end"/>
            </w:r>
          </w:hyperlink>
        </w:p>
        <w:p w14:paraId="787C6AC6" w14:textId="36B1ED69" w:rsidR="005800FD" w:rsidRPr="00287DB5" w:rsidRDefault="00000000" w:rsidP="005800FD">
          <w:pPr>
            <w:pStyle w:val="TOC2"/>
            <w:tabs>
              <w:tab w:val="right" w:leader="dot" w:pos="9350"/>
            </w:tabs>
            <w:rPr>
              <w:rFonts w:asciiTheme="minorHAnsi" w:eastAsiaTheme="minorEastAsia" w:hAnsiTheme="minorHAnsi"/>
              <w:noProof/>
              <w:sz w:val="22"/>
              <w:lang w:val="en-GB" w:eastAsia="en-IN"/>
            </w:rPr>
          </w:pPr>
          <w:hyperlink w:anchor="_Toc150868596" w:history="1">
            <w:r w:rsidR="005800FD" w:rsidRPr="00287DB5">
              <w:rPr>
                <w:rStyle w:val="Hyperlink"/>
                <w:noProof/>
                <w:sz w:val="22"/>
                <w:lang w:val="en-GB"/>
              </w:rPr>
              <w:t>4. PESTLE Analysis:</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_Toc150868596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10</w:t>
            </w:r>
            <w:r w:rsidR="005800FD" w:rsidRPr="00287DB5">
              <w:rPr>
                <w:noProof/>
                <w:webHidden/>
                <w:sz w:val="22"/>
                <w:lang w:val="en-GB"/>
              </w:rPr>
              <w:fldChar w:fldCharType="end"/>
            </w:r>
          </w:hyperlink>
        </w:p>
        <w:p w14:paraId="5819315A" w14:textId="244D6953"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597" w:history="1">
            <w:r w:rsidR="005800FD" w:rsidRPr="00287DB5">
              <w:rPr>
                <w:rStyle w:val="Hyperlink"/>
                <w:noProof/>
                <w:sz w:val="22"/>
                <w:lang w:val="en-GB"/>
              </w:rPr>
              <w:t>4.1 Political Factors: Regulations, Healthcare Policies</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_Toc150868597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10</w:t>
            </w:r>
            <w:r w:rsidR="005800FD" w:rsidRPr="00287DB5">
              <w:rPr>
                <w:noProof/>
                <w:webHidden/>
                <w:sz w:val="22"/>
                <w:lang w:val="en-GB"/>
              </w:rPr>
              <w:fldChar w:fldCharType="end"/>
            </w:r>
          </w:hyperlink>
        </w:p>
        <w:p w14:paraId="59873A9C" w14:textId="719E0726"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598" w:history="1">
            <w:r w:rsidR="005800FD" w:rsidRPr="00287DB5">
              <w:rPr>
                <w:rStyle w:val="Hyperlink"/>
                <w:noProof/>
                <w:sz w:val="22"/>
                <w:lang w:val="en-GB"/>
              </w:rPr>
              <w:t>4.2 Economic Factors: Market Conditions, Economic Stability in Host Countries</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_Toc150868598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11</w:t>
            </w:r>
            <w:r w:rsidR="005800FD" w:rsidRPr="00287DB5">
              <w:rPr>
                <w:noProof/>
                <w:webHidden/>
                <w:sz w:val="22"/>
                <w:lang w:val="en-GB"/>
              </w:rPr>
              <w:fldChar w:fldCharType="end"/>
            </w:r>
          </w:hyperlink>
        </w:p>
        <w:p w14:paraId="33E0689C" w14:textId="59BEBDFA"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599" w:history="1">
            <w:r w:rsidR="005800FD" w:rsidRPr="00287DB5">
              <w:rPr>
                <w:rStyle w:val="Hyperlink"/>
                <w:noProof/>
                <w:sz w:val="22"/>
                <w:lang w:val="en-GB"/>
              </w:rPr>
              <w:t>4.3 Social Factors: Demographic Changes, Disease Prevalence</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_Toc150868599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11</w:t>
            </w:r>
            <w:r w:rsidR="005800FD" w:rsidRPr="00287DB5">
              <w:rPr>
                <w:noProof/>
                <w:webHidden/>
                <w:sz w:val="22"/>
                <w:lang w:val="en-GB"/>
              </w:rPr>
              <w:fldChar w:fldCharType="end"/>
            </w:r>
          </w:hyperlink>
        </w:p>
        <w:p w14:paraId="4319FEC4" w14:textId="3A87741B"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600" w:history="1">
            <w:r w:rsidR="005800FD" w:rsidRPr="00287DB5">
              <w:rPr>
                <w:rStyle w:val="Hyperlink"/>
                <w:noProof/>
                <w:sz w:val="22"/>
                <w:lang w:val="en-GB"/>
              </w:rPr>
              <w:t>4.4 Technological Factors: R&amp;D Advancements, Digitalization</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_Toc150868600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11</w:t>
            </w:r>
            <w:r w:rsidR="005800FD" w:rsidRPr="00287DB5">
              <w:rPr>
                <w:noProof/>
                <w:webHidden/>
                <w:sz w:val="22"/>
                <w:lang w:val="en-GB"/>
              </w:rPr>
              <w:fldChar w:fldCharType="end"/>
            </w:r>
          </w:hyperlink>
        </w:p>
        <w:p w14:paraId="574F73BA" w14:textId="61F45C23"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601" w:history="1">
            <w:r w:rsidR="005800FD" w:rsidRPr="00287DB5">
              <w:rPr>
                <w:rStyle w:val="Hyperlink"/>
                <w:noProof/>
                <w:sz w:val="22"/>
                <w:lang w:val="en-GB"/>
              </w:rPr>
              <w:t>4.5 Legal Factors: Intellectual Property Laws, Compliance Issues</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_Toc150868601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11</w:t>
            </w:r>
            <w:r w:rsidR="005800FD" w:rsidRPr="00287DB5">
              <w:rPr>
                <w:noProof/>
                <w:webHidden/>
                <w:sz w:val="22"/>
                <w:lang w:val="en-GB"/>
              </w:rPr>
              <w:fldChar w:fldCharType="end"/>
            </w:r>
          </w:hyperlink>
        </w:p>
        <w:p w14:paraId="1E178E33" w14:textId="0A369F51"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602" w:history="1">
            <w:r w:rsidR="005800FD" w:rsidRPr="00287DB5">
              <w:rPr>
                <w:rStyle w:val="Hyperlink"/>
                <w:noProof/>
                <w:sz w:val="22"/>
                <w:lang w:val="en-GB"/>
              </w:rPr>
              <w:t>4.6 Environmental Factors: Sustainability Concerns, Environmental Regulations</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_Toc150868602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12</w:t>
            </w:r>
            <w:r w:rsidR="005800FD" w:rsidRPr="00287DB5">
              <w:rPr>
                <w:noProof/>
                <w:webHidden/>
                <w:sz w:val="22"/>
                <w:lang w:val="en-GB"/>
              </w:rPr>
              <w:fldChar w:fldCharType="end"/>
            </w:r>
          </w:hyperlink>
        </w:p>
        <w:p w14:paraId="08B6F606" w14:textId="3AEBA9CB"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603" w:history="1">
            <w:r w:rsidR="005800FD" w:rsidRPr="00287DB5">
              <w:rPr>
                <w:rStyle w:val="Hyperlink"/>
                <w:noProof/>
                <w:sz w:val="22"/>
                <w:lang w:val="en-GB"/>
              </w:rPr>
              <w:t>4.7 Impact of These Factors on AstraZeneca’s Decision-Making and Operations</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_Toc150868603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12</w:t>
            </w:r>
            <w:r w:rsidR="005800FD" w:rsidRPr="00287DB5">
              <w:rPr>
                <w:noProof/>
                <w:webHidden/>
                <w:sz w:val="22"/>
                <w:lang w:val="en-GB"/>
              </w:rPr>
              <w:fldChar w:fldCharType="end"/>
            </w:r>
          </w:hyperlink>
        </w:p>
        <w:p w14:paraId="6E090032" w14:textId="618BFC83" w:rsidR="005800FD" w:rsidRPr="00287DB5" w:rsidRDefault="00000000" w:rsidP="005800FD">
          <w:pPr>
            <w:pStyle w:val="TOC2"/>
            <w:tabs>
              <w:tab w:val="right" w:leader="dot" w:pos="9350"/>
            </w:tabs>
            <w:rPr>
              <w:rFonts w:asciiTheme="minorHAnsi" w:eastAsiaTheme="minorEastAsia" w:hAnsiTheme="minorHAnsi"/>
              <w:noProof/>
              <w:sz w:val="22"/>
              <w:lang w:val="en-GB" w:eastAsia="en-IN"/>
            </w:rPr>
          </w:pPr>
          <w:hyperlink w:anchor="_Toc150868604" w:history="1">
            <w:r w:rsidR="005800FD" w:rsidRPr="00287DB5">
              <w:rPr>
                <w:rStyle w:val="Hyperlink"/>
                <w:noProof/>
                <w:sz w:val="22"/>
                <w:lang w:val="en-GB"/>
              </w:rPr>
              <w:t>5. Integration of Contextual Factors and Internationalization Strategy:</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_Toc150868604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13</w:t>
            </w:r>
            <w:r w:rsidR="005800FD" w:rsidRPr="00287DB5">
              <w:rPr>
                <w:noProof/>
                <w:webHidden/>
                <w:sz w:val="22"/>
                <w:lang w:val="en-GB"/>
              </w:rPr>
              <w:fldChar w:fldCharType="end"/>
            </w:r>
          </w:hyperlink>
        </w:p>
        <w:p w14:paraId="6A596AF5" w14:textId="62CF4D81"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605" w:history="1">
            <w:r w:rsidR="005800FD" w:rsidRPr="00287DB5">
              <w:rPr>
                <w:rStyle w:val="Hyperlink"/>
                <w:noProof/>
                <w:sz w:val="22"/>
                <w:lang w:val="en-GB"/>
              </w:rPr>
              <w:t>5.1 How PESTLE Factors Shape AstraZeneca’s Strategy</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_Toc150868605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13</w:t>
            </w:r>
            <w:r w:rsidR="005800FD" w:rsidRPr="00287DB5">
              <w:rPr>
                <w:noProof/>
                <w:webHidden/>
                <w:sz w:val="22"/>
                <w:lang w:val="en-GB"/>
              </w:rPr>
              <w:fldChar w:fldCharType="end"/>
            </w:r>
          </w:hyperlink>
        </w:p>
        <w:p w14:paraId="03692F52" w14:textId="4F5FECA9" w:rsidR="005800FD" w:rsidRPr="00287DB5" w:rsidRDefault="00000000" w:rsidP="005800FD">
          <w:pPr>
            <w:pStyle w:val="TOC3"/>
            <w:tabs>
              <w:tab w:val="right" w:leader="dot" w:pos="9350"/>
            </w:tabs>
            <w:rPr>
              <w:rFonts w:asciiTheme="minorHAnsi" w:eastAsiaTheme="minorEastAsia" w:hAnsiTheme="minorHAnsi"/>
              <w:noProof/>
              <w:sz w:val="22"/>
              <w:lang w:val="en-GB" w:eastAsia="en-IN"/>
            </w:rPr>
          </w:pPr>
          <w:hyperlink w:anchor="_Toc150868606" w:history="1">
            <w:r w:rsidR="005800FD" w:rsidRPr="00287DB5">
              <w:rPr>
                <w:rStyle w:val="Hyperlink"/>
                <w:noProof/>
                <w:sz w:val="22"/>
                <w:lang w:val="en-GB"/>
              </w:rPr>
              <w:t>5.2 Adaptation of Strategies in Different Markets</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_Toc150868606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14</w:t>
            </w:r>
            <w:r w:rsidR="005800FD" w:rsidRPr="00287DB5">
              <w:rPr>
                <w:noProof/>
                <w:webHidden/>
                <w:sz w:val="22"/>
                <w:lang w:val="en-GB"/>
              </w:rPr>
              <w:fldChar w:fldCharType="end"/>
            </w:r>
          </w:hyperlink>
        </w:p>
        <w:p w14:paraId="754908FE" w14:textId="7653862D" w:rsidR="005800FD" w:rsidRPr="00287DB5" w:rsidRDefault="00000000" w:rsidP="005800FD">
          <w:pPr>
            <w:pStyle w:val="TOC2"/>
            <w:tabs>
              <w:tab w:val="right" w:leader="dot" w:pos="9350"/>
            </w:tabs>
            <w:rPr>
              <w:rFonts w:asciiTheme="minorHAnsi" w:eastAsiaTheme="minorEastAsia" w:hAnsiTheme="minorHAnsi"/>
              <w:noProof/>
              <w:sz w:val="22"/>
              <w:lang w:val="en-GB" w:eastAsia="en-IN"/>
            </w:rPr>
          </w:pPr>
          <w:hyperlink w:anchor="_Toc150868607" w:history="1">
            <w:r w:rsidR="005800FD" w:rsidRPr="00287DB5">
              <w:rPr>
                <w:rStyle w:val="Hyperlink"/>
                <w:noProof/>
                <w:sz w:val="22"/>
                <w:lang w:val="en-GB"/>
              </w:rPr>
              <w:t>5.3 Impact on Strategy Implementation</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_Toc150868607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14</w:t>
            </w:r>
            <w:r w:rsidR="005800FD" w:rsidRPr="00287DB5">
              <w:rPr>
                <w:noProof/>
                <w:webHidden/>
                <w:sz w:val="22"/>
                <w:lang w:val="en-GB"/>
              </w:rPr>
              <w:fldChar w:fldCharType="end"/>
            </w:r>
          </w:hyperlink>
        </w:p>
        <w:p w14:paraId="0DEAFEEC" w14:textId="1DEB985C" w:rsidR="005800FD" w:rsidRPr="00287DB5" w:rsidRDefault="00000000" w:rsidP="005800FD">
          <w:pPr>
            <w:pStyle w:val="TOC2"/>
            <w:tabs>
              <w:tab w:val="right" w:leader="dot" w:pos="9350"/>
            </w:tabs>
            <w:rPr>
              <w:rFonts w:asciiTheme="minorHAnsi" w:eastAsiaTheme="minorEastAsia" w:hAnsiTheme="minorHAnsi"/>
              <w:noProof/>
              <w:sz w:val="22"/>
              <w:lang w:val="en-GB" w:eastAsia="en-IN"/>
            </w:rPr>
          </w:pPr>
          <w:hyperlink w:anchor="_Toc150868608" w:history="1">
            <w:r w:rsidR="005800FD" w:rsidRPr="00287DB5">
              <w:rPr>
                <w:rStyle w:val="Hyperlink"/>
                <w:noProof/>
                <w:sz w:val="22"/>
                <w:lang w:val="en-GB"/>
              </w:rPr>
              <w:t>6. Recommendations for AstraZeneca's Future Internationalization Strategy:</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_Toc150868608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15</w:t>
            </w:r>
            <w:r w:rsidR="005800FD" w:rsidRPr="00287DB5">
              <w:rPr>
                <w:noProof/>
                <w:webHidden/>
                <w:sz w:val="22"/>
                <w:lang w:val="en-GB"/>
              </w:rPr>
              <w:fldChar w:fldCharType="end"/>
            </w:r>
          </w:hyperlink>
        </w:p>
        <w:p w14:paraId="0B4266F3" w14:textId="648E09BB" w:rsidR="005800FD" w:rsidRPr="00287DB5" w:rsidRDefault="00000000" w:rsidP="005800FD">
          <w:pPr>
            <w:pStyle w:val="TOC1"/>
            <w:tabs>
              <w:tab w:val="right" w:leader="dot" w:pos="9350"/>
            </w:tabs>
            <w:rPr>
              <w:rFonts w:asciiTheme="minorHAnsi" w:eastAsiaTheme="minorEastAsia" w:hAnsiTheme="minorHAnsi"/>
              <w:noProof/>
              <w:sz w:val="22"/>
              <w:lang w:val="en-GB" w:eastAsia="en-IN"/>
            </w:rPr>
          </w:pPr>
          <w:hyperlink w:anchor="_Toc150868609" w:history="1">
            <w:r w:rsidR="005800FD" w:rsidRPr="00287DB5">
              <w:rPr>
                <w:rStyle w:val="Hyperlink"/>
                <w:noProof/>
                <w:sz w:val="22"/>
                <w:lang w:val="en-GB"/>
              </w:rPr>
              <w:t>Conclusion</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_Toc150868609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18</w:t>
            </w:r>
            <w:r w:rsidR="005800FD" w:rsidRPr="00287DB5">
              <w:rPr>
                <w:noProof/>
                <w:webHidden/>
                <w:sz w:val="22"/>
                <w:lang w:val="en-GB"/>
              </w:rPr>
              <w:fldChar w:fldCharType="end"/>
            </w:r>
          </w:hyperlink>
        </w:p>
        <w:p w14:paraId="23C3B5FC" w14:textId="357B77C8" w:rsidR="00287DB5" w:rsidRDefault="00000000" w:rsidP="00287DB5">
          <w:pPr>
            <w:pStyle w:val="TOC1"/>
            <w:tabs>
              <w:tab w:val="right" w:leader="dot" w:pos="9350"/>
            </w:tabs>
            <w:rPr>
              <w:rFonts w:cs="Times New Roman"/>
              <w:b/>
              <w:bCs/>
              <w:noProof/>
              <w:szCs w:val="24"/>
              <w:lang w:val="en-GB"/>
            </w:rPr>
          </w:pPr>
          <w:hyperlink w:anchor="_Toc150868610" w:history="1">
            <w:r w:rsidR="005800FD" w:rsidRPr="00287DB5">
              <w:rPr>
                <w:rStyle w:val="Hyperlink"/>
                <w:noProof/>
                <w:sz w:val="22"/>
                <w:lang w:val="en-GB"/>
              </w:rPr>
              <w:t>References</w:t>
            </w:r>
            <w:r w:rsidR="005800FD" w:rsidRPr="00287DB5">
              <w:rPr>
                <w:noProof/>
                <w:webHidden/>
                <w:sz w:val="22"/>
                <w:lang w:val="en-GB"/>
              </w:rPr>
              <w:tab/>
            </w:r>
            <w:r w:rsidR="005800FD" w:rsidRPr="00287DB5">
              <w:rPr>
                <w:noProof/>
                <w:webHidden/>
                <w:sz w:val="22"/>
                <w:lang w:val="en-GB"/>
              </w:rPr>
              <w:fldChar w:fldCharType="begin"/>
            </w:r>
            <w:r w:rsidR="005800FD" w:rsidRPr="00287DB5">
              <w:rPr>
                <w:noProof/>
                <w:webHidden/>
                <w:sz w:val="22"/>
                <w:lang w:val="en-GB"/>
              </w:rPr>
              <w:instrText xml:space="preserve"> PAGEREF _Toc150868610 \h </w:instrText>
            </w:r>
            <w:r w:rsidR="005800FD" w:rsidRPr="00287DB5">
              <w:rPr>
                <w:noProof/>
                <w:webHidden/>
                <w:sz w:val="22"/>
                <w:lang w:val="en-GB"/>
              </w:rPr>
            </w:r>
            <w:r w:rsidR="005800FD" w:rsidRPr="00287DB5">
              <w:rPr>
                <w:noProof/>
                <w:webHidden/>
                <w:sz w:val="22"/>
                <w:lang w:val="en-GB"/>
              </w:rPr>
              <w:fldChar w:fldCharType="separate"/>
            </w:r>
            <w:r w:rsidR="000007AB">
              <w:rPr>
                <w:noProof/>
                <w:webHidden/>
                <w:sz w:val="22"/>
                <w:lang w:val="en-GB"/>
              </w:rPr>
              <w:t>20</w:t>
            </w:r>
            <w:r w:rsidR="005800FD" w:rsidRPr="00287DB5">
              <w:rPr>
                <w:noProof/>
                <w:webHidden/>
                <w:sz w:val="22"/>
                <w:lang w:val="en-GB"/>
              </w:rPr>
              <w:fldChar w:fldCharType="end"/>
            </w:r>
          </w:hyperlink>
          <w:r w:rsidR="00FD0081" w:rsidRPr="00EF1957">
            <w:rPr>
              <w:rFonts w:cs="Times New Roman"/>
              <w:b/>
              <w:bCs/>
              <w:noProof/>
              <w:szCs w:val="24"/>
              <w:lang w:val="en-GB"/>
            </w:rPr>
            <w:fldChar w:fldCharType="end"/>
          </w:r>
        </w:p>
      </w:sdtContent>
    </w:sdt>
    <w:p w14:paraId="19A2F0D0" w14:textId="52A43463" w:rsidR="00287DB5" w:rsidRDefault="00287DB5" w:rsidP="00287DB5">
      <w:pPr>
        <w:rPr>
          <w:lang w:val="en-GB"/>
        </w:rPr>
      </w:pPr>
      <w:bookmarkStart w:id="0" w:name="_Toc150547726"/>
      <w:bookmarkStart w:id="1" w:name="_Toc150868584"/>
    </w:p>
    <w:p w14:paraId="2EBF30DB" w14:textId="1AFD182F" w:rsidR="00595B99" w:rsidRPr="00287DB5" w:rsidRDefault="003C4CBB" w:rsidP="00287DB5">
      <w:pPr>
        <w:rPr>
          <w:b/>
          <w:bCs/>
          <w:lang w:val="en-GB"/>
        </w:rPr>
      </w:pPr>
      <w:r w:rsidRPr="00287DB5">
        <w:rPr>
          <w:b/>
          <w:bCs/>
          <w:lang w:val="en-GB"/>
        </w:rPr>
        <w:t>Introduction</w:t>
      </w:r>
      <w:bookmarkEnd w:id="0"/>
      <w:bookmarkEnd w:id="1"/>
    </w:p>
    <w:p w14:paraId="6CF3FCD7" w14:textId="04FF101F" w:rsidR="00B71CA8" w:rsidRPr="00EF1957" w:rsidRDefault="00B71CA8" w:rsidP="00B71CA8">
      <w:pPr>
        <w:rPr>
          <w:lang w:val="en-GB"/>
        </w:rPr>
      </w:pPr>
      <w:r w:rsidRPr="00EF1957">
        <w:rPr>
          <w:lang w:val="en-GB"/>
        </w:rPr>
        <w:t>Driven by an ongoing pursuit of innovation and market diversification, the pharmaceutical sector leads the way in worldwide growth in an age characterized by rapid globalization</w:t>
      </w:r>
      <w:r w:rsidR="00015427" w:rsidRPr="00EF1957">
        <w:rPr>
          <w:lang w:val="en-GB"/>
        </w:rPr>
        <w:t xml:space="preserve"> (Buckley and Casson, 2019)</w:t>
      </w:r>
      <w:r w:rsidRPr="00EF1957">
        <w:rPr>
          <w:lang w:val="en-GB"/>
        </w:rPr>
        <w:t>. This study examines AstraZeneca's internationalization strategy, with a specific emphasis on the company's respiratory and immunology activities in the UK and India. AstraZeneca is a major participant in the pharmaceutical industry. AstraZeneca, a company well-known for its substantial contributions to medicine and healthcare, offers an engaging case study that clarifies the dynamics of international business strategy in a complicated, heavily regulated sector.</w:t>
      </w:r>
    </w:p>
    <w:p w14:paraId="6737B672" w14:textId="1AC2183A" w:rsidR="00B71CA8" w:rsidRPr="00EF1957" w:rsidRDefault="00B71CA8" w:rsidP="00B71CA8">
      <w:pPr>
        <w:rPr>
          <w:lang w:val="en-GB"/>
        </w:rPr>
      </w:pPr>
      <w:r w:rsidRPr="00EF1957">
        <w:rPr>
          <w:lang w:val="en-GB"/>
        </w:rPr>
        <w:t>The environment of the pharmaceutical sector has changed significantly in the last several years, and internationalization is now not just a strategic choice but also a must. Many variables, such as the search for new markets, the need to distribute the significant expenditures of research and development across a bigger revenue base, the need to serve varied patient groups, and cost efficiency, make it necessary to grow outside local markets. Reaching out to foreign markets is essential for businesses like AstraZeneca, who operate in specialist categories like Respiratory &amp; Immunology, to maintain innovation, satisfy the needs of the global healthcare industry, and remain competitive</w:t>
      </w:r>
      <w:r w:rsidR="006C28CF" w:rsidRPr="00EF1957">
        <w:rPr>
          <w:lang w:val="en-GB"/>
        </w:rPr>
        <w:t xml:space="preserve"> (AstraZeneca, 2023)</w:t>
      </w:r>
      <w:r w:rsidRPr="00EF1957">
        <w:rPr>
          <w:lang w:val="en-GB"/>
        </w:rPr>
        <w:t>.</w:t>
      </w:r>
    </w:p>
    <w:p w14:paraId="2D097ED0" w14:textId="77777777" w:rsidR="00553ED4" w:rsidRPr="00EF1957" w:rsidRDefault="00553ED4" w:rsidP="00553ED4">
      <w:pPr>
        <w:rPr>
          <w:lang w:val="en-GB"/>
        </w:rPr>
      </w:pPr>
      <w:r w:rsidRPr="00EF1957">
        <w:rPr>
          <w:lang w:val="en-GB"/>
        </w:rPr>
        <w:t>The aim of this study is to provide a thorough examination of AstraZeneca's internationalization trajectory, looking at the company's strategies for navigating a variety of markets with a special emphasis on its activities in the UK and India. Examining the company's past, its internationalization strategy and the impact of several outside variables on its decision-making processes are all included in this.</w:t>
      </w:r>
    </w:p>
    <w:p w14:paraId="331476E7" w14:textId="483624D7" w:rsidR="00F24CA1" w:rsidRPr="00EF1957" w:rsidRDefault="00553ED4" w:rsidP="00FB021F">
      <w:pPr>
        <w:rPr>
          <w:lang w:val="en-GB"/>
        </w:rPr>
      </w:pPr>
      <w:r w:rsidRPr="00EF1957">
        <w:rPr>
          <w:lang w:val="en-GB"/>
        </w:rPr>
        <w:t>This report is methodically organized and starts with a background study of AstraZeneca that emphasizes its development, growth, and historical context. After that, it compares ethnocentric, polycentric, and geocentric methods as it digs into the theoretical underpinnings of internationalization tactics. A rigorous review of AstraZeneca's unique internationalization strategy, supported by a thorough PESTLE analysis, comes next. The paper incorporates these results and goes on to explore how AstraZeneca's plans and their execution have been impacted by external forces. It ends by providing strategic advice for the business's next foreign ventures and insights into expanding its worldwide presence in the pharmaceutical sector.</w:t>
      </w:r>
      <w:r w:rsidR="00F24CA1" w:rsidRPr="00EF1957">
        <w:rPr>
          <w:lang w:val="en-GB"/>
        </w:rPr>
        <w:t xml:space="preserve"> Finally, the report </w:t>
      </w:r>
      <w:r w:rsidR="00F24CA1" w:rsidRPr="00EF1957">
        <w:rPr>
          <w:lang w:val="en-GB"/>
        </w:rPr>
        <w:lastRenderedPageBreak/>
        <w:t>culminates by providing strategic suggestions for the organization's forthcoming international pursuits, thereby shedding light on ways to augment its worldwide presence within the pharmaceutical sector</w:t>
      </w:r>
      <w:r w:rsidR="006C28CF" w:rsidRPr="00EF1957">
        <w:rPr>
          <w:lang w:val="en-GB"/>
        </w:rPr>
        <w:t xml:space="preserve"> (AstraZeneca, 2023)</w:t>
      </w:r>
      <w:r w:rsidR="00F24CA1" w:rsidRPr="00EF1957">
        <w:rPr>
          <w:lang w:val="en-GB"/>
        </w:rPr>
        <w:t>.</w:t>
      </w:r>
    </w:p>
    <w:p w14:paraId="25118AD7" w14:textId="642C7222" w:rsidR="00FB021F" w:rsidRPr="00EF1957" w:rsidRDefault="00FB021F" w:rsidP="001D7020">
      <w:pPr>
        <w:pStyle w:val="Heading2"/>
        <w:rPr>
          <w:lang w:val="en-GB"/>
        </w:rPr>
      </w:pPr>
      <w:bookmarkStart w:id="2" w:name="_Toc150868585"/>
      <w:r w:rsidRPr="00EF1957">
        <w:rPr>
          <w:lang w:val="en-GB"/>
        </w:rPr>
        <w:t>1. Background Analysis</w:t>
      </w:r>
      <w:r w:rsidR="00F75E4E" w:rsidRPr="00EF1957">
        <w:rPr>
          <w:lang w:val="en-GB"/>
        </w:rPr>
        <w:t>:</w:t>
      </w:r>
      <w:bookmarkEnd w:id="2"/>
      <w:r w:rsidR="00F75E4E" w:rsidRPr="00EF1957">
        <w:rPr>
          <w:lang w:val="en-GB"/>
        </w:rPr>
        <w:t xml:space="preserve"> </w:t>
      </w:r>
    </w:p>
    <w:p w14:paraId="2BB85F60" w14:textId="212DABB3" w:rsidR="00FB021F" w:rsidRPr="00EF1957" w:rsidRDefault="001D7020" w:rsidP="00FB021F">
      <w:pPr>
        <w:rPr>
          <w:lang w:val="en-GB"/>
        </w:rPr>
      </w:pPr>
      <w:r w:rsidRPr="00EF1957">
        <w:rPr>
          <w:lang w:val="en-GB"/>
        </w:rPr>
        <w:t xml:space="preserve">AstraZeneca, a multinational pharmaceutical corporation, serves as a monument to the significant impact of smart acquisitions and long-term dedication to healthcare innovation. The establishment of the corporation can be traced back to the year 1999, when it was formed as a consequence of the merger of Astra AB, a Swedish company, and Zeneca Group PLC, a British company. </w:t>
      </w:r>
      <w:r w:rsidR="00FB021F" w:rsidRPr="00EF1957">
        <w:rPr>
          <w:lang w:val="en-GB"/>
        </w:rPr>
        <w:t>This fusion combined Astra's strong portfolio in gastrointestinal and cardiovascular drugs with Zeneca's expertise in cancer therapies, creating a diversified behemoth in the pharmaceutical industry. Since its inception, AstraZeneca has navigated through numerous challenges and opportunities, marking its journey with significant milestones. These include groundbreaking research in various therapeutic areas, notable drug discoveries, and strategic acquisitions that have expanded its global footprint</w:t>
      </w:r>
      <w:r w:rsidR="006C28CF" w:rsidRPr="00EF1957">
        <w:rPr>
          <w:lang w:val="en-GB"/>
        </w:rPr>
        <w:t xml:space="preserve"> (AstraZeneca, 2023)</w:t>
      </w:r>
      <w:r w:rsidR="00FB021F" w:rsidRPr="00EF1957">
        <w:rPr>
          <w:lang w:val="en-GB"/>
        </w:rPr>
        <w:t>.</w:t>
      </w:r>
    </w:p>
    <w:p w14:paraId="05A908B9" w14:textId="77777777" w:rsidR="00F673AE" w:rsidRPr="00EF1957" w:rsidRDefault="00FB021F" w:rsidP="00F673AE">
      <w:pPr>
        <w:rPr>
          <w:lang w:val="en-GB"/>
        </w:rPr>
      </w:pPr>
      <w:r w:rsidRPr="00EF1957">
        <w:rPr>
          <w:lang w:val="en-GB"/>
        </w:rPr>
        <w:t xml:space="preserve">In the realm of Respiratory &amp; Immunology, AstraZeneca has carved a niche for itself, especially in the UK and India. The UK, being the home ground, has seen the company investing heavily in R&amp;D, particularly in Cambridge, a hub for scientific research. </w:t>
      </w:r>
      <w:r w:rsidR="00F673AE" w:rsidRPr="00EF1957">
        <w:rPr>
          <w:lang w:val="en-GB"/>
        </w:rPr>
        <w:t>The company has concentrated on creating therapies for respiratory conditions that are persistent and cause a large health burden in the area. Their immunology research, which focuses on cutting-edge treatments for autoimmune illnesses, is particularly noteworthy.</w:t>
      </w:r>
    </w:p>
    <w:p w14:paraId="40C05030" w14:textId="186D8F7B" w:rsidR="00F673AE" w:rsidRPr="00EF1957" w:rsidRDefault="00F673AE" w:rsidP="00F673AE">
      <w:pPr>
        <w:rPr>
          <w:lang w:val="en-GB"/>
        </w:rPr>
      </w:pPr>
      <w:r w:rsidRPr="00EF1957">
        <w:rPr>
          <w:lang w:val="en-GB"/>
        </w:rPr>
        <w:t>AstraZeneca has modified its strategy in India to address the particular healthcare needs of the country. Given the high incidence of respiratory conditions such as asthma and chronic obstructive pulmonary disease (COPD) in India, the firm has focused its efforts on improving treatment accessibility. Additionally, the focus of their immunology research in India is on meeting the demands of the local population, which includes the high prevalence of inflammatory and autoimmune diseases</w:t>
      </w:r>
      <w:r w:rsidR="006C28CF" w:rsidRPr="00EF1957">
        <w:rPr>
          <w:lang w:val="en-GB"/>
        </w:rPr>
        <w:t xml:space="preserve"> (AstraZeneca, 2023)</w:t>
      </w:r>
      <w:r w:rsidRPr="00EF1957">
        <w:rPr>
          <w:lang w:val="en-GB"/>
        </w:rPr>
        <w:t>.</w:t>
      </w:r>
    </w:p>
    <w:p w14:paraId="2CD11702" w14:textId="6F538779" w:rsidR="00F673AE" w:rsidRPr="00EF1957" w:rsidRDefault="00EF2DAA" w:rsidP="00F673AE">
      <w:pPr>
        <w:rPr>
          <w:lang w:val="en-GB"/>
        </w:rPr>
      </w:pPr>
      <w:r w:rsidRPr="00EF2DAA">
        <w:rPr>
          <w:lang w:val="en-GB"/>
        </w:rPr>
        <w:t xml:space="preserve">The internationalization trajectory of AstraZeneca is characterized by a strategic integration of organic growth and joint ventures. </w:t>
      </w:r>
      <w:r w:rsidR="00F673AE" w:rsidRPr="00EF1957">
        <w:rPr>
          <w:lang w:val="en-GB"/>
        </w:rPr>
        <w:t xml:space="preserve">The business now has a sizable following in important regions in Europe, Asia, and North America. It has successfully navigated through many stages of growth, from establishing research facilities and subsidiaries to forming partnerships and joint ventures </w:t>
      </w:r>
      <w:r w:rsidR="00F673AE" w:rsidRPr="00EF1957">
        <w:rPr>
          <w:lang w:val="en-GB"/>
        </w:rPr>
        <w:lastRenderedPageBreak/>
        <w:t xml:space="preserve">with regional businesses. </w:t>
      </w:r>
      <w:r w:rsidR="00B10FA9" w:rsidRPr="00B10FA9">
        <w:rPr>
          <w:lang w:val="en-GB"/>
        </w:rPr>
        <w:t xml:space="preserve">A comprehensive understanding of the intricacies of the regional market and a commitment to adapting to diverse healthcare environments have formed the basis for this </w:t>
      </w:r>
      <w:proofErr w:type="gramStart"/>
      <w:r w:rsidR="00B10FA9" w:rsidRPr="00B10FA9">
        <w:rPr>
          <w:lang w:val="en-GB"/>
        </w:rPr>
        <w:t>advancement.</w:t>
      </w:r>
      <w:r w:rsidR="00F673AE" w:rsidRPr="00EF1957">
        <w:rPr>
          <w:lang w:val="en-GB"/>
        </w:rPr>
        <w:t>.</w:t>
      </w:r>
      <w:proofErr w:type="gramEnd"/>
    </w:p>
    <w:p w14:paraId="5484F9A5" w14:textId="736873ED" w:rsidR="0074141D" w:rsidRPr="00EF1957" w:rsidRDefault="00B26D55" w:rsidP="0074141D">
      <w:pPr>
        <w:rPr>
          <w:lang w:val="en-GB"/>
        </w:rPr>
      </w:pPr>
      <w:r w:rsidRPr="00B26D55">
        <w:rPr>
          <w:lang w:val="en-GB"/>
        </w:rPr>
        <w:t xml:space="preserve">With partnerships with preeminent academic institutions and healthcare organizations, AstraZeneca's operations in its home country of the United Kingdom are characterized by a strong emphasis on research and development. Moreover, the United Kingdom services function as a hub for regulatory and global distribution affairs. On the other hand, AstraZeneca employs a customized approach to meet the specific requirements of regional markets when conducting business in its host countries, including India, with an emphasis on production, marketing, and distribution. </w:t>
      </w:r>
      <w:r w:rsidR="0074141D" w:rsidRPr="00EF1957">
        <w:rPr>
          <w:lang w:val="en-GB"/>
        </w:rPr>
        <w:t>India's manufacturing facilities are an integral part of the company's worldwide supply chain, demonstrating the nation's increasing significance in the pharmaceutical manufacturing industry</w:t>
      </w:r>
      <w:r w:rsidR="006C28CF" w:rsidRPr="00EF1957">
        <w:rPr>
          <w:lang w:val="en-GB"/>
        </w:rPr>
        <w:t xml:space="preserve"> (AstraZeneca, 2023)</w:t>
      </w:r>
      <w:r w:rsidR="0074141D" w:rsidRPr="00EF1957">
        <w:rPr>
          <w:lang w:val="en-GB"/>
        </w:rPr>
        <w:t>.</w:t>
      </w:r>
    </w:p>
    <w:p w14:paraId="1CC59E21" w14:textId="4DE5D1A5" w:rsidR="00F673AE" w:rsidRPr="00EF1957" w:rsidRDefault="0074141D" w:rsidP="00FB021F">
      <w:pPr>
        <w:rPr>
          <w:lang w:val="en-GB"/>
        </w:rPr>
      </w:pPr>
      <w:r w:rsidRPr="00EF1957">
        <w:rPr>
          <w:lang w:val="en-GB"/>
        </w:rPr>
        <w:t>AstraZeneca has shown a remarkable ability to strike a compromise between global ambitions and local sensitivities throughout its internationalization journey. Its approach to product development, market entrance tactics, regulatory compliance, and corporate social responsibility efforts all demonstrate this. The story of the company's development is not only one of geographical expansion, but also one of adaptation and influence in the dynamic global pharmaceutical market.</w:t>
      </w:r>
    </w:p>
    <w:p w14:paraId="17E88161" w14:textId="18237EF6" w:rsidR="00FB021F" w:rsidRPr="00EF1957" w:rsidRDefault="00FB021F" w:rsidP="008915CD">
      <w:pPr>
        <w:pStyle w:val="Heading2"/>
        <w:rPr>
          <w:lang w:val="en-GB"/>
        </w:rPr>
      </w:pPr>
      <w:bookmarkStart w:id="3" w:name="_Toc150868586"/>
      <w:r w:rsidRPr="00EF1957">
        <w:rPr>
          <w:lang w:val="en-GB"/>
        </w:rPr>
        <w:t>2. Internationalization Strategies</w:t>
      </w:r>
      <w:r w:rsidR="00F75E4E" w:rsidRPr="00EF1957">
        <w:rPr>
          <w:lang w:val="en-GB"/>
        </w:rPr>
        <w:t>:</w:t>
      </w:r>
      <w:bookmarkEnd w:id="3"/>
    </w:p>
    <w:p w14:paraId="20F85FFC" w14:textId="4B3AC248" w:rsidR="00F0706C" w:rsidRDefault="00F0706C" w:rsidP="00FB021F">
      <w:pPr>
        <w:rPr>
          <w:lang w:val="en-GB"/>
        </w:rPr>
      </w:pPr>
      <w:r w:rsidRPr="00EF1957">
        <w:rPr>
          <w:lang w:val="en-GB"/>
        </w:rPr>
        <w:t>In the business sector, internationalization plans are essential for companies looking to grow internationally. These approaches—especially the ethnocentric, polycentric, and geocentric ones—offer unique ways to extend and manage global operations. In the pharmaceutical sector, where success depends on both local adaptability and worldwide reach, it is essential to comprehend these methods</w:t>
      </w:r>
      <w:r w:rsidR="002A7442" w:rsidRPr="00EF1957">
        <w:rPr>
          <w:lang w:val="en-GB"/>
        </w:rPr>
        <w:t xml:space="preserve"> (Akdeniz et al., </w:t>
      </w:r>
      <w:r w:rsidR="00337122" w:rsidRPr="00EF1957">
        <w:rPr>
          <w:lang w:val="en-GB"/>
        </w:rPr>
        <w:t>2019)</w:t>
      </w:r>
      <w:r w:rsidR="00B677C0">
        <w:rPr>
          <w:lang w:val="en-GB"/>
        </w:rPr>
        <w:t>.</w:t>
      </w:r>
    </w:p>
    <w:p w14:paraId="18CDEDBF" w14:textId="2118C511" w:rsidR="00FB021F" w:rsidRPr="00EF1957" w:rsidRDefault="00F0706C" w:rsidP="008915CD">
      <w:pPr>
        <w:pStyle w:val="Heading3"/>
        <w:rPr>
          <w:lang w:val="en-GB"/>
        </w:rPr>
      </w:pPr>
      <w:bookmarkStart w:id="4" w:name="_Toc150868587"/>
      <w:r w:rsidRPr="00EF1957">
        <w:rPr>
          <w:lang w:val="en-GB"/>
        </w:rPr>
        <w:t xml:space="preserve">2.1 </w:t>
      </w:r>
      <w:r w:rsidR="00FB021F" w:rsidRPr="00EF1957">
        <w:rPr>
          <w:lang w:val="en-GB"/>
        </w:rPr>
        <w:t>Ethnocentric Approach</w:t>
      </w:r>
      <w:bookmarkEnd w:id="4"/>
    </w:p>
    <w:p w14:paraId="29DEC268" w14:textId="6251813F" w:rsidR="00FD1034" w:rsidRPr="00EF1957" w:rsidRDefault="00FB021F" w:rsidP="00FD1034">
      <w:pPr>
        <w:rPr>
          <w:lang w:val="en-GB"/>
        </w:rPr>
      </w:pPr>
      <w:r w:rsidRPr="00EF1957">
        <w:rPr>
          <w:b/>
          <w:bCs/>
          <w:i/>
          <w:iCs/>
          <w:lang w:val="en-GB"/>
        </w:rPr>
        <w:t>Definition and Characteristics:</w:t>
      </w:r>
      <w:r w:rsidRPr="00EF1957">
        <w:rPr>
          <w:lang w:val="en-GB"/>
        </w:rPr>
        <w:t xml:space="preserve"> </w:t>
      </w:r>
      <w:r w:rsidR="00FD1034" w:rsidRPr="00EF1957">
        <w:rPr>
          <w:lang w:val="en-GB"/>
        </w:rPr>
        <w:t>An organization that employs the ethnocentric approach applies the same operational and commercial tactics in overseas markets as it does in its own market. This method is often the result of a conviction that domestic methods are better. Within the pharmaceutical sector, this might include exporting domestic medication research and marketing tactics to foreign markets</w:t>
      </w:r>
      <w:r w:rsidR="00660518" w:rsidRPr="00EF1957">
        <w:rPr>
          <w:lang w:val="en-GB"/>
        </w:rPr>
        <w:t xml:space="preserve"> (Buckley, 2019)</w:t>
      </w:r>
      <w:r w:rsidR="00FD1034" w:rsidRPr="00EF1957">
        <w:rPr>
          <w:lang w:val="en-GB"/>
        </w:rPr>
        <w:t>.</w:t>
      </w:r>
    </w:p>
    <w:p w14:paraId="655A5EE4" w14:textId="584D7A57" w:rsidR="00897181" w:rsidRPr="00EF1957" w:rsidRDefault="00FB021F" w:rsidP="00897181">
      <w:pPr>
        <w:pStyle w:val="ListParagraph"/>
        <w:numPr>
          <w:ilvl w:val="0"/>
          <w:numId w:val="6"/>
        </w:numPr>
        <w:rPr>
          <w:lang w:val="en-GB"/>
        </w:rPr>
      </w:pPr>
      <w:r w:rsidRPr="00EF1957">
        <w:rPr>
          <w:lang w:val="en-GB"/>
        </w:rPr>
        <w:lastRenderedPageBreak/>
        <w:t xml:space="preserve">Advantages: </w:t>
      </w:r>
      <w:r w:rsidR="00897181" w:rsidRPr="00EF1957">
        <w:rPr>
          <w:lang w:val="en-GB"/>
        </w:rPr>
        <w:t>This strategy enables more control and uniformity across global operations. It streamlines administration and may use the advantages of domestic processes.</w:t>
      </w:r>
    </w:p>
    <w:p w14:paraId="034B84EB" w14:textId="77777777" w:rsidR="00897181" w:rsidRPr="00EF1957" w:rsidRDefault="00FB021F" w:rsidP="00F448ED">
      <w:pPr>
        <w:pStyle w:val="ListParagraph"/>
        <w:numPr>
          <w:ilvl w:val="0"/>
          <w:numId w:val="2"/>
        </w:numPr>
        <w:rPr>
          <w:lang w:val="en-GB"/>
        </w:rPr>
      </w:pPr>
      <w:r w:rsidRPr="00EF1957">
        <w:rPr>
          <w:lang w:val="en-GB"/>
        </w:rPr>
        <w:t xml:space="preserve">Disadvantages: </w:t>
      </w:r>
      <w:r w:rsidR="00897181" w:rsidRPr="00EF1957">
        <w:rPr>
          <w:lang w:val="en-GB"/>
        </w:rPr>
        <w:t>It may result in a lack of cultural awareness and local market adaptation. This might lead to pharmaceutical companies using inefficient marketing tactics or overlooking regional healthcare needs and legal obligations.</w:t>
      </w:r>
    </w:p>
    <w:p w14:paraId="5723440D" w14:textId="1E7A97F3" w:rsidR="00F0706C" w:rsidRPr="00EF1957" w:rsidRDefault="00FB021F" w:rsidP="00FB021F">
      <w:pPr>
        <w:rPr>
          <w:lang w:val="en-GB"/>
        </w:rPr>
      </w:pPr>
      <w:r w:rsidRPr="00EF1957">
        <w:rPr>
          <w:b/>
          <w:bCs/>
          <w:i/>
          <w:iCs/>
          <w:lang w:val="en-GB"/>
        </w:rPr>
        <w:t>Pharmaceutical Industry Context:</w:t>
      </w:r>
      <w:r w:rsidRPr="00EF1957">
        <w:rPr>
          <w:lang w:val="en-GB"/>
        </w:rPr>
        <w:t xml:space="preserve"> </w:t>
      </w:r>
      <w:r w:rsidR="00775BA7" w:rsidRPr="00EF1957">
        <w:rPr>
          <w:lang w:val="en-GB"/>
        </w:rPr>
        <w:t>A pharmaceutical company's capacity to adjust to changing patient demographics, laws, and healthcare systems may be hampered by an ethnocentric strategy. On the other hand, it may work well for maintaining a constant worldwide brand and level of product quality.</w:t>
      </w:r>
    </w:p>
    <w:p w14:paraId="26F41C46" w14:textId="29AF5E17" w:rsidR="00FB021F" w:rsidRPr="00EF1957" w:rsidRDefault="00F6793E" w:rsidP="008915CD">
      <w:pPr>
        <w:pStyle w:val="Heading3"/>
        <w:rPr>
          <w:lang w:val="en-GB"/>
        </w:rPr>
      </w:pPr>
      <w:bookmarkStart w:id="5" w:name="_Toc150868588"/>
      <w:r w:rsidRPr="00EF1957">
        <w:rPr>
          <w:lang w:val="en-GB"/>
        </w:rPr>
        <w:t xml:space="preserve">2.2 </w:t>
      </w:r>
      <w:r w:rsidR="00FB021F" w:rsidRPr="00EF1957">
        <w:rPr>
          <w:lang w:val="en-GB"/>
        </w:rPr>
        <w:t>Polycentric Approach</w:t>
      </w:r>
      <w:bookmarkEnd w:id="5"/>
    </w:p>
    <w:p w14:paraId="7DED728E" w14:textId="56258F57" w:rsidR="00FB021F" w:rsidRPr="00EF1957" w:rsidRDefault="00FB021F" w:rsidP="00FB021F">
      <w:pPr>
        <w:rPr>
          <w:lang w:val="en-GB"/>
        </w:rPr>
      </w:pPr>
      <w:r w:rsidRPr="00EF1957">
        <w:rPr>
          <w:b/>
          <w:bCs/>
          <w:i/>
          <w:iCs/>
          <w:lang w:val="en-GB"/>
        </w:rPr>
        <w:t>Definition and Characteristics:</w:t>
      </w:r>
      <w:r w:rsidR="00D83E1F" w:rsidRPr="00EF1957">
        <w:rPr>
          <w:lang w:val="en-GB"/>
        </w:rPr>
        <w:t xml:space="preserve"> A polycentric strategy is tailoring company plans to the specific requirements of each overseas market. This approach recognizes that every market is different and needs customized strategies. In the pharmaceutical industry, this might include creating new medications or changing marketing tactics to cater to regional medical service’s needs</w:t>
      </w:r>
      <w:r w:rsidR="002F4488" w:rsidRPr="00EF1957">
        <w:rPr>
          <w:lang w:val="en-GB"/>
        </w:rPr>
        <w:t xml:space="preserve"> (</w:t>
      </w:r>
      <w:proofErr w:type="spellStart"/>
      <w:r w:rsidR="002F4488" w:rsidRPr="00EF1957">
        <w:rPr>
          <w:lang w:val="en-GB"/>
        </w:rPr>
        <w:t>Cherunilam</w:t>
      </w:r>
      <w:proofErr w:type="spellEnd"/>
      <w:r w:rsidR="002F4488" w:rsidRPr="00EF1957">
        <w:rPr>
          <w:lang w:val="en-GB"/>
        </w:rPr>
        <w:t>, 2020)</w:t>
      </w:r>
      <w:r w:rsidR="00D83E1F" w:rsidRPr="00EF1957">
        <w:rPr>
          <w:lang w:val="en-GB"/>
        </w:rPr>
        <w:t>.</w:t>
      </w:r>
    </w:p>
    <w:p w14:paraId="6170BE5E" w14:textId="77777777" w:rsidR="00897AE5" w:rsidRPr="00EF1957" w:rsidRDefault="00FB021F" w:rsidP="00CE0D15">
      <w:pPr>
        <w:pStyle w:val="ListParagraph"/>
        <w:numPr>
          <w:ilvl w:val="0"/>
          <w:numId w:val="3"/>
        </w:numPr>
        <w:rPr>
          <w:lang w:val="en-GB"/>
        </w:rPr>
      </w:pPr>
      <w:r w:rsidRPr="00EF1957">
        <w:rPr>
          <w:lang w:val="en-GB"/>
        </w:rPr>
        <w:t xml:space="preserve">Advantages: </w:t>
      </w:r>
      <w:r w:rsidR="00897AE5" w:rsidRPr="00EF1957">
        <w:rPr>
          <w:lang w:val="en-GB"/>
        </w:rPr>
        <w:t>This strategy is more sensitive to cultural differences and adapts to the demands of the local market, which may increase acceptability and success in a variety of markets.</w:t>
      </w:r>
    </w:p>
    <w:p w14:paraId="495F5182" w14:textId="30415E03" w:rsidR="00FB021F" w:rsidRPr="00EF1957" w:rsidRDefault="00FB021F" w:rsidP="00CE0D15">
      <w:pPr>
        <w:pStyle w:val="ListParagraph"/>
        <w:numPr>
          <w:ilvl w:val="0"/>
          <w:numId w:val="3"/>
        </w:numPr>
        <w:rPr>
          <w:lang w:val="en-GB"/>
        </w:rPr>
      </w:pPr>
      <w:r w:rsidRPr="00EF1957">
        <w:rPr>
          <w:lang w:val="en-GB"/>
        </w:rPr>
        <w:t xml:space="preserve">Disadvantages: </w:t>
      </w:r>
      <w:r w:rsidR="00B85E05" w:rsidRPr="00EF1957">
        <w:rPr>
          <w:lang w:val="en-GB"/>
        </w:rPr>
        <w:t>Having to manage many tactics may be difficult and resource-consuming. It could also result in a lack of uniformity in operational standards and the worldwide brand image.</w:t>
      </w:r>
    </w:p>
    <w:p w14:paraId="0BFBE700" w14:textId="1DB8B056" w:rsidR="00F7386D" w:rsidRPr="00EF1957" w:rsidRDefault="00FB021F" w:rsidP="00FB021F">
      <w:pPr>
        <w:rPr>
          <w:lang w:val="en-GB"/>
        </w:rPr>
      </w:pPr>
      <w:r w:rsidRPr="00EF1957">
        <w:rPr>
          <w:b/>
          <w:bCs/>
          <w:i/>
          <w:iCs/>
          <w:lang w:val="en-GB"/>
        </w:rPr>
        <w:t>Pharmaceutical Industry Context:</w:t>
      </w:r>
      <w:r w:rsidRPr="00EF1957">
        <w:rPr>
          <w:lang w:val="en-GB"/>
        </w:rPr>
        <w:t xml:space="preserve"> </w:t>
      </w:r>
      <w:r w:rsidR="00F6793E" w:rsidRPr="00EF1957">
        <w:rPr>
          <w:lang w:val="en-GB"/>
        </w:rPr>
        <w:t>In the pharmaceutical industry, a polycentric approach may be very helpful due to the variety of illness profiles, systems of healthcare, and regulatory environments. It enables businesses to follow regional laws while being sensitive to the demands of the local market.</w:t>
      </w:r>
    </w:p>
    <w:p w14:paraId="0EC32FF4" w14:textId="5996528B" w:rsidR="00FB021F" w:rsidRPr="00EF1957" w:rsidRDefault="004D401F" w:rsidP="008915CD">
      <w:pPr>
        <w:pStyle w:val="Heading3"/>
        <w:rPr>
          <w:lang w:val="en-GB"/>
        </w:rPr>
      </w:pPr>
      <w:bookmarkStart w:id="6" w:name="_Toc150868589"/>
      <w:r w:rsidRPr="00EF1957">
        <w:rPr>
          <w:lang w:val="en-GB"/>
        </w:rPr>
        <w:t xml:space="preserve">2.3 </w:t>
      </w:r>
      <w:r w:rsidR="00FB021F" w:rsidRPr="00EF1957">
        <w:rPr>
          <w:lang w:val="en-GB"/>
        </w:rPr>
        <w:t>Geocentric Approach</w:t>
      </w:r>
      <w:bookmarkEnd w:id="6"/>
    </w:p>
    <w:p w14:paraId="53F7BE7A" w14:textId="20888F64" w:rsidR="00BD6A37" w:rsidRPr="00EF1957" w:rsidRDefault="00FB021F" w:rsidP="00A1657A">
      <w:pPr>
        <w:rPr>
          <w:lang w:val="en-GB"/>
        </w:rPr>
      </w:pPr>
      <w:r w:rsidRPr="00EF1957">
        <w:rPr>
          <w:lang w:val="en-GB"/>
        </w:rPr>
        <w:t xml:space="preserve">Definition and Characteristics: </w:t>
      </w:r>
      <w:r w:rsidR="00A1657A" w:rsidRPr="00EF1957">
        <w:rPr>
          <w:lang w:val="en-GB"/>
        </w:rPr>
        <w:t xml:space="preserve">Both ethnocentric and polycentric tactics are included into the geocentric strategy. By using a worldwide strategy that is adaptable enough to change with local situations, this method aims to strike a balance. This might include a uniform medication </w:t>
      </w:r>
      <w:r w:rsidR="00A1657A" w:rsidRPr="00EF1957">
        <w:rPr>
          <w:lang w:val="en-GB"/>
        </w:rPr>
        <w:lastRenderedPageBreak/>
        <w:t>development procedure with modifications for particular markets in the area of pharmaceuticals</w:t>
      </w:r>
      <w:r w:rsidR="002D7AEF" w:rsidRPr="00EF1957">
        <w:rPr>
          <w:lang w:val="en-GB"/>
        </w:rPr>
        <w:t xml:space="preserve"> (Collinson et al., </w:t>
      </w:r>
      <w:r w:rsidR="00BF308C" w:rsidRPr="00EF1957">
        <w:rPr>
          <w:lang w:val="en-GB"/>
        </w:rPr>
        <w:t>2020)</w:t>
      </w:r>
      <w:r w:rsidR="00A1657A" w:rsidRPr="00EF1957">
        <w:rPr>
          <w:lang w:val="en-GB"/>
        </w:rPr>
        <w:t>.</w:t>
      </w:r>
    </w:p>
    <w:p w14:paraId="46792D3D" w14:textId="77777777" w:rsidR="00FF6649" w:rsidRPr="00EF1957" w:rsidRDefault="00FB021F" w:rsidP="007C7070">
      <w:pPr>
        <w:pStyle w:val="ListParagraph"/>
        <w:numPr>
          <w:ilvl w:val="0"/>
          <w:numId w:val="4"/>
        </w:numPr>
        <w:rPr>
          <w:lang w:val="en-GB"/>
        </w:rPr>
      </w:pPr>
      <w:r w:rsidRPr="00EF1957">
        <w:rPr>
          <w:lang w:val="en-GB"/>
        </w:rPr>
        <w:t xml:space="preserve">Advantages: </w:t>
      </w:r>
      <w:r w:rsidR="00FF6649" w:rsidRPr="00EF1957">
        <w:rPr>
          <w:lang w:val="en-GB"/>
        </w:rPr>
        <w:t>It provides a well-rounded strategy that satisfies regional demands while upholding international standards. This has the potential to result in both successful local market penetration and worldwide operations.</w:t>
      </w:r>
    </w:p>
    <w:p w14:paraId="03D6023B" w14:textId="77777777" w:rsidR="00B97F46" w:rsidRPr="00EF1957" w:rsidRDefault="00FB021F" w:rsidP="005A66EA">
      <w:pPr>
        <w:pStyle w:val="ListParagraph"/>
        <w:numPr>
          <w:ilvl w:val="0"/>
          <w:numId w:val="4"/>
        </w:numPr>
        <w:rPr>
          <w:lang w:val="en-GB"/>
        </w:rPr>
      </w:pPr>
      <w:r w:rsidRPr="00EF1957">
        <w:rPr>
          <w:lang w:val="en-GB"/>
        </w:rPr>
        <w:t>Disadvantages</w:t>
      </w:r>
      <w:r w:rsidR="00B97F46" w:rsidRPr="00EF1957">
        <w:rPr>
          <w:lang w:val="en-GB"/>
        </w:rPr>
        <w:t xml:space="preserve"> Because of its intricacy, putting a geocentric plan into practice might be difficult. It may take a lot of resources to maintain since it calls for a thorough awareness of both local quirks and worldwide trends.</w:t>
      </w:r>
    </w:p>
    <w:p w14:paraId="5C28AF0C" w14:textId="403852F5" w:rsidR="00D530C9" w:rsidRPr="00EF1957" w:rsidRDefault="00FB021F" w:rsidP="00FB021F">
      <w:pPr>
        <w:rPr>
          <w:lang w:val="en-GB"/>
        </w:rPr>
      </w:pPr>
      <w:r w:rsidRPr="00EF1957">
        <w:rPr>
          <w:lang w:val="en-GB"/>
        </w:rPr>
        <w:t xml:space="preserve">Pharmaceutical Industry Context: </w:t>
      </w:r>
      <w:r w:rsidR="000C5FC3" w:rsidRPr="00EF1957">
        <w:rPr>
          <w:lang w:val="en-GB"/>
        </w:rPr>
        <w:t>Pharmaceutical businesses find that a geocentric approach works best since it ensures that goods are compliant with local legislation and market demands while facilitating the worldwide distribution of breakthroughs. However, attaining this equilibrium calls for highly developed operational and managerial skills.</w:t>
      </w:r>
    </w:p>
    <w:p w14:paraId="09CFD25A" w14:textId="2C83D2BF" w:rsidR="00FB021F" w:rsidRPr="00EF1957" w:rsidRDefault="003C193E" w:rsidP="008915CD">
      <w:pPr>
        <w:pStyle w:val="Heading3"/>
        <w:rPr>
          <w:lang w:val="en-GB"/>
        </w:rPr>
      </w:pPr>
      <w:bookmarkStart w:id="7" w:name="_Toc150868590"/>
      <w:r w:rsidRPr="00EF1957">
        <w:rPr>
          <w:lang w:val="en-GB"/>
        </w:rPr>
        <w:t xml:space="preserve">2.4 </w:t>
      </w:r>
      <w:r w:rsidR="00FB021F" w:rsidRPr="00EF1957">
        <w:rPr>
          <w:lang w:val="en-GB"/>
        </w:rPr>
        <w:t>Comparative Analysis in the Pharmaceutical Industry</w:t>
      </w:r>
      <w:bookmarkEnd w:id="7"/>
    </w:p>
    <w:p w14:paraId="30D1EFA8" w14:textId="01B8733A" w:rsidR="00C5576C" w:rsidRPr="00EF1957" w:rsidRDefault="003E7D64" w:rsidP="003E7D64">
      <w:pPr>
        <w:rPr>
          <w:lang w:val="en-GB"/>
        </w:rPr>
      </w:pPr>
      <w:r w:rsidRPr="003E7D64">
        <w:rPr>
          <w:lang w:val="en-GB"/>
        </w:rPr>
        <w:t xml:space="preserve">A company's performance in the pharmaceutical sector can be significantly influenced by its internationalization strategy decisions. Even </w:t>
      </w:r>
      <w:r w:rsidRPr="003E7D64">
        <w:rPr>
          <w:lang w:val="en-GB"/>
        </w:rPr>
        <w:t>if consistent</w:t>
      </w:r>
      <w:r w:rsidRPr="003E7D64">
        <w:rPr>
          <w:lang w:val="en-GB"/>
        </w:rPr>
        <w:t>, ethnocentric tactics may be difficult to adapt to local markets, which is important in regions with large regional differences in health care requirements and laws.</w:t>
      </w:r>
      <w:r>
        <w:rPr>
          <w:lang w:val="en-GB"/>
        </w:rPr>
        <w:t xml:space="preserve"> </w:t>
      </w:r>
      <w:r w:rsidR="00C5576C" w:rsidRPr="00EF1957">
        <w:rPr>
          <w:lang w:val="en-GB"/>
        </w:rPr>
        <w:t>For example, a drug that is well-liked domestically may not be as successful abroad because of disparities in illness prevalence or cultural perspectives on medicine. Conversely, a polycentric strategy enables pharmaceutical businesses to customize their offerings and promotional tactics for every area, which may result in increased market share and revenue. However, since it requires a large investment in local market research and product development, this technique may be expensive and difficult</w:t>
      </w:r>
      <w:r w:rsidR="009C3822" w:rsidRPr="00EF1957">
        <w:rPr>
          <w:lang w:val="en-GB"/>
        </w:rPr>
        <w:t xml:space="preserve"> (Curran et al., </w:t>
      </w:r>
      <w:r w:rsidR="009C5746" w:rsidRPr="00EF1957">
        <w:rPr>
          <w:lang w:val="en-GB"/>
        </w:rPr>
        <w:t>2021)</w:t>
      </w:r>
      <w:r w:rsidR="00C5576C" w:rsidRPr="00EF1957">
        <w:rPr>
          <w:lang w:val="en-GB"/>
        </w:rPr>
        <w:t>.</w:t>
      </w:r>
    </w:p>
    <w:p w14:paraId="00E3D1DB" w14:textId="77777777" w:rsidR="00C5576C" w:rsidRPr="00EF1957" w:rsidRDefault="00C5576C" w:rsidP="00C5576C">
      <w:pPr>
        <w:rPr>
          <w:lang w:val="en-GB"/>
        </w:rPr>
      </w:pPr>
      <w:r w:rsidRPr="00EF1957">
        <w:rPr>
          <w:lang w:val="en-GB"/>
        </w:rPr>
        <w:t>In many respects, the geocentric approach provides the best of both worlds. It enables pharmaceutical businesses to stay true to their worldwide brand, take advantage of efficiencies in medication research and manufacture, and adjust to the demands of regional markets. This tactic is especially pertinent in a field where success depends on creativity and flexibility.</w:t>
      </w:r>
    </w:p>
    <w:p w14:paraId="0DFACEDE" w14:textId="4AEAE154" w:rsidR="00AA0D29" w:rsidRPr="00EF1957" w:rsidRDefault="00AA0D29" w:rsidP="00FB021F">
      <w:pPr>
        <w:rPr>
          <w:lang w:val="en-GB"/>
        </w:rPr>
      </w:pPr>
      <w:r w:rsidRPr="00EF1957">
        <w:rPr>
          <w:lang w:val="en-GB"/>
        </w:rPr>
        <w:t xml:space="preserve">Therefore, even if each strategy has advantages, a geocentric strategy may be most helpful for the pharmaceutical business given its unique combination of local adaption requirements and global innovation. Using this approach, businesses may take advantage of their global assets while also being sensitive to the various demands of their local markets. However, the company's unique </w:t>
      </w:r>
      <w:r w:rsidRPr="00EF1957">
        <w:rPr>
          <w:lang w:val="en-GB"/>
        </w:rPr>
        <w:lastRenderedPageBreak/>
        <w:t>environment, available resources, and long-term strategic objectives should always be taken into consideration while selecting a strategy</w:t>
      </w:r>
      <w:r w:rsidR="009B2B20" w:rsidRPr="00EF1957">
        <w:rPr>
          <w:lang w:val="en-GB"/>
        </w:rPr>
        <w:t xml:space="preserve"> (Doh et al., 2021)</w:t>
      </w:r>
      <w:r w:rsidRPr="00EF1957">
        <w:rPr>
          <w:lang w:val="en-GB"/>
        </w:rPr>
        <w:t>.</w:t>
      </w:r>
    </w:p>
    <w:p w14:paraId="129F4E19" w14:textId="2618EE64" w:rsidR="00B02B4E" w:rsidRPr="00EF1957" w:rsidRDefault="003C193E" w:rsidP="008915CD">
      <w:pPr>
        <w:pStyle w:val="Heading2"/>
        <w:rPr>
          <w:lang w:val="en-GB"/>
        </w:rPr>
      </w:pPr>
      <w:bookmarkStart w:id="8" w:name="_Toc150868591"/>
      <w:r w:rsidRPr="00EF1957">
        <w:rPr>
          <w:lang w:val="en-GB"/>
        </w:rPr>
        <w:t xml:space="preserve">3. </w:t>
      </w:r>
      <w:r w:rsidR="00B02B4E" w:rsidRPr="00EF1957">
        <w:rPr>
          <w:lang w:val="en-GB"/>
        </w:rPr>
        <w:t>Company’s Internationalization Approach</w:t>
      </w:r>
      <w:r w:rsidR="005800FD" w:rsidRPr="00EF1957">
        <w:rPr>
          <w:lang w:val="en-GB"/>
        </w:rPr>
        <w:t>:</w:t>
      </w:r>
      <w:bookmarkEnd w:id="8"/>
    </w:p>
    <w:p w14:paraId="5007D0F8" w14:textId="7D66C26B" w:rsidR="004F5461" w:rsidRPr="00EF1957" w:rsidRDefault="004F5461" w:rsidP="00B02B4E">
      <w:pPr>
        <w:rPr>
          <w:lang w:val="en-GB"/>
        </w:rPr>
      </w:pPr>
      <w:r w:rsidRPr="00EF1957">
        <w:rPr>
          <w:lang w:val="en-GB"/>
        </w:rPr>
        <w:t>One major participant in the global pharmaceutical market, AstraZeneca, has a very clever internationalization strategy. Company culture, leadership, and market dynamics are just a few of the internal and external aspects that have an impact on the company's strategy, which combines ethnocentric, polycentric, and geocentric features</w:t>
      </w:r>
      <w:r w:rsidR="002F241B" w:rsidRPr="00EF1957">
        <w:rPr>
          <w:lang w:val="en-GB"/>
        </w:rPr>
        <w:t xml:space="preserve"> (Fatehi and Choi, 2019)</w:t>
      </w:r>
      <w:r w:rsidRPr="00EF1957">
        <w:rPr>
          <w:lang w:val="en-GB"/>
        </w:rPr>
        <w:t>.</w:t>
      </w:r>
    </w:p>
    <w:p w14:paraId="0628A826" w14:textId="51056D62" w:rsidR="00B02B4E" w:rsidRPr="00EF1957" w:rsidRDefault="00482741" w:rsidP="008915CD">
      <w:pPr>
        <w:pStyle w:val="Heading3"/>
        <w:rPr>
          <w:lang w:val="en-GB"/>
        </w:rPr>
      </w:pPr>
      <w:bookmarkStart w:id="9" w:name="_Toc150868592"/>
      <w:r w:rsidRPr="00EF1957">
        <w:rPr>
          <w:lang w:val="en-GB"/>
        </w:rPr>
        <w:t xml:space="preserve">3.1 </w:t>
      </w:r>
      <w:r w:rsidR="00B02B4E" w:rsidRPr="00EF1957">
        <w:rPr>
          <w:lang w:val="en-GB"/>
        </w:rPr>
        <w:t>Analysis of AstraZeneca’s Strategy: Ethnocentric, Polycentric, or Geocentric?</w:t>
      </w:r>
      <w:bookmarkEnd w:id="9"/>
    </w:p>
    <w:p w14:paraId="137AFF1B" w14:textId="77777777" w:rsidR="00385E41" w:rsidRPr="00EF1957" w:rsidRDefault="00B02B4E" w:rsidP="00385E41">
      <w:pPr>
        <w:pStyle w:val="ListParagraph"/>
        <w:numPr>
          <w:ilvl w:val="0"/>
          <w:numId w:val="6"/>
        </w:numPr>
        <w:rPr>
          <w:lang w:val="en-GB"/>
        </w:rPr>
      </w:pPr>
      <w:r w:rsidRPr="00EF1957">
        <w:rPr>
          <w:lang w:val="en-GB"/>
        </w:rPr>
        <w:t xml:space="preserve">Ethnocentric Elements: </w:t>
      </w:r>
      <w:r w:rsidR="00385E41" w:rsidRPr="00EF1957">
        <w:rPr>
          <w:lang w:val="en-GB"/>
        </w:rPr>
        <w:t>AstraZeneca exhibited ethnocentric tendencies in the early post-merger period, using its robust home bases in Sweden and the UK to direct its international activities. This was clear from its early plans for expanding internationally, as the business mostly depended on R&amp;D and marketing plans already in place and created in its own regions.</w:t>
      </w:r>
    </w:p>
    <w:p w14:paraId="46167F6D" w14:textId="67C7026D" w:rsidR="00DA01C4" w:rsidRPr="00EF1957" w:rsidRDefault="00B02B4E" w:rsidP="00290BA7">
      <w:pPr>
        <w:pStyle w:val="ListParagraph"/>
        <w:numPr>
          <w:ilvl w:val="0"/>
          <w:numId w:val="6"/>
        </w:numPr>
        <w:rPr>
          <w:lang w:val="en-GB"/>
        </w:rPr>
      </w:pPr>
      <w:r w:rsidRPr="00EF1957">
        <w:rPr>
          <w:lang w:val="en-GB"/>
        </w:rPr>
        <w:t xml:space="preserve">Polycentric Adaptations: </w:t>
      </w:r>
      <w:r w:rsidR="00DA01C4" w:rsidRPr="00EF1957">
        <w:rPr>
          <w:lang w:val="en-GB"/>
        </w:rPr>
        <w:t>AstraZeneca eventually shifted toward a more polycentric strategy after realizing the variety of healthcare requirements and regulatory contexts. This change is especially evident in the way the business operates in developing nations like India, where it has customized its approaches and product offerings to address unique local health needs and legal constraints</w:t>
      </w:r>
      <w:r w:rsidR="001556A2" w:rsidRPr="00EF1957">
        <w:rPr>
          <w:lang w:val="en-GB"/>
        </w:rPr>
        <w:t xml:space="preserve"> (Ghauri et al., </w:t>
      </w:r>
      <w:r w:rsidR="003A7241" w:rsidRPr="00EF1957">
        <w:rPr>
          <w:lang w:val="en-GB"/>
        </w:rPr>
        <w:t>2021)</w:t>
      </w:r>
      <w:r w:rsidR="00DA01C4" w:rsidRPr="00EF1957">
        <w:rPr>
          <w:lang w:val="en-GB"/>
        </w:rPr>
        <w:t>.</w:t>
      </w:r>
    </w:p>
    <w:p w14:paraId="0C4325C3" w14:textId="6ABF9215" w:rsidR="004F5461" w:rsidRPr="00EF1957" w:rsidRDefault="00B02B4E" w:rsidP="00425D44">
      <w:pPr>
        <w:pStyle w:val="ListParagraph"/>
        <w:numPr>
          <w:ilvl w:val="0"/>
          <w:numId w:val="6"/>
        </w:numPr>
        <w:rPr>
          <w:lang w:val="en-GB"/>
        </w:rPr>
      </w:pPr>
      <w:r w:rsidRPr="00EF1957">
        <w:rPr>
          <w:lang w:val="en-GB"/>
        </w:rPr>
        <w:t xml:space="preserve">Geocentric Evolution: </w:t>
      </w:r>
      <w:r w:rsidR="00DA01C4" w:rsidRPr="00EF1957">
        <w:rPr>
          <w:lang w:val="en-GB"/>
        </w:rPr>
        <w:t>In an effort to strike a balance between local responsiveness and global integration, AstraZeneca has gradually moved toward a more geocentric approach. Its global R&amp;D activities, which blend a cohesive, worldwide research agenda with the adaptability to adjust to local market demands, reflect this.</w:t>
      </w:r>
    </w:p>
    <w:p w14:paraId="16F18EAF" w14:textId="74A89061" w:rsidR="00B02B4E" w:rsidRPr="00EF1957" w:rsidRDefault="00482741" w:rsidP="008915CD">
      <w:pPr>
        <w:pStyle w:val="Heading3"/>
        <w:rPr>
          <w:lang w:val="en-GB"/>
        </w:rPr>
      </w:pPr>
      <w:bookmarkStart w:id="10" w:name="_Toc150868593"/>
      <w:r w:rsidRPr="00EF1957">
        <w:rPr>
          <w:lang w:val="en-GB"/>
        </w:rPr>
        <w:t xml:space="preserve">3.2 </w:t>
      </w:r>
      <w:r w:rsidR="00B02B4E" w:rsidRPr="00EF1957">
        <w:rPr>
          <w:lang w:val="en-GB"/>
        </w:rPr>
        <w:t>Factors Influencing AstraZeneca’s Strategic Decisions</w:t>
      </w:r>
      <w:bookmarkEnd w:id="10"/>
    </w:p>
    <w:p w14:paraId="4547FEC4" w14:textId="4ADF2691" w:rsidR="000A00F3" w:rsidRDefault="00B02B4E" w:rsidP="00F83672">
      <w:pPr>
        <w:pStyle w:val="ListParagraph"/>
        <w:numPr>
          <w:ilvl w:val="0"/>
          <w:numId w:val="7"/>
        </w:numPr>
        <w:rPr>
          <w:lang w:val="en-GB"/>
        </w:rPr>
      </w:pPr>
      <w:r w:rsidRPr="000A00F3">
        <w:rPr>
          <w:lang w:val="en-GB"/>
        </w:rPr>
        <w:t xml:space="preserve">Regulatory Environment: </w:t>
      </w:r>
      <w:r w:rsidR="000A00F3">
        <w:rPr>
          <w:lang w:val="en-GB"/>
        </w:rPr>
        <w:t>St</w:t>
      </w:r>
      <w:r w:rsidR="000A00F3" w:rsidRPr="000A00F3">
        <w:rPr>
          <w:lang w:val="en-GB"/>
        </w:rPr>
        <w:t>rict regulations govern the pharmaceutical industry. AstraZeneca's strategic decisions are significantly influenced by the regulatory obligations of different markets, which necessitate modifications in the domains of drug development, clinical testing, and promotion.</w:t>
      </w:r>
    </w:p>
    <w:p w14:paraId="56E9FBB6" w14:textId="77777777" w:rsidR="008420D9" w:rsidRDefault="00B02B4E" w:rsidP="002252AC">
      <w:pPr>
        <w:pStyle w:val="ListParagraph"/>
        <w:numPr>
          <w:ilvl w:val="0"/>
          <w:numId w:val="7"/>
        </w:numPr>
        <w:rPr>
          <w:lang w:val="en-GB"/>
        </w:rPr>
      </w:pPr>
      <w:r w:rsidRPr="008420D9">
        <w:rPr>
          <w:lang w:val="en-GB"/>
        </w:rPr>
        <w:lastRenderedPageBreak/>
        <w:t xml:space="preserve">Market Demand and Healthcare Needs: </w:t>
      </w:r>
      <w:r w:rsidR="008420D9" w:rsidRPr="008420D9">
        <w:rPr>
          <w:lang w:val="en-GB"/>
        </w:rPr>
        <w:t>In response to variations in disease prevalence and healthcare demands across regions, AstraZeneca has adapted its product portfolio and marketing strategies to align with regional demands (Kotler et al., 2019).</w:t>
      </w:r>
    </w:p>
    <w:p w14:paraId="1F650E50" w14:textId="77777777" w:rsidR="00B2207B" w:rsidRDefault="00B02B4E" w:rsidP="00590D01">
      <w:pPr>
        <w:pStyle w:val="ListParagraph"/>
        <w:numPr>
          <w:ilvl w:val="0"/>
          <w:numId w:val="7"/>
        </w:numPr>
        <w:rPr>
          <w:lang w:val="en-GB"/>
        </w:rPr>
      </w:pPr>
      <w:r w:rsidRPr="00B2207B">
        <w:rPr>
          <w:lang w:val="en-GB"/>
        </w:rPr>
        <w:t xml:space="preserve">Competition: </w:t>
      </w:r>
      <w:r w:rsidR="00B2207B" w:rsidRPr="00B2207B">
        <w:rPr>
          <w:lang w:val="en-GB"/>
        </w:rPr>
        <w:t>The level of competition in specific markets exerts an impact on the strategy of AstraZeneca. Extremely competitive regions may be targeted with intensive and geographically concentrated pricing and marketing strategies.</w:t>
      </w:r>
    </w:p>
    <w:p w14:paraId="08FB9356" w14:textId="2406B005" w:rsidR="00B02B4E" w:rsidRPr="00B2207B" w:rsidRDefault="00B02B4E" w:rsidP="00590D01">
      <w:pPr>
        <w:pStyle w:val="ListParagraph"/>
        <w:numPr>
          <w:ilvl w:val="0"/>
          <w:numId w:val="7"/>
        </w:numPr>
        <w:rPr>
          <w:lang w:val="en-GB"/>
        </w:rPr>
      </w:pPr>
      <w:r w:rsidRPr="00B2207B">
        <w:rPr>
          <w:lang w:val="en-GB"/>
        </w:rPr>
        <w:t xml:space="preserve">Technological Advancements: </w:t>
      </w:r>
      <w:r w:rsidR="00B2207B" w:rsidRPr="00B2207B">
        <w:rPr>
          <w:lang w:val="en-GB"/>
        </w:rPr>
        <w:t>Technological advancements have exerted an influence on AstraZeneca's research and development methodology, facilitating the implementation of more individualized pharmaceuticals and efficient international clinical trials. Particularly impactful have been these developments in the fields of pharmaceutical research and data analytics.</w:t>
      </w:r>
    </w:p>
    <w:p w14:paraId="03DCADBC" w14:textId="4275BC91" w:rsidR="00770C89" w:rsidRPr="00770C89" w:rsidRDefault="00B02B4E" w:rsidP="00717695">
      <w:pPr>
        <w:pStyle w:val="ListParagraph"/>
        <w:numPr>
          <w:ilvl w:val="0"/>
          <w:numId w:val="7"/>
        </w:numPr>
        <w:rPr>
          <w:lang w:val="en-GB"/>
        </w:rPr>
      </w:pPr>
      <w:r w:rsidRPr="00770C89">
        <w:rPr>
          <w:lang w:val="en-GB"/>
        </w:rPr>
        <w:t xml:space="preserve">Globalization of Health Issues: </w:t>
      </w:r>
      <w:r w:rsidR="00770C89" w:rsidRPr="00770C89">
        <w:rPr>
          <w:lang w:val="en-GB"/>
        </w:rPr>
        <w:t>As a result of trends in global health, including the increase in chronic diseases and pandemics, AstraZeneca has been compelled to adopt a more integrated global strategy in its research and development and marketing endeavours (Li et al., 2021).</w:t>
      </w:r>
    </w:p>
    <w:p w14:paraId="476515A2" w14:textId="07BA5B5E" w:rsidR="00B02B4E" w:rsidRPr="00EF1957" w:rsidRDefault="00482741" w:rsidP="008915CD">
      <w:pPr>
        <w:pStyle w:val="Heading3"/>
        <w:rPr>
          <w:lang w:val="en-GB"/>
        </w:rPr>
      </w:pPr>
      <w:bookmarkStart w:id="11" w:name="_Toc150868594"/>
      <w:r w:rsidRPr="00EF1957">
        <w:rPr>
          <w:lang w:val="en-GB"/>
        </w:rPr>
        <w:t xml:space="preserve">3.3 </w:t>
      </w:r>
      <w:r w:rsidR="00B02B4E" w:rsidRPr="00EF1957">
        <w:rPr>
          <w:lang w:val="en-GB"/>
        </w:rPr>
        <w:t>Impact of Company’s Culture and Leadership</w:t>
      </w:r>
      <w:bookmarkEnd w:id="11"/>
    </w:p>
    <w:p w14:paraId="1D7037E1" w14:textId="6A770242" w:rsidR="002A0ADC" w:rsidRPr="00EF1957" w:rsidRDefault="00B02B4E" w:rsidP="009C7E40">
      <w:pPr>
        <w:pStyle w:val="ListParagraph"/>
        <w:numPr>
          <w:ilvl w:val="0"/>
          <w:numId w:val="8"/>
        </w:numPr>
        <w:rPr>
          <w:lang w:val="en-GB"/>
        </w:rPr>
      </w:pPr>
      <w:r w:rsidRPr="00EF1957">
        <w:rPr>
          <w:lang w:val="en-GB"/>
        </w:rPr>
        <w:t xml:space="preserve">Innovation-Driven Culture: </w:t>
      </w:r>
      <w:r w:rsidR="002A0ADC" w:rsidRPr="00EF1957">
        <w:rPr>
          <w:lang w:val="en-GB"/>
        </w:rPr>
        <w:t>AstraZeneca's globalization strategy has been propelled by corporate culture, which places a strong emphasis on innovation and scientific quality. This culture fosters both local and international innovation in research and development</w:t>
      </w:r>
      <w:r w:rsidR="004B2451" w:rsidRPr="00EF1957">
        <w:rPr>
          <w:lang w:val="en-GB"/>
        </w:rPr>
        <w:t xml:space="preserve"> (</w:t>
      </w:r>
      <w:proofErr w:type="spellStart"/>
      <w:r w:rsidR="004B2451" w:rsidRPr="00EF1957">
        <w:rPr>
          <w:lang w:val="en-GB"/>
        </w:rPr>
        <w:t>Shenkar</w:t>
      </w:r>
      <w:proofErr w:type="spellEnd"/>
      <w:r w:rsidR="004B2451" w:rsidRPr="00EF1957">
        <w:rPr>
          <w:lang w:val="en-GB"/>
        </w:rPr>
        <w:t xml:space="preserve"> et al., </w:t>
      </w:r>
      <w:r w:rsidR="006F1167" w:rsidRPr="00EF1957">
        <w:rPr>
          <w:lang w:val="en-GB"/>
        </w:rPr>
        <w:t>2021)</w:t>
      </w:r>
      <w:r w:rsidR="002A0ADC" w:rsidRPr="00EF1957">
        <w:rPr>
          <w:lang w:val="en-GB"/>
        </w:rPr>
        <w:t>.</w:t>
      </w:r>
    </w:p>
    <w:p w14:paraId="422405A4" w14:textId="77777777" w:rsidR="000C019A" w:rsidRPr="00EF1957" w:rsidRDefault="00B02B4E" w:rsidP="009C7E40">
      <w:pPr>
        <w:pStyle w:val="ListParagraph"/>
        <w:numPr>
          <w:ilvl w:val="0"/>
          <w:numId w:val="8"/>
        </w:numPr>
        <w:rPr>
          <w:lang w:val="en-GB"/>
        </w:rPr>
      </w:pPr>
      <w:r w:rsidRPr="00EF1957">
        <w:rPr>
          <w:lang w:val="en-GB"/>
        </w:rPr>
        <w:t xml:space="preserve">Leadership Vision: </w:t>
      </w:r>
      <w:r w:rsidR="000C019A" w:rsidRPr="00EF1957">
        <w:rPr>
          <w:lang w:val="en-GB"/>
        </w:rPr>
        <w:t>The internationalization strategy of the corporation has been significantly shaped by the leadership of the organization. Its worldwide operations have been greatly impacted by leadership choices to embrace digital transformation, concentrate on specialist care areas, and invest in new regions.</w:t>
      </w:r>
    </w:p>
    <w:p w14:paraId="7CC50958" w14:textId="4EB12B0A" w:rsidR="009C7E40" w:rsidRPr="00EF1957" w:rsidRDefault="00B02B4E" w:rsidP="00BE6A33">
      <w:pPr>
        <w:pStyle w:val="ListParagraph"/>
        <w:numPr>
          <w:ilvl w:val="0"/>
          <w:numId w:val="8"/>
        </w:numPr>
        <w:rPr>
          <w:lang w:val="en-GB"/>
        </w:rPr>
      </w:pPr>
      <w:r w:rsidRPr="00EF1957">
        <w:rPr>
          <w:lang w:val="en-GB"/>
        </w:rPr>
        <w:t xml:space="preserve">Ethical Considerations: </w:t>
      </w:r>
      <w:r w:rsidR="009C7E40" w:rsidRPr="00EF1957">
        <w:rPr>
          <w:lang w:val="en-GB"/>
        </w:rPr>
        <w:t>AstraZeneca's dedication to patient-</w:t>
      </w:r>
      <w:proofErr w:type="spellStart"/>
      <w:r w:rsidR="009C7E40" w:rsidRPr="00EF1957">
        <w:rPr>
          <w:lang w:val="en-GB"/>
        </w:rPr>
        <w:t>centered</w:t>
      </w:r>
      <w:proofErr w:type="spellEnd"/>
      <w:r w:rsidR="009C7E40" w:rsidRPr="00EF1957">
        <w:rPr>
          <w:lang w:val="en-GB"/>
        </w:rPr>
        <w:t xml:space="preserve"> care and ethical principles informs its strategies for marketing, pricing, and medication accessibility across various markets.</w:t>
      </w:r>
    </w:p>
    <w:p w14:paraId="15A26E33" w14:textId="1124CCBD" w:rsidR="00B02B4E" w:rsidRPr="00EF1957" w:rsidRDefault="00482741" w:rsidP="002C6506">
      <w:pPr>
        <w:pStyle w:val="Heading3"/>
        <w:rPr>
          <w:lang w:val="en-GB"/>
        </w:rPr>
      </w:pPr>
      <w:bookmarkStart w:id="12" w:name="_Toc150868595"/>
      <w:r w:rsidRPr="00EF1957">
        <w:rPr>
          <w:lang w:val="en-GB"/>
        </w:rPr>
        <w:t xml:space="preserve">3.4 </w:t>
      </w:r>
      <w:r w:rsidR="00B02B4E" w:rsidRPr="00EF1957">
        <w:rPr>
          <w:lang w:val="en-GB"/>
        </w:rPr>
        <w:t>Impact of Market Dynamics</w:t>
      </w:r>
      <w:bookmarkEnd w:id="12"/>
    </w:p>
    <w:p w14:paraId="74261C42" w14:textId="72293737" w:rsidR="00810295" w:rsidRPr="00EF1957" w:rsidRDefault="00B02B4E" w:rsidP="00A44070">
      <w:pPr>
        <w:pStyle w:val="ListParagraph"/>
        <w:numPr>
          <w:ilvl w:val="0"/>
          <w:numId w:val="9"/>
        </w:numPr>
        <w:rPr>
          <w:lang w:val="en-GB"/>
        </w:rPr>
      </w:pPr>
      <w:r w:rsidRPr="00EF1957">
        <w:rPr>
          <w:lang w:val="en-GB"/>
        </w:rPr>
        <w:t xml:space="preserve">Emerging Markets: </w:t>
      </w:r>
      <w:r w:rsidR="00810295" w:rsidRPr="00EF1957">
        <w:rPr>
          <w:lang w:val="en-GB"/>
        </w:rPr>
        <w:t xml:space="preserve">AstraZeneca’s entrance into developing markets like China and India has needed a more adaptable and responsive strategy. The organization has had to handle </w:t>
      </w:r>
      <w:r w:rsidR="00810295" w:rsidRPr="00EF1957">
        <w:rPr>
          <w:lang w:val="en-GB"/>
        </w:rPr>
        <w:lastRenderedPageBreak/>
        <w:t>numerous difficulties, including differing degrees of healthcare infrastructure, price sensitivity, and local rivalry</w:t>
      </w:r>
      <w:r w:rsidR="006C28CF" w:rsidRPr="00EF1957">
        <w:rPr>
          <w:lang w:val="en-GB"/>
        </w:rPr>
        <w:t xml:space="preserve"> (AstraZeneca, 2023)</w:t>
      </w:r>
      <w:r w:rsidR="00810295" w:rsidRPr="00EF1957">
        <w:rPr>
          <w:lang w:val="en-GB"/>
        </w:rPr>
        <w:t>.</w:t>
      </w:r>
    </w:p>
    <w:p w14:paraId="29CD56DF" w14:textId="3291EC95" w:rsidR="004F19BC" w:rsidRPr="00EF1957" w:rsidRDefault="00B02B4E" w:rsidP="00A44070">
      <w:pPr>
        <w:pStyle w:val="ListParagraph"/>
        <w:numPr>
          <w:ilvl w:val="0"/>
          <w:numId w:val="9"/>
        </w:numPr>
        <w:rPr>
          <w:lang w:val="en-GB"/>
        </w:rPr>
      </w:pPr>
      <w:r w:rsidRPr="00EF1957">
        <w:rPr>
          <w:lang w:val="en-GB"/>
        </w:rPr>
        <w:t xml:space="preserve">Global Health Challenges: </w:t>
      </w:r>
      <w:r w:rsidR="004F19BC" w:rsidRPr="00EF1957">
        <w:rPr>
          <w:lang w:val="en-GB"/>
        </w:rPr>
        <w:t>Confronting global health emergencies, like as the COVID-19 pandemic, AstraZeneca developed a more internationally integrated strategy. This was seen in the production and marketing of the COVID-19 vaccine, where the corporation partnered with several nations and global organizations</w:t>
      </w:r>
      <w:r w:rsidR="00BE6A33" w:rsidRPr="00EF1957">
        <w:rPr>
          <w:lang w:val="en-GB"/>
        </w:rPr>
        <w:t xml:space="preserve"> (Alon, 2020)</w:t>
      </w:r>
      <w:r w:rsidR="004F19BC" w:rsidRPr="00EF1957">
        <w:rPr>
          <w:lang w:val="en-GB"/>
        </w:rPr>
        <w:t>.</w:t>
      </w:r>
    </w:p>
    <w:p w14:paraId="2794DF20" w14:textId="77777777" w:rsidR="00A44070" w:rsidRPr="00EF1957" w:rsidRDefault="00B02B4E" w:rsidP="00A44070">
      <w:pPr>
        <w:pStyle w:val="ListParagraph"/>
        <w:numPr>
          <w:ilvl w:val="0"/>
          <w:numId w:val="9"/>
        </w:numPr>
        <w:rPr>
          <w:lang w:val="en-GB"/>
        </w:rPr>
      </w:pPr>
      <w:r w:rsidRPr="00EF1957">
        <w:rPr>
          <w:lang w:val="en-GB"/>
        </w:rPr>
        <w:t xml:space="preserve">Technology and Digital Health: </w:t>
      </w:r>
      <w:r w:rsidR="00A44070" w:rsidRPr="00EF1957">
        <w:rPr>
          <w:lang w:val="en-GB"/>
        </w:rPr>
        <w:t>The emergence of digital health technology has affected AstraZeneca’s strategy, leading to investments in digital pharmaceuticals and data-driven tailored healthcare solutions.</w:t>
      </w:r>
    </w:p>
    <w:p w14:paraId="5D3C7E9C" w14:textId="63894E27" w:rsidR="003E7D64" w:rsidRDefault="00BB0CD7" w:rsidP="003E7D64">
      <w:pPr>
        <w:rPr>
          <w:lang w:val="en-GB"/>
        </w:rPr>
      </w:pPr>
      <w:r w:rsidRPr="00EF1957">
        <w:rPr>
          <w:lang w:val="en-GB"/>
        </w:rPr>
        <w:t>In a nutshell, </w:t>
      </w:r>
      <w:r w:rsidR="003E7D64" w:rsidRPr="003E7D64">
        <w:rPr>
          <w:lang w:val="en-GB"/>
        </w:rPr>
        <w:t>AstraZeneca's internationalization strategy represents a dynamic and evolving strategy, in which the company initially exhibited ethnocentric tendencies, but then moved on to meet the distinct needs of different markets.</w:t>
      </w:r>
      <w:r w:rsidR="003E7D64">
        <w:rPr>
          <w:lang w:val="en-GB"/>
        </w:rPr>
        <w:t xml:space="preserve"> T</w:t>
      </w:r>
      <w:r w:rsidR="003E7D64" w:rsidRPr="003E7D64">
        <w:rPr>
          <w:lang w:val="en-GB"/>
        </w:rPr>
        <w:t>here has been a steady shift towards a more balanced geocentric approach supported by polycentric modifications.</w:t>
      </w:r>
      <w:r w:rsidR="003E7D64">
        <w:rPr>
          <w:lang w:val="en-GB"/>
        </w:rPr>
        <w:t xml:space="preserve"> </w:t>
      </w:r>
      <w:r w:rsidR="003E7D64" w:rsidRPr="003E7D64">
        <w:rPr>
          <w:lang w:val="en-GB"/>
        </w:rPr>
        <w:t>This development was influenced by several variables, including the regulatory environment, market demands, technological advances, and the globalization of health issues.</w:t>
      </w:r>
      <w:r w:rsidR="003E7D64">
        <w:rPr>
          <w:lang w:val="en-GB"/>
        </w:rPr>
        <w:t xml:space="preserve"> </w:t>
      </w:r>
      <w:r w:rsidR="003E7D64" w:rsidRPr="003E7D64">
        <w:rPr>
          <w:lang w:val="en-GB"/>
        </w:rPr>
        <w:t xml:space="preserve">The company's culture and leadership were critical to executing this strategic shift, driving </w:t>
      </w:r>
      <w:r w:rsidR="003E7D64" w:rsidRPr="003E7D64">
        <w:rPr>
          <w:lang w:val="en-GB"/>
        </w:rPr>
        <w:t>innovation,</w:t>
      </w:r>
      <w:r w:rsidR="003E7D64" w:rsidRPr="003E7D64">
        <w:rPr>
          <w:lang w:val="en-GB"/>
        </w:rPr>
        <w:t xml:space="preserve"> and increasing responsiveness to global and local market forces. As the pharmaceutical business continues to grow, AstraZeneca's approach to </w:t>
      </w:r>
      <w:r w:rsidR="003E7D64" w:rsidRPr="003E7D64">
        <w:rPr>
          <w:lang w:val="en-GB"/>
        </w:rPr>
        <w:t>internationalization will continue</w:t>
      </w:r>
      <w:r w:rsidR="003E7D64" w:rsidRPr="003E7D64">
        <w:rPr>
          <w:lang w:val="en-GB"/>
        </w:rPr>
        <w:t xml:space="preserve"> to change, reflecting the delicate interplay between global integration and local response.</w:t>
      </w:r>
    </w:p>
    <w:p w14:paraId="07CB155C" w14:textId="37D5D63F" w:rsidR="0076355F" w:rsidRPr="00EF1957" w:rsidRDefault="00482741" w:rsidP="00B51EFF">
      <w:pPr>
        <w:pStyle w:val="Heading2"/>
        <w:rPr>
          <w:lang w:val="en-GB"/>
        </w:rPr>
      </w:pPr>
      <w:bookmarkStart w:id="13" w:name="_Toc150868596"/>
      <w:r w:rsidRPr="00EF1957">
        <w:rPr>
          <w:lang w:val="en-GB"/>
        </w:rPr>
        <w:t xml:space="preserve">4. </w:t>
      </w:r>
      <w:r w:rsidR="0076355F" w:rsidRPr="00EF1957">
        <w:rPr>
          <w:lang w:val="en-GB"/>
        </w:rPr>
        <w:t>PESTLE Analysis</w:t>
      </w:r>
      <w:r w:rsidR="0077669D" w:rsidRPr="00EF1957">
        <w:rPr>
          <w:lang w:val="en-GB"/>
        </w:rPr>
        <w:t>:</w:t>
      </w:r>
      <w:bookmarkEnd w:id="13"/>
    </w:p>
    <w:p w14:paraId="60DDD691" w14:textId="1D6A933B" w:rsidR="00DA1643" w:rsidRPr="00EF1957" w:rsidRDefault="00DA1643" w:rsidP="0076355F">
      <w:pPr>
        <w:rPr>
          <w:lang w:val="en-GB"/>
        </w:rPr>
      </w:pPr>
      <w:r w:rsidRPr="00EF1957">
        <w:rPr>
          <w:lang w:val="en-GB"/>
        </w:rPr>
        <w:t>A PESTLE study provides a thorough understanding of the external environment influencing AstraZeneca's operations and strategic choices by looking at Political, Economic, Social, Technological, Legal, and Environmental issues.</w:t>
      </w:r>
    </w:p>
    <w:p w14:paraId="642B8856" w14:textId="007C06A5" w:rsidR="0076355F" w:rsidRPr="00EF1957" w:rsidRDefault="008E2AAE" w:rsidP="00B51EFF">
      <w:pPr>
        <w:pStyle w:val="Heading3"/>
        <w:rPr>
          <w:lang w:val="en-GB"/>
        </w:rPr>
      </w:pPr>
      <w:bookmarkStart w:id="14" w:name="_Toc150868597"/>
      <w:r w:rsidRPr="00EF1957">
        <w:rPr>
          <w:lang w:val="en-GB"/>
        </w:rPr>
        <w:t xml:space="preserve">4.1 </w:t>
      </w:r>
      <w:r w:rsidR="0076355F" w:rsidRPr="00EF1957">
        <w:rPr>
          <w:lang w:val="en-GB"/>
        </w:rPr>
        <w:t>Political Factors: Regulations, Healthcare Policies</w:t>
      </w:r>
      <w:bookmarkEnd w:id="14"/>
    </w:p>
    <w:p w14:paraId="26CBB59A" w14:textId="2212E7D8" w:rsidR="0076355F" w:rsidRPr="00EF1957" w:rsidRDefault="00EC197C" w:rsidP="0076355F">
      <w:pPr>
        <w:rPr>
          <w:lang w:val="en-GB"/>
        </w:rPr>
      </w:pPr>
      <w:r w:rsidRPr="00EF1957">
        <w:rPr>
          <w:lang w:val="en-GB"/>
        </w:rPr>
        <w:t xml:space="preserve">AstraZeneca works in a highly regulated and politically delicate sector of the economy. The company's activities are greatly impacted by healthcare changes, medication approval procedures, and government laws. </w:t>
      </w:r>
      <w:r w:rsidR="0076355F" w:rsidRPr="00EF1957">
        <w:rPr>
          <w:lang w:val="en-GB"/>
        </w:rPr>
        <w:t xml:space="preserve">In the U.S. and EU, stringent FDA and EMA regulations dictate AstraZeneca's drug development and marketing strategies. These regions require rigorous clinical trials and data transparency. In emerging markets, political instability can impact AstraZeneca's operations. For instance, policy shifts in healthcare funding or drug pricing can affect market </w:t>
      </w:r>
      <w:r w:rsidR="0076355F" w:rsidRPr="00EF1957">
        <w:rPr>
          <w:lang w:val="en-GB"/>
        </w:rPr>
        <w:lastRenderedPageBreak/>
        <w:t>accessibility and profitability. AstraZeneca must navigate varied healthcare systems, from publicly funded models in Europe to more private, insurance-based systems in the U.S</w:t>
      </w:r>
      <w:r w:rsidR="005222CC" w:rsidRPr="00EF1957">
        <w:rPr>
          <w:lang w:val="en-GB"/>
        </w:rPr>
        <w:t xml:space="preserve"> (</w:t>
      </w:r>
      <w:proofErr w:type="spellStart"/>
      <w:r w:rsidR="005222CC" w:rsidRPr="00EF1957">
        <w:rPr>
          <w:lang w:val="en-GB"/>
        </w:rPr>
        <w:t>Sniazhko</w:t>
      </w:r>
      <w:proofErr w:type="spellEnd"/>
      <w:r w:rsidR="005222CC" w:rsidRPr="00EF1957">
        <w:rPr>
          <w:lang w:val="en-GB"/>
        </w:rPr>
        <w:t>, 2019)</w:t>
      </w:r>
      <w:r w:rsidR="0076355F" w:rsidRPr="00EF1957">
        <w:rPr>
          <w:lang w:val="en-GB"/>
        </w:rPr>
        <w:t>.</w:t>
      </w:r>
    </w:p>
    <w:p w14:paraId="2F8B42A1" w14:textId="18972C6B" w:rsidR="0076355F" w:rsidRPr="00EF1957" w:rsidRDefault="008E2AAE" w:rsidP="00B51EFF">
      <w:pPr>
        <w:pStyle w:val="Heading3"/>
        <w:rPr>
          <w:lang w:val="en-GB"/>
        </w:rPr>
      </w:pPr>
      <w:bookmarkStart w:id="15" w:name="_Toc150868598"/>
      <w:r w:rsidRPr="00EF1957">
        <w:rPr>
          <w:lang w:val="en-GB"/>
        </w:rPr>
        <w:t xml:space="preserve">4.2 </w:t>
      </w:r>
      <w:r w:rsidR="0076355F" w:rsidRPr="00EF1957">
        <w:rPr>
          <w:lang w:val="en-GB"/>
        </w:rPr>
        <w:t>Economic Factors: Market Conditions, Economic Stability in Host Countries</w:t>
      </w:r>
      <w:bookmarkEnd w:id="15"/>
    </w:p>
    <w:p w14:paraId="014EFBE1" w14:textId="0FF13A2A" w:rsidR="0076355F" w:rsidRPr="00EF1957" w:rsidRDefault="0076355F" w:rsidP="0076355F">
      <w:pPr>
        <w:rPr>
          <w:lang w:val="en-GB"/>
        </w:rPr>
      </w:pPr>
      <w:r w:rsidRPr="00EF1957">
        <w:rPr>
          <w:lang w:val="en-GB"/>
        </w:rPr>
        <w:t>Economic conditions in host countries influence AstraZeneca's sales and pricing strategies. In developing countries, lower income levels lead to price sensitivity, impacting drug affordability. Economic stability and growth prospects in markets like China and India present opportunities for expansion but also pose risks related to currency fluctuations and economic policies. Global economic downturns, like the one induced by the COVID-19 pandemic, can disrupt supply chains and affect pharmaceutical spending</w:t>
      </w:r>
      <w:r w:rsidR="008973D8" w:rsidRPr="00EF1957">
        <w:rPr>
          <w:lang w:val="en-GB"/>
        </w:rPr>
        <w:t xml:space="preserve"> (</w:t>
      </w:r>
      <w:proofErr w:type="spellStart"/>
      <w:r w:rsidR="008973D8" w:rsidRPr="00EF1957">
        <w:rPr>
          <w:lang w:val="en-GB"/>
        </w:rPr>
        <w:t>Szkudlarek</w:t>
      </w:r>
      <w:proofErr w:type="spellEnd"/>
      <w:r w:rsidR="008973D8" w:rsidRPr="00EF1957">
        <w:rPr>
          <w:lang w:val="en-GB"/>
        </w:rPr>
        <w:t xml:space="preserve"> et al., </w:t>
      </w:r>
      <w:r w:rsidR="00163BE6" w:rsidRPr="00EF1957">
        <w:rPr>
          <w:lang w:val="en-GB"/>
        </w:rPr>
        <w:t>2020)</w:t>
      </w:r>
      <w:r w:rsidRPr="00EF1957">
        <w:rPr>
          <w:lang w:val="en-GB"/>
        </w:rPr>
        <w:t>.</w:t>
      </w:r>
    </w:p>
    <w:p w14:paraId="7845F73F" w14:textId="1B7C0BF1" w:rsidR="0076355F" w:rsidRPr="00EF1957" w:rsidRDefault="008E2AAE" w:rsidP="00B51EFF">
      <w:pPr>
        <w:pStyle w:val="Heading3"/>
        <w:rPr>
          <w:lang w:val="en-GB"/>
        </w:rPr>
      </w:pPr>
      <w:bookmarkStart w:id="16" w:name="_Toc150868599"/>
      <w:r w:rsidRPr="00EF1957">
        <w:rPr>
          <w:lang w:val="en-GB"/>
        </w:rPr>
        <w:t xml:space="preserve">4.3 </w:t>
      </w:r>
      <w:r w:rsidR="0076355F" w:rsidRPr="00EF1957">
        <w:rPr>
          <w:lang w:val="en-GB"/>
        </w:rPr>
        <w:t>Social Factors: Demographic Changes, Disease Prevalence</w:t>
      </w:r>
      <w:bookmarkEnd w:id="16"/>
    </w:p>
    <w:p w14:paraId="0E5B0120" w14:textId="2236C98D" w:rsidR="0076355F" w:rsidRPr="00EF1957" w:rsidRDefault="0076355F" w:rsidP="0076355F">
      <w:pPr>
        <w:rPr>
          <w:lang w:val="en-GB"/>
        </w:rPr>
      </w:pPr>
      <w:r w:rsidRPr="00EF1957">
        <w:rPr>
          <w:lang w:val="en-GB"/>
        </w:rPr>
        <w:t>Aging populations in developed countries increase the demand for healthcare, benefiting AstraZeneca’s focus areas like oncology and cardiovascular health. In developing countries, the growing middle class and increased health awareness present opportunities for market growth. Disease prevalence and health trends significantly influence AstraZeneca’s product development. For instance, the rise in chronic diseases globally has led to increased demand for related treatments.</w:t>
      </w:r>
    </w:p>
    <w:p w14:paraId="3BDE757B" w14:textId="4A7DEB30" w:rsidR="0076355F" w:rsidRPr="00EF1957" w:rsidRDefault="005E09E4" w:rsidP="00B51EFF">
      <w:pPr>
        <w:pStyle w:val="Heading3"/>
        <w:rPr>
          <w:lang w:val="en-GB"/>
        </w:rPr>
      </w:pPr>
      <w:bookmarkStart w:id="17" w:name="_Toc150868600"/>
      <w:r w:rsidRPr="00EF1957">
        <w:rPr>
          <w:lang w:val="en-GB"/>
        </w:rPr>
        <w:t xml:space="preserve">4.4 </w:t>
      </w:r>
      <w:r w:rsidR="0076355F" w:rsidRPr="00EF1957">
        <w:rPr>
          <w:lang w:val="en-GB"/>
        </w:rPr>
        <w:t>Technological Factors: R&amp;D Advancements, Digitalization</w:t>
      </w:r>
      <w:bookmarkEnd w:id="17"/>
    </w:p>
    <w:p w14:paraId="4EB18FEB" w14:textId="2586D6ED" w:rsidR="008932EA" w:rsidRPr="00EF1957" w:rsidRDefault="0076355F" w:rsidP="0076355F">
      <w:pPr>
        <w:rPr>
          <w:lang w:val="en-GB"/>
        </w:rPr>
      </w:pPr>
      <w:r w:rsidRPr="00EF1957">
        <w:rPr>
          <w:lang w:val="en-GB"/>
        </w:rPr>
        <w:t xml:space="preserve">Technological advancements are crucial in the pharmaceutical industry. AstraZeneca invests heavily in R&amp;D to develop innovative drugs, using technologies like AI and machine learning to enhance drug discovery and development. </w:t>
      </w:r>
      <w:r w:rsidR="00435172" w:rsidRPr="00EF1957">
        <w:rPr>
          <w:lang w:val="en-GB"/>
        </w:rPr>
        <w:t>The use of digitalization has a significant influence on AstraZeneca's operations, including digital marketing techniques, telemedicine, and digital health platforms that improve treatment adherence and patient involvement. AstraZeneca gains a competitive edge in drug discovery via the application of big data analytics in clinical trials, monitoring of patients, and customized medicine</w:t>
      </w:r>
      <w:r w:rsidR="00E66A91" w:rsidRPr="00EF1957">
        <w:rPr>
          <w:lang w:val="en-GB"/>
        </w:rPr>
        <w:t xml:space="preserve"> (Tien</w:t>
      </w:r>
      <w:r w:rsidR="001D1E53" w:rsidRPr="00EF1957">
        <w:rPr>
          <w:lang w:val="en-GB"/>
        </w:rPr>
        <w:t xml:space="preserve"> et al., 2019)</w:t>
      </w:r>
      <w:r w:rsidR="00435172" w:rsidRPr="00EF1957">
        <w:rPr>
          <w:lang w:val="en-GB"/>
        </w:rPr>
        <w:t>.</w:t>
      </w:r>
    </w:p>
    <w:p w14:paraId="459310DA" w14:textId="74107AAB" w:rsidR="0076355F" w:rsidRPr="00EF1957" w:rsidRDefault="00E17D10" w:rsidP="00B51EFF">
      <w:pPr>
        <w:pStyle w:val="Heading3"/>
        <w:rPr>
          <w:lang w:val="en-GB"/>
        </w:rPr>
      </w:pPr>
      <w:bookmarkStart w:id="18" w:name="_Toc150868601"/>
      <w:r w:rsidRPr="00EF1957">
        <w:rPr>
          <w:lang w:val="en-GB"/>
        </w:rPr>
        <w:t xml:space="preserve">4.5 </w:t>
      </w:r>
      <w:r w:rsidR="0076355F" w:rsidRPr="00EF1957">
        <w:rPr>
          <w:lang w:val="en-GB"/>
        </w:rPr>
        <w:t>Legal Factors: Intellectual Property Laws, Compliance Issues</w:t>
      </w:r>
      <w:bookmarkEnd w:id="18"/>
    </w:p>
    <w:p w14:paraId="0B367428" w14:textId="51E701E0" w:rsidR="00E50C3F" w:rsidRPr="00EF1957" w:rsidRDefault="00E50C3F" w:rsidP="0076355F">
      <w:pPr>
        <w:rPr>
          <w:lang w:val="en-GB"/>
        </w:rPr>
      </w:pPr>
      <w:r w:rsidRPr="00EF1957">
        <w:rPr>
          <w:lang w:val="en-GB"/>
        </w:rPr>
        <w:t xml:space="preserve">For AstraZeneca, intellectual property (IP) rules are essential. The corporation uses patents to safeguard its medication formulas, guaranteeing market exclusivity and a profit on its R&amp;D expenditures. Maintaining AstraZeneca's reputation and avoiding legal repercussions depends on </w:t>
      </w:r>
      <w:r w:rsidRPr="00EF1957">
        <w:rPr>
          <w:lang w:val="en-GB"/>
        </w:rPr>
        <w:lastRenderedPageBreak/>
        <w:t>the company's compliance with national, international, and local laws, particularly those pertaining to anti-corruption, data protection, and ethical marketing. AstraZeneca's market position and financial health may be significantly impacted by legal challenges and disputes over patents</w:t>
      </w:r>
      <w:r w:rsidR="003221A0" w:rsidRPr="00EF1957">
        <w:rPr>
          <w:lang w:val="en-GB"/>
        </w:rPr>
        <w:t xml:space="preserve"> (Wang et al., </w:t>
      </w:r>
      <w:r w:rsidR="00226127" w:rsidRPr="00EF1957">
        <w:rPr>
          <w:lang w:val="en-GB"/>
        </w:rPr>
        <w:t>2020)</w:t>
      </w:r>
      <w:r w:rsidRPr="00EF1957">
        <w:rPr>
          <w:lang w:val="en-GB"/>
        </w:rPr>
        <w:t>.</w:t>
      </w:r>
    </w:p>
    <w:p w14:paraId="6C1B2D6C" w14:textId="497F86A2" w:rsidR="0076355F" w:rsidRPr="00EF1957" w:rsidRDefault="00E17D10" w:rsidP="00B51EFF">
      <w:pPr>
        <w:pStyle w:val="Heading3"/>
        <w:rPr>
          <w:lang w:val="en-GB"/>
        </w:rPr>
      </w:pPr>
      <w:bookmarkStart w:id="19" w:name="_Toc150868602"/>
      <w:r w:rsidRPr="00EF1957">
        <w:rPr>
          <w:lang w:val="en-GB"/>
        </w:rPr>
        <w:t xml:space="preserve">4.6 </w:t>
      </w:r>
      <w:r w:rsidR="0076355F" w:rsidRPr="00EF1957">
        <w:rPr>
          <w:lang w:val="en-GB"/>
        </w:rPr>
        <w:t>Environmental Factors: Sustainability Concerns, Environmental Regulations</w:t>
      </w:r>
      <w:bookmarkEnd w:id="19"/>
    </w:p>
    <w:p w14:paraId="5A763059" w14:textId="45F2145D" w:rsidR="0076355F" w:rsidRPr="00EF1957" w:rsidRDefault="00BF5144" w:rsidP="0076355F">
      <w:pPr>
        <w:rPr>
          <w:lang w:val="en-GB"/>
        </w:rPr>
      </w:pPr>
      <w:r w:rsidRPr="00EF1957">
        <w:rPr>
          <w:lang w:val="en-GB"/>
        </w:rPr>
        <w:t xml:space="preserve">AstraZeneca is putting more and more emphasis on sustainability by cutting waste in its production and distribution operations as well as its carbon impact. </w:t>
      </w:r>
      <w:r w:rsidR="0076355F" w:rsidRPr="00EF1957">
        <w:rPr>
          <w:lang w:val="en-GB"/>
        </w:rPr>
        <w:t>Environmental concerns shape its corporate social responsibility strategies. Compliance with environmental regulations is vital. This includes regulations on pharmaceutical waste management and reducing emissions in production facilities. The growing focus on sustainable healthcare, including the development of greener drugs and packaging, influences AstraZeneca’s product development and manufacturing processes</w:t>
      </w:r>
      <w:r w:rsidR="00AD3F72" w:rsidRPr="00EF1957">
        <w:rPr>
          <w:lang w:val="en-GB"/>
        </w:rPr>
        <w:t xml:space="preserve"> (Wettstein et al., </w:t>
      </w:r>
      <w:r w:rsidR="00270B55" w:rsidRPr="00EF1957">
        <w:rPr>
          <w:lang w:val="en-GB"/>
        </w:rPr>
        <w:t>2019)</w:t>
      </w:r>
      <w:r w:rsidR="0076355F" w:rsidRPr="00EF1957">
        <w:rPr>
          <w:lang w:val="en-GB"/>
        </w:rPr>
        <w:t>.</w:t>
      </w:r>
    </w:p>
    <w:p w14:paraId="6EBECBFB" w14:textId="3C502050" w:rsidR="0076355F" w:rsidRPr="00EF1957" w:rsidRDefault="000614E8" w:rsidP="00B51EFF">
      <w:pPr>
        <w:pStyle w:val="Heading3"/>
        <w:rPr>
          <w:lang w:val="en-GB"/>
        </w:rPr>
      </w:pPr>
      <w:bookmarkStart w:id="20" w:name="_Toc150868603"/>
      <w:r w:rsidRPr="00EF1957">
        <w:rPr>
          <w:lang w:val="en-GB"/>
        </w:rPr>
        <w:t xml:space="preserve">4.7 </w:t>
      </w:r>
      <w:r w:rsidR="0076355F" w:rsidRPr="00EF1957">
        <w:rPr>
          <w:lang w:val="en-GB"/>
        </w:rPr>
        <w:t>Impact of These Factors on AstraZeneca’s Decision-Making and Operations</w:t>
      </w:r>
      <w:bookmarkEnd w:id="20"/>
    </w:p>
    <w:p w14:paraId="28A45965" w14:textId="77777777" w:rsidR="0076355F" w:rsidRPr="00EF1957" w:rsidRDefault="0076355F" w:rsidP="008B1F25">
      <w:pPr>
        <w:pStyle w:val="ListParagraph"/>
        <w:numPr>
          <w:ilvl w:val="0"/>
          <w:numId w:val="5"/>
        </w:numPr>
        <w:rPr>
          <w:lang w:val="en-GB"/>
        </w:rPr>
      </w:pPr>
      <w:r w:rsidRPr="00EF1957">
        <w:rPr>
          <w:lang w:val="en-GB"/>
        </w:rPr>
        <w:t>Strategic Decision-Making: The PESTLE factors guide AstraZeneca in choosing which markets to enter, which products to develop, and how to position itself in different regions. Political and legal environments dictate market entry strategies, while economic and social factors influence marketing and pricing strategies.</w:t>
      </w:r>
    </w:p>
    <w:p w14:paraId="6DF4896D" w14:textId="77777777" w:rsidR="008B1F25" w:rsidRPr="00EF1957" w:rsidRDefault="0076355F" w:rsidP="0076355F">
      <w:pPr>
        <w:pStyle w:val="ListParagraph"/>
        <w:numPr>
          <w:ilvl w:val="0"/>
          <w:numId w:val="5"/>
        </w:numPr>
        <w:rPr>
          <w:lang w:val="en-GB"/>
        </w:rPr>
      </w:pPr>
      <w:r w:rsidRPr="00EF1957">
        <w:rPr>
          <w:lang w:val="en-GB"/>
        </w:rPr>
        <w:t>R&amp;D Focus: Technological advancements shape AstraZeneca’s R&amp;D focus. The company prioritizes investment in cutting-edge technologies to stay ahead in drug innovation and development.</w:t>
      </w:r>
    </w:p>
    <w:p w14:paraId="044A04D1" w14:textId="77777777" w:rsidR="008B1F25" w:rsidRPr="00EF1957" w:rsidRDefault="0076355F" w:rsidP="0076355F">
      <w:pPr>
        <w:pStyle w:val="ListParagraph"/>
        <w:numPr>
          <w:ilvl w:val="0"/>
          <w:numId w:val="5"/>
        </w:numPr>
        <w:rPr>
          <w:lang w:val="en-GB"/>
        </w:rPr>
      </w:pPr>
      <w:r w:rsidRPr="00EF1957">
        <w:rPr>
          <w:lang w:val="en-GB"/>
        </w:rPr>
        <w:t>Market Adaptation: Economic, social, and political factors necessitate market-specific adaptations. AstraZeneca customizes its approach in each market, balancing global objectives with local needs.</w:t>
      </w:r>
    </w:p>
    <w:p w14:paraId="6BE98ACE" w14:textId="77777777" w:rsidR="008B1F25" w:rsidRPr="00EF1957" w:rsidRDefault="0076355F" w:rsidP="0076355F">
      <w:pPr>
        <w:pStyle w:val="ListParagraph"/>
        <w:numPr>
          <w:ilvl w:val="0"/>
          <w:numId w:val="5"/>
        </w:numPr>
        <w:rPr>
          <w:lang w:val="en-GB"/>
        </w:rPr>
      </w:pPr>
      <w:r w:rsidRPr="00EF1957">
        <w:rPr>
          <w:lang w:val="en-GB"/>
        </w:rPr>
        <w:t>Risk Management: Understanding these external factors helps AstraZeneca in risk assessment and management, particularly in navigating regulatory challenges and economic volatility in different markets.</w:t>
      </w:r>
    </w:p>
    <w:p w14:paraId="5EF3A620" w14:textId="77777777" w:rsidR="008B1F25" w:rsidRPr="00EF1957" w:rsidRDefault="0076355F" w:rsidP="0076355F">
      <w:pPr>
        <w:pStyle w:val="ListParagraph"/>
        <w:numPr>
          <w:ilvl w:val="0"/>
          <w:numId w:val="5"/>
        </w:numPr>
        <w:rPr>
          <w:lang w:val="en-GB"/>
        </w:rPr>
      </w:pPr>
      <w:r w:rsidRPr="00EF1957">
        <w:rPr>
          <w:lang w:val="en-GB"/>
        </w:rPr>
        <w:t>Corporate Governance and Compliance: Legal and ethical considerations influence AstraZeneca’s corporate governance. The company maintains strict compliance with legal standards and ethical norms to uphold its reputation and avoid legal conflicts.</w:t>
      </w:r>
    </w:p>
    <w:p w14:paraId="429002AE" w14:textId="7CD38D1B" w:rsidR="0076355F" w:rsidRPr="00EF1957" w:rsidRDefault="0076355F" w:rsidP="0076355F">
      <w:pPr>
        <w:pStyle w:val="ListParagraph"/>
        <w:numPr>
          <w:ilvl w:val="0"/>
          <w:numId w:val="5"/>
        </w:numPr>
        <w:rPr>
          <w:lang w:val="en-GB"/>
        </w:rPr>
      </w:pPr>
      <w:r w:rsidRPr="00EF1957">
        <w:rPr>
          <w:lang w:val="en-GB"/>
        </w:rPr>
        <w:lastRenderedPageBreak/>
        <w:t>Sustainability Initiatives: Environmental factors drive AstraZeneca’s sustainability initiatives. The company is increasingly investing in environmentally friendly practices, aligning with global trends towards sustainable business practices</w:t>
      </w:r>
      <w:r w:rsidR="006C28CF" w:rsidRPr="00EF1957">
        <w:rPr>
          <w:lang w:val="en-GB"/>
        </w:rPr>
        <w:t xml:space="preserve"> (AstraZeneca, 2023)</w:t>
      </w:r>
      <w:r w:rsidRPr="00EF1957">
        <w:rPr>
          <w:lang w:val="en-GB"/>
        </w:rPr>
        <w:t>.</w:t>
      </w:r>
    </w:p>
    <w:p w14:paraId="1D8833F0" w14:textId="29C3B404" w:rsidR="00FB021F" w:rsidRPr="00EF1957" w:rsidRDefault="0076355F" w:rsidP="0076355F">
      <w:pPr>
        <w:rPr>
          <w:lang w:val="en-GB"/>
        </w:rPr>
      </w:pPr>
      <w:r w:rsidRPr="00EF1957">
        <w:rPr>
          <w:lang w:val="en-GB"/>
        </w:rPr>
        <w:t>In conclusion, AstraZeneca's decision-making and operations are significantly influenced by a multitude of external factors encapsulated in the PESTLE framework. The company's ability to effectively navigate these factors is crucial for its success and sustainability in the highly competitive and dynamic pharmaceutical industry.</w:t>
      </w:r>
    </w:p>
    <w:p w14:paraId="49877B86" w14:textId="30D0FA9E" w:rsidR="0079090C" w:rsidRPr="00EF1957" w:rsidRDefault="000614E8" w:rsidP="00B51EFF">
      <w:pPr>
        <w:pStyle w:val="Heading2"/>
        <w:rPr>
          <w:lang w:val="en-GB"/>
        </w:rPr>
      </w:pPr>
      <w:bookmarkStart w:id="21" w:name="_Toc150868604"/>
      <w:r w:rsidRPr="00EF1957">
        <w:rPr>
          <w:lang w:val="en-GB"/>
        </w:rPr>
        <w:t xml:space="preserve">5. </w:t>
      </w:r>
      <w:r w:rsidR="0079090C" w:rsidRPr="00EF1957">
        <w:rPr>
          <w:lang w:val="en-GB"/>
        </w:rPr>
        <w:t>Integration of Contextual Factors and Internationalization Strategy</w:t>
      </w:r>
      <w:r w:rsidR="00B51EFF" w:rsidRPr="00EF1957">
        <w:rPr>
          <w:lang w:val="en-GB"/>
        </w:rPr>
        <w:t>:</w:t>
      </w:r>
      <w:bookmarkEnd w:id="21"/>
    </w:p>
    <w:p w14:paraId="5E0D1AD5" w14:textId="01A8271D" w:rsidR="0079090C" w:rsidRPr="00EF1957" w:rsidRDefault="0079090C" w:rsidP="0079090C">
      <w:pPr>
        <w:rPr>
          <w:lang w:val="en-GB"/>
        </w:rPr>
      </w:pPr>
      <w:r w:rsidRPr="00EF1957">
        <w:rPr>
          <w:lang w:val="en-GB"/>
        </w:rPr>
        <w:t>The integration of PESTLE factors into AstraZeneca’s internationalization strategy highlights the company's ability to adapt and thrive in diverse global markets. These external factors not only shape the company's strategic decisions but also influence the implementation and success of these strategies.</w:t>
      </w:r>
    </w:p>
    <w:p w14:paraId="0EBDFB38" w14:textId="26B1A2F0" w:rsidR="0079090C" w:rsidRPr="00EF1957" w:rsidRDefault="000614E8" w:rsidP="005800FD">
      <w:pPr>
        <w:pStyle w:val="Heading3"/>
        <w:rPr>
          <w:lang w:val="en-GB"/>
        </w:rPr>
      </w:pPr>
      <w:bookmarkStart w:id="22" w:name="_Toc150868605"/>
      <w:r w:rsidRPr="00EF1957">
        <w:rPr>
          <w:lang w:val="en-GB"/>
        </w:rPr>
        <w:t xml:space="preserve">5.1 </w:t>
      </w:r>
      <w:r w:rsidR="0079090C" w:rsidRPr="00EF1957">
        <w:rPr>
          <w:lang w:val="en-GB"/>
        </w:rPr>
        <w:t>How PESTLE Factors Shape AstraZeneca’s Strategy</w:t>
      </w:r>
      <w:bookmarkEnd w:id="22"/>
    </w:p>
    <w:p w14:paraId="2F73640C" w14:textId="3731B9E1" w:rsidR="0079090C" w:rsidRPr="00EF1957" w:rsidRDefault="0079090C" w:rsidP="00887160">
      <w:pPr>
        <w:pStyle w:val="ListParagraph"/>
        <w:numPr>
          <w:ilvl w:val="0"/>
          <w:numId w:val="11"/>
        </w:numPr>
        <w:rPr>
          <w:lang w:val="en-GB"/>
        </w:rPr>
      </w:pPr>
      <w:r w:rsidRPr="00EF1957">
        <w:rPr>
          <w:lang w:val="en-GB"/>
        </w:rPr>
        <w:t>Political and Legal Influences: Government policies, healthcare reforms, and legal frameworks in different countries significantly shape AstraZeneca’s market entry and operational strategies. For instance, in countries with strict drug approval regulations, AstraZeneca invests more in R&amp;D and clinical trials to meet these stringent standards. Conversely, in countries with less rigorous requirements, the company might focus on market access and distribution strategies</w:t>
      </w:r>
      <w:r w:rsidR="004F6333" w:rsidRPr="00EF1957">
        <w:rPr>
          <w:lang w:val="en-GB"/>
        </w:rPr>
        <w:t xml:space="preserve"> (Wild and Wild, 2019)</w:t>
      </w:r>
      <w:r w:rsidRPr="00EF1957">
        <w:rPr>
          <w:lang w:val="en-GB"/>
        </w:rPr>
        <w:t>.</w:t>
      </w:r>
    </w:p>
    <w:p w14:paraId="2747ECEE" w14:textId="579F1473" w:rsidR="0079090C" w:rsidRPr="00EF1957" w:rsidRDefault="0079090C" w:rsidP="00887160">
      <w:pPr>
        <w:pStyle w:val="ListParagraph"/>
        <w:numPr>
          <w:ilvl w:val="0"/>
          <w:numId w:val="11"/>
        </w:numPr>
        <w:rPr>
          <w:lang w:val="en-GB"/>
        </w:rPr>
      </w:pPr>
      <w:r w:rsidRPr="00EF1957">
        <w:rPr>
          <w:lang w:val="en-GB"/>
        </w:rPr>
        <w:t>Economic Considerations: Economic stability and market conditions in different regions dictate AstraZeneca’s investment and pricing strategies. In developed markets with strong economies, the company might invest heavily in innovative drug development and marketing. In contrast, in developing countries with price-sensitive markets, AstraZeneca may focus on affordable generic medications or partnerships with local firms to reduce costs</w:t>
      </w:r>
      <w:r w:rsidR="006C28CF" w:rsidRPr="00EF1957">
        <w:rPr>
          <w:lang w:val="en-GB"/>
        </w:rPr>
        <w:t xml:space="preserve"> (AstraZeneca, 2023)</w:t>
      </w:r>
      <w:r w:rsidRPr="00EF1957">
        <w:rPr>
          <w:lang w:val="en-GB"/>
        </w:rPr>
        <w:t>.</w:t>
      </w:r>
    </w:p>
    <w:p w14:paraId="3124BCC1" w14:textId="1A6B42C4" w:rsidR="0079090C" w:rsidRPr="00EF1957" w:rsidRDefault="0079090C" w:rsidP="00887160">
      <w:pPr>
        <w:pStyle w:val="ListParagraph"/>
        <w:numPr>
          <w:ilvl w:val="0"/>
          <w:numId w:val="11"/>
        </w:numPr>
        <w:rPr>
          <w:lang w:val="en-GB"/>
        </w:rPr>
      </w:pPr>
      <w:r w:rsidRPr="00EF1957">
        <w:rPr>
          <w:lang w:val="en-GB"/>
        </w:rPr>
        <w:t xml:space="preserve">Social Dynamics: Demographic trends and disease prevalence guide AstraZeneca’s product portfolio decisions. In countries with aging populations, there is a focus on chronic diseases prevalent among the elderly, such as cardiovascular and respiratory conditions. In younger populations, the focus might shift to vaccines and </w:t>
      </w:r>
      <w:proofErr w:type="spellStart"/>
      <w:r w:rsidRPr="00EF1957">
        <w:rPr>
          <w:lang w:val="en-GB"/>
        </w:rPr>
        <w:t>pediatric</w:t>
      </w:r>
      <w:proofErr w:type="spellEnd"/>
      <w:r w:rsidRPr="00EF1957">
        <w:rPr>
          <w:lang w:val="en-GB"/>
        </w:rPr>
        <w:t xml:space="preserve"> medicines.</w:t>
      </w:r>
    </w:p>
    <w:p w14:paraId="224E7133" w14:textId="132A1690" w:rsidR="0079090C" w:rsidRPr="00EF1957" w:rsidRDefault="0079090C" w:rsidP="00887160">
      <w:pPr>
        <w:pStyle w:val="ListParagraph"/>
        <w:numPr>
          <w:ilvl w:val="0"/>
          <w:numId w:val="11"/>
        </w:numPr>
        <w:rPr>
          <w:lang w:val="en-GB"/>
        </w:rPr>
      </w:pPr>
      <w:r w:rsidRPr="00EF1957">
        <w:rPr>
          <w:lang w:val="en-GB"/>
        </w:rPr>
        <w:lastRenderedPageBreak/>
        <w:t>Technological Advancements: Rapid technological changes, particularly in digital health and data analytics, drive AstraZeneca’s strategies in R&amp;D and patient engagement. The company leverages these technologies to streamline drug development processes, personalize patient care, and enhance its marketing efforts</w:t>
      </w:r>
      <w:r w:rsidR="00A44216" w:rsidRPr="00EF1957">
        <w:rPr>
          <w:lang w:val="en-GB"/>
        </w:rPr>
        <w:t xml:space="preserve"> (Witt, 2019)</w:t>
      </w:r>
      <w:r w:rsidRPr="00EF1957">
        <w:rPr>
          <w:lang w:val="en-GB"/>
        </w:rPr>
        <w:t>.</w:t>
      </w:r>
    </w:p>
    <w:p w14:paraId="6C8E4009" w14:textId="423EAEB1" w:rsidR="00823EBC" w:rsidRPr="00EF1957" w:rsidRDefault="0079090C" w:rsidP="00887160">
      <w:pPr>
        <w:pStyle w:val="ListParagraph"/>
        <w:numPr>
          <w:ilvl w:val="0"/>
          <w:numId w:val="11"/>
        </w:numPr>
        <w:rPr>
          <w:lang w:val="en-GB"/>
        </w:rPr>
      </w:pPr>
      <w:r w:rsidRPr="00EF1957">
        <w:rPr>
          <w:lang w:val="en-GB"/>
        </w:rPr>
        <w:t xml:space="preserve">Environmental Considerations: </w:t>
      </w:r>
      <w:r w:rsidR="00823EBC" w:rsidRPr="00EF1957">
        <w:rPr>
          <w:lang w:val="en-GB"/>
        </w:rPr>
        <w:t>Sustainability has been included in AstraZeneca's operations due to growing environmental concerns. This involves making an attempt to create more sustainable goods and reduce the negative effects of its production operations on the environment.</w:t>
      </w:r>
    </w:p>
    <w:p w14:paraId="68ED4A68" w14:textId="25CECF83" w:rsidR="0079090C" w:rsidRPr="00EF1957" w:rsidRDefault="000614E8" w:rsidP="00B51EFF">
      <w:pPr>
        <w:pStyle w:val="Heading3"/>
        <w:rPr>
          <w:lang w:val="en-GB"/>
        </w:rPr>
      </w:pPr>
      <w:bookmarkStart w:id="23" w:name="_Toc150868606"/>
      <w:r w:rsidRPr="00EF1957">
        <w:rPr>
          <w:lang w:val="en-GB"/>
        </w:rPr>
        <w:t xml:space="preserve">5.2 </w:t>
      </w:r>
      <w:r w:rsidR="0079090C" w:rsidRPr="00EF1957">
        <w:rPr>
          <w:lang w:val="en-GB"/>
        </w:rPr>
        <w:t>Adaptation of Strategies in Different Markets</w:t>
      </w:r>
      <w:bookmarkEnd w:id="23"/>
    </w:p>
    <w:p w14:paraId="1C366C51" w14:textId="77777777" w:rsidR="0067178D" w:rsidRPr="00EF1957" w:rsidRDefault="0079090C" w:rsidP="00887160">
      <w:pPr>
        <w:pStyle w:val="ListParagraph"/>
        <w:numPr>
          <w:ilvl w:val="0"/>
          <w:numId w:val="10"/>
        </w:numPr>
        <w:rPr>
          <w:lang w:val="en-GB"/>
        </w:rPr>
      </w:pPr>
      <w:r w:rsidRPr="00EF1957">
        <w:rPr>
          <w:lang w:val="en-GB"/>
        </w:rPr>
        <w:t xml:space="preserve">Customized R&amp;D and Clinical Trials: </w:t>
      </w:r>
      <w:r w:rsidR="0067178D" w:rsidRPr="00EF1957">
        <w:rPr>
          <w:lang w:val="en-GB"/>
        </w:rPr>
        <w:t>AstraZeneca modifies its R&amp;D initiatives to fit the individual demands and regulatory requirements of each market. This involves performing region-specific clinical studies and designing formulations that adapt to local illness patterns and preferences of patients.</w:t>
      </w:r>
    </w:p>
    <w:p w14:paraId="53A08956" w14:textId="7E191ED7" w:rsidR="00922270" w:rsidRPr="00EF1957" w:rsidRDefault="0079090C" w:rsidP="00887160">
      <w:pPr>
        <w:pStyle w:val="ListParagraph"/>
        <w:numPr>
          <w:ilvl w:val="0"/>
          <w:numId w:val="10"/>
        </w:numPr>
        <w:rPr>
          <w:lang w:val="en-GB"/>
        </w:rPr>
      </w:pPr>
      <w:r w:rsidRPr="00EF1957">
        <w:rPr>
          <w:lang w:val="en-GB"/>
        </w:rPr>
        <w:t xml:space="preserve">Localized Marketing and Distribution: </w:t>
      </w:r>
      <w:r w:rsidR="00922270" w:rsidRPr="00EF1957">
        <w:rPr>
          <w:lang w:val="en-GB"/>
        </w:rPr>
        <w:t>Marketing techniques are adjusted to fit the cultural peculiarities and healthcare systems of each market. In certain places, AstraZeneca may depend on direct-to-consumer marketing, while in others, it concentrates on creating partnerships with healthcare professionals and organizations</w:t>
      </w:r>
      <w:r w:rsidR="00773A0C" w:rsidRPr="00EF1957">
        <w:rPr>
          <w:lang w:val="en-GB"/>
        </w:rPr>
        <w:t xml:space="preserve"> (Curran et al., </w:t>
      </w:r>
      <w:r w:rsidR="00993F8B" w:rsidRPr="00EF1957">
        <w:rPr>
          <w:lang w:val="en-GB"/>
        </w:rPr>
        <w:t>2021</w:t>
      </w:r>
      <w:r w:rsidR="00F436FD" w:rsidRPr="00EF1957">
        <w:rPr>
          <w:lang w:val="en-GB"/>
        </w:rPr>
        <w:t>)</w:t>
      </w:r>
      <w:r w:rsidR="00922270" w:rsidRPr="00EF1957">
        <w:rPr>
          <w:lang w:val="en-GB"/>
        </w:rPr>
        <w:t>.</w:t>
      </w:r>
    </w:p>
    <w:p w14:paraId="046AEAA3" w14:textId="79122BF6" w:rsidR="00D054B4" w:rsidRPr="00EF1957" w:rsidRDefault="0079090C" w:rsidP="00887160">
      <w:pPr>
        <w:pStyle w:val="ListParagraph"/>
        <w:numPr>
          <w:ilvl w:val="0"/>
          <w:numId w:val="10"/>
        </w:numPr>
        <w:rPr>
          <w:lang w:val="en-GB"/>
        </w:rPr>
      </w:pPr>
      <w:r w:rsidRPr="00EF1957">
        <w:rPr>
          <w:lang w:val="en-GB"/>
        </w:rPr>
        <w:t xml:space="preserve">Pricing and Access Strategies: </w:t>
      </w:r>
      <w:r w:rsidR="00D054B4" w:rsidRPr="00EF1957">
        <w:rPr>
          <w:lang w:val="en-GB"/>
        </w:rPr>
        <w:t>AstraZeneca may use premium pricing in developed markets for novel medications, but it may use access initiatives or differential pricing in poorer nations to lower the cost of medications</w:t>
      </w:r>
      <w:r w:rsidR="00F34B02" w:rsidRPr="00EF1957">
        <w:rPr>
          <w:lang w:val="en-GB"/>
        </w:rPr>
        <w:t xml:space="preserve"> (Witt, 2019)</w:t>
      </w:r>
      <w:r w:rsidR="00D054B4" w:rsidRPr="00EF1957">
        <w:rPr>
          <w:lang w:val="en-GB"/>
        </w:rPr>
        <w:t>.</w:t>
      </w:r>
    </w:p>
    <w:p w14:paraId="6AF2D989" w14:textId="46C437B1" w:rsidR="00E20348" w:rsidRPr="00EF1957" w:rsidRDefault="0079090C" w:rsidP="00887160">
      <w:pPr>
        <w:pStyle w:val="ListParagraph"/>
        <w:numPr>
          <w:ilvl w:val="0"/>
          <w:numId w:val="10"/>
        </w:numPr>
        <w:rPr>
          <w:lang w:val="en-GB"/>
        </w:rPr>
      </w:pPr>
      <w:r w:rsidRPr="00EF1957">
        <w:rPr>
          <w:lang w:val="en-GB"/>
        </w:rPr>
        <w:t xml:space="preserve">Collaborations and Partnerships: </w:t>
      </w:r>
      <w:r w:rsidR="00FF3A35" w:rsidRPr="00EF1957">
        <w:rPr>
          <w:lang w:val="en-GB"/>
        </w:rPr>
        <w:t>Forming strategic partnerships with regional businesses, academic institutions, and healthcare groups is often necessary to adjust to local market realities. Through these collaborations, AstraZeneca is able to improve its market presence and get a deeper knowledge of regional markets.</w:t>
      </w:r>
    </w:p>
    <w:p w14:paraId="101B1F23" w14:textId="08A1C383" w:rsidR="0079090C" w:rsidRPr="00EF1957" w:rsidRDefault="000614E8" w:rsidP="0079090C">
      <w:pPr>
        <w:pStyle w:val="Heading2"/>
        <w:rPr>
          <w:lang w:val="en-GB"/>
        </w:rPr>
      </w:pPr>
      <w:bookmarkStart w:id="24" w:name="_Toc150868607"/>
      <w:r w:rsidRPr="00EF1957">
        <w:rPr>
          <w:lang w:val="en-GB"/>
        </w:rPr>
        <w:t xml:space="preserve">5.3 </w:t>
      </w:r>
      <w:r w:rsidR="0079090C" w:rsidRPr="00EF1957">
        <w:rPr>
          <w:lang w:val="en-GB"/>
        </w:rPr>
        <w:t>Impact on Strategy Implementation</w:t>
      </w:r>
      <w:bookmarkEnd w:id="24"/>
    </w:p>
    <w:p w14:paraId="675D02D7" w14:textId="282F817D" w:rsidR="0079090C" w:rsidRPr="00EF1957" w:rsidRDefault="0079090C" w:rsidP="005211EE">
      <w:pPr>
        <w:pStyle w:val="ListParagraph"/>
        <w:numPr>
          <w:ilvl w:val="0"/>
          <w:numId w:val="21"/>
        </w:numPr>
        <w:rPr>
          <w:lang w:val="en-GB"/>
        </w:rPr>
      </w:pPr>
      <w:r w:rsidRPr="00EF1957">
        <w:rPr>
          <w:lang w:val="en-GB"/>
        </w:rPr>
        <w:t xml:space="preserve">Effective Market Penetration: By integrating PESTLE factors into its strategy, AstraZeneca can effectively penetrate diverse markets. Tailoring strategies to local conditions </w:t>
      </w:r>
      <w:r w:rsidR="00773A0C" w:rsidRPr="00EF1957">
        <w:rPr>
          <w:lang w:val="en-GB"/>
        </w:rPr>
        <w:t>enhance</w:t>
      </w:r>
      <w:r w:rsidRPr="00EF1957">
        <w:rPr>
          <w:lang w:val="en-GB"/>
        </w:rPr>
        <w:t xml:space="preserve"> the company’s ability to meet market demands and navigate regulatory landscapes.</w:t>
      </w:r>
    </w:p>
    <w:p w14:paraId="7F56E963" w14:textId="36A3D3D0" w:rsidR="0079090C" w:rsidRPr="00EF1957" w:rsidRDefault="0079090C" w:rsidP="005211EE">
      <w:pPr>
        <w:pStyle w:val="ListParagraph"/>
        <w:numPr>
          <w:ilvl w:val="0"/>
          <w:numId w:val="21"/>
        </w:numPr>
        <w:rPr>
          <w:lang w:val="en-GB"/>
        </w:rPr>
      </w:pPr>
      <w:r w:rsidRPr="00EF1957">
        <w:rPr>
          <w:lang w:val="en-GB"/>
        </w:rPr>
        <w:t xml:space="preserve">Enhanced Innovation and Competitiveness: The focus on localized R&amp;D driven by technological and social factors ensures that AstraZeneca stays at the forefront of </w:t>
      </w:r>
      <w:r w:rsidRPr="00EF1957">
        <w:rPr>
          <w:lang w:val="en-GB"/>
        </w:rPr>
        <w:lastRenderedPageBreak/>
        <w:t>innovation, addressing unmet medical needs and staying competitive</w:t>
      </w:r>
      <w:r w:rsidR="00B10928" w:rsidRPr="00EF1957">
        <w:rPr>
          <w:lang w:val="en-GB"/>
        </w:rPr>
        <w:t xml:space="preserve"> (Wettstein et al.</w:t>
      </w:r>
      <w:r w:rsidR="005211EE" w:rsidRPr="00EF1957">
        <w:rPr>
          <w:lang w:val="en-GB"/>
        </w:rPr>
        <w:t xml:space="preserve">, </w:t>
      </w:r>
      <w:r w:rsidR="00E33276" w:rsidRPr="00EF1957">
        <w:rPr>
          <w:lang w:val="en-GB"/>
        </w:rPr>
        <w:t>2019)</w:t>
      </w:r>
      <w:r w:rsidRPr="00EF1957">
        <w:rPr>
          <w:lang w:val="en-GB"/>
        </w:rPr>
        <w:t>.</w:t>
      </w:r>
    </w:p>
    <w:p w14:paraId="12D6EB21" w14:textId="08FF8CC9" w:rsidR="0079090C" w:rsidRPr="00EF1957" w:rsidRDefault="0079090C" w:rsidP="005211EE">
      <w:pPr>
        <w:pStyle w:val="ListParagraph"/>
        <w:numPr>
          <w:ilvl w:val="0"/>
          <w:numId w:val="21"/>
        </w:numPr>
        <w:rPr>
          <w:lang w:val="en-GB"/>
        </w:rPr>
      </w:pPr>
      <w:r w:rsidRPr="00EF1957">
        <w:rPr>
          <w:lang w:val="en-GB"/>
        </w:rPr>
        <w:t>Reputation and Compliance: Adhering to political, legal, and ethical standards in different regions helps AstraZeneca maintain a strong reputation and avoid legal and compliance issues. This is particularly important in an industry where trust and credibility are paramount</w:t>
      </w:r>
      <w:r w:rsidR="006C28CF" w:rsidRPr="00EF1957">
        <w:rPr>
          <w:lang w:val="en-GB"/>
        </w:rPr>
        <w:t xml:space="preserve"> (AstraZeneca, 2023)</w:t>
      </w:r>
      <w:r w:rsidRPr="00EF1957">
        <w:rPr>
          <w:lang w:val="en-GB"/>
        </w:rPr>
        <w:t>.</w:t>
      </w:r>
    </w:p>
    <w:p w14:paraId="5B2630AF" w14:textId="65244D78" w:rsidR="0079090C" w:rsidRPr="00EF1957" w:rsidRDefault="0079090C" w:rsidP="005211EE">
      <w:pPr>
        <w:pStyle w:val="ListParagraph"/>
        <w:numPr>
          <w:ilvl w:val="0"/>
          <w:numId w:val="21"/>
        </w:numPr>
        <w:rPr>
          <w:lang w:val="en-GB"/>
        </w:rPr>
      </w:pPr>
      <w:r w:rsidRPr="00EF1957">
        <w:rPr>
          <w:lang w:val="en-GB"/>
        </w:rPr>
        <w:t>Operational Challenges: While adapting strategies to different markets offers numerous benefits, it also presents operational challenges. Managing diverse strategies across multiple markets requires significant resources and can complicate the company’s global management structure</w:t>
      </w:r>
      <w:r w:rsidR="0015254E" w:rsidRPr="00EF1957">
        <w:rPr>
          <w:lang w:val="en-GB"/>
        </w:rPr>
        <w:t xml:space="preserve"> (</w:t>
      </w:r>
      <w:proofErr w:type="spellStart"/>
      <w:r w:rsidR="0015254E" w:rsidRPr="00EF1957">
        <w:rPr>
          <w:lang w:val="en-GB"/>
        </w:rPr>
        <w:t>Szkudlarek</w:t>
      </w:r>
      <w:proofErr w:type="spellEnd"/>
      <w:r w:rsidR="0015254E" w:rsidRPr="00EF1957">
        <w:rPr>
          <w:lang w:val="en-GB"/>
        </w:rPr>
        <w:t xml:space="preserve"> et al., </w:t>
      </w:r>
      <w:r w:rsidR="00EB3B07" w:rsidRPr="00EF1957">
        <w:rPr>
          <w:lang w:val="en-GB"/>
        </w:rPr>
        <w:t>2020)</w:t>
      </w:r>
      <w:r w:rsidRPr="00EF1957">
        <w:rPr>
          <w:lang w:val="en-GB"/>
        </w:rPr>
        <w:t>.</w:t>
      </w:r>
    </w:p>
    <w:p w14:paraId="5A6F09F1" w14:textId="6FD47B96" w:rsidR="0079090C" w:rsidRPr="00EF1957" w:rsidRDefault="0079090C" w:rsidP="005211EE">
      <w:pPr>
        <w:pStyle w:val="ListParagraph"/>
        <w:numPr>
          <w:ilvl w:val="0"/>
          <w:numId w:val="21"/>
        </w:numPr>
        <w:rPr>
          <w:lang w:val="en-GB"/>
        </w:rPr>
      </w:pPr>
      <w:r w:rsidRPr="00EF1957">
        <w:rPr>
          <w:lang w:val="en-GB"/>
        </w:rPr>
        <w:t>Sustainability and Corporate Responsibility: Environmental considerations have led AstraZeneca to adopt more sustainable practices, enhancing its corporate responsibility profile and aligning with global trends towards sustainable development.</w:t>
      </w:r>
    </w:p>
    <w:p w14:paraId="749320C7" w14:textId="4596171D" w:rsidR="0079090C" w:rsidRPr="00EF1957" w:rsidRDefault="0079090C" w:rsidP="005211EE">
      <w:pPr>
        <w:pStyle w:val="ListParagraph"/>
        <w:numPr>
          <w:ilvl w:val="0"/>
          <w:numId w:val="21"/>
        </w:numPr>
        <w:rPr>
          <w:lang w:val="en-GB"/>
        </w:rPr>
      </w:pPr>
      <w:r w:rsidRPr="00EF1957">
        <w:rPr>
          <w:lang w:val="en-GB"/>
        </w:rPr>
        <w:t>Risk Management: Understanding and integrating PESTLE factors into its internationalization strategy helps AstraZeneca in better risk assessment and management, particularly in navigating the uncertainties of international markets.</w:t>
      </w:r>
    </w:p>
    <w:p w14:paraId="08475D0D" w14:textId="62E11D4C" w:rsidR="00B62407" w:rsidRPr="00EF1957" w:rsidRDefault="0079090C" w:rsidP="0079090C">
      <w:pPr>
        <w:rPr>
          <w:lang w:val="en-GB"/>
        </w:rPr>
      </w:pPr>
      <w:r w:rsidRPr="00EF1957">
        <w:rPr>
          <w:lang w:val="en-GB"/>
        </w:rPr>
        <w:t xml:space="preserve">In conclusion, the integration of PESTLE factors into AstraZeneca's internationalization strategy is a dynamic process that requires constant adaptation and responsiveness. By tailoring its strategies to the unique political, economic, social, technological, legal, and environmental contexts of each market, AstraZeneca enhances its global competitiveness and operational effectiveness. </w:t>
      </w:r>
      <w:r w:rsidR="00097166" w:rsidRPr="00EF1957">
        <w:rPr>
          <w:lang w:val="en-GB"/>
        </w:rPr>
        <w:t>The company's development goals are supported by this strategic integration, which also guarantees the company's sustainability and resilience in the dynamic global pharmaceutical market.</w:t>
      </w:r>
    </w:p>
    <w:p w14:paraId="5C0F3D3D" w14:textId="5C2B3F76" w:rsidR="0095737E" w:rsidRPr="00EF1957" w:rsidRDefault="000614E8" w:rsidP="00B51EFF">
      <w:pPr>
        <w:pStyle w:val="Heading2"/>
        <w:rPr>
          <w:lang w:val="en-GB"/>
        </w:rPr>
      </w:pPr>
      <w:bookmarkStart w:id="25" w:name="_Toc150868608"/>
      <w:r w:rsidRPr="00EF1957">
        <w:rPr>
          <w:lang w:val="en-GB"/>
        </w:rPr>
        <w:t xml:space="preserve">6. </w:t>
      </w:r>
      <w:r w:rsidR="0095737E" w:rsidRPr="00EF1957">
        <w:rPr>
          <w:lang w:val="en-GB"/>
        </w:rPr>
        <w:t>Recommendations for AstraZeneca's Future Internationalization Strategy</w:t>
      </w:r>
      <w:r w:rsidR="00B51EFF" w:rsidRPr="00EF1957">
        <w:rPr>
          <w:lang w:val="en-GB"/>
        </w:rPr>
        <w:t>:</w:t>
      </w:r>
      <w:bookmarkEnd w:id="25"/>
    </w:p>
    <w:p w14:paraId="3B3CCA0A" w14:textId="4B583EFB" w:rsidR="00E117BA" w:rsidRPr="00EF1957" w:rsidRDefault="00E117BA" w:rsidP="0095737E">
      <w:pPr>
        <w:rPr>
          <w:lang w:val="en-GB"/>
        </w:rPr>
      </w:pPr>
      <w:r w:rsidRPr="00EF1957">
        <w:rPr>
          <w:lang w:val="en-GB"/>
        </w:rPr>
        <w:t>Strategic vision is crucial as AstraZeneca continues to negotiate the intricate terrain of the worldwide pharmaceutical market. The advice that follows are meant to assist the firm in strengthening its worldwide presence and competitiveness, resolving issues in developing markets, and improving its internationalization activities.</w:t>
      </w:r>
    </w:p>
    <w:p w14:paraId="71771FDF" w14:textId="4C4CD965" w:rsidR="0095737E" w:rsidRPr="00EF1957" w:rsidRDefault="0095737E" w:rsidP="0095737E">
      <w:pPr>
        <w:rPr>
          <w:b/>
          <w:bCs/>
          <w:lang w:val="en-GB"/>
        </w:rPr>
      </w:pPr>
      <w:r w:rsidRPr="00EF1957">
        <w:rPr>
          <w:b/>
          <w:bCs/>
          <w:lang w:val="en-GB"/>
        </w:rPr>
        <w:t>1. Emphasizing Localized Innovation and R&amp;D:</w:t>
      </w:r>
    </w:p>
    <w:p w14:paraId="434C31EC" w14:textId="5285C96F" w:rsidR="00384224" w:rsidRPr="00EF1957" w:rsidRDefault="0095737E" w:rsidP="00384224">
      <w:pPr>
        <w:pStyle w:val="ListParagraph"/>
        <w:numPr>
          <w:ilvl w:val="0"/>
          <w:numId w:val="12"/>
        </w:numPr>
        <w:rPr>
          <w:lang w:val="en-GB"/>
        </w:rPr>
      </w:pPr>
      <w:r w:rsidRPr="00EF1957">
        <w:rPr>
          <w:lang w:val="en-GB"/>
        </w:rPr>
        <w:lastRenderedPageBreak/>
        <w:t xml:space="preserve">Tailored Drug Development: </w:t>
      </w:r>
      <w:r w:rsidR="00384224" w:rsidRPr="00EF1957">
        <w:rPr>
          <w:lang w:val="en-GB"/>
        </w:rPr>
        <w:t>In order to create medications that meet the unique medical requirements and regulatory frameworks of various markets, AstraZeneca should keep funding regional R&amp;D. This might include establishing R&amp;D facilities in key areas with high disease prevalence or particular health issues</w:t>
      </w:r>
      <w:r w:rsidR="004103B2" w:rsidRPr="00EF1957">
        <w:rPr>
          <w:lang w:val="en-GB"/>
        </w:rPr>
        <w:t xml:space="preserve"> (</w:t>
      </w:r>
      <w:proofErr w:type="spellStart"/>
      <w:r w:rsidR="004103B2" w:rsidRPr="00EF1957">
        <w:rPr>
          <w:lang w:val="en-GB"/>
        </w:rPr>
        <w:t>Sniazhko</w:t>
      </w:r>
      <w:proofErr w:type="spellEnd"/>
      <w:r w:rsidR="004103B2" w:rsidRPr="00EF1957">
        <w:rPr>
          <w:lang w:val="en-GB"/>
        </w:rPr>
        <w:t>, 2019)</w:t>
      </w:r>
      <w:r w:rsidR="00384224" w:rsidRPr="00EF1957">
        <w:rPr>
          <w:lang w:val="en-GB"/>
        </w:rPr>
        <w:t>.</w:t>
      </w:r>
    </w:p>
    <w:p w14:paraId="1288534C" w14:textId="7647D378" w:rsidR="00A910A2" w:rsidRPr="00EF1957" w:rsidRDefault="0095737E" w:rsidP="00FB69EA">
      <w:pPr>
        <w:pStyle w:val="ListParagraph"/>
        <w:numPr>
          <w:ilvl w:val="0"/>
          <w:numId w:val="12"/>
        </w:numPr>
        <w:rPr>
          <w:lang w:val="en-GB"/>
        </w:rPr>
      </w:pPr>
      <w:r w:rsidRPr="00EF1957">
        <w:rPr>
          <w:lang w:val="en-GB"/>
        </w:rPr>
        <w:t xml:space="preserve">Collaborative Research Initiatives: </w:t>
      </w:r>
      <w:r w:rsidR="00A910A2" w:rsidRPr="00EF1957">
        <w:rPr>
          <w:lang w:val="en-GB"/>
        </w:rPr>
        <w:t>Innovation that is closely matched with regional health needs and market dynamics may be driven by collaborating with local universities, research institutions, and healthcare organizations.</w:t>
      </w:r>
    </w:p>
    <w:p w14:paraId="3719A47D" w14:textId="77777777" w:rsidR="00CF73A5" w:rsidRPr="00EF1957" w:rsidRDefault="00CF73A5" w:rsidP="00CF73A5">
      <w:pPr>
        <w:rPr>
          <w:lang w:val="en-GB"/>
        </w:rPr>
      </w:pPr>
    </w:p>
    <w:p w14:paraId="26B6996E" w14:textId="77777777" w:rsidR="00CF73A5" w:rsidRPr="00EF1957" w:rsidRDefault="00CF73A5" w:rsidP="00CF73A5">
      <w:pPr>
        <w:rPr>
          <w:lang w:val="en-GB"/>
        </w:rPr>
      </w:pPr>
    </w:p>
    <w:p w14:paraId="46DE06B9" w14:textId="10D9E73A" w:rsidR="0095737E" w:rsidRPr="00EF1957" w:rsidRDefault="0095737E" w:rsidP="00A910A2">
      <w:pPr>
        <w:rPr>
          <w:b/>
          <w:bCs/>
          <w:lang w:val="en-GB"/>
        </w:rPr>
      </w:pPr>
      <w:r w:rsidRPr="00EF1957">
        <w:rPr>
          <w:b/>
          <w:bCs/>
          <w:lang w:val="en-GB"/>
        </w:rPr>
        <w:t>2. Strengthening Market-Specific Strategies:</w:t>
      </w:r>
    </w:p>
    <w:p w14:paraId="50B3DD72" w14:textId="443150F4" w:rsidR="00BC12B4" w:rsidRPr="00EF1957" w:rsidRDefault="0095737E" w:rsidP="008D7170">
      <w:pPr>
        <w:pStyle w:val="ListParagraph"/>
        <w:numPr>
          <w:ilvl w:val="0"/>
          <w:numId w:val="13"/>
        </w:numPr>
        <w:rPr>
          <w:lang w:val="en-GB"/>
        </w:rPr>
      </w:pPr>
      <w:r w:rsidRPr="00EF1957">
        <w:rPr>
          <w:lang w:val="en-GB"/>
        </w:rPr>
        <w:t xml:space="preserve">Adaptive Marketing and Distribution: </w:t>
      </w:r>
      <w:r w:rsidR="00BC12B4" w:rsidRPr="00EF1957">
        <w:rPr>
          <w:lang w:val="en-GB"/>
        </w:rPr>
        <w:t xml:space="preserve">Create marketing and distribution plans tailored to the local healthcare environment, taking patient </w:t>
      </w:r>
      <w:proofErr w:type="spellStart"/>
      <w:r w:rsidR="00BC12B4" w:rsidRPr="00EF1957">
        <w:rPr>
          <w:lang w:val="en-GB"/>
        </w:rPr>
        <w:t>behavior</w:t>
      </w:r>
      <w:proofErr w:type="spellEnd"/>
      <w:r w:rsidR="00BC12B4" w:rsidRPr="00EF1957">
        <w:rPr>
          <w:lang w:val="en-GB"/>
        </w:rPr>
        <w:t>, cultural norms, and healthcare systems into account. This involves, particularly in areas with high internet penetration, using digital channels for patient education and marketing</w:t>
      </w:r>
      <w:r w:rsidR="00937A55" w:rsidRPr="00EF1957">
        <w:rPr>
          <w:lang w:val="en-GB"/>
        </w:rPr>
        <w:t xml:space="preserve"> (Collinson et al., </w:t>
      </w:r>
      <w:r w:rsidR="00E23627" w:rsidRPr="00EF1957">
        <w:rPr>
          <w:lang w:val="en-GB"/>
        </w:rPr>
        <w:t>2020)</w:t>
      </w:r>
      <w:r w:rsidR="00BC12B4" w:rsidRPr="00EF1957">
        <w:rPr>
          <w:lang w:val="en-GB"/>
        </w:rPr>
        <w:t>.</w:t>
      </w:r>
    </w:p>
    <w:p w14:paraId="68C3E76E" w14:textId="32BB0D45" w:rsidR="008D7170" w:rsidRPr="00EF1957" w:rsidRDefault="0095737E" w:rsidP="008D7170">
      <w:pPr>
        <w:pStyle w:val="ListParagraph"/>
        <w:numPr>
          <w:ilvl w:val="0"/>
          <w:numId w:val="13"/>
        </w:numPr>
        <w:rPr>
          <w:lang w:val="en-GB"/>
        </w:rPr>
      </w:pPr>
      <w:r w:rsidRPr="00EF1957">
        <w:rPr>
          <w:lang w:val="en-GB"/>
        </w:rPr>
        <w:t>Flexible Pricing Models</w:t>
      </w:r>
      <w:r w:rsidR="008D7170" w:rsidRPr="00EF1957">
        <w:rPr>
          <w:lang w:val="en-GB"/>
        </w:rPr>
        <w:t xml:space="preserve"> Use adaptable pricing techniques that take into account the financial conditions of various marketplaces. In developing nations, this might include patient aid programs, tier-based pricing, or joint ventures with governments for discounted prices.</w:t>
      </w:r>
    </w:p>
    <w:p w14:paraId="3FA91163" w14:textId="1B9D293C" w:rsidR="0095737E" w:rsidRPr="00EF1957" w:rsidRDefault="0095737E" w:rsidP="0095737E">
      <w:pPr>
        <w:rPr>
          <w:b/>
          <w:bCs/>
          <w:lang w:val="en-GB"/>
        </w:rPr>
      </w:pPr>
      <w:r w:rsidRPr="00EF1957">
        <w:rPr>
          <w:b/>
          <w:bCs/>
          <w:lang w:val="en-GB"/>
        </w:rPr>
        <w:t>3. Expanding Digital Health Initiatives:</w:t>
      </w:r>
    </w:p>
    <w:p w14:paraId="540CE126" w14:textId="2FEA7B76" w:rsidR="0095737E" w:rsidRPr="00EF1957" w:rsidRDefault="0095737E" w:rsidP="00D935CC">
      <w:pPr>
        <w:pStyle w:val="ListParagraph"/>
        <w:numPr>
          <w:ilvl w:val="0"/>
          <w:numId w:val="14"/>
        </w:numPr>
        <w:rPr>
          <w:lang w:val="en-GB"/>
        </w:rPr>
      </w:pPr>
      <w:r w:rsidRPr="00EF1957">
        <w:rPr>
          <w:lang w:val="en-GB"/>
        </w:rPr>
        <w:t xml:space="preserve">Telemedicine and Digital Therapeutics: </w:t>
      </w:r>
      <w:r w:rsidR="00CC2068" w:rsidRPr="00EF1957">
        <w:rPr>
          <w:lang w:val="en-GB"/>
        </w:rPr>
        <w:t>Participate in digital health technologies that may improve access to healthcare in underprivileged and rural locations, such as online medical care and virtual therapies.</w:t>
      </w:r>
    </w:p>
    <w:p w14:paraId="547C7094" w14:textId="15158D1F" w:rsidR="00D935CC" w:rsidRPr="00EF1957" w:rsidRDefault="0095737E" w:rsidP="00D935CC">
      <w:pPr>
        <w:pStyle w:val="ListParagraph"/>
        <w:numPr>
          <w:ilvl w:val="0"/>
          <w:numId w:val="14"/>
        </w:numPr>
        <w:rPr>
          <w:lang w:val="en-GB"/>
        </w:rPr>
      </w:pPr>
      <w:r w:rsidRPr="00EF1957">
        <w:rPr>
          <w:lang w:val="en-GB"/>
        </w:rPr>
        <w:t xml:space="preserve">Data Analytics for Personalized Medicine: </w:t>
      </w:r>
      <w:r w:rsidR="00D935CC" w:rsidRPr="00EF1957">
        <w:rPr>
          <w:lang w:val="en-GB"/>
        </w:rPr>
        <w:t>Apply the analysis of big data to the development of tailored medicine plans to enhance patient outcomes and treatment effectiveness</w:t>
      </w:r>
      <w:r w:rsidR="006F7DCB" w:rsidRPr="00EF1957">
        <w:rPr>
          <w:lang w:val="en-GB"/>
        </w:rPr>
        <w:t xml:space="preserve"> (Tien et al., </w:t>
      </w:r>
      <w:r w:rsidR="00AC2D0C" w:rsidRPr="00EF1957">
        <w:rPr>
          <w:lang w:val="en-GB"/>
        </w:rPr>
        <w:t>2019)</w:t>
      </w:r>
      <w:r w:rsidR="00D935CC" w:rsidRPr="00EF1957">
        <w:rPr>
          <w:lang w:val="en-GB"/>
        </w:rPr>
        <w:t>.</w:t>
      </w:r>
    </w:p>
    <w:p w14:paraId="6C02A762" w14:textId="3A11B5E9" w:rsidR="0095737E" w:rsidRPr="00EF1957" w:rsidRDefault="0095737E" w:rsidP="0095737E">
      <w:pPr>
        <w:rPr>
          <w:b/>
          <w:bCs/>
          <w:lang w:val="en-GB"/>
        </w:rPr>
      </w:pPr>
      <w:r w:rsidRPr="00EF1957">
        <w:rPr>
          <w:b/>
          <w:bCs/>
          <w:lang w:val="en-GB"/>
        </w:rPr>
        <w:t>4. Nurturing Partnerships and Alliances:</w:t>
      </w:r>
    </w:p>
    <w:p w14:paraId="3CDC4048" w14:textId="1EE0442E" w:rsidR="0095737E" w:rsidRPr="00EF1957" w:rsidRDefault="0095737E" w:rsidP="002E4C2D">
      <w:pPr>
        <w:pStyle w:val="ListParagraph"/>
        <w:numPr>
          <w:ilvl w:val="0"/>
          <w:numId w:val="15"/>
        </w:numPr>
        <w:rPr>
          <w:lang w:val="en-GB"/>
        </w:rPr>
      </w:pPr>
      <w:r w:rsidRPr="00EF1957">
        <w:rPr>
          <w:lang w:val="en-GB"/>
        </w:rPr>
        <w:t xml:space="preserve">Strategic Alliances: </w:t>
      </w:r>
      <w:r w:rsidR="00FF6629" w:rsidRPr="00EF1957">
        <w:rPr>
          <w:lang w:val="en-GB"/>
        </w:rPr>
        <w:t>To help with market entrance and growth, establish strategic partnerships with governments, healthcare providers, and local and regional pharmaceutical businesses</w:t>
      </w:r>
      <w:r w:rsidR="00695BED" w:rsidRPr="00EF1957">
        <w:rPr>
          <w:lang w:val="en-GB"/>
        </w:rPr>
        <w:t xml:space="preserve"> (Akdeniz et al., </w:t>
      </w:r>
      <w:r w:rsidR="00263551" w:rsidRPr="00EF1957">
        <w:rPr>
          <w:lang w:val="en-GB"/>
        </w:rPr>
        <w:t>2019)</w:t>
      </w:r>
      <w:r w:rsidR="00FF6629" w:rsidRPr="00EF1957">
        <w:rPr>
          <w:lang w:val="en-GB"/>
        </w:rPr>
        <w:t>.</w:t>
      </w:r>
    </w:p>
    <w:p w14:paraId="50B78EEF" w14:textId="77777777" w:rsidR="002E4C2D" w:rsidRPr="00EF1957" w:rsidRDefault="0095737E" w:rsidP="002E4C2D">
      <w:pPr>
        <w:pStyle w:val="ListParagraph"/>
        <w:numPr>
          <w:ilvl w:val="0"/>
          <w:numId w:val="15"/>
        </w:numPr>
        <w:rPr>
          <w:lang w:val="en-GB"/>
        </w:rPr>
      </w:pPr>
      <w:r w:rsidRPr="00EF1957">
        <w:rPr>
          <w:lang w:val="en-GB"/>
        </w:rPr>
        <w:lastRenderedPageBreak/>
        <w:t xml:space="preserve">Global Health Initiatives: </w:t>
      </w:r>
      <w:r w:rsidR="002E4C2D" w:rsidRPr="00EF1957">
        <w:rPr>
          <w:lang w:val="en-GB"/>
        </w:rPr>
        <w:t>Engage in collaborations and global health efforts to expand brand recognition and access new markets in established and developing countries.</w:t>
      </w:r>
    </w:p>
    <w:p w14:paraId="0BF573BD" w14:textId="2CF33F64" w:rsidR="0095737E" w:rsidRPr="00EF1957" w:rsidRDefault="0095737E" w:rsidP="0095737E">
      <w:pPr>
        <w:rPr>
          <w:b/>
          <w:bCs/>
          <w:lang w:val="en-GB"/>
        </w:rPr>
      </w:pPr>
      <w:r w:rsidRPr="00EF1957">
        <w:rPr>
          <w:b/>
          <w:bCs/>
          <w:lang w:val="en-GB"/>
        </w:rPr>
        <w:t>5. Enhancing Supply Chain Resilience:</w:t>
      </w:r>
    </w:p>
    <w:p w14:paraId="0CAAD3AC" w14:textId="77777777" w:rsidR="00832F0E" w:rsidRPr="00EF1957" w:rsidRDefault="00832F0E" w:rsidP="004D3335">
      <w:pPr>
        <w:pStyle w:val="ListParagraph"/>
        <w:numPr>
          <w:ilvl w:val="0"/>
          <w:numId w:val="16"/>
        </w:numPr>
        <w:rPr>
          <w:lang w:val="en-GB"/>
        </w:rPr>
      </w:pPr>
      <w:r w:rsidRPr="00EF1957">
        <w:rPr>
          <w:lang w:val="en-GB"/>
        </w:rPr>
        <w:t>Supply Chain Diversification: To reduce the risk of geopolitical conflicts, trade disputes, and worldwide pandemics, diversify your supply chains. This entails setting up many production facilities and obtaining raw materials from different areas.</w:t>
      </w:r>
    </w:p>
    <w:p w14:paraId="63CDA894" w14:textId="77777777" w:rsidR="004D3335" w:rsidRPr="00EF1957" w:rsidRDefault="0095737E" w:rsidP="004D3335">
      <w:pPr>
        <w:pStyle w:val="ListParagraph"/>
        <w:numPr>
          <w:ilvl w:val="0"/>
          <w:numId w:val="16"/>
        </w:numPr>
        <w:rPr>
          <w:lang w:val="en-GB"/>
        </w:rPr>
      </w:pPr>
      <w:r w:rsidRPr="00EF1957">
        <w:rPr>
          <w:lang w:val="en-GB"/>
        </w:rPr>
        <w:t xml:space="preserve">Investment in Logistics Technology: </w:t>
      </w:r>
      <w:r w:rsidR="004D3335" w:rsidRPr="00EF1957">
        <w:rPr>
          <w:lang w:val="en-GB"/>
        </w:rPr>
        <w:t>To boost productivity, save expenses, and guarantee on-time product delivery, make an investment in supply chain and advanced logistics technologies.</w:t>
      </w:r>
    </w:p>
    <w:p w14:paraId="6C70D3AE" w14:textId="2E1B2E58" w:rsidR="0095737E" w:rsidRPr="00EF1957" w:rsidRDefault="0095737E" w:rsidP="0095737E">
      <w:pPr>
        <w:rPr>
          <w:b/>
          <w:bCs/>
          <w:lang w:val="en-GB"/>
        </w:rPr>
      </w:pPr>
      <w:r w:rsidRPr="00EF1957">
        <w:rPr>
          <w:b/>
          <w:bCs/>
          <w:lang w:val="en-GB"/>
        </w:rPr>
        <w:t>6. Focusing on Sustainability and Corporate Social Responsibility (CSR):</w:t>
      </w:r>
    </w:p>
    <w:p w14:paraId="77531868" w14:textId="72EA5AE5" w:rsidR="00810E9C" w:rsidRPr="00EF1957" w:rsidRDefault="0095737E" w:rsidP="00714E62">
      <w:pPr>
        <w:pStyle w:val="ListParagraph"/>
        <w:numPr>
          <w:ilvl w:val="0"/>
          <w:numId w:val="17"/>
        </w:numPr>
        <w:rPr>
          <w:lang w:val="en-GB"/>
        </w:rPr>
      </w:pPr>
      <w:r w:rsidRPr="00EF1957">
        <w:rPr>
          <w:lang w:val="en-GB"/>
        </w:rPr>
        <w:t xml:space="preserve">Sustainable Practices: </w:t>
      </w:r>
      <w:r w:rsidR="00810E9C" w:rsidRPr="00EF1957">
        <w:rPr>
          <w:lang w:val="en-GB"/>
        </w:rPr>
        <w:t>Incorporate sustainable techniques throughout manufacturing and operational processes in order to mitigate the environmental consequences. This includes the allocation of resources towards the development and implementation of renewable energy sources, as well as the use of environmentally friendly packaging materials</w:t>
      </w:r>
      <w:r w:rsidR="006C28CF" w:rsidRPr="00EF1957">
        <w:rPr>
          <w:lang w:val="en-GB"/>
        </w:rPr>
        <w:t xml:space="preserve"> (AstraZeneca, 2023)</w:t>
      </w:r>
      <w:r w:rsidR="00810E9C" w:rsidRPr="00EF1957">
        <w:rPr>
          <w:lang w:val="en-GB"/>
        </w:rPr>
        <w:t>.</w:t>
      </w:r>
    </w:p>
    <w:p w14:paraId="6884A5EE" w14:textId="2F3DC756" w:rsidR="00032BD7" w:rsidRPr="00EF1957" w:rsidRDefault="0095737E" w:rsidP="00714E62">
      <w:pPr>
        <w:pStyle w:val="ListParagraph"/>
        <w:numPr>
          <w:ilvl w:val="0"/>
          <w:numId w:val="17"/>
        </w:numPr>
        <w:rPr>
          <w:lang w:val="en-GB"/>
        </w:rPr>
      </w:pPr>
      <w:r w:rsidRPr="00EF1957">
        <w:rPr>
          <w:lang w:val="en-GB"/>
        </w:rPr>
        <w:t xml:space="preserve">Community Engagement: </w:t>
      </w:r>
      <w:r w:rsidR="00714E62" w:rsidRPr="00EF1957">
        <w:rPr>
          <w:lang w:val="en-GB"/>
        </w:rPr>
        <w:t>his proposal aims to augment community participation in crucial markets, with a specific focus on developing economies. This will be achieved via the implementation of health education programs, community health initiatives, and philanthropic donations</w:t>
      </w:r>
      <w:r w:rsidR="00EE47A0" w:rsidRPr="00EF1957">
        <w:rPr>
          <w:lang w:val="en-GB"/>
        </w:rPr>
        <w:t xml:space="preserve"> (Buckley and Casson, 2019)</w:t>
      </w:r>
      <w:r w:rsidR="00714E62" w:rsidRPr="00EF1957">
        <w:rPr>
          <w:lang w:val="en-GB"/>
        </w:rPr>
        <w:t>.</w:t>
      </w:r>
    </w:p>
    <w:p w14:paraId="30FD979A" w14:textId="49B05BF2" w:rsidR="0095737E" w:rsidRPr="00EF1957" w:rsidRDefault="0095737E" w:rsidP="0095737E">
      <w:pPr>
        <w:rPr>
          <w:b/>
          <w:bCs/>
          <w:lang w:val="en-GB"/>
        </w:rPr>
      </w:pPr>
      <w:r w:rsidRPr="00EF1957">
        <w:rPr>
          <w:b/>
          <w:bCs/>
          <w:lang w:val="en-GB"/>
        </w:rPr>
        <w:t>7. Addressing Regulatory Compliance and Ethical Standards:</w:t>
      </w:r>
    </w:p>
    <w:p w14:paraId="0C6A2078" w14:textId="4D380608" w:rsidR="007B5A38" w:rsidRPr="00EF1957" w:rsidRDefault="0095737E" w:rsidP="00FA1828">
      <w:pPr>
        <w:pStyle w:val="ListParagraph"/>
        <w:numPr>
          <w:ilvl w:val="0"/>
          <w:numId w:val="18"/>
        </w:numPr>
        <w:rPr>
          <w:lang w:val="en-GB"/>
        </w:rPr>
      </w:pPr>
      <w:r w:rsidRPr="00EF1957">
        <w:rPr>
          <w:lang w:val="en-GB"/>
        </w:rPr>
        <w:t xml:space="preserve">Global Regulatory Strategy: </w:t>
      </w:r>
      <w:r w:rsidR="007B5A38" w:rsidRPr="00EF1957">
        <w:rPr>
          <w:lang w:val="en-GB"/>
        </w:rPr>
        <w:t>The objective is to formulate an all-encompassing global regulatory plan that proactively predicts and effectively addresses alterations in regulatory frameworks across diverse geographical areas</w:t>
      </w:r>
      <w:r w:rsidR="00BC2D14" w:rsidRPr="00EF1957">
        <w:rPr>
          <w:lang w:val="en-GB"/>
        </w:rPr>
        <w:t xml:space="preserve"> (Alon, 2020)</w:t>
      </w:r>
      <w:r w:rsidR="007B5A38" w:rsidRPr="00EF1957">
        <w:rPr>
          <w:lang w:val="en-GB"/>
        </w:rPr>
        <w:t>.</w:t>
      </w:r>
    </w:p>
    <w:p w14:paraId="106245AB" w14:textId="492C37E9" w:rsidR="00FA1828" w:rsidRPr="00EF1957" w:rsidRDefault="0095737E" w:rsidP="00FA1828">
      <w:pPr>
        <w:pStyle w:val="ListParagraph"/>
        <w:numPr>
          <w:ilvl w:val="0"/>
          <w:numId w:val="18"/>
        </w:numPr>
        <w:rPr>
          <w:lang w:val="en-GB"/>
        </w:rPr>
      </w:pPr>
      <w:r w:rsidRPr="00EF1957">
        <w:rPr>
          <w:lang w:val="en-GB"/>
        </w:rPr>
        <w:t xml:space="preserve">Ethical Standards: </w:t>
      </w:r>
      <w:r w:rsidR="00FA1828" w:rsidRPr="00EF1957">
        <w:rPr>
          <w:lang w:val="en-GB"/>
        </w:rPr>
        <w:t>Upholding reputation and trust require maintaining strong ethical standards in marketing, clinical studies, and corporate governance.</w:t>
      </w:r>
    </w:p>
    <w:p w14:paraId="358BB03F" w14:textId="251774A2" w:rsidR="0095737E" w:rsidRPr="00EF1957" w:rsidRDefault="0095737E" w:rsidP="0095737E">
      <w:pPr>
        <w:rPr>
          <w:b/>
          <w:bCs/>
          <w:lang w:val="en-GB"/>
        </w:rPr>
      </w:pPr>
      <w:r w:rsidRPr="00EF1957">
        <w:rPr>
          <w:b/>
          <w:bCs/>
          <w:lang w:val="en-GB"/>
        </w:rPr>
        <w:t>8. Investing in Talent Development and Cultural Sensitivity:</w:t>
      </w:r>
    </w:p>
    <w:p w14:paraId="01AAB73A" w14:textId="77777777" w:rsidR="002E047E" w:rsidRPr="00EF1957" w:rsidRDefault="0095737E" w:rsidP="002E047E">
      <w:pPr>
        <w:pStyle w:val="ListParagraph"/>
        <w:numPr>
          <w:ilvl w:val="0"/>
          <w:numId w:val="19"/>
        </w:numPr>
        <w:rPr>
          <w:lang w:val="en-GB"/>
        </w:rPr>
      </w:pPr>
      <w:r w:rsidRPr="00EF1957">
        <w:rPr>
          <w:lang w:val="en-GB"/>
        </w:rPr>
        <w:t xml:space="preserve">Cultural Competency Training: </w:t>
      </w:r>
      <w:r w:rsidR="002E047E" w:rsidRPr="00EF1957">
        <w:rPr>
          <w:lang w:val="en-GB"/>
        </w:rPr>
        <w:t>Employees should get training in cultural competence to boost their involvement with local markets and to better comprehend varied markets.</w:t>
      </w:r>
    </w:p>
    <w:p w14:paraId="2C66F965" w14:textId="5867BE33" w:rsidR="002E047E" w:rsidRPr="00EF1957" w:rsidRDefault="0095737E" w:rsidP="002E047E">
      <w:pPr>
        <w:pStyle w:val="ListParagraph"/>
        <w:numPr>
          <w:ilvl w:val="0"/>
          <w:numId w:val="19"/>
        </w:numPr>
        <w:rPr>
          <w:lang w:val="en-GB"/>
        </w:rPr>
      </w:pPr>
      <w:r w:rsidRPr="00EF1957">
        <w:rPr>
          <w:lang w:val="en-GB"/>
        </w:rPr>
        <w:lastRenderedPageBreak/>
        <w:t xml:space="preserve">Local Talent Utilization: </w:t>
      </w:r>
      <w:r w:rsidR="002E047E" w:rsidRPr="00EF1957">
        <w:rPr>
          <w:lang w:val="en-GB"/>
        </w:rPr>
        <w:t xml:space="preserve">To get insights into regional consumer </w:t>
      </w:r>
      <w:proofErr w:type="spellStart"/>
      <w:r w:rsidR="002E047E" w:rsidRPr="00EF1957">
        <w:rPr>
          <w:lang w:val="en-GB"/>
        </w:rPr>
        <w:t>behavior</w:t>
      </w:r>
      <w:proofErr w:type="spellEnd"/>
      <w:r w:rsidR="002E047E" w:rsidRPr="00EF1957">
        <w:rPr>
          <w:lang w:val="en-GB"/>
        </w:rPr>
        <w:t xml:space="preserve"> and market trends, make use of local talent in strategic markets</w:t>
      </w:r>
      <w:r w:rsidR="00A44297" w:rsidRPr="00EF1957">
        <w:rPr>
          <w:lang w:val="en-GB"/>
        </w:rPr>
        <w:t xml:space="preserve"> (Buckley, 2019)</w:t>
      </w:r>
      <w:r w:rsidR="002E047E" w:rsidRPr="00EF1957">
        <w:rPr>
          <w:lang w:val="en-GB"/>
        </w:rPr>
        <w:t>.</w:t>
      </w:r>
    </w:p>
    <w:p w14:paraId="60B68FF6" w14:textId="2FECD9A9" w:rsidR="0095737E" w:rsidRPr="00EF1957" w:rsidRDefault="0095737E" w:rsidP="0095737E">
      <w:pPr>
        <w:rPr>
          <w:b/>
          <w:bCs/>
          <w:lang w:val="en-GB"/>
        </w:rPr>
      </w:pPr>
      <w:r w:rsidRPr="00EF1957">
        <w:rPr>
          <w:b/>
          <w:bCs/>
          <w:lang w:val="en-GB"/>
        </w:rPr>
        <w:t>9. Monitoring Emerging Market Trends:</w:t>
      </w:r>
    </w:p>
    <w:p w14:paraId="0578058C" w14:textId="77777777" w:rsidR="00433493" w:rsidRPr="00EF1957" w:rsidRDefault="0095737E" w:rsidP="0095737E">
      <w:pPr>
        <w:rPr>
          <w:lang w:val="en-GB"/>
        </w:rPr>
      </w:pPr>
      <w:r w:rsidRPr="00EF1957">
        <w:rPr>
          <w:lang w:val="en-GB"/>
        </w:rPr>
        <w:t xml:space="preserve">Continuous Market Analysis: </w:t>
      </w:r>
      <w:r w:rsidR="00433493" w:rsidRPr="00EF1957">
        <w:rPr>
          <w:lang w:val="en-GB"/>
        </w:rPr>
        <w:t xml:space="preserve">Maintain a competitive edge in the market by routinely examining new developments, such as changes in the trends of illness, healthcare reforms, and customer </w:t>
      </w:r>
      <w:proofErr w:type="spellStart"/>
      <w:r w:rsidR="00433493" w:rsidRPr="00EF1957">
        <w:rPr>
          <w:lang w:val="en-GB"/>
        </w:rPr>
        <w:t>behavior</w:t>
      </w:r>
      <w:proofErr w:type="spellEnd"/>
      <w:r w:rsidR="00433493" w:rsidRPr="00EF1957">
        <w:rPr>
          <w:lang w:val="en-GB"/>
        </w:rPr>
        <w:t>.</w:t>
      </w:r>
    </w:p>
    <w:p w14:paraId="39FC5C04" w14:textId="77777777" w:rsidR="00247AD2" w:rsidRPr="00EF1957" w:rsidRDefault="0095737E" w:rsidP="0095737E">
      <w:pPr>
        <w:rPr>
          <w:lang w:val="en-GB"/>
        </w:rPr>
      </w:pPr>
      <w:r w:rsidRPr="00EF1957">
        <w:rPr>
          <w:lang w:val="en-GB"/>
        </w:rPr>
        <w:t xml:space="preserve">Agile Response Mechanisms: </w:t>
      </w:r>
      <w:r w:rsidR="00247AD2" w:rsidRPr="00EF1957">
        <w:rPr>
          <w:lang w:val="en-GB"/>
        </w:rPr>
        <w:t>Provide rapid reaction systems to capitalize on new possibilities and swiftly adjust to changes in the market.</w:t>
      </w:r>
    </w:p>
    <w:p w14:paraId="26DEF72D" w14:textId="6397BD16" w:rsidR="0095737E" w:rsidRPr="00EF1957" w:rsidRDefault="0095737E" w:rsidP="0095737E">
      <w:pPr>
        <w:rPr>
          <w:lang w:val="en-GB"/>
        </w:rPr>
      </w:pPr>
      <w:r w:rsidRPr="00EF1957">
        <w:rPr>
          <w:lang w:val="en-GB"/>
        </w:rPr>
        <w:t>In conclusion, AstraZeneca's future internationalization strategy should be multifaceted, combining localized innovation, strategic partnerships, digital transformation, and sustainable practices. By focusing on these areas, the company can effectively address the challenges of emerging markets and enhance its global presence and competitiveness. The key lies in remaining adaptable, responsive to market changes, and committed to delivering value to patients and healthcare systems worldwide.</w:t>
      </w:r>
    </w:p>
    <w:p w14:paraId="52BD3CC8" w14:textId="1932527B" w:rsidR="0095737E" w:rsidRPr="00EF1957" w:rsidRDefault="00B91F50" w:rsidP="000614E8">
      <w:pPr>
        <w:pStyle w:val="Heading1"/>
        <w:rPr>
          <w:lang w:val="en-GB"/>
        </w:rPr>
      </w:pPr>
      <w:bookmarkStart w:id="26" w:name="_Toc150868609"/>
      <w:r w:rsidRPr="00EF1957">
        <w:rPr>
          <w:lang w:val="en-GB"/>
        </w:rPr>
        <w:t>Conclusion</w:t>
      </w:r>
      <w:bookmarkEnd w:id="26"/>
    </w:p>
    <w:p w14:paraId="5A7E3606" w14:textId="08EC594A" w:rsidR="00F71EDE" w:rsidRPr="00EF1957" w:rsidRDefault="00B91F50" w:rsidP="00F71EDE">
      <w:pPr>
        <w:rPr>
          <w:lang w:val="en-GB"/>
        </w:rPr>
      </w:pPr>
      <w:r w:rsidRPr="00EF1957">
        <w:rPr>
          <w:lang w:val="en-GB"/>
        </w:rPr>
        <w:t xml:space="preserve">From the </w:t>
      </w:r>
      <w:r w:rsidR="000614E8" w:rsidRPr="00EF1957">
        <w:rPr>
          <w:lang w:val="en-GB"/>
        </w:rPr>
        <w:t>above-mentioned</w:t>
      </w:r>
      <w:r w:rsidRPr="00EF1957">
        <w:rPr>
          <w:lang w:val="en-GB"/>
        </w:rPr>
        <w:t xml:space="preserve"> report, it is concluded </w:t>
      </w:r>
      <w:r w:rsidR="000614E8" w:rsidRPr="00EF1957">
        <w:rPr>
          <w:lang w:val="en-GB"/>
        </w:rPr>
        <w:t>that AstraZeneca’s</w:t>
      </w:r>
      <w:r w:rsidRPr="00EF1957">
        <w:rPr>
          <w:lang w:val="en-GB"/>
        </w:rPr>
        <w:t xml:space="preserve"> journey in the pharmaceutical industry reveals a nuanced and evolving approach to internationalization, adeptly balancing global objectives with local market sensitivities. The analysis of its background underscores a history of strategic mergers and innovations, particularly in the Respiratory &amp; Immunology sectors, with a keen focus on adapting to the diverse healthcare landscapes of the UK and India. The examination of internationalization strategies highlights AstraZeneca's shift from an initial ethnocentric approach to a more balanced, geocentric strategy, integrating polycentric elements tailored to specific market needs. This transition is significantly influenced by a spectrum of PESTLE factors, ranging from regulatory landscapes to economic conditions and technological advancements. These external factors not only shape AstraZeneca's strategic decisions but also necessitate a high degree of adaptability and responsiveness in its operations. </w:t>
      </w:r>
      <w:r w:rsidR="00F71EDE" w:rsidRPr="00EF1957">
        <w:rPr>
          <w:lang w:val="en-GB"/>
        </w:rPr>
        <w:t>The fact that AstraZeneca was able to include these elements into its plan shows how adaptable and dedicated the company is to solving a variety of global health issues. The firm is in a good position to handle the intricacies of the global pharmaceutical industry because to its strategic emphasis on localized R&amp;D, market-</w:t>
      </w:r>
      <w:r w:rsidR="00F71EDE" w:rsidRPr="00EF1957">
        <w:rPr>
          <w:lang w:val="en-GB"/>
        </w:rPr>
        <w:lastRenderedPageBreak/>
        <w:t>specific tactics, and digital health efforts. Moreover, its focus on ethical and sustainable practices mirrors a larger industry movement toward accountable and patient-</w:t>
      </w:r>
      <w:proofErr w:type="spellStart"/>
      <w:r w:rsidR="00F71EDE" w:rsidRPr="00EF1957">
        <w:rPr>
          <w:lang w:val="en-GB"/>
        </w:rPr>
        <w:t>centered</w:t>
      </w:r>
      <w:proofErr w:type="spellEnd"/>
      <w:r w:rsidR="00F71EDE" w:rsidRPr="00EF1957">
        <w:rPr>
          <w:lang w:val="en-GB"/>
        </w:rPr>
        <w:t xml:space="preserve"> healthcare.</w:t>
      </w:r>
    </w:p>
    <w:p w14:paraId="11E8F9F6" w14:textId="77777777" w:rsidR="00D200D3" w:rsidRPr="00EF1957" w:rsidRDefault="00F71EDE" w:rsidP="00D200D3">
      <w:pPr>
        <w:rPr>
          <w:lang w:val="en-GB"/>
        </w:rPr>
      </w:pPr>
      <w:r w:rsidRPr="00EF1957">
        <w:rPr>
          <w:lang w:val="en-GB"/>
        </w:rPr>
        <w:t>In the future, AstraZeneca's capacity to be creative, flexible, and sensitive to the changing global healthcare landscape will determine how successful it is in foreign markets. Its internationalization strategy provides a paradigm for striking a balance between local market adaption and global integration, an increasingly important tactic in the linked world of global healthcare. AstraZeneca's path provides insightful information on the strategic subtleties of internationalization in the pharmaceutical sector as it continues to grow and change on a worldwide scale.</w:t>
      </w:r>
    </w:p>
    <w:p w14:paraId="2CE4D170" w14:textId="77777777" w:rsidR="00D200D3" w:rsidRPr="00EF1957" w:rsidRDefault="00D200D3">
      <w:pPr>
        <w:spacing w:line="259" w:lineRule="auto"/>
        <w:jc w:val="left"/>
        <w:rPr>
          <w:lang w:val="en-GB"/>
        </w:rPr>
      </w:pPr>
      <w:r w:rsidRPr="00EF1957">
        <w:rPr>
          <w:lang w:val="en-GB"/>
        </w:rPr>
        <w:br w:type="page"/>
      </w:r>
    </w:p>
    <w:p w14:paraId="0A0A2E45" w14:textId="31C9FC67" w:rsidR="00FB55C4" w:rsidRPr="00EF1957" w:rsidRDefault="007C71E5" w:rsidP="00D30608">
      <w:pPr>
        <w:pStyle w:val="Heading1"/>
        <w:rPr>
          <w:lang w:val="en-GB"/>
        </w:rPr>
      </w:pPr>
      <w:bookmarkStart w:id="27" w:name="_Toc150868610"/>
      <w:r w:rsidRPr="00EF1957">
        <w:rPr>
          <w:lang w:val="en-GB"/>
        </w:rPr>
        <w:lastRenderedPageBreak/>
        <w:t>References</w:t>
      </w:r>
      <w:bookmarkEnd w:id="27"/>
    </w:p>
    <w:p w14:paraId="22FBF8E9" w14:textId="77777777" w:rsidR="00D92501" w:rsidRPr="00EF1957" w:rsidRDefault="00D92501" w:rsidP="00D92501">
      <w:pPr>
        <w:rPr>
          <w:lang w:val="en-GB"/>
        </w:rPr>
      </w:pPr>
      <w:r w:rsidRPr="00EF1957">
        <w:rPr>
          <w:lang w:val="en-GB"/>
        </w:rPr>
        <w:t xml:space="preserve">Akdeniz, M.B., Zhang, C. and </w:t>
      </w:r>
      <w:proofErr w:type="spellStart"/>
      <w:r w:rsidRPr="00EF1957">
        <w:rPr>
          <w:lang w:val="en-GB"/>
        </w:rPr>
        <w:t>Cavusgil</w:t>
      </w:r>
      <w:proofErr w:type="spellEnd"/>
      <w:r w:rsidRPr="00EF1957">
        <w:rPr>
          <w:lang w:val="en-GB"/>
        </w:rPr>
        <w:t>, S.T., 2019. Innovative pedagogical approaches in teaching international business. </w:t>
      </w:r>
      <w:r w:rsidRPr="00EF1957">
        <w:rPr>
          <w:i/>
          <w:iCs/>
          <w:lang w:val="en-GB"/>
        </w:rPr>
        <w:t>Journal of Teaching in International Business</w:t>
      </w:r>
      <w:r w:rsidRPr="00EF1957">
        <w:rPr>
          <w:lang w:val="en-GB"/>
        </w:rPr>
        <w:t>, </w:t>
      </w:r>
      <w:r w:rsidRPr="00EF1957">
        <w:rPr>
          <w:i/>
          <w:iCs/>
          <w:lang w:val="en-GB"/>
        </w:rPr>
        <w:t>30</w:t>
      </w:r>
      <w:r w:rsidRPr="00EF1957">
        <w:rPr>
          <w:lang w:val="en-GB"/>
        </w:rPr>
        <w:t>(2), pp.96-101.</w:t>
      </w:r>
    </w:p>
    <w:p w14:paraId="3788CAE0" w14:textId="77777777" w:rsidR="00D92501" w:rsidRPr="00EF1957" w:rsidRDefault="00D92501" w:rsidP="00D92501">
      <w:pPr>
        <w:rPr>
          <w:lang w:val="en-GB"/>
        </w:rPr>
      </w:pPr>
      <w:r w:rsidRPr="00EF1957">
        <w:rPr>
          <w:lang w:val="en-GB"/>
        </w:rPr>
        <w:t>Alon, I., 2020. COVID-19 and international business: A viewpoint. </w:t>
      </w:r>
      <w:r w:rsidRPr="00EF1957">
        <w:rPr>
          <w:i/>
          <w:iCs/>
          <w:lang w:val="en-GB"/>
        </w:rPr>
        <w:t>FIIB Business Review</w:t>
      </w:r>
      <w:r w:rsidRPr="00EF1957">
        <w:rPr>
          <w:lang w:val="en-GB"/>
        </w:rPr>
        <w:t>, </w:t>
      </w:r>
      <w:r w:rsidRPr="00EF1957">
        <w:rPr>
          <w:i/>
          <w:iCs/>
          <w:lang w:val="en-GB"/>
        </w:rPr>
        <w:t>9</w:t>
      </w:r>
      <w:r w:rsidRPr="00EF1957">
        <w:rPr>
          <w:lang w:val="en-GB"/>
        </w:rPr>
        <w:t>(2), pp.75-77.</w:t>
      </w:r>
    </w:p>
    <w:p w14:paraId="15DBD11D" w14:textId="77777777" w:rsidR="00D92501" w:rsidRPr="00EF1957" w:rsidRDefault="00D92501" w:rsidP="00D92501">
      <w:pPr>
        <w:rPr>
          <w:lang w:val="en-GB"/>
        </w:rPr>
      </w:pPr>
      <w:r w:rsidRPr="00EF1957">
        <w:rPr>
          <w:lang w:val="en-GB"/>
        </w:rPr>
        <w:t>Buckley, P. and Casson, M., 2019. Decision-making in international business. </w:t>
      </w:r>
      <w:r w:rsidRPr="00EF1957">
        <w:rPr>
          <w:i/>
          <w:iCs/>
          <w:lang w:val="en-GB"/>
        </w:rPr>
        <w:t>Journal of International Business Studies</w:t>
      </w:r>
      <w:r w:rsidRPr="00EF1957">
        <w:rPr>
          <w:lang w:val="en-GB"/>
        </w:rPr>
        <w:t>, </w:t>
      </w:r>
      <w:r w:rsidRPr="00EF1957">
        <w:rPr>
          <w:i/>
          <w:iCs/>
          <w:lang w:val="en-GB"/>
        </w:rPr>
        <w:t>50</w:t>
      </w:r>
      <w:r w:rsidRPr="00EF1957">
        <w:rPr>
          <w:lang w:val="en-GB"/>
        </w:rPr>
        <w:t>, pp.1424-1439.</w:t>
      </w:r>
    </w:p>
    <w:p w14:paraId="2CF201EE" w14:textId="77777777" w:rsidR="00D92501" w:rsidRPr="00EF1957" w:rsidRDefault="00D92501" w:rsidP="00D92501">
      <w:pPr>
        <w:rPr>
          <w:lang w:val="en-GB"/>
        </w:rPr>
      </w:pPr>
      <w:r w:rsidRPr="00EF1957">
        <w:rPr>
          <w:lang w:val="en-GB"/>
        </w:rPr>
        <w:t>Buckley, P.J., 2019. The role of international business theory in an uncertain world. </w:t>
      </w:r>
      <w:r w:rsidRPr="00EF1957">
        <w:rPr>
          <w:i/>
          <w:iCs/>
          <w:lang w:val="en-GB"/>
        </w:rPr>
        <w:t>International business in a VUCA world: The changing role of states and firms</w:t>
      </w:r>
      <w:r w:rsidRPr="00EF1957">
        <w:rPr>
          <w:lang w:val="en-GB"/>
        </w:rPr>
        <w:t>, pp.23-29.</w:t>
      </w:r>
    </w:p>
    <w:p w14:paraId="5B40CA5F" w14:textId="77777777" w:rsidR="00D92501" w:rsidRPr="00EF1957" w:rsidRDefault="00D92501" w:rsidP="00D92501">
      <w:pPr>
        <w:rPr>
          <w:lang w:val="en-GB"/>
        </w:rPr>
      </w:pPr>
      <w:proofErr w:type="spellStart"/>
      <w:r w:rsidRPr="00EF1957">
        <w:rPr>
          <w:lang w:val="en-GB"/>
        </w:rPr>
        <w:t>Cherunilam</w:t>
      </w:r>
      <w:proofErr w:type="spellEnd"/>
      <w:r w:rsidRPr="00EF1957">
        <w:rPr>
          <w:lang w:val="en-GB"/>
        </w:rPr>
        <w:t>, F., 2020. </w:t>
      </w:r>
      <w:r w:rsidRPr="00EF1957">
        <w:rPr>
          <w:i/>
          <w:iCs/>
          <w:lang w:val="en-GB"/>
        </w:rPr>
        <w:t>International business</w:t>
      </w:r>
      <w:r w:rsidRPr="00EF1957">
        <w:rPr>
          <w:lang w:val="en-GB"/>
        </w:rPr>
        <w:t xml:space="preserve">. PHI Learning </w:t>
      </w:r>
      <w:proofErr w:type="spellStart"/>
      <w:r w:rsidRPr="00EF1957">
        <w:rPr>
          <w:lang w:val="en-GB"/>
        </w:rPr>
        <w:t>Pvt.</w:t>
      </w:r>
      <w:proofErr w:type="spellEnd"/>
      <w:r w:rsidRPr="00EF1957">
        <w:rPr>
          <w:lang w:val="en-GB"/>
        </w:rPr>
        <w:t xml:space="preserve"> </w:t>
      </w:r>
      <w:proofErr w:type="gramStart"/>
      <w:r w:rsidRPr="00EF1957">
        <w:rPr>
          <w:lang w:val="en-GB"/>
        </w:rPr>
        <w:t>Ltd..</w:t>
      </w:r>
      <w:proofErr w:type="gramEnd"/>
    </w:p>
    <w:p w14:paraId="5FA08037" w14:textId="77777777" w:rsidR="00D92501" w:rsidRPr="00EF1957" w:rsidRDefault="00D92501" w:rsidP="00D92501">
      <w:pPr>
        <w:rPr>
          <w:lang w:val="en-GB"/>
        </w:rPr>
      </w:pPr>
      <w:r w:rsidRPr="00EF1957">
        <w:rPr>
          <w:lang w:val="en-GB"/>
        </w:rPr>
        <w:t>Collinson, S., Narula, R., Qamar, A. and Rugman, A.M., 2020. </w:t>
      </w:r>
      <w:r w:rsidRPr="00EF1957">
        <w:rPr>
          <w:i/>
          <w:iCs/>
          <w:lang w:val="en-GB"/>
        </w:rPr>
        <w:t>International business</w:t>
      </w:r>
      <w:r w:rsidRPr="00EF1957">
        <w:rPr>
          <w:lang w:val="en-GB"/>
        </w:rPr>
        <w:t>. Pearson UK.</w:t>
      </w:r>
    </w:p>
    <w:p w14:paraId="2B63B8CA" w14:textId="77777777" w:rsidR="00D92501" w:rsidRPr="00EF1957" w:rsidRDefault="00D92501" w:rsidP="00D92501">
      <w:pPr>
        <w:rPr>
          <w:lang w:val="en-GB"/>
        </w:rPr>
      </w:pPr>
      <w:r w:rsidRPr="00EF1957">
        <w:rPr>
          <w:lang w:val="en-GB"/>
        </w:rPr>
        <w:t>Curran, L., Eckhardt, J. and Lee, J., 2021. The trade policy response to COVID-19 and its implications for international business. </w:t>
      </w:r>
      <w:r w:rsidRPr="00EF1957">
        <w:rPr>
          <w:i/>
          <w:iCs/>
          <w:lang w:val="en-GB"/>
        </w:rPr>
        <w:t>Critical perspectives on international business</w:t>
      </w:r>
      <w:r w:rsidRPr="00EF1957">
        <w:rPr>
          <w:lang w:val="en-GB"/>
        </w:rPr>
        <w:t>, </w:t>
      </w:r>
      <w:r w:rsidRPr="00EF1957">
        <w:rPr>
          <w:i/>
          <w:iCs/>
          <w:lang w:val="en-GB"/>
        </w:rPr>
        <w:t>17</w:t>
      </w:r>
      <w:r w:rsidRPr="00EF1957">
        <w:rPr>
          <w:lang w:val="en-GB"/>
        </w:rPr>
        <w:t>(2), pp.252-320.</w:t>
      </w:r>
    </w:p>
    <w:p w14:paraId="2BB4EC0F" w14:textId="77777777" w:rsidR="00D92501" w:rsidRPr="00EF1957" w:rsidRDefault="00D92501" w:rsidP="00D92501">
      <w:pPr>
        <w:rPr>
          <w:lang w:val="en-GB"/>
        </w:rPr>
      </w:pPr>
      <w:r w:rsidRPr="00EF1957">
        <w:rPr>
          <w:lang w:val="en-GB"/>
        </w:rPr>
        <w:t xml:space="preserve">Doh, J., </w:t>
      </w:r>
      <w:proofErr w:type="spellStart"/>
      <w:r w:rsidRPr="00EF1957">
        <w:rPr>
          <w:lang w:val="en-GB"/>
        </w:rPr>
        <w:t>Budhwar</w:t>
      </w:r>
      <w:proofErr w:type="spellEnd"/>
      <w:r w:rsidRPr="00EF1957">
        <w:rPr>
          <w:lang w:val="en-GB"/>
        </w:rPr>
        <w:t>, P. and Wood, G., 2021. Long-term energy transitions and international business: Concepts, theory, methods, and a research agenda. </w:t>
      </w:r>
      <w:r w:rsidRPr="00EF1957">
        <w:rPr>
          <w:i/>
          <w:iCs/>
          <w:lang w:val="en-GB"/>
        </w:rPr>
        <w:t>Journal of International Business Studies</w:t>
      </w:r>
      <w:r w:rsidRPr="00EF1957">
        <w:rPr>
          <w:lang w:val="en-GB"/>
        </w:rPr>
        <w:t>, </w:t>
      </w:r>
      <w:r w:rsidRPr="00EF1957">
        <w:rPr>
          <w:i/>
          <w:iCs/>
          <w:lang w:val="en-GB"/>
        </w:rPr>
        <w:t>52</w:t>
      </w:r>
      <w:r w:rsidRPr="00EF1957">
        <w:rPr>
          <w:lang w:val="en-GB"/>
        </w:rPr>
        <w:t>, pp.951-970.</w:t>
      </w:r>
    </w:p>
    <w:p w14:paraId="56D0CAA6" w14:textId="77777777" w:rsidR="00D92501" w:rsidRPr="00EF1957" w:rsidRDefault="00D92501" w:rsidP="00D92501">
      <w:pPr>
        <w:rPr>
          <w:lang w:val="en-GB"/>
        </w:rPr>
      </w:pPr>
      <w:r w:rsidRPr="00EF1957">
        <w:rPr>
          <w:lang w:val="en-GB"/>
        </w:rPr>
        <w:t>Fatehi, K. and Choi, J., 2019. </w:t>
      </w:r>
      <w:r w:rsidRPr="00EF1957">
        <w:rPr>
          <w:i/>
          <w:iCs/>
          <w:lang w:val="en-GB"/>
        </w:rPr>
        <w:t>International business management</w:t>
      </w:r>
      <w:r w:rsidRPr="00EF1957">
        <w:rPr>
          <w:lang w:val="en-GB"/>
        </w:rPr>
        <w:t>. Springer.</w:t>
      </w:r>
    </w:p>
    <w:p w14:paraId="22FB1BEC" w14:textId="77777777" w:rsidR="00D92501" w:rsidRPr="00EF1957" w:rsidRDefault="00D92501" w:rsidP="00D92501">
      <w:pPr>
        <w:rPr>
          <w:lang w:val="en-GB"/>
        </w:rPr>
      </w:pPr>
      <w:r w:rsidRPr="00EF1957">
        <w:rPr>
          <w:lang w:val="en-GB"/>
        </w:rPr>
        <w:t>Ghauri, P., Strange, R. and Cooke, F.L., 2021. Research on international business: The new realities. </w:t>
      </w:r>
      <w:r w:rsidRPr="00EF1957">
        <w:rPr>
          <w:i/>
          <w:iCs/>
          <w:lang w:val="en-GB"/>
        </w:rPr>
        <w:t>International Business Review</w:t>
      </w:r>
      <w:r w:rsidRPr="00EF1957">
        <w:rPr>
          <w:lang w:val="en-GB"/>
        </w:rPr>
        <w:t>, </w:t>
      </w:r>
      <w:r w:rsidRPr="00EF1957">
        <w:rPr>
          <w:i/>
          <w:iCs/>
          <w:lang w:val="en-GB"/>
        </w:rPr>
        <w:t>30</w:t>
      </w:r>
      <w:r w:rsidRPr="00EF1957">
        <w:rPr>
          <w:lang w:val="en-GB"/>
        </w:rPr>
        <w:t>(2), p.101794.</w:t>
      </w:r>
    </w:p>
    <w:p w14:paraId="166AE981" w14:textId="77777777" w:rsidR="00D92501" w:rsidRPr="00EF1957" w:rsidRDefault="00D92501" w:rsidP="00D92501">
      <w:pPr>
        <w:rPr>
          <w:lang w:val="en-GB"/>
        </w:rPr>
      </w:pPr>
      <w:r w:rsidRPr="00EF1957">
        <w:rPr>
          <w:lang w:val="en-GB"/>
        </w:rPr>
        <w:t xml:space="preserve">Kotler, P., </w:t>
      </w:r>
      <w:proofErr w:type="spellStart"/>
      <w:r w:rsidRPr="00EF1957">
        <w:rPr>
          <w:lang w:val="en-GB"/>
        </w:rPr>
        <w:t>Manrai</w:t>
      </w:r>
      <w:proofErr w:type="spellEnd"/>
      <w:r w:rsidRPr="00EF1957">
        <w:rPr>
          <w:lang w:val="en-GB"/>
        </w:rPr>
        <w:t xml:space="preserve">, L.A., Lascu, D.N. and </w:t>
      </w:r>
      <w:proofErr w:type="spellStart"/>
      <w:r w:rsidRPr="00EF1957">
        <w:rPr>
          <w:lang w:val="en-GB"/>
        </w:rPr>
        <w:t>Manrai</w:t>
      </w:r>
      <w:proofErr w:type="spellEnd"/>
      <w:r w:rsidRPr="00EF1957">
        <w:rPr>
          <w:lang w:val="en-GB"/>
        </w:rPr>
        <w:t>, A.K., 2019. Influence of country and company characteristics on international business decisions: A review, conceptual model, and propositions. </w:t>
      </w:r>
      <w:r w:rsidRPr="00EF1957">
        <w:rPr>
          <w:i/>
          <w:iCs/>
          <w:lang w:val="en-GB"/>
        </w:rPr>
        <w:t>International Business Review</w:t>
      </w:r>
      <w:r w:rsidRPr="00EF1957">
        <w:rPr>
          <w:lang w:val="en-GB"/>
        </w:rPr>
        <w:t>, </w:t>
      </w:r>
      <w:r w:rsidRPr="00EF1957">
        <w:rPr>
          <w:i/>
          <w:iCs/>
          <w:lang w:val="en-GB"/>
        </w:rPr>
        <w:t>28</w:t>
      </w:r>
      <w:r w:rsidRPr="00EF1957">
        <w:rPr>
          <w:lang w:val="en-GB"/>
        </w:rPr>
        <w:t>(3), pp.482-498.</w:t>
      </w:r>
    </w:p>
    <w:p w14:paraId="1E8CB941" w14:textId="77777777" w:rsidR="00D92501" w:rsidRPr="00EF1957" w:rsidRDefault="00D92501" w:rsidP="00D92501">
      <w:pPr>
        <w:rPr>
          <w:lang w:val="en-GB"/>
        </w:rPr>
      </w:pPr>
      <w:r w:rsidRPr="00EF1957">
        <w:rPr>
          <w:lang w:val="en-GB"/>
        </w:rPr>
        <w:t>Li, J., Ding, H., Hu, Y. and Wan, G., 2021. Dealing with dynamic endogeneity in international business research. </w:t>
      </w:r>
      <w:r w:rsidRPr="00EF1957">
        <w:rPr>
          <w:i/>
          <w:iCs/>
          <w:lang w:val="en-GB"/>
        </w:rPr>
        <w:t>Journal of International Business Studies</w:t>
      </w:r>
      <w:r w:rsidRPr="00EF1957">
        <w:rPr>
          <w:lang w:val="en-GB"/>
        </w:rPr>
        <w:t>, </w:t>
      </w:r>
      <w:r w:rsidRPr="00EF1957">
        <w:rPr>
          <w:i/>
          <w:iCs/>
          <w:lang w:val="en-GB"/>
        </w:rPr>
        <w:t>52</w:t>
      </w:r>
      <w:r w:rsidRPr="00EF1957">
        <w:rPr>
          <w:lang w:val="en-GB"/>
        </w:rPr>
        <w:t>, pp.339-362.</w:t>
      </w:r>
    </w:p>
    <w:p w14:paraId="17ABBFB8" w14:textId="77777777" w:rsidR="00D92501" w:rsidRPr="00EF1957" w:rsidRDefault="00D92501" w:rsidP="00D92501">
      <w:pPr>
        <w:rPr>
          <w:lang w:val="en-GB"/>
        </w:rPr>
      </w:pPr>
      <w:proofErr w:type="spellStart"/>
      <w:r w:rsidRPr="00EF1957">
        <w:rPr>
          <w:lang w:val="en-GB"/>
        </w:rPr>
        <w:t>Shenkar</w:t>
      </w:r>
      <w:proofErr w:type="spellEnd"/>
      <w:r w:rsidRPr="00EF1957">
        <w:rPr>
          <w:lang w:val="en-GB"/>
        </w:rPr>
        <w:t>, O., Luo, Y. and Chi, T., 2021. </w:t>
      </w:r>
      <w:r w:rsidRPr="00EF1957">
        <w:rPr>
          <w:i/>
          <w:iCs/>
          <w:lang w:val="en-GB"/>
        </w:rPr>
        <w:t>International business</w:t>
      </w:r>
      <w:r w:rsidRPr="00EF1957">
        <w:rPr>
          <w:lang w:val="en-GB"/>
        </w:rPr>
        <w:t>. Routledge.</w:t>
      </w:r>
    </w:p>
    <w:p w14:paraId="32E6A5CD" w14:textId="77777777" w:rsidR="00D92501" w:rsidRPr="00EF1957" w:rsidRDefault="00D92501" w:rsidP="00D92501">
      <w:pPr>
        <w:rPr>
          <w:lang w:val="en-GB"/>
        </w:rPr>
      </w:pPr>
      <w:proofErr w:type="spellStart"/>
      <w:r w:rsidRPr="00EF1957">
        <w:rPr>
          <w:lang w:val="en-GB"/>
        </w:rPr>
        <w:lastRenderedPageBreak/>
        <w:t>Sniazhko</w:t>
      </w:r>
      <w:proofErr w:type="spellEnd"/>
      <w:r w:rsidRPr="00EF1957">
        <w:rPr>
          <w:lang w:val="en-GB"/>
        </w:rPr>
        <w:t>, S., 2019. Uncertainty in decision-making: A review of the international business literature. </w:t>
      </w:r>
      <w:r w:rsidRPr="00EF1957">
        <w:rPr>
          <w:i/>
          <w:iCs/>
          <w:lang w:val="en-GB"/>
        </w:rPr>
        <w:t>Cogent Business &amp; Management</w:t>
      </w:r>
      <w:r w:rsidRPr="00EF1957">
        <w:rPr>
          <w:lang w:val="en-GB"/>
        </w:rPr>
        <w:t>, </w:t>
      </w:r>
      <w:r w:rsidRPr="00EF1957">
        <w:rPr>
          <w:i/>
          <w:iCs/>
          <w:lang w:val="en-GB"/>
        </w:rPr>
        <w:t>6</w:t>
      </w:r>
      <w:r w:rsidRPr="00EF1957">
        <w:rPr>
          <w:lang w:val="en-GB"/>
        </w:rPr>
        <w:t>(1), p.1650692.</w:t>
      </w:r>
    </w:p>
    <w:p w14:paraId="5573668A" w14:textId="77777777" w:rsidR="00D92501" w:rsidRPr="00EF1957" w:rsidRDefault="00D92501" w:rsidP="00D92501">
      <w:pPr>
        <w:rPr>
          <w:lang w:val="en-GB"/>
        </w:rPr>
      </w:pPr>
      <w:proofErr w:type="spellStart"/>
      <w:r w:rsidRPr="00EF1957">
        <w:rPr>
          <w:lang w:val="en-GB"/>
        </w:rPr>
        <w:t>Szkudlarek</w:t>
      </w:r>
      <w:proofErr w:type="spellEnd"/>
      <w:r w:rsidRPr="00EF1957">
        <w:rPr>
          <w:lang w:val="en-GB"/>
        </w:rPr>
        <w:t xml:space="preserve">, B., Osland, J.S., </w:t>
      </w:r>
      <w:proofErr w:type="spellStart"/>
      <w:r w:rsidRPr="00EF1957">
        <w:rPr>
          <w:lang w:val="en-GB"/>
        </w:rPr>
        <w:t>Nardon</w:t>
      </w:r>
      <w:proofErr w:type="spellEnd"/>
      <w:r w:rsidRPr="00EF1957">
        <w:rPr>
          <w:lang w:val="en-GB"/>
        </w:rPr>
        <w:t>, L. and Zander, L., 2020. Communication and culture in international business–Moving the field forward. </w:t>
      </w:r>
      <w:r w:rsidRPr="00EF1957">
        <w:rPr>
          <w:i/>
          <w:iCs/>
          <w:lang w:val="en-GB"/>
        </w:rPr>
        <w:t>Journal of World Business</w:t>
      </w:r>
      <w:r w:rsidRPr="00EF1957">
        <w:rPr>
          <w:lang w:val="en-GB"/>
        </w:rPr>
        <w:t>, </w:t>
      </w:r>
      <w:r w:rsidRPr="00EF1957">
        <w:rPr>
          <w:i/>
          <w:iCs/>
          <w:lang w:val="en-GB"/>
        </w:rPr>
        <w:t>55</w:t>
      </w:r>
      <w:r w:rsidRPr="00EF1957">
        <w:rPr>
          <w:lang w:val="en-GB"/>
        </w:rPr>
        <w:t>(6), p.101126.</w:t>
      </w:r>
    </w:p>
    <w:p w14:paraId="47319765" w14:textId="77777777" w:rsidR="00D92501" w:rsidRPr="00EF1957" w:rsidRDefault="00D92501" w:rsidP="00D92501">
      <w:pPr>
        <w:rPr>
          <w:lang w:val="en-GB"/>
        </w:rPr>
      </w:pPr>
      <w:r w:rsidRPr="00EF1957">
        <w:rPr>
          <w:lang w:val="en-GB"/>
        </w:rPr>
        <w:t>Tien, N.H., Phu, P.P. and Chi, D.T.P., 2019. The role of international marketing in international business strategy. </w:t>
      </w:r>
      <w:r w:rsidRPr="00EF1957">
        <w:rPr>
          <w:i/>
          <w:iCs/>
          <w:lang w:val="en-GB"/>
        </w:rPr>
        <w:t>International journal of research in marketing management and sales</w:t>
      </w:r>
      <w:r w:rsidRPr="00EF1957">
        <w:rPr>
          <w:lang w:val="en-GB"/>
        </w:rPr>
        <w:t>, </w:t>
      </w:r>
      <w:r w:rsidRPr="00EF1957">
        <w:rPr>
          <w:i/>
          <w:iCs/>
          <w:lang w:val="en-GB"/>
        </w:rPr>
        <w:t>1</w:t>
      </w:r>
      <w:r w:rsidRPr="00EF1957">
        <w:rPr>
          <w:lang w:val="en-GB"/>
        </w:rPr>
        <w:t>(2), pp.134-138.</w:t>
      </w:r>
    </w:p>
    <w:p w14:paraId="5489E0AC" w14:textId="77777777" w:rsidR="00D92501" w:rsidRPr="00EF1957" w:rsidRDefault="00D92501" w:rsidP="00D92501">
      <w:pPr>
        <w:rPr>
          <w:lang w:val="en-GB"/>
        </w:rPr>
      </w:pPr>
      <w:r w:rsidRPr="00EF1957">
        <w:rPr>
          <w:lang w:val="en-GB"/>
        </w:rPr>
        <w:t>Wang, S.L., Gu, Q., Von Glinow, M.A. and Hirsch, P., 2020. Cultural industries in international business research: Progress and prospect. </w:t>
      </w:r>
      <w:r w:rsidRPr="00EF1957">
        <w:rPr>
          <w:i/>
          <w:iCs/>
          <w:lang w:val="en-GB"/>
        </w:rPr>
        <w:t>Journal of International Business Studies</w:t>
      </w:r>
      <w:r w:rsidRPr="00EF1957">
        <w:rPr>
          <w:lang w:val="en-GB"/>
        </w:rPr>
        <w:t>, </w:t>
      </w:r>
      <w:r w:rsidRPr="00EF1957">
        <w:rPr>
          <w:i/>
          <w:iCs/>
          <w:lang w:val="en-GB"/>
        </w:rPr>
        <w:t>51</w:t>
      </w:r>
      <w:r w:rsidRPr="00EF1957">
        <w:rPr>
          <w:lang w:val="en-GB"/>
        </w:rPr>
        <w:t>, pp.665-692.</w:t>
      </w:r>
    </w:p>
    <w:p w14:paraId="487CFE4D" w14:textId="77777777" w:rsidR="00D92501" w:rsidRPr="00EF1957" w:rsidRDefault="00D92501" w:rsidP="00D92501">
      <w:pPr>
        <w:rPr>
          <w:lang w:val="en-GB"/>
        </w:rPr>
      </w:pPr>
      <w:r w:rsidRPr="00EF1957">
        <w:rPr>
          <w:lang w:val="en-GB"/>
        </w:rPr>
        <w:t>Wettstein, F., Giuliani, E., Santangelo, G.D. and Stahl, G.K., 2019. International business and human rights: A research agenda. </w:t>
      </w:r>
      <w:r w:rsidRPr="00EF1957">
        <w:rPr>
          <w:i/>
          <w:iCs/>
          <w:lang w:val="en-GB"/>
        </w:rPr>
        <w:t>Journal of World Business</w:t>
      </w:r>
      <w:r w:rsidRPr="00EF1957">
        <w:rPr>
          <w:lang w:val="en-GB"/>
        </w:rPr>
        <w:t>, </w:t>
      </w:r>
      <w:r w:rsidRPr="00EF1957">
        <w:rPr>
          <w:i/>
          <w:iCs/>
          <w:lang w:val="en-GB"/>
        </w:rPr>
        <w:t>54</w:t>
      </w:r>
      <w:r w:rsidRPr="00EF1957">
        <w:rPr>
          <w:lang w:val="en-GB"/>
        </w:rPr>
        <w:t>(1), pp.54-65.</w:t>
      </w:r>
    </w:p>
    <w:p w14:paraId="7E34A550" w14:textId="77777777" w:rsidR="00D92501" w:rsidRPr="00EF1957" w:rsidRDefault="00D92501" w:rsidP="00D92501">
      <w:pPr>
        <w:rPr>
          <w:lang w:val="en-GB"/>
        </w:rPr>
      </w:pPr>
      <w:r w:rsidRPr="00EF1957">
        <w:rPr>
          <w:lang w:val="en-GB"/>
        </w:rPr>
        <w:t>Wild, J.J. and Wild, K.L., 2019. </w:t>
      </w:r>
      <w:r w:rsidRPr="00EF1957">
        <w:rPr>
          <w:i/>
          <w:iCs/>
          <w:lang w:val="en-GB"/>
        </w:rPr>
        <w:t>International business: The challenges of globalization</w:t>
      </w:r>
      <w:r w:rsidRPr="00EF1957">
        <w:rPr>
          <w:lang w:val="en-GB"/>
        </w:rPr>
        <w:t>. Pearson.</w:t>
      </w:r>
    </w:p>
    <w:p w14:paraId="3113E98C" w14:textId="77777777" w:rsidR="00D55392" w:rsidRPr="00EF1957" w:rsidRDefault="00D92501" w:rsidP="00D55392">
      <w:pPr>
        <w:rPr>
          <w:lang w:val="en-GB"/>
        </w:rPr>
      </w:pPr>
      <w:r w:rsidRPr="00EF1957">
        <w:rPr>
          <w:lang w:val="en-GB"/>
        </w:rPr>
        <w:t>Witt, M.A., 2019. De-globalization: Theories, predictions, and opportunities for international business research. </w:t>
      </w:r>
      <w:r w:rsidRPr="00EF1957">
        <w:rPr>
          <w:i/>
          <w:iCs/>
          <w:lang w:val="en-GB"/>
        </w:rPr>
        <w:t>Journal of International Business Studies</w:t>
      </w:r>
      <w:r w:rsidRPr="00EF1957">
        <w:rPr>
          <w:lang w:val="en-GB"/>
        </w:rPr>
        <w:t>, </w:t>
      </w:r>
      <w:r w:rsidRPr="00EF1957">
        <w:rPr>
          <w:i/>
          <w:iCs/>
          <w:lang w:val="en-GB"/>
        </w:rPr>
        <w:t>50</w:t>
      </w:r>
      <w:r w:rsidRPr="00EF1957">
        <w:rPr>
          <w:lang w:val="en-GB"/>
        </w:rPr>
        <w:t>(7), pp.1053-1077.</w:t>
      </w:r>
    </w:p>
    <w:p w14:paraId="45F61B9A" w14:textId="77777777" w:rsidR="00D55392" w:rsidRPr="00EF1957" w:rsidRDefault="00D55392" w:rsidP="00D55392">
      <w:pPr>
        <w:rPr>
          <w:b/>
          <w:bCs/>
          <w:lang w:val="en-GB"/>
        </w:rPr>
      </w:pPr>
      <w:r w:rsidRPr="00EF1957">
        <w:rPr>
          <w:b/>
          <w:bCs/>
          <w:lang w:val="en-GB"/>
        </w:rPr>
        <w:t>Online</w:t>
      </w:r>
    </w:p>
    <w:p w14:paraId="76E78D19" w14:textId="0E882B5B" w:rsidR="00D55392" w:rsidRPr="00EF1957" w:rsidRDefault="00D55392" w:rsidP="00D55392">
      <w:pPr>
        <w:rPr>
          <w:lang w:val="en-GB"/>
        </w:rPr>
      </w:pPr>
      <w:r w:rsidRPr="00D55392">
        <w:rPr>
          <w:lang w:val="en-GB"/>
        </w:rPr>
        <w:t xml:space="preserve">AstraZeneca (2023). </w:t>
      </w:r>
      <w:r w:rsidRPr="00D55392">
        <w:rPr>
          <w:i/>
          <w:iCs/>
          <w:lang w:val="en-GB"/>
        </w:rPr>
        <w:t>Our Company - AstraZeneca</w:t>
      </w:r>
      <w:r w:rsidRPr="00D55392">
        <w:rPr>
          <w:lang w:val="en-GB"/>
        </w:rPr>
        <w:t xml:space="preserve">. [online] AstraZeneca. Available at: </w:t>
      </w:r>
      <w:hyperlink r:id="rId11" w:history="1">
        <w:r w:rsidRPr="00D55392">
          <w:rPr>
            <w:rStyle w:val="Hyperlink"/>
            <w:lang w:val="en-GB"/>
          </w:rPr>
          <w:t>https://www.astrazeneca.com/our-company.html</w:t>
        </w:r>
      </w:hyperlink>
      <w:r w:rsidRPr="00D55392">
        <w:rPr>
          <w:lang w:val="en-GB"/>
        </w:rPr>
        <w:t>.</w:t>
      </w:r>
    </w:p>
    <w:p w14:paraId="1198DC4E" w14:textId="77777777" w:rsidR="00D55392" w:rsidRPr="00D55392" w:rsidRDefault="00D55392" w:rsidP="00D55392">
      <w:pPr>
        <w:rPr>
          <w:lang w:val="en-GB"/>
        </w:rPr>
      </w:pPr>
    </w:p>
    <w:p w14:paraId="5C75F28F" w14:textId="77777777" w:rsidR="00D55392" w:rsidRPr="00EF1957" w:rsidRDefault="00D55392" w:rsidP="00D200D3">
      <w:pPr>
        <w:spacing w:line="259" w:lineRule="auto"/>
        <w:jc w:val="left"/>
        <w:rPr>
          <w:lang w:val="en-GB"/>
        </w:rPr>
      </w:pPr>
    </w:p>
    <w:sectPr w:rsidR="00D55392" w:rsidRPr="00EF1957" w:rsidSect="00287DB5">
      <w:footerReference w:type="default" r:id="rId12"/>
      <w:pgSz w:w="12240" w:h="15840"/>
      <w:pgMar w:top="851"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626D7" w14:textId="77777777" w:rsidR="00CE1EF3" w:rsidRDefault="00CE1EF3" w:rsidP="0047137A">
      <w:pPr>
        <w:spacing w:after="0" w:line="240" w:lineRule="auto"/>
      </w:pPr>
      <w:r>
        <w:separator/>
      </w:r>
    </w:p>
  </w:endnote>
  <w:endnote w:type="continuationSeparator" w:id="0">
    <w:p w14:paraId="53FAFE9B" w14:textId="77777777" w:rsidR="00CE1EF3" w:rsidRDefault="00CE1EF3" w:rsidP="004713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8654472"/>
      <w:docPartObj>
        <w:docPartGallery w:val="Page Numbers (Bottom of Page)"/>
        <w:docPartUnique/>
      </w:docPartObj>
    </w:sdtPr>
    <w:sdtEndPr>
      <w:rPr>
        <w:rFonts w:cs="Times New Roman"/>
        <w:b/>
        <w:bCs/>
        <w:noProof/>
      </w:rPr>
    </w:sdtEndPr>
    <w:sdtContent>
      <w:p w14:paraId="5BF44C9D" w14:textId="0219C388" w:rsidR="0047137A" w:rsidRPr="0047137A" w:rsidRDefault="0047137A">
        <w:pPr>
          <w:pStyle w:val="Footer"/>
          <w:jc w:val="center"/>
          <w:rPr>
            <w:rFonts w:cs="Times New Roman"/>
            <w:b/>
            <w:bCs/>
          </w:rPr>
        </w:pPr>
        <w:r w:rsidRPr="0047137A">
          <w:rPr>
            <w:rFonts w:cs="Times New Roman"/>
            <w:b/>
            <w:bCs/>
          </w:rPr>
          <w:fldChar w:fldCharType="begin"/>
        </w:r>
        <w:r w:rsidRPr="0047137A">
          <w:rPr>
            <w:rFonts w:cs="Times New Roman"/>
            <w:b/>
            <w:bCs/>
          </w:rPr>
          <w:instrText xml:space="preserve"> PAGE   \* MERGEFORMAT </w:instrText>
        </w:r>
        <w:r w:rsidRPr="0047137A">
          <w:rPr>
            <w:rFonts w:cs="Times New Roman"/>
            <w:b/>
            <w:bCs/>
          </w:rPr>
          <w:fldChar w:fldCharType="separate"/>
        </w:r>
        <w:r w:rsidRPr="0047137A">
          <w:rPr>
            <w:rFonts w:cs="Times New Roman"/>
            <w:b/>
            <w:bCs/>
            <w:noProof/>
          </w:rPr>
          <w:t>2</w:t>
        </w:r>
        <w:r w:rsidRPr="0047137A">
          <w:rPr>
            <w:rFonts w:cs="Times New Roman"/>
            <w:b/>
            <w:bCs/>
            <w:noProof/>
          </w:rPr>
          <w:fldChar w:fldCharType="end"/>
        </w:r>
      </w:p>
    </w:sdtContent>
  </w:sdt>
  <w:p w14:paraId="79DAA9AB" w14:textId="77777777" w:rsidR="0047137A" w:rsidRDefault="00471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28E1C" w14:textId="77777777" w:rsidR="00CE1EF3" w:rsidRDefault="00CE1EF3" w:rsidP="0047137A">
      <w:pPr>
        <w:spacing w:after="0" w:line="240" w:lineRule="auto"/>
      </w:pPr>
      <w:r>
        <w:separator/>
      </w:r>
    </w:p>
  </w:footnote>
  <w:footnote w:type="continuationSeparator" w:id="0">
    <w:p w14:paraId="43B9AA8C" w14:textId="77777777" w:rsidR="00CE1EF3" w:rsidRDefault="00CE1EF3" w:rsidP="004713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3456E"/>
    <w:multiLevelType w:val="hybridMultilevel"/>
    <w:tmpl w:val="AC44441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3541CA"/>
    <w:multiLevelType w:val="hybridMultilevel"/>
    <w:tmpl w:val="26FAA9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7A28DD"/>
    <w:multiLevelType w:val="hybridMultilevel"/>
    <w:tmpl w:val="E6D8841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DD1141D"/>
    <w:multiLevelType w:val="hybridMultilevel"/>
    <w:tmpl w:val="6220DD7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6D03F84"/>
    <w:multiLevelType w:val="hybridMultilevel"/>
    <w:tmpl w:val="FC54C08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75062B6"/>
    <w:multiLevelType w:val="hybridMultilevel"/>
    <w:tmpl w:val="56927B4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9F843E8"/>
    <w:multiLevelType w:val="hybridMultilevel"/>
    <w:tmpl w:val="644AC3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6645C9"/>
    <w:multiLevelType w:val="hybridMultilevel"/>
    <w:tmpl w:val="DDF21D3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3BE3F10"/>
    <w:multiLevelType w:val="hybridMultilevel"/>
    <w:tmpl w:val="7A5EC5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584048"/>
    <w:multiLevelType w:val="hybridMultilevel"/>
    <w:tmpl w:val="389E7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706954"/>
    <w:multiLevelType w:val="hybridMultilevel"/>
    <w:tmpl w:val="0ED8EB4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5935B4F"/>
    <w:multiLevelType w:val="hybridMultilevel"/>
    <w:tmpl w:val="4DA2981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8483D75"/>
    <w:multiLevelType w:val="hybridMultilevel"/>
    <w:tmpl w:val="01C2D6A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A01411A"/>
    <w:multiLevelType w:val="hybridMultilevel"/>
    <w:tmpl w:val="69009F4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1E8789C"/>
    <w:multiLevelType w:val="hybridMultilevel"/>
    <w:tmpl w:val="9306C92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67C0D51"/>
    <w:multiLevelType w:val="hybridMultilevel"/>
    <w:tmpl w:val="FDEA995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7CF468F"/>
    <w:multiLevelType w:val="hybridMultilevel"/>
    <w:tmpl w:val="2C7614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6D26279D"/>
    <w:multiLevelType w:val="hybridMultilevel"/>
    <w:tmpl w:val="EEA82A4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1BF76E8"/>
    <w:multiLevelType w:val="hybridMultilevel"/>
    <w:tmpl w:val="C25256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CCA1FA3"/>
    <w:multiLevelType w:val="hybridMultilevel"/>
    <w:tmpl w:val="E27429D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D265CDF"/>
    <w:multiLevelType w:val="hybridMultilevel"/>
    <w:tmpl w:val="657A8C6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47337648">
    <w:abstractNumId w:val="9"/>
  </w:num>
  <w:num w:numId="2" w16cid:durableId="1141730744">
    <w:abstractNumId w:val="18"/>
  </w:num>
  <w:num w:numId="3" w16cid:durableId="640111501">
    <w:abstractNumId w:val="1"/>
  </w:num>
  <w:num w:numId="4" w16cid:durableId="1640186901">
    <w:abstractNumId w:val="6"/>
  </w:num>
  <w:num w:numId="5" w16cid:durableId="1330790298">
    <w:abstractNumId w:val="8"/>
  </w:num>
  <w:num w:numId="6" w16cid:durableId="1087267847">
    <w:abstractNumId w:val="3"/>
  </w:num>
  <w:num w:numId="7" w16cid:durableId="1584299087">
    <w:abstractNumId w:val="7"/>
  </w:num>
  <w:num w:numId="8" w16cid:durableId="1891458461">
    <w:abstractNumId w:val="4"/>
  </w:num>
  <w:num w:numId="9" w16cid:durableId="1385374382">
    <w:abstractNumId w:val="5"/>
  </w:num>
  <w:num w:numId="10" w16cid:durableId="1562446137">
    <w:abstractNumId w:val="19"/>
  </w:num>
  <w:num w:numId="11" w16cid:durableId="1977028770">
    <w:abstractNumId w:val="10"/>
  </w:num>
  <w:num w:numId="12" w16cid:durableId="2106874150">
    <w:abstractNumId w:val="14"/>
  </w:num>
  <w:num w:numId="13" w16cid:durableId="1228151838">
    <w:abstractNumId w:val="15"/>
  </w:num>
  <w:num w:numId="14" w16cid:durableId="644698282">
    <w:abstractNumId w:val="13"/>
  </w:num>
  <w:num w:numId="15" w16cid:durableId="89357807">
    <w:abstractNumId w:val="2"/>
  </w:num>
  <w:num w:numId="16" w16cid:durableId="1130708405">
    <w:abstractNumId w:val="0"/>
  </w:num>
  <w:num w:numId="17" w16cid:durableId="1517815789">
    <w:abstractNumId w:val="12"/>
  </w:num>
  <w:num w:numId="18" w16cid:durableId="509610851">
    <w:abstractNumId w:val="20"/>
  </w:num>
  <w:num w:numId="19" w16cid:durableId="1031102405">
    <w:abstractNumId w:val="11"/>
  </w:num>
  <w:num w:numId="20" w16cid:durableId="424572144">
    <w:abstractNumId w:val="16"/>
  </w:num>
  <w:num w:numId="21" w16cid:durableId="207149184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CBB"/>
    <w:rsid w:val="000007AB"/>
    <w:rsid w:val="00007876"/>
    <w:rsid w:val="00015427"/>
    <w:rsid w:val="00025C58"/>
    <w:rsid w:val="00032BD7"/>
    <w:rsid w:val="000614E8"/>
    <w:rsid w:val="00062512"/>
    <w:rsid w:val="00070000"/>
    <w:rsid w:val="00097166"/>
    <w:rsid w:val="000A00F3"/>
    <w:rsid w:val="000C019A"/>
    <w:rsid w:val="000C5FC3"/>
    <w:rsid w:val="00103713"/>
    <w:rsid w:val="001464D9"/>
    <w:rsid w:val="0015254E"/>
    <w:rsid w:val="001556A2"/>
    <w:rsid w:val="00163BE6"/>
    <w:rsid w:val="00190FE6"/>
    <w:rsid w:val="001C702A"/>
    <w:rsid w:val="001D1E53"/>
    <w:rsid w:val="001D7020"/>
    <w:rsid w:val="001E00C3"/>
    <w:rsid w:val="001F22E2"/>
    <w:rsid w:val="00213E26"/>
    <w:rsid w:val="00226127"/>
    <w:rsid w:val="00247AD2"/>
    <w:rsid w:val="00263551"/>
    <w:rsid w:val="00270B55"/>
    <w:rsid w:val="00287DB5"/>
    <w:rsid w:val="002A0ADC"/>
    <w:rsid w:val="002A7442"/>
    <w:rsid w:val="002C6506"/>
    <w:rsid w:val="002D40B7"/>
    <w:rsid w:val="002D7AEF"/>
    <w:rsid w:val="002E047E"/>
    <w:rsid w:val="002E4C2D"/>
    <w:rsid w:val="002F241B"/>
    <w:rsid w:val="002F4488"/>
    <w:rsid w:val="002F7E86"/>
    <w:rsid w:val="00317536"/>
    <w:rsid w:val="003221A0"/>
    <w:rsid w:val="003256D7"/>
    <w:rsid w:val="00337122"/>
    <w:rsid w:val="00350157"/>
    <w:rsid w:val="00384224"/>
    <w:rsid w:val="00385E41"/>
    <w:rsid w:val="00386950"/>
    <w:rsid w:val="00391D3D"/>
    <w:rsid w:val="003A7241"/>
    <w:rsid w:val="003C193E"/>
    <w:rsid w:val="003C4CBB"/>
    <w:rsid w:val="003E7D64"/>
    <w:rsid w:val="004103B2"/>
    <w:rsid w:val="00433493"/>
    <w:rsid w:val="00435172"/>
    <w:rsid w:val="00440148"/>
    <w:rsid w:val="0047137A"/>
    <w:rsid w:val="00482741"/>
    <w:rsid w:val="004B2451"/>
    <w:rsid w:val="004D3335"/>
    <w:rsid w:val="004D401F"/>
    <w:rsid w:val="004F19BC"/>
    <w:rsid w:val="004F5461"/>
    <w:rsid w:val="004F6333"/>
    <w:rsid w:val="005000F4"/>
    <w:rsid w:val="005211EE"/>
    <w:rsid w:val="005222CC"/>
    <w:rsid w:val="00553ED4"/>
    <w:rsid w:val="00576268"/>
    <w:rsid w:val="005800FD"/>
    <w:rsid w:val="00595B99"/>
    <w:rsid w:val="005D62C4"/>
    <w:rsid w:val="005E09E4"/>
    <w:rsid w:val="005E625A"/>
    <w:rsid w:val="005F14EA"/>
    <w:rsid w:val="006318A8"/>
    <w:rsid w:val="00642D1F"/>
    <w:rsid w:val="00655EF7"/>
    <w:rsid w:val="00660518"/>
    <w:rsid w:val="0067178D"/>
    <w:rsid w:val="00687034"/>
    <w:rsid w:val="00695BED"/>
    <w:rsid w:val="006C28CF"/>
    <w:rsid w:val="006D65A6"/>
    <w:rsid w:val="006F1167"/>
    <w:rsid w:val="006F7DCB"/>
    <w:rsid w:val="00714E62"/>
    <w:rsid w:val="00720029"/>
    <w:rsid w:val="0074141D"/>
    <w:rsid w:val="0076355F"/>
    <w:rsid w:val="00770C89"/>
    <w:rsid w:val="00773A0C"/>
    <w:rsid w:val="00775BA7"/>
    <w:rsid w:val="0077669D"/>
    <w:rsid w:val="0079090C"/>
    <w:rsid w:val="007B5A38"/>
    <w:rsid w:val="007C71E5"/>
    <w:rsid w:val="00810295"/>
    <w:rsid w:val="00810E9C"/>
    <w:rsid w:val="00811BE6"/>
    <w:rsid w:val="008203E0"/>
    <w:rsid w:val="00823EBC"/>
    <w:rsid w:val="00832F0E"/>
    <w:rsid w:val="008420D9"/>
    <w:rsid w:val="008536E8"/>
    <w:rsid w:val="00887160"/>
    <w:rsid w:val="008915CD"/>
    <w:rsid w:val="008932EA"/>
    <w:rsid w:val="00897181"/>
    <w:rsid w:val="008973D8"/>
    <w:rsid w:val="00897AE5"/>
    <w:rsid w:val="008A23BC"/>
    <w:rsid w:val="008B1F25"/>
    <w:rsid w:val="008D7170"/>
    <w:rsid w:val="008E2AAE"/>
    <w:rsid w:val="008E2D89"/>
    <w:rsid w:val="008E727B"/>
    <w:rsid w:val="00922270"/>
    <w:rsid w:val="00937A55"/>
    <w:rsid w:val="0095737E"/>
    <w:rsid w:val="00993F8B"/>
    <w:rsid w:val="009B2B20"/>
    <w:rsid w:val="009C3822"/>
    <w:rsid w:val="009C5746"/>
    <w:rsid w:val="009C7E40"/>
    <w:rsid w:val="00A1657A"/>
    <w:rsid w:val="00A44070"/>
    <w:rsid w:val="00A44216"/>
    <w:rsid w:val="00A44297"/>
    <w:rsid w:val="00A75527"/>
    <w:rsid w:val="00A9055D"/>
    <w:rsid w:val="00A910A2"/>
    <w:rsid w:val="00AA0D29"/>
    <w:rsid w:val="00AA1F0B"/>
    <w:rsid w:val="00AC2D0C"/>
    <w:rsid w:val="00AD3F72"/>
    <w:rsid w:val="00B02B4E"/>
    <w:rsid w:val="00B10928"/>
    <w:rsid w:val="00B10FA9"/>
    <w:rsid w:val="00B2207B"/>
    <w:rsid w:val="00B26D55"/>
    <w:rsid w:val="00B27B2D"/>
    <w:rsid w:val="00B50662"/>
    <w:rsid w:val="00B51EFF"/>
    <w:rsid w:val="00B62407"/>
    <w:rsid w:val="00B677C0"/>
    <w:rsid w:val="00B71CA8"/>
    <w:rsid w:val="00B80A17"/>
    <w:rsid w:val="00B83B36"/>
    <w:rsid w:val="00B85E05"/>
    <w:rsid w:val="00B91F50"/>
    <w:rsid w:val="00B94EDC"/>
    <w:rsid w:val="00B97F46"/>
    <w:rsid w:val="00BB0CD7"/>
    <w:rsid w:val="00BC12B4"/>
    <w:rsid w:val="00BC2D14"/>
    <w:rsid w:val="00BD6A37"/>
    <w:rsid w:val="00BE42E0"/>
    <w:rsid w:val="00BE6A33"/>
    <w:rsid w:val="00BF308C"/>
    <w:rsid w:val="00BF5144"/>
    <w:rsid w:val="00C5576C"/>
    <w:rsid w:val="00CC2068"/>
    <w:rsid w:val="00CE08A7"/>
    <w:rsid w:val="00CE1EF3"/>
    <w:rsid w:val="00CF73A5"/>
    <w:rsid w:val="00D054B4"/>
    <w:rsid w:val="00D200D3"/>
    <w:rsid w:val="00D26795"/>
    <w:rsid w:val="00D30608"/>
    <w:rsid w:val="00D530C9"/>
    <w:rsid w:val="00D548A2"/>
    <w:rsid w:val="00D55392"/>
    <w:rsid w:val="00D7007A"/>
    <w:rsid w:val="00D83E1F"/>
    <w:rsid w:val="00D92501"/>
    <w:rsid w:val="00D935CC"/>
    <w:rsid w:val="00DA01C4"/>
    <w:rsid w:val="00DA1643"/>
    <w:rsid w:val="00E117BA"/>
    <w:rsid w:val="00E17D10"/>
    <w:rsid w:val="00E20348"/>
    <w:rsid w:val="00E23627"/>
    <w:rsid w:val="00E33276"/>
    <w:rsid w:val="00E50C3F"/>
    <w:rsid w:val="00E66A91"/>
    <w:rsid w:val="00EB3B07"/>
    <w:rsid w:val="00EC197C"/>
    <w:rsid w:val="00EC349D"/>
    <w:rsid w:val="00EE47A0"/>
    <w:rsid w:val="00EF1957"/>
    <w:rsid w:val="00EF2DAA"/>
    <w:rsid w:val="00F0706C"/>
    <w:rsid w:val="00F10906"/>
    <w:rsid w:val="00F24CA1"/>
    <w:rsid w:val="00F34B02"/>
    <w:rsid w:val="00F436FD"/>
    <w:rsid w:val="00F673AE"/>
    <w:rsid w:val="00F6793E"/>
    <w:rsid w:val="00F71EDE"/>
    <w:rsid w:val="00F7386D"/>
    <w:rsid w:val="00F75E4E"/>
    <w:rsid w:val="00FA1828"/>
    <w:rsid w:val="00FB021F"/>
    <w:rsid w:val="00FB55C4"/>
    <w:rsid w:val="00FD0081"/>
    <w:rsid w:val="00FD1034"/>
    <w:rsid w:val="00FF3A35"/>
    <w:rsid w:val="00FF6629"/>
    <w:rsid w:val="00FF66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D5D2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CB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256D7"/>
    <w:pPr>
      <w:keepNext/>
      <w:keepLines/>
      <w:spacing w:before="240" w:after="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D7020"/>
    <w:pPr>
      <w:keepNext/>
      <w:keepLines/>
      <w:spacing w:before="240" w:after="2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B51EFF"/>
    <w:pPr>
      <w:keepNext/>
      <w:keepLines/>
      <w:spacing w:before="240" w:after="2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6D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D7020"/>
    <w:rPr>
      <w:rFonts w:ascii="Times New Roman" w:eastAsiaTheme="majorEastAsia" w:hAnsi="Times New Roman" w:cstheme="majorBidi"/>
      <w:b/>
      <w:sz w:val="24"/>
      <w:szCs w:val="26"/>
    </w:rPr>
  </w:style>
  <w:style w:type="paragraph" w:styleId="ListParagraph">
    <w:name w:val="List Paragraph"/>
    <w:basedOn w:val="Normal"/>
    <w:uiPriority w:val="34"/>
    <w:qFormat/>
    <w:rsid w:val="00687034"/>
    <w:pPr>
      <w:ind w:left="720"/>
      <w:contextualSpacing/>
    </w:pPr>
  </w:style>
  <w:style w:type="paragraph" w:styleId="TOCHeading">
    <w:name w:val="TOC Heading"/>
    <w:basedOn w:val="Heading1"/>
    <w:next w:val="Normal"/>
    <w:uiPriority w:val="39"/>
    <w:unhideWhenUsed/>
    <w:qFormat/>
    <w:rsid w:val="008E727B"/>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8E727B"/>
    <w:pPr>
      <w:spacing w:after="100"/>
    </w:pPr>
  </w:style>
  <w:style w:type="paragraph" w:styleId="TOC2">
    <w:name w:val="toc 2"/>
    <w:basedOn w:val="Normal"/>
    <w:next w:val="Normal"/>
    <w:autoRedefine/>
    <w:uiPriority w:val="39"/>
    <w:unhideWhenUsed/>
    <w:rsid w:val="008E727B"/>
    <w:pPr>
      <w:spacing w:after="100"/>
      <w:ind w:left="240"/>
    </w:pPr>
  </w:style>
  <w:style w:type="character" w:styleId="Hyperlink">
    <w:name w:val="Hyperlink"/>
    <w:basedOn w:val="DefaultParagraphFont"/>
    <w:uiPriority w:val="99"/>
    <w:unhideWhenUsed/>
    <w:rsid w:val="008E727B"/>
    <w:rPr>
      <w:color w:val="0563C1" w:themeColor="hyperlink"/>
      <w:u w:val="single"/>
    </w:rPr>
  </w:style>
  <w:style w:type="paragraph" w:styleId="Header">
    <w:name w:val="header"/>
    <w:basedOn w:val="Normal"/>
    <w:link w:val="HeaderChar"/>
    <w:uiPriority w:val="99"/>
    <w:unhideWhenUsed/>
    <w:rsid w:val="004713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37A"/>
    <w:rPr>
      <w:rFonts w:ascii="Times New Roman" w:hAnsi="Times New Roman"/>
      <w:sz w:val="24"/>
    </w:rPr>
  </w:style>
  <w:style w:type="paragraph" w:styleId="Footer">
    <w:name w:val="footer"/>
    <w:basedOn w:val="Normal"/>
    <w:link w:val="FooterChar"/>
    <w:uiPriority w:val="99"/>
    <w:unhideWhenUsed/>
    <w:rsid w:val="004713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37A"/>
    <w:rPr>
      <w:rFonts w:ascii="Times New Roman" w:hAnsi="Times New Roman"/>
      <w:sz w:val="24"/>
    </w:rPr>
  </w:style>
  <w:style w:type="character" w:styleId="UnresolvedMention">
    <w:name w:val="Unresolved Mention"/>
    <w:basedOn w:val="DefaultParagraphFont"/>
    <w:uiPriority w:val="99"/>
    <w:semiHidden/>
    <w:unhideWhenUsed/>
    <w:rsid w:val="00D55392"/>
    <w:rPr>
      <w:color w:val="605E5C"/>
      <w:shd w:val="clear" w:color="auto" w:fill="E1DFDD"/>
    </w:rPr>
  </w:style>
  <w:style w:type="character" w:customStyle="1" w:styleId="Heading3Char">
    <w:name w:val="Heading 3 Char"/>
    <w:basedOn w:val="DefaultParagraphFont"/>
    <w:link w:val="Heading3"/>
    <w:uiPriority w:val="9"/>
    <w:rsid w:val="00B51EFF"/>
    <w:rPr>
      <w:rFonts w:ascii="Times New Roman" w:eastAsiaTheme="majorEastAsia" w:hAnsi="Times New Roman" w:cstheme="majorBidi"/>
      <w:b/>
      <w:sz w:val="24"/>
      <w:szCs w:val="24"/>
    </w:rPr>
  </w:style>
  <w:style w:type="paragraph" w:styleId="TOC3">
    <w:name w:val="toc 3"/>
    <w:basedOn w:val="Normal"/>
    <w:next w:val="Normal"/>
    <w:autoRedefine/>
    <w:uiPriority w:val="39"/>
    <w:unhideWhenUsed/>
    <w:rsid w:val="008915CD"/>
    <w:pPr>
      <w:spacing w:after="100"/>
      <w:ind w:left="480"/>
    </w:pPr>
  </w:style>
  <w:style w:type="paragraph" w:styleId="Caption">
    <w:name w:val="caption"/>
    <w:basedOn w:val="Normal"/>
    <w:next w:val="Normal"/>
    <w:uiPriority w:val="35"/>
    <w:unhideWhenUsed/>
    <w:qFormat/>
    <w:rsid w:val="002F7E86"/>
    <w:pPr>
      <w:spacing w:after="200" w:line="240" w:lineRule="auto"/>
    </w:pPr>
    <w:rPr>
      <w:i/>
      <w:iCs/>
      <w:color w:val="44546A" w:themeColor="text2"/>
      <w:sz w:val="18"/>
      <w:szCs w:val="18"/>
    </w:rPr>
  </w:style>
  <w:style w:type="paragraph" w:styleId="NormalWeb">
    <w:name w:val="Normal (Web)"/>
    <w:basedOn w:val="Normal"/>
    <w:uiPriority w:val="99"/>
    <w:unhideWhenUsed/>
    <w:rsid w:val="00287DB5"/>
    <w:pPr>
      <w:spacing w:line="259" w:lineRule="auto"/>
      <w:jc w:val="left"/>
    </w:pPr>
    <w:rPr>
      <w:rFonts w:cs="Times New Roman"/>
      <w:szCs w:val="24"/>
      <w:lang w:val="en-GB"/>
    </w:rPr>
  </w:style>
  <w:style w:type="table" w:styleId="TableGrid">
    <w:name w:val="Table Grid"/>
    <w:basedOn w:val="TableNormal"/>
    <w:uiPriority w:val="39"/>
    <w:rsid w:val="00287DB5"/>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191149">
      <w:bodyDiv w:val="1"/>
      <w:marLeft w:val="0"/>
      <w:marRight w:val="0"/>
      <w:marTop w:val="0"/>
      <w:marBottom w:val="0"/>
      <w:divBdr>
        <w:top w:val="none" w:sz="0" w:space="0" w:color="auto"/>
        <w:left w:val="none" w:sz="0" w:space="0" w:color="auto"/>
        <w:bottom w:val="none" w:sz="0" w:space="0" w:color="auto"/>
        <w:right w:val="none" w:sz="0" w:space="0" w:color="auto"/>
      </w:divBdr>
      <w:divsChild>
        <w:div w:id="1087850883">
          <w:marLeft w:val="0"/>
          <w:marRight w:val="0"/>
          <w:marTop w:val="0"/>
          <w:marBottom w:val="0"/>
          <w:divBdr>
            <w:top w:val="none" w:sz="0" w:space="0" w:color="auto"/>
            <w:left w:val="none" w:sz="0" w:space="0" w:color="auto"/>
            <w:bottom w:val="none" w:sz="0" w:space="0" w:color="auto"/>
            <w:right w:val="none" w:sz="0" w:space="0" w:color="auto"/>
          </w:divBdr>
        </w:div>
        <w:div w:id="1003047846">
          <w:marLeft w:val="0"/>
          <w:marRight w:val="0"/>
          <w:marTop w:val="0"/>
          <w:marBottom w:val="0"/>
          <w:divBdr>
            <w:top w:val="none" w:sz="0" w:space="0" w:color="auto"/>
            <w:left w:val="none" w:sz="0" w:space="0" w:color="auto"/>
            <w:bottom w:val="none" w:sz="0" w:space="0" w:color="auto"/>
            <w:right w:val="none" w:sz="0" w:space="0" w:color="auto"/>
          </w:divBdr>
        </w:div>
      </w:divsChild>
    </w:div>
    <w:div w:id="1615936987">
      <w:bodyDiv w:val="1"/>
      <w:marLeft w:val="0"/>
      <w:marRight w:val="0"/>
      <w:marTop w:val="0"/>
      <w:marBottom w:val="0"/>
      <w:divBdr>
        <w:top w:val="none" w:sz="0" w:space="0" w:color="auto"/>
        <w:left w:val="none" w:sz="0" w:space="0" w:color="auto"/>
        <w:bottom w:val="none" w:sz="0" w:space="0" w:color="auto"/>
        <w:right w:val="none" w:sz="0" w:space="0" w:color="auto"/>
      </w:divBdr>
      <w:divsChild>
        <w:div w:id="254216362">
          <w:marLeft w:val="0"/>
          <w:marRight w:val="0"/>
          <w:marTop w:val="0"/>
          <w:marBottom w:val="0"/>
          <w:divBdr>
            <w:top w:val="none" w:sz="0" w:space="0" w:color="auto"/>
            <w:left w:val="none" w:sz="0" w:space="0" w:color="auto"/>
            <w:bottom w:val="none" w:sz="0" w:space="0" w:color="auto"/>
            <w:right w:val="none" w:sz="0" w:space="0" w:color="auto"/>
          </w:divBdr>
        </w:div>
      </w:divsChild>
    </w:div>
    <w:div w:id="1655521703">
      <w:bodyDiv w:val="1"/>
      <w:marLeft w:val="0"/>
      <w:marRight w:val="0"/>
      <w:marTop w:val="0"/>
      <w:marBottom w:val="0"/>
      <w:divBdr>
        <w:top w:val="none" w:sz="0" w:space="0" w:color="auto"/>
        <w:left w:val="none" w:sz="0" w:space="0" w:color="auto"/>
        <w:bottom w:val="none" w:sz="0" w:space="0" w:color="auto"/>
        <w:right w:val="none" w:sz="0" w:space="0" w:color="auto"/>
      </w:divBdr>
      <w:divsChild>
        <w:div w:id="849173626">
          <w:marLeft w:val="0"/>
          <w:marRight w:val="0"/>
          <w:marTop w:val="0"/>
          <w:marBottom w:val="0"/>
          <w:divBdr>
            <w:top w:val="none" w:sz="0" w:space="0" w:color="auto"/>
            <w:left w:val="none" w:sz="0" w:space="0" w:color="auto"/>
            <w:bottom w:val="none" w:sz="0" w:space="0" w:color="auto"/>
            <w:right w:val="none" w:sz="0" w:space="0" w:color="auto"/>
          </w:divBdr>
        </w:div>
        <w:div w:id="1408727733">
          <w:marLeft w:val="0"/>
          <w:marRight w:val="0"/>
          <w:marTop w:val="0"/>
          <w:marBottom w:val="0"/>
          <w:divBdr>
            <w:top w:val="none" w:sz="0" w:space="0" w:color="auto"/>
            <w:left w:val="none" w:sz="0" w:space="0" w:color="auto"/>
            <w:bottom w:val="none" w:sz="0" w:space="0" w:color="auto"/>
            <w:right w:val="none" w:sz="0" w:space="0" w:color="auto"/>
          </w:divBdr>
        </w:div>
        <w:div w:id="431167260">
          <w:marLeft w:val="0"/>
          <w:marRight w:val="0"/>
          <w:marTop w:val="0"/>
          <w:marBottom w:val="0"/>
          <w:divBdr>
            <w:top w:val="none" w:sz="0" w:space="0" w:color="auto"/>
            <w:left w:val="none" w:sz="0" w:space="0" w:color="auto"/>
            <w:bottom w:val="none" w:sz="0" w:space="0" w:color="auto"/>
            <w:right w:val="none" w:sz="0" w:space="0" w:color="auto"/>
          </w:divBdr>
        </w:div>
        <w:div w:id="563294961">
          <w:marLeft w:val="0"/>
          <w:marRight w:val="0"/>
          <w:marTop w:val="0"/>
          <w:marBottom w:val="0"/>
          <w:divBdr>
            <w:top w:val="none" w:sz="0" w:space="0" w:color="auto"/>
            <w:left w:val="none" w:sz="0" w:space="0" w:color="auto"/>
            <w:bottom w:val="none" w:sz="0" w:space="0" w:color="auto"/>
            <w:right w:val="none" w:sz="0" w:space="0" w:color="auto"/>
          </w:divBdr>
        </w:div>
        <w:div w:id="1335760720">
          <w:marLeft w:val="0"/>
          <w:marRight w:val="0"/>
          <w:marTop w:val="0"/>
          <w:marBottom w:val="0"/>
          <w:divBdr>
            <w:top w:val="none" w:sz="0" w:space="0" w:color="auto"/>
            <w:left w:val="none" w:sz="0" w:space="0" w:color="auto"/>
            <w:bottom w:val="none" w:sz="0" w:space="0" w:color="auto"/>
            <w:right w:val="none" w:sz="0" w:space="0" w:color="auto"/>
          </w:divBdr>
        </w:div>
      </w:divsChild>
    </w:div>
    <w:div w:id="2022387503">
      <w:bodyDiv w:val="1"/>
      <w:marLeft w:val="0"/>
      <w:marRight w:val="0"/>
      <w:marTop w:val="0"/>
      <w:marBottom w:val="0"/>
      <w:divBdr>
        <w:top w:val="none" w:sz="0" w:space="0" w:color="auto"/>
        <w:left w:val="none" w:sz="0" w:space="0" w:color="auto"/>
        <w:bottom w:val="none" w:sz="0" w:space="0" w:color="auto"/>
        <w:right w:val="none" w:sz="0" w:space="0" w:color="auto"/>
      </w:divBdr>
      <w:divsChild>
        <w:div w:id="2108768931">
          <w:marLeft w:val="0"/>
          <w:marRight w:val="0"/>
          <w:marTop w:val="0"/>
          <w:marBottom w:val="0"/>
          <w:divBdr>
            <w:top w:val="single" w:sz="2" w:space="0" w:color="D9D9E3"/>
            <w:left w:val="single" w:sz="2" w:space="0" w:color="D9D9E3"/>
            <w:bottom w:val="single" w:sz="2" w:space="0" w:color="D9D9E3"/>
            <w:right w:val="single" w:sz="2" w:space="0" w:color="D9D9E3"/>
          </w:divBdr>
          <w:divsChild>
            <w:div w:id="1441025753">
              <w:marLeft w:val="0"/>
              <w:marRight w:val="0"/>
              <w:marTop w:val="0"/>
              <w:marBottom w:val="0"/>
              <w:divBdr>
                <w:top w:val="single" w:sz="2" w:space="0" w:color="D9D9E3"/>
                <w:left w:val="single" w:sz="2" w:space="0" w:color="D9D9E3"/>
                <w:bottom w:val="single" w:sz="2" w:space="0" w:color="D9D9E3"/>
                <w:right w:val="single" w:sz="2" w:space="0" w:color="D9D9E3"/>
              </w:divBdr>
              <w:divsChild>
                <w:div w:id="1383334561">
                  <w:marLeft w:val="0"/>
                  <w:marRight w:val="0"/>
                  <w:marTop w:val="0"/>
                  <w:marBottom w:val="0"/>
                  <w:divBdr>
                    <w:top w:val="single" w:sz="2" w:space="0" w:color="D9D9E3"/>
                    <w:left w:val="single" w:sz="2" w:space="0" w:color="D9D9E3"/>
                    <w:bottom w:val="single" w:sz="2" w:space="0" w:color="D9D9E3"/>
                    <w:right w:val="single" w:sz="2" w:space="0" w:color="D9D9E3"/>
                  </w:divBdr>
                  <w:divsChild>
                    <w:div w:id="421220186">
                      <w:marLeft w:val="0"/>
                      <w:marRight w:val="0"/>
                      <w:marTop w:val="0"/>
                      <w:marBottom w:val="0"/>
                      <w:divBdr>
                        <w:top w:val="single" w:sz="2" w:space="0" w:color="D9D9E3"/>
                        <w:left w:val="single" w:sz="2" w:space="0" w:color="D9D9E3"/>
                        <w:bottom w:val="single" w:sz="2" w:space="0" w:color="D9D9E3"/>
                        <w:right w:val="single" w:sz="2" w:space="0" w:color="D9D9E3"/>
                      </w:divBdr>
                      <w:divsChild>
                        <w:div w:id="1163622703">
                          <w:marLeft w:val="0"/>
                          <w:marRight w:val="0"/>
                          <w:marTop w:val="0"/>
                          <w:marBottom w:val="0"/>
                          <w:divBdr>
                            <w:top w:val="none" w:sz="0" w:space="0" w:color="auto"/>
                            <w:left w:val="none" w:sz="0" w:space="0" w:color="auto"/>
                            <w:bottom w:val="none" w:sz="0" w:space="0" w:color="auto"/>
                            <w:right w:val="none" w:sz="0" w:space="0" w:color="auto"/>
                          </w:divBdr>
                          <w:divsChild>
                            <w:div w:id="933708953">
                              <w:marLeft w:val="0"/>
                              <w:marRight w:val="0"/>
                              <w:marTop w:val="100"/>
                              <w:marBottom w:val="100"/>
                              <w:divBdr>
                                <w:top w:val="single" w:sz="2" w:space="0" w:color="D9D9E3"/>
                                <w:left w:val="single" w:sz="2" w:space="0" w:color="D9D9E3"/>
                                <w:bottom w:val="single" w:sz="2" w:space="0" w:color="D9D9E3"/>
                                <w:right w:val="single" w:sz="2" w:space="0" w:color="D9D9E3"/>
                              </w:divBdr>
                              <w:divsChild>
                                <w:div w:id="14620969">
                                  <w:marLeft w:val="0"/>
                                  <w:marRight w:val="0"/>
                                  <w:marTop w:val="0"/>
                                  <w:marBottom w:val="0"/>
                                  <w:divBdr>
                                    <w:top w:val="single" w:sz="2" w:space="0" w:color="D9D9E3"/>
                                    <w:left w:val="single" w:sz="2" w:space="0" w:color="D9D9E3"/>
                                    <w:bottom w:val="single" w:sz="2" w:space="0" w:color="D9D9E3"/>
                                    <w:right w:val="single" w:sz="2" w:space="0" w:color="D9D9E3"/>
                                  </w:divBdr>
                                  <w:divsChild>
                                    <w:div w:id="533812070">
                                      <w:marLeft w:val="0"/>
                                      <w:marRight w:val="0"/>
                                      <w:marTop w:val="0"/>
                                      <w:marBottom w:val="0"/>
                                      <w:divBdr>
                                        <w:top w:val="single" w:sz="2" w:space="0" w:color="D9D9E3"/>
                                        <w:left w:val="single" w:sz="2" w:space="0" w:color="D9D9E3"/>
                                        <w:bottom w:val="single" w:sz="2" w:space="0" w:color="D9D9E3"/>
                                        <w:right w:val="single" w:sz="2" w:space="0" w:color="D9D9E3"/>
                                      </w:divBdr>
                                      <w:divsChild>
                                        <w:div w:id="1596091737">
                                          <w:marLeft w:val="0"/>
                                          <w:marRight w:val="0"/>
                                          <w:marTop w:val="0"/>
                                          <w:marBottom w:val="0"/>
                                          <w:divBdr>
                                            <w:top w:val="single" w:sz="2" w:space="0" w:color="D9D9E3"/>
                                            <w:left w:val="single" w:sz="2" w:space="0" w:color="D9D9E3"/>
                                            <w:bottom w:val="single" w:sz="2" w:space="0" w:color="D9D9E3"/>
                                            <w:right w:val="single" w:sz="2" w:space="0" w:color="D9D9E3"/>
                                          </w:divBdr>
                                          <w:divsChild>
                                            <w:div w:id="666250309">
                                              <w:marLeft w:val="0"/>
                                              <w:marRight w:val="0"/>
                                              <w:marTop w:val="0"/>
                                              <w:marBottom w:val="0"/>
                                              <w:divBdr>
                                                <w:top w:val="single" w:sz="2" w:space="0" w:color="D9D9E3"/>
                                                <w:left w:val="single" w:sz="2" w:space="0" w:color="D9D9E3"/>
                                                <w:bottom w:val="single" w:sz="2" w:space="0" w:color="D9D9E3"/>
                                                <w:right w:val="single" w:sz="2" w:space="0" w:color="D9D9E3"/>
                                              </w:divBdr>
                                              <w:divsChild>
                                                <w:div w:id="869949304">
                                                  <w:marLeft w:val="0"/>
                                                  <w:marRight w:val="0"/>
                                                  <w:marTop w:val="0"/>
                                                  <w:marBottom w:val="0"/>
                                                  <w:divBdr>
                                                    <w:top w:val="single" w:sz="2" w:space="0" w:color="D9D9E3"/>
                                                    <w:left w:val="single" w:sz="2" w:space="0" w:color="D9D9E3"/>
                                                    <w:bottom w:val="single" w:sz="2" w:space="0" w:color="D9D9E3"/>
                                                    <w:right w:val="single" w:sz="2" w:space="0" w:color="D9D9E3"/>
                                                  </w:divBdr>
                                                  <w:divsChild>
                                                    <w:div w:id="13945431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204007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trazeneca.com/our-company.html" TargetMode="External"/><Relationship Id="rId5" Type="http://schemas.openxmlformats.org/officeDocument/2006/relationships/webSettings" Target="webSettings.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A290E-8B80-4AAB-B47A-2E14CAB74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6577</Words>
  <Characters>37493</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2023-11-14T10:07:00Z</dcterms:created>
  <dcterms:modified xsi:type="dcterms:W3CDTF">2023-11-17T14:03:00Z</dcterms:modified>
</cp:coreProperties>
</file>