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61832A" w14:textId="1B4A0A84" w:rsidR="00740775" w:rsidRPr="00917637" w:rsidRDefault="00656B8B" w:rsidP="00656B8B">
      <w:pPr>
        <w:pStyle w:val="Heading1"/>
        <w:jc w:val="center"/>
      </w:pPr>
      <w:r w:rsidRPr="00917637">
        <w:t>Supply Chain Technology and Social Sustainability</w:t>
      </w:r>
    </w:p>
    <w:p w14:paraId="3E633EF4" w14:textId="77777777" w:rsidR="00C715B7" w:rsidRPr="00917637" w:rsidRDefault="00C715B7" w:rsidP="00656B8B"/>
    <w:p w14:paraId="33FD77AA" w14:textId="08197036" w:rsidR="0062443D" w:rsidRPr="00917637" w:rsidRDefault="0062443D" w:rsidP="0062443D">
      <w:pPr>
        <w:jc w:val="center"/>
      </w:pPr>
      <w:r w:rsidRPr="00917637">
        <w:t>Serkan Akin</w:t>
      </w:r>
    </w:p>
    <w:p w14:paraId="3DD31D96" w14:textId="69B49DDA" w:rsidR="0062443D" w:rsidRPr="00917637" w:rsidRDefault="0062443D" w:rsidP="0062443D">
      <w:pPr>
        <w:jc w:val="center"/>
      </w:pPr>
      <w:r w:rsidRPr="00917637">
        <w:t>Pinarbasi Vocational School, Kayseri University, Kayseri/Turkiye</w:t>
      </w:r>
    </w:p>
    <w:p w14:paraId="407D9958" w14:textId="7BE7A7AB" w:rsidR="0062443D" w:rsidRPr="00917637" w:rsidRDefault="0062443D" w:rsidP="0062443D">
      <w:pPr>
        <w:jc w:val="center"/>
      </w:pPr>
      <w:hyperlink r:id="rId5" w:history="1">
        <w:r w:rsidRPr="00917637">
          <w:rPr>
            <w:rStyle w:val="Hyperlink"/>
          </w:rPr>
          <w:t>serkanakin@kayseri.edu.tr</w:t>
        </w:r>
      </w:hyperlink>
      <w:r w:rsidRPr="00917637">
        <w:rPr>
          <w:rStyle w:val="Emphasis"/>
        </w:rPr>
        <w:t xml:space="preserve"> </w:t>
      </w:r>
    </w:p>
    <w:p w14:paraId="3B0E33F4" w14:textId="77777777" w:rsidR="0062443D" w:rsidRPr="00917637" w:rsidRDefault="0062443D" w:rsidP="0062443D">
      <w:pPr>
        <w:jc w:val="center"/>
      </w:pPr>
    </w:p>
    <w:p w14:paraId="6156D6BF" w14:textId="191A7F9A" w:rsidR="0062443D" w:rsidRPr="00917637" w:rsidRDefault="0062443D" w:rsidP="0062443D">
      <w:pPr>
        <w:jc w:val="center"/>
      </w:pPr>
      <w:r w:rsidRPr="00917637">
        <w:t>Berk Kucukaltan</w:t>
      </w:r>
    </w:p>
    <w:p w14:paraId="4D22E3D0" w14:textId="4AFE0006" w:rsidR="0062443D" w:rsidRPr="00917637" w:rsidRDefault="0062443D" w:rsidP="0062443D">
      <w:pPr>
        <w:jc w:val="center"/>
      </w:pPr>
      <w:r w:rsidRPr="00917637">
        <w:t>School of Management, University of Bradford, Bradford/UK</w:t>
      </w:r>
    </w:p>
    <w:p w14:paraId="625901B5" w14:textId="2CDC2D78" w:rsidR="0062443D" w:rsidRPr="00917637" w:rsidRDefault="0062443D" w:rsidP="0062443D">
      <w:pPr>
        <w:jc w:val="center"/>
      </w:pPr>
      <w:hyperlink r:id="rId6" w:history="1">
        <w:r w:rsidRPr="00917637">
          <w:rPr>
            <w:rStyle w:val="Hyperlink"/>
          </w:rPr>
          <w:t>B.Kucukaltan@bradford.ac.uk</w:t>
        </w:r>
      </w:hyperlink>
    </w:p>
    <w:p w14:paraId="3054FE4B" w14:textId="77777777" w:rsidR="0062443D" w:rsidRPr="00917637" w:rsidRDefault="0062443D" w:rsidP="00656B8B"/>
    <w:p w14:paraId="12031276" w14:textId="726FBF19" w:rsidR="00656B8B" w:rsidRPr="00917637" w:rsidRDefault="007C0E6B" w:rsidP="00C715B7">
      <w:pPr>
        <w:pStyle w:val="Heading2"/>
      </w:pPr>
      <w:r w:rsidRPr="00917637">
        <w:t xml:space="preserve">1. </w:t>
      </w:r>
      <w:r w:rsidR="00C715B7" w:rsidRPr="00917637">
        <w:t>Introduction</w:t>
      </w:r>
    </w:p>
    <w:p w14:paraId="6B40B8E8" w14:textId="24442BF9" w:rsidR="00793EA6" w:rsidRPr="00917637" w:rsidRDefault="00793EA6" w:rsidP="0062443D">
      <w:pPr>
        <w:autoSpaceDE w:val="0"/>
        <w:autoSpaceDN w:val="0"/>
        <w:adjustRightInd w:val="0"/>
        <w:spacing w:before="0" w:after="0"/>
      </w:pPr>
      <w:r w:rsidRPr="00917637">
        <w:t>Sustainability is widely known as an umbrella concept incorporating economic, social, and environmental dimensions</w:t>
      </w:r>
      <w:r w:rsidR="0062443D" w:rsidRPr="00917637">
        <w:t xml:space="preserve"> and has become a key priority in businesses to drive long-term success and value creation (Mahroof et al., 2022). </w:t>
      </w:r>
      <w:r w:rsidR="009F6C37" w:rsidRPr="00917637">
        <w:t xml:space="preserve">Technological developments in recent years have intensified the interactions among the pillars of sustainability (Küçükaltan, 2020). </w:t>
      </w:r>
      <w:r w:rsidRPr="00917637">
        <w:t>Yet, in today’s increasingly complex and dynamic supply chain context, sustainability extends beyond economic performance and environmental protection to include broader considerations such as social welfare, human rights, and ethical working conditions (Sadia et al., 2024). Among these dimensions, the social perspective, captured within the concept of social sustainability, has historically been overshadowed by economic and environmental concerns. More recently, however, it has emerged as a critical factor directly influencing supply chain performance and resilience (Zimmermann et al., 2025). Some issues in the social perspective, such as modern slavery, child labor, and unsafe working conditions, particularly prevalent in manufacturing centers within developing economies, are no longer viewed solely as ethical concerns but also as significant sources of reputational and operational risk for firms operating in global supply chains (Jabbour et al., 2024). In response, regulatory initiatives, such as Germany’s Supply Chain Act, have intensified accountability pressures by holding firms responsible not only for their own operations but also for the practices of actors across their supply chains (Winkelmann et al., 2024).</w:t>
      </w:r>
    </w:p>
    <w:p w14:paraId="2D028A6D" w14:textId="359EA69D" w:rsidR="00793EA6" w:rsidRPr="00917637" w:rsidRDefault="00793EA6" w:rsidP="00793EA6">
      <w:pPr>
        <w:pStyle w:val="NormalWeb"/>
      </w:pPr>
      <w:r w:rsidRPr="00917637">
        <w:t>Despite some progress in auditing first-tier suppliers, visibility and access to reliable information decline substantially in deeper tiers of multi-layered supply chains (Zimmermann et al., 2025). This challenge is particularly pronounced in complex and geographically dispersed sectors, such as textiles and apparel, where traceability to raw material sources remains extremely difficult and information asymmetry is widespread. As a result, the literature identifies a phenomenon often referred to as “selective” or “skewed transparency”, whereby firms disclose favorable aspects of their supply chains while obscuring high-risk stages (Colombage &amp; Sedera, 2025). Traditional audit-based approaches have proven insufficient in addressing these limitations, as they struggle to harmonize standards across fragmented supply networks and frequently generate inefficiencies (Wang et al., 2023).</w:t>
      </w:r>
    </w:p>
    <w:p w14:paraId="55855209" w14:textId="77DB3446" w:rsidR="00793EA6" w:rsidRPr="00917637" w:rsidRDefault="00793EA6" w:rsidP="00793EA6">
      <w:pPr>
        <w:pStyle w:val="NormalWeb"/>
      </w:pPr>
      <w:r w:rsidRPr="00917637">
        <w:t xml:space="preserve">Against this backdrop, Industry 4.0 technologies, especially blockchain, the Internet of Things (IoT), and artificial intelligence (AI), offer transformative potential for strengthening social sustainability and reducing information asymmetry in supply chains (Sadia et al., 2024). Blockchain, in particular, can mitigate trust-related challenges by enabling immutable and transparent data recording, thereby facilitating compliance and accountability across multi-tier supply chain structures (Wang et al., 2023). More broadly, digital technologies function not </w:t>
      </w:r>
      <w:r w:rsidRPr="00917637">
        <w:lastRenderedPageBreak/>
        <w:t>only as inspection or integration tools capable of detecting process irregularities, but also as mechanisms that support economic sustainability and contribute to broader social well-being (Dey et al., 2022). By enabling a “single source of truth” across supply chain actors, these technologies enhance data integrity and coordination throughout the network (Colombage &amp; Sedera, 2025).</w:t>
      </w:r>
    </w:p>
    <w:p w14:paraId="76A90652" w14:textId="2B68464D" w:rsidR="00793EA6" w:rsidRPr="00917637" w:rsidRDefault="00793EA6" w:rsidP="00793EA6">
      <w:pPr>
        <w:pStyle w:val="NormalWeb"/>
      </w:pPr>
      <w:r w:rsidRPr="00917637">
        <w:t xml:space="preserve">This study therefore aims to examine the impact of supply chain technologies on social sustainability within a contemporary value-creation paradigm. Unlike prior research that primarily frames digital transformation in terms of operational efficiency, this study conceptualizes technology as a critical instrument for addressing concealed human rights violations—such as modern slavery and child labor—that often persist in the deeper layers of global supply chains. Specifically, it investigates how digital technologies enhance corporate transparency, help resolve the visibility paradox inherent in multi-tier supply chains and strengthen firms’ capacity to manage reputational risk strategically. In doing so, the study positions technology not merely as an operational enabler, but as both a normative signal of corporate social responsibility </w:t>
      </w:r>
      <w:r w:rsidR="00B945AE" w:rsidRPr="00917637">
        <w:t xml:space="preserve">(CSR) </w:t>
      </w:r>
      <w:r w:rsidRPr="00917637">
        <w:t>commitments to stakeholders and an effective governance mechanism that reinforces accountability and ethical supply chain management.</w:t>
      </w:r>
    </w:p>
    <w:p w14:paraId="79D5F3CD" w14:textId="77777777" w:rsidR="002E61D0" w:rsidRPr="00917637" w:rsidRDefault="002E61D0" w:rsidP="00C715B7"/>
    <w:p w14:paraId="799C75C4" w14:textId="77777777" w:rsidR="00AD085F" w:rsidRPr="00917637" w:rsidRDefault="00AD085F" w:rsidP="00656B8B">
      <w:pPr>
        <w:rPr>
          <w:rFonts w:eastAsiaTheme="majorEastAsia" w:cstheme="majorBidi"/>
          <w:b/>
          <w:szCs w:val="32"/>
        </w:rPr>
      </w:pPr>
      <w:r w:rsidRPr="00917637">
        <w:rPr>
          <w:rFonts w:eastAsiaTheme="majorEastAsia" w:cstheme="majorBidi"/>
          <w:b/>
          <w:szCs w:val="32"/>
        </w:rPr>
        <w:t>2. Literature Review and Theoretical Framework</w:t>
      </w:r>
    </w:p>
    <w:p w14:paraId="1BAB7178" w14:textId="1B2CCF2E" w:rsidR="00F34AF6" w:rsidRPr="00917637" w:rsidRDefault="00F34AF6" w:rsidP="00656B8B">
      <w:r w:rsidRPr="00917637">
        <w:t>This section presents the Dynamic Capabilities Perspective, Signal Theory, Agency Theory, and Complementarity Theory as theoretical frameworks to explain the impact of supply chain technologies on social sustainability. These theoretical approaches argue that technology is not merely an operational tool but also builds a structure that enhances companies' capacity to adapt to environmental uncertainties while facilitating the establishment of secure and formal relationships with stakeholders. This creates a strategic mechanism that improves corporate decision-making processes by reducing managerial asymmetries.</w:t>
      </w:r>
    </w:p>
    <w:p w14:paraId="0DBB6182" w14:textId="11082C2B" w:rsidR="00BB4059" w:rsidRPr="00917637" w:rsidRDefault="00BB4059" w:rsidP="00656B8B">
      <w:pPr>
        <w:rPr>
          <w:b/>
          <w:bCs/>
        </w:rPr>
      </w:pPr>
      <w:r w:rsidRPr="00917637">
        <w:rPr>
          <w:b/>
          <w:bCs/>
        </w:rPr>
        <w:t>2.1. Methodological Approach &amp; Theory Selection</w:t>
      </w:r>
    </w:p>
    <w:p w14:paraId="38C21D13" w14:textId="0E83020B" w:rsidR="00BB4059" w:rsidRPr="00917637" w:rsidRDefault="00BB4059" w:rsidP="00BB4059">
      <w:r w:rsidRPr="00917637">
        <w:t>Th</w:t>
      </w:r>
      <w:r w:rsidR="00EC32A0" w:rsidRPr="00917637">
        <w:t>e</w:t>
      </w:r>
      <w:r w:rsidRPr="00917637">
        <w:t xml:space="preserve"> study adopts </w:t>
      </w:r>
      <w:r w:rsidR="00EC32A0" w:rsidRPr="00917637">
        <w:t>structured</w:t>
      </w:r>
      <w:r w:rsidRPr="00917637">
        <w:t xml:space="preserve"> </w:t>
      </w:r>
      <w:r w:rsidR="00EC32A0" w:rsidRPr="00917637">
        <w:t>l</w:t>
      </w:r>
      <w:r w:rsidRPr="00917637">
        <w:t xml:space="preserve">iterature </w:t>
      </w:r>
      <w:r w:rsidR="00EC32A0" w:rsidRPr="00917637">
        <w:t>r</w:t>
      </w:r>
      <w:r w:rsidRPr="00917637">
        <w:t xml:space="preserve">eview and </w:t>
      </w:r>
      <w:r w:rsidR="00EC32A0" w:rsidRPr="00917637">
        <w:t>c</w:t>
      </w:r>
      <w:r w:rsidRPr="00917637">
        <w:t xml:space="preserve">onceptual </w:t>
      </w:r>
      <w:r w:rsidR="00EC32A0" w:rsidRPr="00917637">
        <w:t>f</w:t>
      </w:r>
      <w:r w:rsidRPr="00917637">
        <w:t xml:space="preserve">ramework </w:t>
      </w:r>
      <w:r w:rsidR="00EC32A0" w:rsidRPr="00917637">
        <w:t>d</w:t>
      </w:r>
      <w:r w:rsidRPr="00917637">
        <w:t xml:space="preserve">evelopment methods to examine the relationship between supply chain technologies and social sustainability. The primary objective of the research is to uncover technological solution mechanisms for human rights violations </w:t>
      </w:r>
      <w:r w:rsidR="00EC32A0" w:rsidRPr="00917637">
        <w:t xml:space="preserve">(e.g. modern slavery and child labor) </w:t>
      </w:r>
      <w:r w:rsidRPr="00917637">
        <w:t>that are often hidden. To this end, a transparent search strategy was followed using high-impact databases such as Web of Science and Scopus. Reflecting the topicality of the subject, the research scope included 33 key sources focusing on the period 2018-2025 and containing the keywords Social Sustainability, Modern Slavery, Child Labor, Supply Chain Visibility, and Digital Transformation. The prevalence of studies published in 2024 and 2025 (Arhinful et al., 2025; Colombage &amp; Sedera, 2025; Zimmermann et al., 2025) is particularly important in capturing the rapidly changing nature of technology and the impact of new legal regulations. The literature review shows that the theories used to explain social sustainability issues are diverse</w:t>
      </w:r>
      <w:r w:rsidR="00EC32A0" w:rsidRPr="00917637">
        <w:t xml:space="preserve"> and </w:t>
      </w:r>
      <w:r w:rsidRPr="00917637">
        <w:t>there is still no consensus in the literature on how to detect hidden violations. To fill this gap and explain the theoretical basis of the study, seven dominant theories in the field were subjected to a systematic benchmarking</w:t>
      </w:r>
      <w:r w:rsidR="00EC32A0" w:rsidRPr="00917637">
        <w:t>, as illustrated in Table 1</w:t>
      </w:r>
      <w:r w:rsidRPr="00917637">
        <w:t>.</w:t>
      </w:r>
    </w:p>
    <w:p w14:paraId="27430904" w14:textId="77777777" w:rsidR="00BB4059" w:rsidRPr="00917637" w:rsidRDefault="00BB4059" w:rsidP="00BB4059"/>
    <w:p w14:paraId="3B089286" w14:textId="77777777" w:rsidR="00BB4059" w:rsidRPr="00917637" w:rsidRDefault="00BB4059" w:rsidP="00BB4059">
      <w:pPr>
        <w:pStyle w:val="Caption"/>
        <w:keepNext/>
        <w:rPr>
          <w:i w:val="0"/>
          <w:iCs w:val="0"/>
          <w:color w:val="auto"/>
          <w:sz w:val="24"/>
          <w:szCs w:val="24"/>
        </w:rPr>
      </w:pPr>
      <w:r w:rsidRPr="00917637">
        <w:rPr>
          <w:b/>
          <w:bCs/>
          <w:i w:val="0"/>
          <w:iCs w:val="0"/>
          <w:color w:val="auto"/>
          <w:sz w:val="24"/>
          <w:szCs w:val="24"/>
        </w:rPr>
        <w:t xml:space="preserve">Table </w:t>
      </w:r>
      <w:r w:rsidRPr="00917637">
        <w:rPr>
          <w:b/>
          <w:bCs/>
          <w:i w:val="0"/>
          <w:iCs w:val="0"/>
          <w:color w:val="auto"/>
          <w:sz w:val="24"/>
          <w:szCs w:val="24"/>
        </w:rPr>
        <w:fldChar w:fldCharType="begin"/>
      </w:r>
      <w:r w:rsidRPr="00917637">
        <w:rPr>
          <w:b/>
          <w:bCs/>
          <w:i w:val="0"/>
          <w:iCs w:val="0"/>
          <w:color w:val="auto"/>
          <w:sz w:val="24"/>
          <w:szCs w:val="24"/>
        </w:rPr>
        <w:instrText xml:space="preserve"> SEQ Table \* ARABIC </w:instrText>
      </w:r>
      <w:r w:rsidRPr="00917637">
        <w:rPr>
          <w:b/>
          <w:bCs/>
          <w:i w:val="0"/>
          <w:iCs w:val="0"/>
          <w:color w:val="auto"/>
          <w:sz w:val="24"/>
          <w:szCs w:val="24"/>
        </w:rPr>
        <w:fldChar w:fldCharType="separate"/>
      </w:r>
      <w:r w:rsidRPr="00917637">
        <w:rPr>
          <w:b/>
          <w:bCs/>
          <w:i w:val="0"/>
          <w:iCs w:val="0"/>
          <w:noProof/>
          <w:color w:val="auto"/>
          <w:sz w:val="24"/>
          <w:szCs w:val="24"/>
        </w:rPr>
        <w:t>1</w:t>
      </w:r>
      <w:r w:rsidRPr="00917637">
        <w:rPr>
          <w:b/>
          <w:bCs/>
          <w:i w:val="0"/>
          <w:iCs w:val="0"/>
          <w:color w:val="auto"/>
          <w:sz w:val="24"/>
          <w:szCs w:val="24"/>
        </w:rPr>
        <w:fldChar w:fldCharType="end"/>
      </w:r>
      <w:r w:rsidRPr="00917637">
        <w:rPr>
          <w:b/>
          <w:bCs/>
          <w:i w:val="0"/>
          <w:iCs w:val="0"/>
          <w:color w:val="auto"/>
          <w:sz w:val="24"/>
          <w:szCs w:val="24"/>
        </w:rPr>
        <w:t>.</w:t>
      </w:r>
      <w:r w:rsidRPr="00917637">
        <w:rPr>
          <w:i w:val="0"/>
          <w:iCs w:val="0"/>
          <w:color w:val="auto"/>
          <w:sz w:val="24"/>
          <w:szCs w:val="24"/>
        </w:rPr>
        <w:t xml:space="preserve"> Comparing Relevant Theories for Digital Social Sustainability</w:t>
      </w:r>
    </w:p>
    <w:tbl>
      <w:tblPr>
        <w:tblStyle w:val="TableGrid"/>
        <w:tblW w:w="9181" w:type="dxa"/>
        <w:tblLook w:val="04A0" w:firstRow="1" w:lastRow="0" w:firstColumn="1" w:lastColumn="0" w:noHBand="0" w:noVBand="1"/>
      </w:tblPr>
      <w:tblGrid>
        <w:gridCol w:w="1376"/>
        <w:gridCol w:w="1763"/>
        <w:gridCol w:w="1543"/>
        <w:gridCol w:w="2742"/>
        <w:gridCol w:w="1757"/>
      </w:tblGrid>
      <w:tr w:rsidR="005C17A7" w:rsidRPr="00917637" w14:paraId="77504698" w14:textId="77777777" w:rsidTr="005C17A7">
        <w:trPr>
          <w:trHeight w:val="487"/>
        </w:trPr>
        <w:tc>
          <w:tcPr>
            <w:tcW w:w="1376" w:type="dxa"/>
            <w:vAlign w:val="bottom"/>
          </w:tcPr>
          <w:p w14:paraId="52E9FCDD" w14:textId="77777777" w:rsidR="00BB4059" w:rsidRPr="00917637" w:rsidRDefault="00BB4059" w:rsidP="00E179E9">
            <w:pPr>
              <w:rPr>
                <w:rFonts w:cs="Times New Roman"/>
              </w:rPr>
            </w:pPr>
            <w:r w:rsidRPr="00917637">
              <w:rPr>
                <w:rFonts w:cs="Times New Roman"/>
                <w:b/>
                <w:bCs/>
                <w:color w:val="000000"/>
              </w:rPr>
              <w:t>Theory</w:t>
            </w:r>
          </w:p>
        </w:tc>
        <w:tc>
          <w:tcPr>
            <w:tcW w:w="1763" w:type="dxa"/>
            <w:vAlign w:val="bottom"/>
          </w:tcPr>
          <w:p w14:paraId="7596907C" w14:textId="77777777" w:rsidR="00BB4059" w:rsidRPr="00917637" w:rsidRDefault="00BB4059" w:rsidP="00E179E9">
            <w:pPr>
              <w:rPr>
                <w:rFonts w:cs="Times New Roman"/>
              </w:rPr>
            </w:pPr>
            <w:r w:rsidRPr="00917637">
              <w:rPr>
                <w:rFonts w:cs="Times New Roman"/>
                <w:b/>
                <w:bCs/>
                <w:color w:val="000000"/>
              </w:rPr>
              <w:t>Primary Focus</w:t>
            </w:r>
          </w:p>
        </w:tc>
        <w:tc>
          <w:tcPr>
            <w:tcW w:w="1543" w:type="dxa"/>
            <w:vAlign w:val="bottom"/>
          </w:tcPr>
          <w:p w14:paraId="2C31DBF6" w14:textId="77777777" w:rsidR="00BB4059" w:rsidRPr="00917637" w:rsidRDefault="00BB4059" w:rsidP="00E179E9">
            <w:pPr>
              <w:rPr>
                <w:rFonts w:cs="Times New Roman"/>
              </w:rPr>
            </w:pPr>
            <w:r w:rsidRPr="00917637">
              <w:rPr>
                <w:rFonts w:cs="Times New Roman"/>
                <w:b/>
                <w:bCs/>
                <w:color w:val="000000"/>
              </w:rPr>
              <w:t>View of Technology</w:t>
            </w:r>
          </w:p>
        </w:tc>
        <w:tc>
          <w:tcPr>
            <w:tcW w:w="2742" w:type="dxa"/>
            <w:vAlign w:val="bottom"/>
          </w:tcPr>
          <w:p w14:paraId="0FD02A09" w14:textId="77777777" w:rsidR="00BB4059" w:rsidRPr="00917637" w:rsidRDefault="00BB4059" w:rsidP="00E179E9">
            <w:pPr>
              <w:rPr>
                <w:rFonts w:cs="Times New Roman"/>
              </w:rPr>
            </w:pPr>
            <w:r w:rsidRPr="00917637">
              <w:rPr>
                <w:rFonts w:cs="Times New Roman"/>
                <w:b/>
                <w:bCs/>
                <w:color w:val="000000"/>
              </w:rPr>
              <w:t>Limitation in the Context of This Study</w:t>
            </w:r>
          </w:p>
        </w:tc>
        <w:tc>
          <w:tcPr>
            <w:tcW w:w="1757" w:type="dxa"/>
            <w:vAlign w:val="center"/>
          </w:tcPr>
          <w:p w14:paraId="3FE9618D" w14:textId="77777777" w:rsidR="00BB4059" w:rsidRPr="00917637" w:rsidRDefault="00BB4059" w:rsidP="00E179E9">
            <w:pPr>
              <w:rPr>
                <w:rFonts w:cs="Times New Roman"/>
              </w:rPr>
            </w:pPr>
            <w:r w:rsidRPr="00917637">
              <w:rPr>
                <w:rFonts w:cs="Times New Roman"/>
                <w:b/>
                <w:bCs/>
                <w:color w:val="000000"/>
              </w:rPr>
              <w:t>Rationale for Inclusion or Exclusion</w:t>
            </w:r>
          </w:p>
        </w:tc>
      </w:tr>
      <w:tr w:rsidR="005C17A7" w:rsidRPr="00917637" w14:paraId="654B6234" w14:textId="77777777" w:rsidTr="005C17A7">
        <w:trPr>
          <w:trHeight w:val="850"/>
        </w:trPr>
        <w:tc>
          <w:tcPr>
            <w:tcW w:w="1376" w:type="dxa"/>
            <w:vAlign w:val="center"/>
          </w:tcPr>
          <w:p w14:paraId="5DB13665" w14:textId="77777777" w:rsidR="00BB4059" w:rsidRPr="00917637" w:rsidRDefault="00BB4059" w:rsidP="00E179E9">
            <w:pPr>
              <w:rPr>
                <w:rFonts w:cs="Times New Roman"/>
              </w:rPr>
            </w:pPr>
            <w:r w:rsidRPr="00917637">
              <w:rPr>
                <w:rFonts w:cs="Times New Roman"/>
                <w:color w:val="000000"/>
              </w:rPr>
              <w:lastRenderedPageBreak/>
              <w:t>Agency Theory</w:t>
            </w:r>
          </w:p>
        </w:tc>
        <w:tc>
          <w:tcPr>
            <w:tcW w:w="1763" w:type="dxa"/>
            <w:vAlign w:val="center"/>
          </w:tcPr>
          <w:p w14:paraId="7280A039" w14:textId="77777777" w:rsidR="00BB4059" w:rsidRPr="00917637" w:rsidRDefault="00BB4059" w:rsidP="00E179E9">
            <w:pPr>
              <w:rPr>
                <w:rFonts w:cs="Times New Roman"/>
              </w:rPr>
            </w:pPr>
            <w:r w:rsidRPr="00917637">
              <w:rPr>
                <w:rFonts w:cs="Times New Roman"/>
                <w:color w:val="000000"/>
              </w:rPr>
              <w:t>Conflict of Interest and Control</w:t>
            </w:r>
          </w:p>
        </w:tc>
        <w:tc>
          <w:tcPr>
            <w:tcW w:w="1543" w:type="dxa"/>
            <w:vAlign w:val="center"/>
          </w:tcPr>
          <w:p w14:paraId="4B8F9B40" w14:textId="339FAF32" w:rsidR="00BB4059" w:rsidRPr="00917637" w:rsidRDefault="00BB4059" w:rsidP="00E179E9">
            <w:pPr>
              <w:rPr>
                <w:rFonts w:cs="Times New Roman"/>
              </w:rPr>
            </w:pPr>
            <w:r w:rsidRPr="00917637">
              <w:rPr>
                <w:rFonts w:cs="Times New Roman"/>
              </w:rPr>
              <w:t>A mechanism that reduces monitoring costs and mitigates moral hazard</w:t>
            </w:r>
            <w:r w:rsidR="00EC32A0" w:rsidRPr="00917637">
              <w:rPr>
                <w:rFonts w:cs="Times New Roman"/>
              </w:rPr>
              <w:t>.</w:t>
            </w:r>
          </w:p>
        </w:tc>
        <w:tc>
          <w:tcPr>
            <w:tcW w:w="2742" w:type="dxa"/>
            <w:vAlign w:val="center"/>
          </w:tcPr>
          <w:p w14:paraId="5F43B97E" w14:textId="64D5B7E8" w:rsidR="00BB4059" w:rsidRPr="00917637" w:rsidRDefault="00BB4059" w:rsidP="00E179E9">
            <w:pPr>
              <w:rPr>
                <w:rFonts w:cs="Times New Roman"/>
              </w:rPr>
            </w:pPr>
            <w:r w:rsidRPr="00917637">
              <w:rPr>
                <w:rFonts w:cs="Times New Roman"/>
              </w:rPr>
              <w:t xml:space="preserve">It focuses primarily on “control” and </w:t>
            </w:r>
            <w:r w:rsidR="00A469D6" w:rsidRPr="00917637">
              <w:rPr>
                <w:rFonts w:cs="Times New Roman"/>
              </w:rPr>
              <w:t>focuses narrowly on shareholders (principal-agent) by overlooking broader stakeholders (employees, community) and neglecting systemic societal barriers.</w:t>
            </w:r>
          </w:p>
          <w:p w14:paraId="44300F68" w14:textId="77777777" w:rsidR="00BB4059" w:rsidRPr="00917637" w:rsidRDefault="00BB4059" w:rsidP="00E179E9">
            <w:pPr>
              <w:rPr>
                <w:rFonts w:cs="Times New Roman"/>
              </w:rPr>
            </w:pPr>
          </w:p>
        </w:tc>
        <w:tc>
          <w:tcPr>
            <w:tcW w:w="1757" w:type="dxa"/>
          </w:tcPr>
          <w:p w14:paraId="02CBF38F" w14:textId="77777777" w:rsidR="00BB4059" w:rsidRPr="00917637" w:rsidRDefault="00BB4059" w:rsidP="00E179E9">
            <w:pPr>
              <w:rPr>
                <w:rFonts w:cs="Times New Roman"/>
              </w:rPr>
            </w:pPr>
            <w:r w:rsidRPr="00917637">
              <w:rPr>
                <w:rFonts w:cs="Times New Roman"/>
              </w:rPr>
              <w:t>Selected (Governance): It can reveal suppliers' hidden actions, such as child labor, and demonstrate how technology can serve as a monitoring mechanism (Chaudhuri et al., 2023; Lotfi &amp; Pisa, 2024).</w:t>
            </w:r>
          </w:p>
        </w:tc>
      </w:tr>
      <w:tr w:rsidR="005C17A7" w:rsidRPr="00917637" w14:paraId="7CD1C459" w14:textId="77777777" w:rsidTr="005C17A7">
        <w:trPr>
          <w:trHeight w:val="1451"/>
        </w:trPr>
        <w:tc>
          <w:tcPr>
            <w:tcW w:w="1376" w:type="dxa"/>
            <w:vAlign w:val="center"/>
          </w:tcPr>
          <w:p w14:paraId="18035A02" w14:textId="77777777" w:rsidR="00BB4059" w:rsidRPr="00917637" w:rsidRDefault="00BB4059" w:rsidP="00E179E9">
            <w:pPr>
              <w:rPr>
                <w:rFonts w:cs="Times New Roman"/>
              </w:rPr>
            </w:pPr>
            <w:r w:rsidRPr="00917637">
              <w:rPr>
                <w:rFonts w:cs="Times New Roman"/>
                <w:color w:val="000000"/>
              </w:rPr>
              <w:t>Signaling Theory</w:t>
            </w:r>
          </w:p>
        </w:tc>
        <w:tc>
          <w:tcPr>
            <w:tcW w:w="1763" w:type="dxa"/>
            <w:vAlign w:val="center"/>
          </w:tcPr>
          <w:p w14:paraId="53A0C588" w14:textId="77777777" w:rsidR="00BB4059" w:rsidRPr="00917637" w:rsidRDefault="00BB4059" w:rsidP="00B16512">
            <w:pPr>
              <w:spacing w:before="0" w:after="0"/>
              <w:rPr>
                <w:rFonts w:cs="Times New Roman"/>
              </w:rPr>
            </w:pPr>
            <w:r w:rsidRPr="00917637">
              <w:rPr>
                <w:rFonts w:cs="Times New Roman"/>
                <w:color w:val="000000"/>
              </w:rPr>
              <w:t>Information Asymmetry and Communication</w:t>
            </w:r>
          </w:p>
        </w:tc>
        <w:tc>
          <w:tcPr>
            <w:tcW w:w="1543" w:type="dxa"/>
            <w:vAlign w:val="center"/>
          </w:tcPr>
          <w:p w14:paraId="59C6E532" w14:textId="77777777" w:rsidR="00BB4059" w:rsidRPr="00917637" w:rsidRDefault="00BB4059" w:rsidP="00E179E9">
            <w:pPr>
              <w:rPr>
                <w:rFonts w:cs="Times New Roman"/>
              </w:rPr>
            </w:pPr>
            <w:r w:rsidRPr="00917637">
              <w:rPr>
                <w:rFonts w:cs="Times New Roman"/>
              </w:rPr>
              <w:t>A tool for sending credible signals of ethical behavior to the market.</w:t>
            </w:r>
          </w:p>
        </w:tc>
        <w:tc>
          <w:tcPr>
            <w:tcW w:w="2742" w:type="dxa"/>
            <w:vAlign w:val="center"/>
          </w:tcPr>
          <w:p w14:paraId="3E53937E" w14:textId="77777777" w:rsidR="00BB4059" w:rsidRPr="00917637" w:rsidRDefault="00BB4059" w:rsidP="00E179E9">
            <w:pPr>
              <w:rPr>
                <w:rFonts w:cs="Times New Roman"/>
              </w:rPr>
            </w:pPr>
            <w:r w:rsidRPr="00917637">
              <w:rPr>
                <w:rFonts w:cs="Times New Roman"/>
              </w:rPr>
              <w:t>It focuses on communication, neglecting how risk is managed operationally.</w:t>
            </w:r>
          </w:p>
        </w:tc>
        <w:tc>
          <w:tcPr>
            <w:tcW w:w="1757" w:type="dxa"/>
          </w:tcPr>
          <w:p w14:paraId="274E2AEE" w14:textId="77777777" w:rsidR="00BB4059" w:rsidRPr="00917637" w:rsidRDefault="00BB4059" w:rsidP="00E179E9">
            <w:pPr>
              <w:rPr>
                <w:rFonts w:cs="Times New Roman"/>
              </w:rPr>
            </w:pPr>
            <w:r w:rsidRPr="00917637">
              <w:rPr>
                <w:rFonts w:cs="Times New Roman"/>
              </w:rPr>
              <w:t>Selected (Market): It is necessary to explain how compliant companies differentiate themselves from those engaging in greenwashing and build their reputation (Arhinful et al., 2025; Colombage &amp; Sedera, 2025).</w:t>
            </w:r>
          </w:p>
        </w:tc>
      </w:tr>
      <w:tr w:rsidR="005C17A7" w:rsidRPr="00917637" w14:paraId="35D84534" w14:textId="77777777" w:rsidTr="005C17A7">
        <w:trPr>
          <w:trHeight w:val="1708"/>
        </w:trPr>
        <w:tc>
          <w:tcPr>
            <w:tcW w:w="1376" w:type="dxa"/>
            <w:vAlign w:val="center"/>
          </w:tcPr>
          <w:p w14:paraId="16668D03" w14:textId="5253EBDC" w:rsidR="00BB4059" w:rsidRPr="00917637" w:rsidRDefault="00BB4059" w:rsidP="00E179E9">
            <w:pPr>
              <w:rPr>
                <w:rFonts w:cs="Times New Roman"/>
              </w:rPr>
            </w:pPr>
            <w:r w:rsidRPr="00917637">
              <w:rPr>
                <w:rFonts w:cs="Times New Roman"/>
                <w:color w:val="000000"/>
              </w:rPr>
              <w:t>Dynamic Capabilities</w:t>
            </w:r>
            <w:r w:rsidR="00CA476C" w:rsidRPr="00917637">
              <w:rPr>
                <w:rFonts w:cs="Times New Roman"/>
                <w:color w:val="000000"/>
              </w:rPr>
              <w:t xml:space="preserve"> (DC)</w:t>
            </w:r>
            <w:r w:rsidRPr="00917637">
              <w:rPr>
                <w:rFonts w:cs="Times New Roman"/>
                <w:color w:val="000000"/>
              </w:rPr>
              <w:t xml:space="preserve"> Theory</w:t>
            </w:r>
          </w:p>
        </w:tc>
        <w:tc>
          <w:tcPr>
            <w:tcW w:w="1763" w:type="dxa"/>
            <w:vAlign w:val="center"/>
          </w:tcPr>
          <w:p w14:paraId="773C572C" w14:textId="77777777" w:rsidR="00BB4059" w:rsidRPr="00917637" w:rsidRDefault="00BB4059" w:rsidP="00E179E9">
            <w:pPr>
              <w:rPr>
                <w:rFonts w:cs="Times New Roman"/>
              </w:rPr>
            </w:pPr>
            <w:r w:rsidRPr="00917637">
              <w:rPr>
                <w:rFonts w:cs="Times New Roman"/>
                <w:color w:val="000000"/>
              </w:rPr>
              <w:t>Adaptation and Sensing</w:t>
            </w:r>
          </w:p>
        </w:tc>
        <w:tc>
          <w:tcPr>
            <w:tcW w:w="1543" w:type="dxa"/>
            <w:vAlign w:val="center"/>
          </w:tcPr>
          <w:p w14:paraId="60E91DD5" w14:textId="77777777" w:rsidR="00BB4059" w:rsidRPr="00917637" w:rsidRDefault="00BB4059" w:rsidP="00E179E9">
            <w:pPr>
              <w:rPr>
                <w:rFonts w:cs="Times New Roman"/>
              </w:rPr>
            </w:pPr>
            <w:r w:rsidRPr="00917637">
              <w:rPr>
                <w:rFonts w:cs="Times New Roman"/>
              </w:rPr>
              <w:t>The capability to sense risks (via AI/Big Data) and seize emerging opportunities.</w:t>
            </w:r>
          </w:p>
          <w:p w14:paraId="6A2A4F1D" w14:textId="77777777" w:rsidR="00BB4059" w:rsidRPr="00917637" w:rsidRDefault="00BB4059" w:rsidP="00E179E9">
            <w:pPr>
              <w:jc w:val="center"/>
              <w:rPr>
                <w:rFonts w:cs="Times New Roman"/>
              </w:rPr>
            </w:pPr>
          </w:p>
        </w:tc>
        <w:tc>
          <w:tcPr>
            <w:tcW w:w="2742" w:type="dxa"/>
            <w:vAlign w:val="center"/>
          </w:tcPr>
          <w:p w14:paraId="742A0A76" w14:textId="77777777" w:rsidR="00BB4059" w:rsidRPr="00917637" w:rsidRDefault="00BB4059" w:rsidP="00E179E9">
            <w:pPr>
              <w:rPr>
                <w:rFonts w:cs="Times New Roman"/>
              </w:rPr>
            </w:pPr>
            <w:r w:rsidRPr="00917637">
              <w:rPr>
                <w:rFonts w:cs="Times New Roman"/>
              </w:rPr>
              <w:t>It focuses on internal capabilities, neglecting the power dynamics between buyer and supplier.</w:t>
            </w:r>
          </w:p>
        </w:tc>
        <w:tc>
          <w:tcPr>
            <w:tcW w:w="1757" w:type="dxa"/>
          </w:tcPr>
          <w:p w14:paraId="0BE04589" w14:textId="1CFBEBFF" w:rsidR="00BB4059" w:rsidRPr="00917637" w:rsidRDefault="00BB4059" w:rsidP="00E179E9">
            <w:pPr>
              <w:rPr>
                <w:rFonts w:cs="Times New Roman"/>
              </w:rPr>
            </w:pPr>
            <w:r w:rsidRPr="00917637">
              <w:rPr>
                <w:rFonts w:cs="Times New Roman"/>
              </w:rPr>
              <w:t>Selected (Operational): It is important to explain how companies use</w:t>
            </w:r>
            <w:r w:rsidR="00A469D6" w:rsidRPr="00917637">
              <w:rPr>
                <w:rFonts w:cs="Times New Roman"/>
              </w:rPr>
              <w:t xml:space="preserve"> resources (e.g.</w:t>
            </w:r>
            <w:r w:rsidRPr="00917637">
              <w:rPr>
                <w:rFonts w:cs="Times New Roman"/>
              </w:rPr>
              <w:t xml:space="preserve"> </w:t>
            </w:r>
            <w:r w:rsidR="00A469D6" w:rsidRPr="00917637">
              <w:rPr>
                <w:rFonts w:cs="Times New Roman"/>
              </w:rPr>
              <w:t>AI)</w:t>
            </w:r>
            <w:r w:rsidRPr="00917637">
              <w:rPr>
                <w:rFonts w:cs="Times New Roman"/>
              </w:rPr>
              <w:t xml:space="preserve"> </w:t>
            </w:r>
            <w:r w:rsidR="00A469D6" w:rsidRPr="00917637">
              <w:rPr>
                <w:rFonts w:cs="Times New Roman"/>
              </w:rPr>
              <w:t xml:space="preserve">and capabilities </w:t>
            </w:r>
            <w:r w:rsidRPr="00917637">
              <w:rPr>
                <w:rFonts w:cs="Times New Roman"/>
              </w:rPr>
              <w:t>to detect complex risks such as modern slavery (the mechanism) (Meier et al., 2023; Benzidia et al., 2021).</w:t>
            </w:r>
          </w:p>
        </w:tc>
      </w:tr>
      <w:tr w:rsidR="005C17A7" w:rsidRPr="00917637" w14:paraId="2791CF88" w14:textId="77777777" w:rsidTr="005C17A7">
        <w:trPr>
          <w:trHeight w:val="1133"/>
        </w:trPr>
        <w:tc>
          <w:tcPr>
            <w:tcW w:w="1376" w:type="dxa"/>
            <w:vAlign w:val="center"/>
          </w:tcPr>
          <w:p w14:paraId="44E3AAB7" w14:textId="2696FE62" w:rsidR="00BB4059" w:rsidRPr="00917637" w:rsidRDefault="00BB4059" w:rsidP="00E179E9">
            <w:pPr>
              <w:rPr>
                <w:rFonts w:cs="Times New Roman"/>
              </w:rPr>
            </w:pPr>
            <w:r w:rsidRPr="00917637">
              <w:rPr>
                <w:rFonts w:cs="Times New Roman"/>
                <w:color w:val="000000"/>
              </w:rPr>
              <w:lastRenderedPageBreak/>
              <w:t>Resource-Based View</w:t>
            </w:r>
            <w:r w:rsidR="00CA476C" w:rsidRPr="00917637">
              <w:rPr>
                <w:rFonts w:cs="Times New Roman"/>
                <w:color w:val="000000"/>
              </w:rPr>
              <w:t xml:space="preserve"> (RBV)</w:t>
            </w:r>
          </w:p>
        </w:tc>
        <w:tc>
          <w:tcPr>
            <w:tcW w:w="1763" w:type="dxa"/>
            <w:vAlign w:val="center"/>
          </w:tcPr>
          <w:p w14:paraId="6D190B9D" w14:textId="77777777" w:rsidR="00BB4059" w:rsidRPr="00917637" w:rsidRDefault="00BB4059" w:rsidP="00E179E9">
            <w:pPr>
              <w:rPr>
                <w:rFonts w:cs="Times New Roman"/>
              </w:rPr>
            </w:pPr>
            <w:r w:rsidRPr="00917637">
              <w:rPr>
                <w:rFonts w:cs="Times New Roman"/>
                <w:color w:val="000000"/>
              </w:rPr>
              <w:t>Internal Competencies and Advantages</w:t>
            </w:r>
          </w:p>
        </w:tc>
        <w:tc>
          <w:tcPr>
            <w:tcW w:w="1543" w:type="dxa"/>
            <w:vAlign w:val="center"/>
          </w:tcPr>
          <w:p w14:paraId="74DF7DC5" w14:textId="77777777" w:rsidR="00BB4059" w:rsidRPr="00917637" w:rsidRDefault="00BB4059" w:rsidP="00E179E9">
            <w:pPr>
              <w:rPr>
                <w:rFonts w:cs="Times New Roman"/>
              </w:rPr>
            </w:pPr>
            <w:r w:rsidRPr="00917637">
              <w:rPr>
                <w:rFonts w:cs="Times New Roman"/>
              </w:rPr>
              <w:t>A strategic resource that provides competitive advantage (VRIN).</w:t>
            </w:r>
          </w:p>
        </w:tc>
        <w:tc>
          <w:tcPr>
            <w:tcW w:w="2742" w:type="dxa"/>
            <w:vAlign w:val="center"/>
          </w:tcPr>
          <w:p w14:paraId="3CE8D299" w14:textId="7C54D627" w:rsidR="00BB4059" w:rsidRPr="00917637" w:rsidRDefault="00BB4059" w:rsidP="00E179E9">
            <w:pPr>
              <w:rPr>
                <w:rFonts w:cs="Times New Roman"/>
              </w:rPr>
            </w:pPr>
            <w:r w:rsidRPr="00917637">
              <w:rPr>
                <w:rFonts w:cs="Times New Roman"/>
              </w:rPr>
              <w:t>It explains the “profit/performance” relationship</w:t>
            </w:r>
            <w:r w:rsidR="00A469D6" w:rsidRPr="00917637">
              <w:rPr>
                <w:rFonts w:cs="Times New Roman"/>
              </w:rPr>
              <w:t xml:space="preserve"> from a tangible perspective,</w:t>
            </w:r>
            <w:r w:rsidRPr="00917637">
              <w:rPr>
                <w:rFonts w:cs="Times New Roman"/>
              </w:rPr>
              <w:t xml:space="preserve"> but neglect</w:t>
            </w:r>
            <w:r w:rsidR="00A469D6" w:rsidRPr="00917637">
              <w:rPr>
                <w:rFonts w:cs="Times New Roman"/>
              </w:rPr>
              <w:t xml:space="preserve">ing complex, intangible social factors (e.g. stakeholder relations, ethical culture, community impact,  and </w:t>
            </w:r>
            <w:r w:rsidRPr="00917637">
              <w:rPr>
                <w:rFonts w:cs="Times New Roman"/>
              </w:rPr>
              <w:t>“fraud/cheating” issues</w:t>
            </w:r>
            <w:r w:rsidR="00A469D6" w:rsidRPr="00917637">
              <w:rPr>
                <w:rFonts w:cs="Times New Roman"/>
              </w:rPr>
              <w:t>)</w:t>
            </w:r>
            <w:r w:rsidRPr="00917637">
              <w:rPr>
                <w:rFonts w:cs="Times New Roman"/>
              </w:rPr>
              <w:t xml:space="preserve"> at lower levels.</w:t>
            </w:r>
          </w:p>
        </w:tc>
        <w:tc>
          <w:tcPr>
            <w:tcW w:w="1757" w:type="dxa"/>
          </w:tcPr>
          <w:p w14:paraId="4AE3FDF0" w14:textId="45519CF3" w:rsidR="00BB4059" w:rsidRPr="00917637" w:rsidRDefault="00BB4059" w:rsidP="00E179E9">
            <w:pPr>
              <w:rPr>
                <w:rFonts w:cs="Times New Roman"/>
              </w:rPr>
            </w:pPr>
            <w:r w:rsidRPr="00917637">
              <w:rPr>
                <w:rFonts w:cs="Times New Roman"/>
              </w:rPr>
              <w:t>Not Selected (Primarily): Although used for performance by Green et al. (201</w:t>
            </w:r>
            <w:r w:rsidR="00775E80" w:rsidRPr="00917637">
              <w:rPr>
                <w:rFonts w:cs="Times New Roman"/>
              </w:rPr>
              <w:t>9</w:t>
            </w:r>
            <w:r w:rsidRPr="00917637">
              <w:rPr>
                <w:rFonts w:cs="Times New Roman"/>
              </w:rPr>
              <w:t>), it has been deemed insufficient for explaining “trust gaps” and “blind spots” in multi-tiered chains.</w:t>
            </w:r>
          </w:p>
        </w:tc>
      </w:tr>
      <w:tr w:rsidR="005C17A7" w:rsidRPr="00917637" w14:paraId="261A4F56" w14:textId="77777777" w:rsidTr="005C17A7">
        <w:trPr>
          <w:trHeight w:val="1451"/>
        </w:trPr>
        <w:tc>
          <w:tcPr>
            <w:tcW w:w="1376" w:type="dxa"/>
            <w:vAlign w:val="center"/>
          </w:tcPr>
          <w:p w14:paraId="1FD36B1A" w14:textId="77777777" w:rsidR="00BB4059" w:rsidRPr="00917637" w:rsidRDefault="00BB4059" w:rsidP="00E179E9">
            <w:pPr>
              <w:rPr>
                <w:rFonts w:cs="Times New Roman"/>
              </w:rPr>
            </w:pPr>
            <w:r w:rsidRPr="00917637">
              <w:rPr>
                <w:rFonts w:cs="Times New Roman"/>
                <w:color w:val="000000"/>
              </w:rPr>
              <w:t>Stakeholder Theory</w:t>
            </w:r>
          </w:p>
        </w:tc>
        <w:tc>
          <w:tcPr>
            <w:tcW w:w="1763" w:type="dxa"/>
            <w:vAlign w:val="center"/>
          </w:tcPr>
          <w:p w14:paraId="0CC07DFE" w14:textId="77777777" w:rsidR="00BB4059" w:rsidRPr="00917637" w:rsidRDefault="00BB4059" w:rsidP="00E179E9">
            <w:pPr>
              <w:rPr>
                <w:rFonts w:cs="Times New Roman"/>
              </w:rPr>
            </w:pPr>
            <w:r w:rsidRPr="00917637">
              <w:rPr>
                <w:rFonts w:cs="Times New Roman"/>
                <w:color w:val="000000"/>
              </w:rPr>
              <w:t>Stakeholder Pressure and Balancing</w:t>
            </w:r>
          </w:p>
        </w:tc>
        <w:tc>
          <w:tcPr>
            <w:tcW w:w="1543" w:type="dxa"/>
            <w:vAlign w:val="center"/>
          </w:tcPr>
          <w:p w14:paraId="4FAE3FEE" w14:textId="5DA887FC" w:rsidR="00BB4059" w:rsidRPr="00917637" w:rsidRDefault="00BB4059" w:rsidP="00E179E9">
            <w:pPr>
              <w:rPr>
                <w:rFonts w:cs="Times New Roman"/>
              </w:rPr>
            </w:pPr>
            <w:r w:rsidRPr="00917637">
              <w:rPr>
                <w:rFonts w:cs="Times New Roman"/>
              </w:rPr>
              <w:t>A means of addressing stakeholders’ (e.g. NGOs, customers) information demands.</w:t>
            </w:r>
          </w:p>
        </w:tc>
        <w:tc>
          <w:tcPr>
            <w:tcW w:w="2742" w:type="dxa"/>
            <w:vAlign w:val="center"/>
          </w:tcPr>
          <w:p w14:paraId="6AD77250" w14:textId="77777777" w:rsidR="00BB4059" w:rsidRPr="00917637" w:rsidRDefault="00BB4059" w:rsidP="00E179E9">
            <w:pPr>
              <w:rPr>
                <w:rFonts w:cs="Times New Roman"/>
              </w:rPr>
            </w:pPr>
            <w:r w:rsidRPr="00917637">
              <w:rPr>
                <w:rFonts w:cs="Times New Roman"/>
              </w:rPr>
              <w:t>It explains the source of pressure but neglects how the problem can be solved.</w:t>
            </w:r>
          </w:p>
        </w:tc>
        <w:tc>
          <w:tcPr>
            <w:tcW w:w="1757" w:type="dxa"/>
          </w:tcPr>
          <w:p w14:paraId="664953A2" w14:textId="29FB5717" w:rsidR="00BB4059" w:rsidRPr="00917637" w:rsidRDefault="00BB4059" w:rsidP="00E179E9">
            <w:pPr>
              <w:rPr>
                <w:rFonts w:cs="Times New Roman"/>
              </w:rPr>
            </w:pPr>
            <w:r w:rsidRPr="00917637">
              <w:rPr>
                <w:rFonts w:cs="Times New Roman"/>
              </w:rPr>
              <w:t xml:space="preserve">Not Selected: Although used by </w:t>
            </w:r>
            <w:r w:rsidR="001C0FC7" w:rsidRPr="00917637">
              <w:rPr>
                <w:rFonts w:cs="Times New Roman"/>
              </w:rPr>
              <w:t>Liu</w:t>
            </w:r>
            <w:r w:rsidRPr="00917637">
              <w:rPr>
                <w:rFonts w:cs="Times New Roman"/>
              </w:rPr>
              <w:t xml:space="preserve"> et al. (2025) and Li et al. (2025) to explain the pressure element, this theory focuses on the “political pressure” process rather than the “disclosure of hidden information” process.</w:t>
            </w:r>
          </w:p>
        </w:tc>
      </w:tr>
      <w:tr w:rsidR="005C17A7" w:rsidRPr="00917637" w14:paraId="13DD684A" w14:textId="77777777" w:rsidTr="005C17A7">
        <w:trPr>
          <w:trHeight w:val="1643"/>
        </w:trPr>
        <w:tc>
          <w:tcPr>
            <w:tcW w:w="1376" w:type="dxa"/>
            <w:vAlign w:val="center"/>
          </w:tcPr>
          <w:p w14:paraId="5A6255C8" w14:textId="77777777" w:rsidR="00BB4059" w:rsidRPr="00917637" w:rsidRDefault="00BB4059" w:rsidP="00E179E9">
            <w:pPr>
              <w:rPr>
                <w:rFonts w:cs="Times New Roman"/>
              </w:rPr>
            </w:pPr>
            <w:r w:rsidRPr="00917637">
              <w:rPr>
                <w:rFonts w:cs="Times New Roman"/>
                <w:color w:val="000000"/>
              </w:rPr>
              <w:t>Institutional Theory</w:t>
            </w:r>
          </w:p>
        </w:tc>
        <w:tc>
          <w:tcPr>
            <w:tcW w:w="1763" w:type="dxa"/>
            <w:vAlign w:val="center"/>
          </w:tcPr>
          <w:p w14:paraId="0981B4B3" w14:textId="77777777" w:rsidR="00BB4059" w:rsidRPr="00917637" w:rsidRDefault="00BB4059" w:rsidP="00E179E9">
            <w:pPr>
              <w:rPr>
                <w:rFonts w:cs="Times New Roman"/>
              </w:rPr>
            </w:pPr>
            <w:r w:rsidRPr="00917637">
              <w:rPr>
                <w:rFonts w:cs="Times New Roman"/>
                <w:color w:val="000000"/>
              </w:rPr>
              <w:t>Legitimacy and Isomorphism (Mimicry)</w:t>
            </w:r>
          </w:p>
        </w:tc>
        <w:tc>
          <w:tcPr>
            <w:tcW w:w="1543" w:type="dxa"/>
            <w:vAlign w:val="center"/>
          </w:tcPr>
          <w:p w14:paraId="4FFDDEBD" w14:textId="77777777" w:rsidR="00BB4059" w:rsidRPr="00917637" w:rsidRDefault="00BB4059" w:rsidP="00E179E9">
            <w:pPr>
              <w:rPr>
                <w:rFonts w:cs="Times New Roman"/>
              </w:rPr>
            </w:pPr>
            <w:r w:rsidRPr="00917637">
              <w:rPr>
                <w:rFonts w:cs="Times New Roman"/>
              </w:rPr>
              <w:t>A mechanism for gaining legitimacy through compliance with laws and institutional norms.</w:t>
            </w:r>
          </w:p>
        </w:tc>
        <w:tc>
          <w:tcPr>
            <w:tcW w:w="2742" w:type="dxa"/>
            <w:vAlign w:val="center"/>
          </w:tcPr>
          <w:p w14:paraId="5956DCD7" w14:textId="77777777" w:rsidR="00BB4059" w:rsidRPr="00917637" w:rsidRDefault="00BB4059" w:rsidP="00E179E9">
            <w:pPr>
              <w:rPr>
                <w:rFonts w:cs="Times New Roman"/>
              </w:rPr>
            </w:pPr>
            <w:r w:rsidRPr="00917637">
              <w:rPr>
                <w:rFonts w:cs="Times New Roman"/>
              </w:rPr>
              <w:t>It explains why companies adopt technology (intent) but neglects operational risk management.</w:t>
            </w:r>
          </w:p>
        </w:tc>
        <w:tc>
          <w:tcPr>
            <w:tcW w:w="1757" w:type="dxa"/>
          </w:tcPr>
          <w:p w14:paraId="7462F852" w14:textId="5FE4E36E" w:rsidR="005C17A7" w:rsidRPr="00917637" w:rsidRDefault="00BB4059" w:rsidP="00E179E9">
            <w:pPr>
              <w:rPr>
                <w:rFonts w:cs="Times New Roman"/>
              </w:rPr>
            </w:pPr>
            <w:r w:rsidRPr="00917637">
              <w:rPr>
                <w:rFonts w:cs="Times New Roman"/>
              </w:rPr>
              <w:t xml:space="preserve">Not Selected: This theory is used in </w:t>
            </w:r>
            <w:r w:rsidR="005C17A7" w:rsidRPr="00917637">
              <w:rPr>
                <w:rFonts w:cs="Times New Roman"/>
              </w:rPr>
              <w:t xml:space="preserve">social sustainability </w:t>
            </w:r>
            <w:r w:rsidRPr="00917637">
              <w:rPr>
                <w:rFonts w:cs="Times New Roman"/>
              </w:rPr>
              <w:t xml:space="preserve">studies to </w:t>
            </w:r>
            <w:r w:rsidR="005C17A7" w:rsidRPr="00917637">
              <w:rPr>
                <w:rFonts w:cs="Times New Roman"/>
              </w:rPr>
              <w:t xml:space="preserve">largely </w:t>
            </w:r>
            <w:r w:rsidRPr="00917637">
              <w:rPr>
                <w:rFonts w:cs="Times New Roman"/>
              </w:rPr>
              <w:t>answer the question: Why is there a shift to a circular economy? This study, however, is based on “</w:t>
            </w:r>
            <w:r w:rsidR="005C17A7" w:rsidRPr="00917637">
              <w:rPr>
                <w:rFonts w:cs="Times New Roman"/>
              </w:rPr>
              <w:t xml:space="preserve">observation and </w:t>
            </w:r>
            <w:r w:rsidRPr="00917637">
              <w:rPr>
                <w:rFonts w:cs="Times New Roman"/>
              </w:rPr>
              <w:t>action”</w:t>
            </w:r>
          </w:p>
        </w:tc>
      </w:tr>
      <w:tr w:rsidR="005C17A7" w:rsidRPr="00917637" w14:paraId="783B49EE" w14:textId="77777777" w:rsidTr="005C17A7">
        <w:trPr>
          <w:trHeight w:val="566"/>
        </w:trPr>
        <w:tc>
          <w:tcPr>
            <w:tcW w:w="1376" w:type="dxa"/>
            <w:vAlign w:val="center"/>
          </w:tcPr>
          <w:p w14:paraId="2FF69428" w14:textId="77777777" w:rsidR="00BB4059" w:rsidRPr="00917637" w:rsidRDefault="00BB4059" w:rsidP="00E179E9">
            <w:pPr>
              <w:rPr>
                <w:rFonts w:cs="Times New Roman"/>
              </w:rPr>
            </w:pPr>
            <w:r w:rsidRPr="00917637">
              <w:rPr>
                <w:rFonts w:cs="Times New Roman"/>
                <w:color w:val="000000"/>
              </w:rPr>
              <w:t xml:space="preserve">Transaction Cost </w:t>
            </w:r>
            <w:r w:rsidRPr="00917637">
              <w:rPr>
                <w:rFonts w:cs="Times New Roman"/>
                <w:color w:val="000000"/>
              </w:rPr>
              <w:lastRenderedPageBreak/>
              <w:t>Economics (TCE)</w:t>
            </w:r>
          </w:p>
        </w:tc>
        <w:tc>
          <w:tcPr>
            <w:tcW w:w="1763" w:type="dxa"/>
            <w:vAlign w:val="center"/>
          </w:tcPr>
          <w:p w14:paraId="219EA1FE" w14:textId="77777777" w:rsidR="00BB4059" w:rsidRPr="00917637" w:rsidRDefault="00BB4059" w:rsidP="00E179E9">
            <w:pPr>
              <w:rPr>
                <w:rFonts w:cs="Times New Roman"/>
              </w:rPr>
            </w:pPr>
            <w:r w:rsidRPr="00917637">
              <w:rPr>
                <w:rFonts w:cs="Times New Roman"/>
                <w:color w:val="000000"/>
              </w:rPr>
              <w:lastRenderedPageBreak/>
              <w:t>Cost Minimization</w:t>
            </w:r>
          </w:p>
        </w:tc>
        <w:tc>
          <w:tcPr>
            <w:tcW w:w="1543" w:type="dxa"/>
            <w:vAlign w:val="center"/>
          </w:tcPr>
          <w:p w14:paraId="5DB9507C" w14:textId="77777777" w:rsidR="00BB4059" w:rsidRPr="00917637" w:rsidRDefault="00BB4059" w:rsidP="00E179E9">
            <w:pPr>
              <w:rPr>
                <w:rFonts w:cs="Times New Roman"/>
              </w:rPr>
            </w:pPr>
            <w:r w:rsidRPr="00917637">
              <w:rPr>
                <w:rFonts w:cs="Times New Roman"/>
              </w:rPr>
              <w:t xml:space="preserve">A way to reduce search and </w:t>
            </w:r>
            <w:r w:rsidRPr="00917637">
              <w:rPr>
                <w:rFonts w:cs="Times New Roman"/>
              </w:rPr>
              <w:lastRenderedPageBreak/>
              <w:t>contracting costs.</w:t>
            </w:r>
          </w:p>
        </w:tc>
        <w:tc>
          <w:tcPr>
            <w:tcW w:w="2742" w:type="dxa"/>
          </w:tcPr>
          <w:p w14:paraId="29517C44" w14:textId="6AF5D052" w:rsidR="00BB4059" w:rsidRPr="00917637" w:rsidRDefault="00BB4059" w:rsidP="00E179E9">
            <w:pPr>
              <w:rPr>
                <w:rFonts w:cs="Times New Roman"/>
              </w:rPr>
            </w:pPr>
            <w:r w:rsidRPr="00917637">
              <w:rPr>
                <w:rFonts w:cs="Times New Roman"/>
              </w:rPr>
              <w:lastRenderedPageBreak/>
              <w:t xml:space="preserve">It primarily frames social problems as economic “costs” but does not sufficiently emphasize the </w:t>
            </w:r>
            <w:r w:rsidRPr="00917637">
              <w:rPr>
                <w:rFonts w:cs="Times New Roman"/>
              </w:rPr>
              <w:lastRenderedPageBreak/>
              <w:t>moral legitimacy and normative dimensions of social sustainability.</w:t>
            </w:r>
          </w:p>
        </w:tc>
        <w:tc>
          <w:tcPr>
            <w:tcW w:w="1757" w:type="dxa"/>
          </w:tcPr>
          <w:p w14:paraId="361900AA" w14:textId="77777777" w:rsidR="00BB4059" w:rsidRPr="00917637" w:rsidRDefault="00BB4059" w:rsidP="00E179E9">
            <w:pPr>
              <w:rPr>
                <w:rFonts w:cs="Times New Roman"/>
              </w:rPr>
            </w:pPr>
            <w:r w:rsidRPr="00917637">
              <w:rPr>
                <w:rFonts w:cs="Times New Roman"/>
              </w:rPr>
              <w:lastRenderedPageBreak/>
              <w:t xml:space="preserve">Not Selected: It treats social cohesion as a cost that must </w:t>
            </w:r>
            <w:r w:rsidRPr="00917637">
              <w:rPr>
                <w:rFonts w:cs="Times New Roman"/>
              </w:rPr>
              <w:lastRenderedPageBreak/>
              <w:t>be minimized. However, modern slavery is seen not only as a cost but also as a crisis of legitimacy.</w:t>
            </w:r>
          </w:p>
        </w:tc>
      </w:tr>
    </w:tbl>
    <w:p w14:paraId="159016F1" w14:textId="77777777" w:rsidR="00BB4059" w:rsidRPr="00917637" w:rsidRDefault="00BB4059" w:rsidP="00BB4059"/>
    <w:p w14:paraId="36569657" w14:textId="7E87C811" w:rsidR="00BA4108" w:rsidRPr="00917637" w:rsidRDefault="00BB4059" w:rsidP="00BA4108">
      <w:r w:rsidRPr="00917637">
        <w:t xml:space="preserve">As detailed in Table 1, </w:t>
      </w:r>
      <w:r w:rsidR="00CA476C" w:rsidRPr="00917637">
        <w:t>some widely used</w:t>
      </w:r>
      <w:r w:rsidRPr="00917637">
        <w:t xml:space="preserve"> theories </w:t>
      </w:r>
      <w:r w:rsidR="00CA476C" w:rsidRPr="00917637">
        <w:t xml:space="preserve">(e.g. </w:t>
      </w:r>
      <w:r w:rsidRPr="00917637">
        <w:t>RBV) provide important insights into internal operational efficiency and competitive advantage (Green et al., 201</w:t>
      </w:r>
      <w:r w:rsidR="00775E80" w:rsidRPr="00917637">
        <w:t>9</w:t>
      </w:r>
      <w:r w:rsidRPr="00917637">
        <w:t>), but they fail to explain the antagonistic nature of buyer-supplier relationships in social sustainability. RBV does not explicitly address the risks of deception or hidden information prevalent in global supply chains, assuming that resources are heterogeneous. As emphasized by Zimmermann et al. (2025), the fundamental challenge in social sustainability is not merely possessing resources but illuminating the dark spots where violations occur. Similarly, Stakeholder Theory and Institutional Theory, while prevalent in the social sustainability literature (</w:t>
      </w:r>
      <w:r w:rsidR="001C0FC7" w:rsidRPr="00917637">
        <w:t>Liu</w:t>
      </w:r>
      <w:r w:rsidRPr="00917637">
        <w:t xml:space="preserve"> et al., 2025; Mensah et al., 2024), primarily address the ‘why’ (drivers) of sustainability adoption. In contrast,</w:t>
      </w:r>
      <w:r w:rsidR="00CA476C" w:rsidRPr="00917637">
        <w:t xml:space="preserve"> to complement the drawbacks of these theories,</w:t>
      </w:r>
      <w:r w:rsidRPr="00917637">
        <w:t xml:space="preserve"> this study focuses on how hidden violations such as modern slavery can be detected.</w:t>
      </w:r>
    </w:p>
    <w:p w14:paraId="07012222" w14:textId="77777777" w:rsidR="00BA4108" w:rsidRPr="00917637" w:rsidRDefault="00BB4059" w:rsidP="00BA4108">
      <w:pPr>
        <w:rPr>
          <w:b/>
        </w:rPr>
      </w:pPr>
      <w:r w:rsidRPr="00917637">
        <w:rPr>
          <w:b/>
        </w:rPr>
        <w:t xml:space="preserve">2.2 </w:t>
      </w:r>
      <w:r w:rsidR="007C0E6B" w:rsidRPr="00917637">
        <w:rPr>
          <w:b/>
        </w:rPr>
        <w:t>Dynamic Capabilities Perspective: Technology as a Strategic Resource</w:t>
      </w:r>
    </w:p>
    <w:p w14:paraId="0E5E8ED7" w14:textId="1C762CEB" w:rsidR="00C13B7A" w:rsidRPr="00917637" w:rsidRDefault="00C13B7A" w:rsidP="00BA4108">
      <w:r w:rsidRPr="00917637">
        <w:t xml:space="preserve">The </w:t>
      </w:r>
      <w:r w:rsidR="001B6C98" w:rsidRPr="00917637">
        <w:t>d</w:t>
      </w:r>
      <w:r w:rsidRPr="00917637">
        <w:t xml:space="preserve">ynamic </w:t>
      </w:r>
      <w:r w:rsidR="001B6C98" w:rsidRPr="00917637">
        <w:t>c</w:t>
      </w:r>
      <w:r w:rsidRPr="00917637">
        <w:t xml:space="preserve">apabilities </w:t>
      </w:r>
      <w:r w:rsidR="001B6C98" w:rsidRPr="00917637">
        <w:t>v</w:t>
      </w:r>
      <w:r w:rsidRPr="00917637">
        <w:t xml:space="preserve">iew (DCV) defines internal and external competencies </w:t>
      </w:r>
      <w:r w:rsidR="00EF4D07" w:rsidRPr="00917637">
        <w:t xml:space="preserve">of businesses </w:t>
      </w:r>
      <w:r w:rsidRPr="00917637">
        <w:t xml:space="preserve">as the ability to adapt, develop, and restructure </w:t>
      </w:r>
      <w:r w:rsidR="00EF4D07" w:rsidRPr="00917637">
        <w:t>to</w:t>
      </w:r>
      <w:r w:rsidRPr="00917637">
        <w:t xml:space="preserve"> adjust to rapidly changing environmental conditions</w:t>
      </w:r>
      <w:r w:rsidR="00511DCD" w:rsidRPr="00917637">
        <w:t xml:space="preserve"> (Kucukaltan, 202</w:t>
      </w:r>
      <w:r w:rsidR="00734CD4" w:rsidRPr="00917637">
        <w:t>2)</w:t>
      </w:r>
      <w:r w:rsidRPr="00917637">
        <w:t xml:space="preserve">. In the context of sustainable supply chain management, technology is seen as a high-level </w:t>
      </w:r>
      <w:r w:rsidR="00EF4D07" w:rsidRPr="00917637">
        <w:t>DC</w:t>
      </w:r>
      <w:r w:rsidRPr="00917637">
        <w:t xml:space="preserve"> that enables </w:t>
      </w:r>
      <w:r w:rsidR="00EF4D07" w:rsidRPr="00917637">
        <w:t>businesses</w:t>
      </w:r>
      <w:r w:rsidRPr="00917637">
        <w:t xml:space="preserve"> to sense and seize opportunities and restructure their processes according to changing requirements. In this </w:t>
      </w:r>
      <w:r w:rsidR="00EF4D07" w:rsidRPr="00917637">
        <w:t>regard</w:t>
      </w:r>
      <w:r w:rsidRPr="00917637">
        <w:t xml:space="preserve">, </w:t>
      </w:r>
      <w:r w:rsidR="00EF4D07" w:rsidRPr="00917637">
        <w:t>b</w:t>
      </w:r>
      <w:r w:rsidRPr="00917637">
        <w:t xml:space="preserve">lockchain </w:t>
      </w:r>
      <w:r w:rsidR="00EF4D07" w:rsidRPr="00917637">
        <w:t>t</w:t>
      </w:r>
      <w:r w:rsidRPr="00917637">
        <w:t>echnology (BCT) provides an important infrastructure that increases traceability in supply chains</w:t>
      </w:r>
      <w:r w:rsidR="00832E87" w:rsidRPr="00917637">
        <w:t xml:space="preserve"> (Karakas et al., 2024; Kucukaltan et al., 2024)</w:t>
      </w:r>
      <w:r w:rsidRPr="00917637">
        <w:t xml:space="preserve">, enabling businesses to monitor inventory flows more effectively and identify sustainability risks at an early stage (Meier et al., 2023). Social violations such as child labor or modern slavery, which lie deep within the supply chain, are complex situations that are extremely difficult to detect using traditional audit </w:t>
      </w:r>
      <w:r w:rsidR="00EF4D07" w:rsidRPr="00917637">
        <w:t xml:space="preserve">or monitoring </w:t>
      </w:r>
      <w:r w:rsidRPr="00917637">
        <w:t xml:space="preserve">methods. At this point, AI and </w:t>
      </w:r>
      <w:r w:rsidR="00EF4D07" w:rsidRPr="00917637">
        <w:t>b</w:t>
      </w:r>
      <w:r w:rsidRPr="00917637">
        <w:t xml:space="preserve">ig </w:t>
      </w:r>
      <w:r w:rsidR="00EF4D07" w:rsidRPr="00917637">
        <w:t>d</w:t>
      </w:r>
      <w:r w:rsidRPr="00917637">
        <w:t>ata analytics empower companies with the ability to scan and detect such unethical practices in real time, enabling proactive risk management</w:t>
      </w:r>
      <w:r w:rsidRPr="00917637">
        <w:rPr>
          <w:b/>
        </w:rPr>
        <w:t xml:space="preserve"> </w:t>
      </w:r>
      <w:r w:rsidRPr="00917637">
        <w:t xml:space="preserve">(Lotfi &amp; Pisa, 2024; Meier </w:t>
      </w:r>
      <w:r w:rsidR="00EF4D07" w:rsidRPr="00917637">
        <w:t>et al.,</w:t>
      </w:r>
      <w:r w:rsidRPr="00917637">
        <w:t xml:space="preserve"> 2023)</w:t>
      </w:r>
    </w:p>
    <w:p w14:paraId="129E9790" w14:textId="634D783A" w:rsidR="00C13B7A" w:rsidRPr="00917637" w:rsidRDefault="00EF4D07" w:rsidP="008C04BD">
      <w:pPr>
        <w:pStyle w:val="Heading2"/>
        <w:rPr>
          <w:rFonts w:eastAsiaTheme="minorHAnsi" w:cstheme="minorBidi"/>
          <w:b w:val="0"/>
          <w:szCs w:val="24"/>
        </w:rPr>
      </w:pPr>
      <w:r w:rsidRPr="00917637">
        <w:rPr>
          <w:rFonts w:eastAsiaTheme="minorHAnsi" w:cstheme="minorBidi"/>
          <w:b w:val="0"/>
          <w:szCs w:val="24"/>
        </w:rPr>
        <w:lastRenderedPageBreak/>
        <w:t>According to</w:t>
      </w:r>
      <w:r w:rsidR="00C13B7A" w:rsidRPr="00917637">
        <w:rPr>
          <w:rFonts w:eastAsiaTheme="minorHAnsi" w:cstheme="minorBidi"/>
          <w:b w:val="0"/>
          <w:szCs w:val="24"/>
        </w:rPr>
        <w:t xml:space="preserve"> the </w:t>
      </w:r>
      <w:r w:rsidRPr="00917637">
        <w:rPr>
          <w:rFonts w:eastAsiaTheme="minorHAnsi" w:cstheme="minorBidi"/>
          <w:b w:val="0"/>
          <w:szCs w:val="24"/>
        </w:rPr>
        <w:t xml:space="preserve">DC </w:t>
      </w:r>
      <w:r w:rsidR="00C13B7A" w:rsidRPr="00917637">
        <w:rPr>
          <w:rFonts w:eastAsiaTheme="minorHAnsi" w:cstheme="minorBidi"/>
          <w:b w:val="0"/>
          <w:szCs w:val="24"/>
        </w:rPr>
        <w:t xml:space="preserve">perspective, technology not only enables the identification of risks but also facilitates the development of effective strategic responses (Meier </w:t>
      </w:r>
      <w:r w:rsidRPr="00917637">
        <w:rPr>
          <w:rFonts w:eastAsiaTheme="minorHAnsi" w:cstheme="minorBidi"/>
          <w:b w:val="0"/>
          <w:szCs w:val="24"/>
        </w:rPr>
        <w:t>et al.</w:t>
      </w:r>
      <w:r w:rsidR="00C13B7A" w:rsidRPr="00917637">
        <w:rPr>
          <w:rFonts w:eastAsiaTheme="minorHAnsi" w:cstheme="minorBidi"/>
          <w:b w:val="0"/>
          <w:szCs w:val="24"/>
        </w:rPr>
        <w:t xml:space="preserve">, 2023; Benzidia </w:t>
      </w:r>
      <w:r w:rsidRPr="00917637">
        <w:rPr>
          <w:rFonts w:eastAsiaTheme="minorHAnsi" w:cstheme="minorBidi"/>
          <w:b w:val="0"/>
          <w:szCs w:val="24"/>
        </w:rPr>
        <w:t>et al</w:t>
      </w:r>
      <w:r w:rsidR="00C13B7A" w:rsidRPr="00917637">
        <w:rPr>
          <w:rFonts w:eastAsiaTheme="minorHAnsi" w:cstheme="minorBidi"/>
          <w:b w:val="0"/>
          <w:szCs w:val="24"/>
        </w:rPr>
        <w:t xml:space="preserve">., 2021). </w:t>
      </w:r>
      <w:r w:rsidRPr="00917637">
        <w:rPr>
          <w:rFonts w:eastAsiaTheme="minorHAnsi" w:cstheme="minorBidi"/>
          <w:b w:val="0"/>
          <w:szCs w:val="24"/>
        </w:rPr>
        <w:t>From this point forth, businesses</w:t>
      </w:r>
      <w:r w:rsidR="00C13B7A" w:rsidRPr="00917637">
        <w:rPr>
          <w:rFonts w:eastAsiaTheme="minorHAnsi" w:cstheme="minorBidi"/>
          <w:b w:val="0"/>
          <w:szCs w:val="24"/>
        </w:rPr>
        <w:t xml:space="preserve"> gain the capacity to evaluate sustainability opportunities more quickly </w:t>
      </w:r>
      <w:r w:rsidRPr="00917637">
        <w:rPr>
          <w:rFonts w:eastAsiaTheme="minorHAnsi" w:cstheme="minorBidi"/>
          <w:b w:val="0"/>
          <w:szCs w:val="24"/>
        </w:rPr>
        <w:t xml:space="preserve">due to their </w:t>
      </w:r>
      <w:r w:rsidR="00C13B7A" w:rsidRPr="00917637">
        <w:rPr>
          <w:rFonts w:eastAsiaTheme="minorHAnsi" w:cstheme="minorBidi"/>
          <w:b w:val="0"/>
          <w:szCs w:val="24"/>
        </w:rPr>
        <w:t>digital data</w:t>
      </w:r>
      <w:r w:rsidRPr="00917637">
        <w:rPr>
          <w:rFonts w:eastAsiaTheme="minorHAnsi" w:cstheme="minorBidi"/>
          <w:b w:val="0"/>
          <w:szCs w:val="24"/>
        </w:rPr>
        <w:t xml:space="preserve"> collection</w:t>
      </w:r>
      <w:r w:rsidR="00C13B7A" w:rsidRPr="00917637">
        <w:rPr>
          <w:rFonts w:eastAsiaTheme="minorHAnsi" w:cstheme="minorBidi"/>
          <w:b w:val="0"/>
          <w:szCs w:val="24"/>
        </w:rPr>
        <w:t xml:space="preserve"> (Benzidia </w:t>
      </w:r>
      <w:r w:rsidRPr="00917637">
        <w:rPr>
          <w:rFonts w:eastAsiaTheme="minorHAnsi" w:cstheme="minorBidi"/>
          <w:b w:val="0"/>
          <w:szCs w:val="24"/>
        </w:rPr>
        <w:t>et al.</w:t>
      </w:r>
      <w:r w:rsidR="00C13B7A" w:rsidRPr="00917637">
        <w:rPr>
          <w:rFonts w:eastAsiaTheme="minorHAnsi" w:cstheme="minorBidi"/>
          <w:b w:val="0"/>
          <w:szCs w:val="24"/>
        </w:rPr>
        <w:t xml:space="preserve">, 2021; Li </w:t>
      </w:r>
      <w:r w:rsidRPr="00917637">
        <w:rPr>
          <w:rFonts w:eastAsiaTheme="minorHAnsi" w:cstheme="minorBidi"/>
          <w:b w:val="0"/>
          <w:szCs w:val="24"/>
        </w:rPr>
        <w:t>et al</w:t>
      </w:r>
      <w:r w:rsidR="00C13B7A" w:rsidRPr="00917637">
        <w:rPr>
          <w:rFonts w:eastAsiaTheme="minorHAnsi" w:cstheme="minorBidi"/>
          <w:b w:val="0"/>
          <w:szCs w:val="24"/>
        </w:rPr>
        <w:t xml:space="preserve">., 2025). For example, when social incompatibility or ethical violations are detected in the supply chain, companies can intervene immediately and strengthen their restructuring capabilities by redesigning processes according to needs or transforming collaboration models with stakeholders through technological infrastructure (Benzidia et al., 2021; </w:t>
      </w:r>
      <w:r w:rsidR="001C0FC7" w:rsidRPr="00917637">
        <w:rPr>
          <w:rFonts w:eastAsiaTheme="minorHAnsi" w:cstheme="minorBidi"/>
          <w:b w:val="0"/>
          <w:szCs w:val="24"/>
        </w:rPr>
        <w:t>Zutshi et al</w:t>
      </w:r>
      <w:r w:rsidR="00C13B7A" w:rsidRPr="00917637">
        <w:rPr>
          <w:rFonts w:eastAsiaTheme="minorHAnsi" w:cstheme="minorBidi"/>
          <w:b w:val="0"/>
          <w:szCs w:val="24"/>
        </w:rPr>
        <w:t>, 200</w:t>
      </w:r>
      <w:r w:rsidR="00BF2730" w:rsidRPr="00917637">
        <w:rPr>
          <w:rFonts w:eastAsiaTheme="minorHAnsi" w:cstheme="minorBidi"/>
          <w:b w:val="0"/>
          <w:szCs w:val="24"/>
        </w:rPr>
        <w:t>9</w:t>
      </w:r>
      <w:r w:rsidR="00C13B7A" w:rsidRPr="00917637">
        <w:rPr>
          <w:rFonts w:eastAsiaTheme="minorHAnsi" w:cstheme="minorBidi"/>
          <w:b w:val="0"/>
          <w:szCs w:val="24"/>
        </w:rPr>
        <w:t>). This transformation not only increases operational efficiency but also enables companies to turn their sustainability performance into a strategic competitive advantage (Li et al., 2025).</w:t>
      </w:r>
    </w:p>
    <w:p w14:paraId="4AC49D65" w14:textId="416D5C97" w:rsidR="00C13B7A" w:rsidRPr="00917637" w:rsidRDefault="00C13B7A" w:rsidP="008C04BD">
      <w:pPr>
        <w:pStyle w:val="Heading2"/>
        <w:rPr>
          <w:rFonts w:eastAsiaTheme="minorHAnsi" w:cstheme="minorBidi"/>
          <w:b w:val="0"/>
          <w:szCs w:val="24"/>
        </w:rPr>
      </w:pPr>
      <w:r w:rsidRPr="00917637">
        <w:rPr>
          <w:rFonts w:eastAsiaTheme="minorHAnsi" w:cstheme="minorBidi"/>
          <w:b w:val="0"/>
          <w:szCs w:val="24"/>
        </w:rPr>
        <w:t>However, it is essential to strike a balance between leveraging the innovative potential of technology and efficiently managing existing processes. This is precisely where the concept of supply chain duality comes into play</w:t>
      </w:r>
      <w:r w:rsidR="00586D77" w:rsidRPr="00917637">
        <w:rPr>
          <w:rFonts w:eastAsiaTheme="minorHAnsi" w:cstheme="minorBidi"/>
          <w:b w:val="0"/>
          <w:szCs w:val="24"/>
        </w:rPr>
        <w:t>, which refers to balancing long-term strategy with daily operations by considering the upstream (e.g. suppliers) and the downstream (e.g. customers) together</w:t>
      </w:r>
      <w:r w:rsidRPr="00917637">
        <w:rPr>
          <w:rFonts w:eastAsiaTheme="minorHAnsi" w:cstheme="minorBidi"/>
          <w:b w:val="0"/>
          <w:szCs w:val="24"/>
        </w:rPr>
        <w:t xml:space="preserve">. </w:t>
      </w:r>
      <w:r w:rsidR="00586D77" w:rsidRPr="00917637">
        <w:rPr>
          <w:rFonts w:eastAsiaTheme="minorHAnsi" w:cstheme="minorBidi"/>
          <w:b w:val="0"/>
          <w:szCs w:val="24"/>
        </w:rPr>
        <w:t>Therefore</w:t>
      </w:r>
      <w:r w:rsidRPr="00917637">
        <w:rPr>
          <w:rFonts w:eastAsiaTheme="minorHAnsi" w:cstheme="minorBidi"/>
          <w:b w:val="0"/>
          <w:szCs w:val="24"/>
        </w:rPr>
        <w:t xml:space="preserve">, </w:t>
      </w:r>
      <w:r w:rsidR="00586D77" w:rsidRPr="00917637">
        <w:rPr>
          <w:rFonts w:eastAsiaTheme="minorHAnsi" w:cstheme="minorBidi"/>
          <w:b w:val="0"/>
          <w:szCs w:val="24"/>
        </w:rPr>
        <w:t>businesses</w:t>
      </w:r>
      <w:r w:rsidRPr="00917637">
        <w:rPr>
          <w:rFonts w:eastAsiaTheme="minorHAnsi" w:cstheme="minorBidi"/>
          <w:b w:val="0"/>
          <w:szCs w:val="24"/>
        </w:rPr>
        <w:t xml:space="preserve"> </w:t>
      </w:r>
      <w:r w:rsidR="00586D77" w:rsidRPr="00917637">
        <w:rPr>
          <w:rFonts w:eastAsiaTheme="minorHAnsi" w:cstheme="minorBidi"/>
          <w:b w:val="0"/>
          <w:szCs w:val="24"/>
        </w:rPr>
        <w:t>should</w:t>
      </w:r>
      <w:r w:rsidRPr="00917637">
        <w:rPr>
          <w:rFonts w:eastAsiaTheme="minorHAnsi" w:cstheme="minorBidi"/>
          <w:b w:val="0"/>
          <w:szCs w:val="24"/>
        </w:rPr>
        <w:t xml:space="preserve"> be able to both explore new opportunities and utilize their existing capabilities. Striking a balance between relational social capital and technological integration </w:t>
      </w:r>
      <w:r w:rsidR="00586D77" w:rsidRPr="00917637">
        <w:rPr>
          <w:rFonts w:eastAsiaTheme="minorHAnsi" w:cstheme="minorBidi"/>
          <w:b w:val="0"/>
          <w:szCs w:val="24"/>
        </w:rPr>
        <w:t xml:space="preserve">not only </w:t>
      </w:r>
      <w:r w:rsidRPr="00917637">
        <w:rPr>
          <w:rFonts w:eastAsiaTheme="minorHAnsi" w:cstheme="minorBidi"/>
          <w:b w:val="0"/>
          <w:szCs w:val="24"/>
        </w:rPr>
        <w:t xml:space="preserve">strengthens innovation potential </w:t>
      </w:r>
      <w:r w:rsidR="00586D77" w:rsidRPr="00917637">
        <w:rPr>
          <w:rFonts w:eastAsiaTheme="minorHAnsi" w:cstheme="minorBidi"/>
          <w:b w:val="0"/>
          <w:szCs w:val="24"/>
        </w:rPr>
        <w:t xml:space="preserve">of businesses, but </w:t>
      </w:r>
      <w:r w:rsidRPr="00917637">
        <w:rPr>
          <w:rFonts w:eastAsiaTheme="minorHAnsi" w:cstheme="minorBidi"/>
          <w:b w:val="0"/>
          <w:szCs w:val="24"/>
        </w:rPr>
        <w:t xml:space="preserve">also </w:t>
      </w:r>
      <w:r w:rsidR="00586D77" w:rsidRPr="00917637">
        <w:rPr>
          <w:rFonts w:eastAsiaTheme="minorHAnsi" w:cstheme="minorBidi"/>
          <w:b w:val="0"/>
          <w:szCs w:val="24"/>
        </w:rPr>
        <w:t xml:space="preserve">help them </w:t>
      </w:r>
      <w:r w:rsidRPr="00917637">
        <w:rPr>
          <w:rFonts w:eastAsiaTheme="minorHAnsi" w:cstheme="minorBidi"/>
          <w:b w:val="0"/>
          <w:szCs w:val="24"/>
        </w:rPr>
        <w:t>develop</w:t>
      </w:r>
      <w:r w:rsidR="00586D77" w:rsidRPr="00917637">
        <w:rPr>
          <w:rFonts w:eastAsiaTheme="minorHAnsi" w:cstheme="minorBidi"/>
          <w:b w:val="0"/>
          <w:szCs w:val="24"/>
        </w:rPr>
        <w:t xml:space="preserve"> </w:t>
      </w:r>
      <w:r w:rsidRPr="00917637">
        <w:rPr>
          <w:rFonts w:eastAsiaTheme="minorHAnsi" w:cstheme="minorBidi"/>
          <w:b w:val="0"/>
          <w:szCs w:val="24"/>
        </w:rPr>
        <w:t>their digital production capabilities</w:t>
      </w:r>
      <w:r w:rsidR="00586D77" w:rsidRPr="00917637">
        <w:rPr>
          <w:rFonts w:eastAsiaTheme="minorHAnsi" w:cstheme="minorBidi"/>
          <w:b w:val="0"/>
          <w:szCs w:val="24"/>
        </w:rPr>
        <w:t xml:space="preserve"> and </w:t>
      </w:r>
      <w:r w:rsidRPr="00917637">
        <w:rPr>
          <w:rFonts w:eastAsiaTheme="minorHAnsi" w:cstheme="minorBidi"/>
          <w:b w:val="0"/>
          <w:szCs w:val="24"/>
        </w:rPr>
        <w:t>achieve their social sustainability goals (Benzidia et al., 2021).</w:t>
      </w:r>
    </w:p>
    <w:p w14:paraId="2EFD872D" w14:textId="35E29C12" w:rsidR="008C04BD" w:rsidRPr="00917637" w:rsidRDefault="008C04BD" w:rsidP="008C04BD">
      <w:pPr>
        <w:pStyle w:val="Heading2"/>
      </w:pPr>
      <w:r w:rsidRPr="00917637">
        <w:t>2.</w:t>
      </w:r>
      <w:r w:rsidR="00BA4108" w:rsidRPr="00917637">
        <w:t>3</w:t>
      </w:r>
      <w:r w:rsidRPr="00917637">
        <w:t xml:space="preserve">. Signal Theory and </w:t>
      </w:r>
      <w:r w:rsidR="00E613BC" w:rsidRPr="00917637">
        <w:t xml:space="preserve">Business </w:t>
      </w:r>
      <w:r w:rsidRPr="00917637">
        <w:t>Reputation</w:t>
      </w:r>
      <w:r w:rsidR="00E613BC" w:rsidRPr="00917637">
        <w:t xml:space="preserve"> with a True Level of Social Responsibility</w:t>
      </w:r>
    </w:p>
    <w:p w14:paraId="2E6B72C8" w14:textId="1859BCCC" w:rsidR="00F1076A" w:rsidRPr="00917637" w:rsidRDefault="00F1076A" w:rsidP="006A36E2">
      <w:r w:rsidRPr="00917637">
        <w:t xml:space="preserve">Signal </w:t>
      </w:r>
      <w:r w:rsidR="00586D77" w:rsidRPr="00917637">
        <w:t>t</w:t>
      </w:r>
      <w:r w:rsidRPr="00917637">
        <w:t xml:space="preserve">heory, based on Spence's (1973) work, addresses information asymmetry in supply chains where stakeholders cannot directly observe a true level of social responsibility. In this </w:t>
      </w:r>
      <w:r w:rsidR="005679E7" w:rsidRPr="00917637">
        <w:t>regard</w:t>
      </w:r>
      <w:r w:rsidRPr="00917637">
        <w:t xml:space="preserve">, high-performing suppliers face the challenge of distinguishing themselves from </w:t>
      </w:r>
      <w:r w:rsidR="005679E7" w:rsidRPr="00917637">
        <w:t xml:space="preserve">misleading </w:t>
      </w:r>
      <w:r w:rsidRPr="00917637">
        <w:t xml:space="preserve">competitors who may engage in </w:t>
      </w:r>
      <w:r w:rsidR="005679E7" w:rsidRPr="00917637">
        <w:t>blind</w:t>
      </w:r>
      <w:r w:rsidRPr="00917637">
        <w:t xml:space="preserve"> promises or greenwashing. To eliminate this </w:t>
      </w:r>
      <w:r w:rsidR="005679E7" w:rsidRPr="00917637">
        <w:t>reputation</w:t>
      </w:r>
      <w:r w:rsidRPr="00917637">
        <w:t xml:space="preserve"> problem, </w:t>
      </w:r>
      <w:r w:rsidR="005679E7" w:rsidRPr="00917637">
        <w:t xml:space="preserve">the ability to identify and manage sustainability-related risks becomes a critical mechanism through which organizations can translate abstract ethical claims into credible, observable signals that reduce information asymmetry across supply chains. Therefore, </w:t>
      </w:r>
      <w:r w:rsidR="00E613BC" w:rsidRPr="00917637">
        <w:t>businesses</w:t>
      </w:r>
      <w:r w:rsidRPr="00917637">
        <w:t xml:space="preserve"> </w:t>
      </w:r>
      <w:r w:rsidR="005679E7" w:rsidRPr="00917637">
        <w:t>should</w:t>
      </w:r>
      <w:r w:rsidRPr="00917637">
        <w:t xml:space="preserve"> communicate observable and reliable signals that demonstrate their competence and ethical commitments (Reinerth et al., 2019). According to Jabbour et al. (2024), the adoption of sustainability risk identification practices serves as a primary signal that the company is not only making verbal commitments but is also actively managing social risks.</w:t>
      </w:r>
    </w:p>
    <w:p w14:paraId="74D86533" w14:textId="3182AD62" w:rsidR="006A36E2" w:rsidRPr="00917637" w:rsidRDefault="00B51307" w:rsidP="006A36E2">
      <w:r w:rsidRPr="00917637">
        <w:t xml:space="preserve">Traditionally, </w:t>
      </w:r>
      <w:r w:rsidR="00E613BC" w:rsidRPr="00917637">
        <w:t xml:space="preserve">businesses </w:t>
      </w:r>
      <w:r w:rsidRPr="00917637">
        <w:t>have relied on disclosure-based signals such as sustainability reports. However, in an era where manual verification of performance is difficult, digital technologies (</w:t>
      </w:r>
      <w:r w:rsidR="005679E7" w:rsidRPr="00917637">
        <w:t>e.g. b</w:t>
      </w:r>
      <w:r w:rsidRPr="00917637">
        <w:t xml:space="preserve">lockchain, IoT) are emerging as critical tools for enhancing the reliability of signals. Unlike traditional reporting, which can be subjective, blockchain-based systems </w:t>
      </w:r>
      <w:r w:rsidR="005679E7" w:rsidRPr="00917637">
        <w:t>empirically</w:t>
      </w:r>
      <w:r w:rsidRPr="00917637">
        <w:t xml:space="preserve"> guarantee the reliability of the transmitted signal by making the data tamper-proof (Wang et al., 2023). This technological infrastructure transforms social sustainability claims into a normative signaling function, proving that a </w:t>
      </w:r>
      <w:r w:rsidR="00E613BC" w:rsidRPr="00917637">
        <w:t>business’s</w:t>
      </w:r>
      <w:r w:rsidRPr="00917637">
        <w:t xml:space="preserve"> commitments are backed by immutable, backward-traceable data rather than empty promises (Jabbour et al., 2024).</w:t>
      </w:r>
    </w:p>
    <w:p w14:paraId="6E7D4FA7" w14:textId="67CEC993" w:rsidR="00F1076A" w:rsidRPr="00917637" w:rsidRDefault="00F1076A" w:rsidP="00F1076A">
      <w:r w:rsidRPr="00917637">
        <w:t xml:space="preserve">However, the literature warns that technology does not automatically create a flawless signal. Colombage and Sedera (2025) introduced the concept of distorted transparency, noting that </w:t>
      </w:r>
      <w:r w:rsidR="005679E7" w:rsidRPr="00917637">
        <w:t>businesses</w:t>
      </w:r>
      <w:r w:rsidRPr="00917637">
        <w:t xml:space="preserve"> may digitalize only the well-performing parts of their supply chains while leaving risky areas out. In such cases, technology risks becoming a stage for selected data rather than a mechanism that fully reflects reality. Therefore, for technology to function as an effective signaling mechanism, it must be comprehensive and supported by autonomous controls to avoid creating a false sense of security (Dey et al., 2022).</w:t>
      </w:r>
    </w:p>
    <w:p w14:paraId="73A9BFA7" w14:textId="7DA8CA52" w:rsidR="00270697" w:rsidRPr="00917637" w:rsidRDefault="00270697" w:rsidP="00F1076A">
      <w:r w:rsidRPr="00917637">
        <w:t xml:space="preserve">In this context, </w:t>
      </w:r>
      <w:r w:rsidR="00E613BC" w:rsidRPr="00917637">
        <w:t>s</w:t>
      </w:r>
      <w:r w:rsidRPr="00917637">
        <w:t xml:space="preserve">ignal </w:t>
      </w:r>
      <w:r w:rsidR="00E613BC" w:rsidRPr="00917637">
        <w:t>t</w:t>
      </w:r>
      <w:r w:rsidRPr="00917637">
        <w:t xml:space="preserve">heory conceptualizes the integration of digital technologies as a strategic asset that goes beyond mere data sharing. For this reason, tools such as blockchain and </w:t>
      </w:r>
      <w:r w:rsidR="005679E7" w:rsidRPr="00917637">
        <w:t>AI</w:t>
      </w:r>
      <w:r w:rsidRPr="00917637">
        <w:t xml:space="preserve"> </w:t>
      </w:r>
      <w:r w:rsidRPr="00917637">
        <w:lastRenderedPageBreak/>
        <w:t>transform social sustainability claims from unverifiable statements into concrete and reliable reputation assets. Technology functions as a mechanism for corporate legitimacy by automating screening processes and providing evidence-based transparency, particularly on critical issues such as child labor. This enables buyers to identify and select truly sustainable partners in an uncertain market environment.</w:t>
      </w:r>
    </w:p>
    <w:p w14:paraId="61AC5548" w14:textId="13492006" w:rsidR="00B6628E" w:rsidRPr="00917637" w:rsidRDefault="00D54001" w:rsidP="00AF6932">
      <w:pPr>
        <w:pStyle w:val="Heading2"/>
      </w:pPr>
      <w:r w:rsidRPr="00917637">
        <w:t>2.</w:t>
      </w:r>
      <w:r w:rsidR="00BA4108" w:rsidRPr="00917637">
        <w:t>4</w:t>
      </w:r>
      <w:r w:rsidRPr="00917637">
        <w:t xml:space="preserve">. Agency Theory </w:t>
      </w:r>
    </w:p>
    <w:p w14:paraId="732D2614" w14:textId="7730605A" w:rsidR="00841E55" w:rsidRPr="00917637" w:rsidRDefault="00841E55" w:rsidP="00841E55">
      <w:pPr>
        <w:pStyle w:val="Heading2"/>
        <w:rPr>
          <w:rFonts w:eastAsiaTheme="minorHAnsi" w:cstheme="minorBidi"/>
          <w:b w:val="0"/>
          <w:szCs w:val="24"/>
        </w:rPr>
      </w:pPr>
      <w:r w:rsidRPr="00917637">
        <w:rPr>
          <w:rFonts w:eastAsiaTheme="minorHAnsi" w:cstheme="minorBidi"/>
          <w:b w:val="0"/>
          <w:szCs w:val="24"/>
        </w:rPr>
        <w:t xml:space="preserve">Agency </w:t>
      </w:r>
      <w:r w:rsidR="00950DEE" w:rsidRPr="00917637">
        <w:rPr>
          <w:rFonts w:eastAsiaTheme="minorHAnsi" w:cstheme="minorBidi"/>
          <w:b w:val="0"/>
          <w:szCs w:val="24"/>
        </w:rPr>
        <w:t>t</w:t>
      </w:r>
      <w:r w:rsidRPr="00917637">
        <w:rPr>
          <w:rFonts w:eastAsiaTheme="minorHAnsi" w:cstheme="minorBidi"/>
          <w:b w:val="0"/>
          <w:szCs w:val="24"/>
        </w:rPr>
        <w:t>heory is a fundamental approach that examines conflicts of interest and information asymmetry that may arise when the buyer authorizes the supplier to carry out the work in supply chain management. In the context of social sustainability, the misalignment of objectives between global brands</w:t>
      </w:r>
      <w:r w:rsidR="001960E9" w:rsidRPr="00917637">
        <w:rPr>
          <w:rFonts w:eastAsiaTheme="minorHAnsi" w:cstheme="minorBidi"/>
          <w:b w:val="0"/>
          <w:szCs w:val="24"/>
        </w:rPr>
        <w:t xml:space="preserve"> (principals)</w:t>
      </w:r>
      <w:r w:rsidRPr="00917637">
        <w:rPr>
          <w:rFonts w:eastAsiaTheme="minorHAnsi" w:cstheme="minorBidi"/>
          <w:b w:val="0"/>
          <w:szCs w:val="24"/>
        </w:rPr>
        <w:t xml:space="preserve"> and lower-tier suppliers (agents) forms the basis of classic agency problems. While the buyer firm demands that the supplier fully compl</w:t>
      </w:r>
      <w:r w:rsidR="001960E9" w:rsidRPr="00917637">
        <w:rPr>
          <w:rFonts w:eastAsiaTheme="minorHAnsi" w:cstheme="minorBidi"/>
          <w:b w:val="0"/>
          <w:szCs w:val="24"/>
        </w:rPr>
        <w:t>ies</w:t>
      </w:r>
      <w:r w:rsidRPr="00917637">
        <w:rPr>
          <w:rFonts w:eastAsiaTheme="minorHAnsi" w:cstheme="minorBidi"/>
          <w:b w:val="0"/>
          <w:szCs w:val="24"/>
        </w:rPr>
        <w:t xml:space="preserve"> with ethical standards and workers' rights, the supplier firm operates from the perspective of maximizing its own profits under cost pressure. This situation creates an environment where suppliers may compromise on worker safety or fair wages, acting contrary to the buyer company's interests (Chaudhuri et al., 2023).</w:t>
      </w:r>
    </w:p>
    <w:p w14:paraId="276C3D01" w14:textId="77777777" w:rsidR="00841E55" w:rsidRPr="00917637" w:rsidRDefault="00841E55" w:rsidP="00841E55">
      <w:r w:rsidRPr="00917637">
        <w:t>The multi-layered and geographically dispersed structure of supply chains limits the buyer company's ability to control its agents and creates a high level of information asymmetry. This asymmetry is defined in the literature as moral hazard. In other words, suppliers can mislead the buyer company by concealing their risky or unethical practices. Traditional control mechanisms cause suppliers to appear to comply with rules only at the time of inspection, creating an illusion known as distorted transparency or selective transparency (Colombage and Sedera, 2025). In this scenario, suppliers tend to share the well-performing parts of the chain while not reflecting the realities of the risky stages.</w:t>
      </w:r>
    </w:p>
    <w:p w14:paraId="40EDAA95" w14:textId="6ED7CE9D" w:rsidR="006A36E2" w:rsidRPr="00917637" w:rsidRDefault="006A36E2" w:rsidP="006A36E2">
      <w:pPr>
        <w:pStyle w:val="Heading2"/>
        <w:rPr>
          <w:rFonts w:eastAsiaTheme="minorHAnsi" w:cstheme="minorBidi"/>
          <w:b w:val="0"/>
          <w:szCs w:val="24"/>
        </w:rPr>
      </w:pPr>
      <w:r w:rsidRPr="00917637">
        <w:rPr>
          <w:rFonts w:eastAsiaTheme="minorHAnsi" w:cstheme="minorBidi"/>
          <w:b w:val="0"/>
          <w:szCs w:val="24"/>
        </w:rPr>
        <w:t>The deepening of this structural problem leads to the formation of blind spots in the lower tiers of the supply chain that are invisible to the buyer company, restricting access to information. The inability of traditional methods to resolve this visibility paradox results in high agency costs for companies (Zimmermann et al., 2025). Buyer companies are forced to endure costly audit processes to verify whether suppliers are complying with the rules. In addition, manual audits may not fully resolve the trust gap between principal and agent because they are susceptible to data manipulation (Chaudhuri et al., 2023).</w:t>
      </w:r>
    </w:p>
    <w:p w14:paraId="6CFD80BC" w14:textId="1E5F6CF5" w:rsidR="006A36E2" w:rsidRPr="00917637" w:rsidRDefault="006A36E2" w:rsidP="006A36E2">
      <w:r w:rsidRPr="00917637">
        <w:t xml:space="preserve">At this point, digital technologies, </w:t>
      </w:r>
      <w:r w:rsidR="00824531" w:rsidRPr="00917637">
        <w:t>such as</w:t>
      </w:r>
      <w:r w:rsidRPr="00917637">
        <w:t xml:space="preserve"> </w:t>
      </w:r>
      <w:r w:rsidR="00824531" w:rsidRPr="00917637">
        <w:t>BCT</w:t>
      </w:r>
      <w:r w:rsidRPr="00917637">
        <w:t xml:space="preserve"> and </w:t>
      </w:r>
      <w:r w:rsidR="00824531" w:rsidRPr="00917637">
        <w:t>IoT</w:t>
      </w:r>
      <w:r w:rsidRPr="00917637">
        <w:t xml:space="preserve">, </w:t>
      </w:r>
      <w:r w:rsidR="00824531" w:rsidRPr="00917637">
        <w:t>emerge</w:t>
      </w:r>
      <w:r w:rsidRPr="00917637">
        <w:t xml:space="preserve"> as powerful corporate infrastructures that reduce the control costs identified by agency theory and increase transparency. </w:t>
      </w:r>
      <w:r w:rsidR="00824531" w:rsidRPr="00917637">
        <w:t>More particularly, BCT</w:t>
      </w:r>
      <w:r w:rsidRPr="00917637">
        <w:t xml:space="preserve"> enables transactions to be recorded in an immutable ledger, preventing data from being manipulated by a single authority (Wang et al., 2023). This single source of truth provided by the technology establishes a data-driven mechanism that strengthens the buyer's oversight of suppliers, thereby reducing social misalignment risks. In this way, digitalization minimizes agency problems by transforming supply chain relationships from an uncertain, trust-based structure to a transparent and auditable governance model (Colombage and Sedera, 2025; Chaudhuri et al., 2023).</w:t>
      </w:r>
    </w:p>
    <w:p w14:paraId="57B59743" w14:textId="48AA3B0C" w:rsidR="00AD085F" w:rsidRPr="00917637" w:rsidRDefault="00AD085F" w:rsidP="00841E55">
      <w:pPr>
        <w:pStyle w:val="Heading2"/>
      </w:pPr>
      <w:r w:rsidRPr="00917637">
        <w:t>2.</w:t>
      </w:r>
      <w:r w:rsidR="00595B7C" w:rsidRPr="00917637">
        <w:t>5</w:t>
      </w:r>
      <w:r w:rsidRPr="00917637">
        <w:t xml:space="preserve">. Review of Recent Studies </w:t>
      </w:r>
    </w:p>
    <w:p w14:paraId="57A79B4A" w14:textId="24F6F158" w:rsidR="00523969" w:rsidRPr="00917637" w:rsidRDefault="00B06C2D" w:rsidP="00AD085F">
      <w:r w:rsidRPr="00917637">
        <w:t>In this study, a</w:t>
      </w:r>
      <w:r w:rsidR="006228B7" w:rsidRPr="00917637">
        <w:t xml:space="preserve"> targeted literature review was conducted to identify related studies at the intersection of supply chain management, digital technologies, and social sustainability. In this </w:t>
      </w:r>
      <w:r w:rsidRPr="00917637">
        <w:t>regard</w:t>
      </w:r>
      <w:r w:rsidR="006228B7" w:rsidRPr="00917637">
        <w:t xml:space="preserve">, </w:t>
      </w:r>
      <w:r w:rsidRPr="00917637">
        <w:t>two prominent</w:t>
      </w:r>
      <w:r w:rsidR="006228B7" w:rsidRPr="00917637">
        <w:t xml:space="preserve"> academic databases</w:t>
      </w:r>
      <w:r w:rsidRPr="00917637">
        <w:t>, namely</w:t>
      </w:r>
      <w:r w:rsidR="006228B7" w:rsidRPr="00917637">
        <w:t xml:space="preserve"> Web of Science and Scopus</w:t>
      </w:r>
      <w:r w:rsidRPr="00917637">
        <w:t>,</w:t>
      </w:r>
      <w:r w:rsidR="006228B7" w:rsidRPr="00917637">
        <w:t xml:space="preserve"> were utilized. </w:t>
      </w:r>
      <w:r w:rsidRPr="00917637">
        <w:t>In our structured literature review, s</w:t>
      </w:r>
      <w:r w:rsidR="006228B7" w:rsidRPr="00917637">
        <w:t xml:space="preserve">earches were based on combinations of </w:t>
      </w:r>
      <w:r w:rsidRPr="00917637">
        <w:t xml:space="preserve">the following </w:t>
      </w:r>
      <w:r w:rsidR="006228B7" w:rsidRPr="00917637">
        <w:t>keywords</w:t>
      </w:r>
      <w:r w:rsidRPr="00917637">
        <w:t>:</w:t>
      </w:r>
      <w:r w:rsidR="006228B7" w:rsidRPr="00917637">
        <w:t xml:space="preserve"> social sustainability, supply chain visibility, blockchain, agency theory, and signaling theory. To capture the most recent theoretical and technological developments in the literature, priority was given to articles published between 2019 and 2025 with a high impact factor during </w:t>
      </w:r>
      <w:r w:rsidR="006228B7" w:rsidRPr="00917637">
        <w:lastRenderedPageBreak/>
        <w:t xml:space="preserve">the review process. Table </w:t>
      </w:r>
      <w:r w:rsidRPr="00917637">
        <w:t>2</w:t>
      </w:r>
      <w:r w:rsidR="006228B7" w:rsidRPr="00917637">
        <w:t xml:space="preserve"> presents the key studies </w:t>
      </w:r>
      <w:r w:rsidRPr="00917637">
        <w:t xml:space="preserve">revealed from </w:t>
      </w:r>
      <w:r w:rsidR="006228B7" w:rsidRPr="00917637">
        <w:t xml:space="preserve">these </w:t>
      </w:r>
      <w:r w:rsidRPr="00917637">
        <w:t>searches and summarizes the</w:t>
      </w:r>
      <w:r w:rsidR="00DE3536" w:rsidRPr="00917637">
        <w:t xml:space="preserve">ir </w:t>
      </w:r>
      <w:r w:rsidR="006228B7" w:rsidRPr="00917637">
        <w:t>main focus areas</w:t>
      </w:r>
      <w:r w:rsidR="00DE3536" w:rsidRPr="00917637">
        <w:t xml:space="preserve"> and</w:t>
      </w:r>
      <w:r w:rsidRPr="00917637">
        <w:t xml:space="preserve"> findings</w:t>
      </w:r>
      <w:r w:rsidR="006228B7" w:rsidRPr="00917637">
        <w:t>.</w:t>
      </w:r>
    </w:p>
    <w:p w14:paraId="4C50ACDE" w14:textId="5D0C1800" w:rsidR="00F00E7C" w:rsidRPr="00917637" w:rsidRDefault="00F00E7C" w:rsidP="00F00E7C">
      <w:pPr>
        <w:pStyle w:val="Caption"/>
        <w:keepNext/>
        <w:rPr>
          <w:i w:val="0"/>
          <w:iCs w:val="0"/>
          <w:color w:val="auto"/>
          <w:sz w:val="24"/>
          <w:szCs w:val="24"/>
        </w:rPr>
      </w:pPr>
      <w:r w:rsidRPr="00917637">
        <w:rPr>
          <w:b/>
          <w:bCs/>
          <w:i w:val="0"/>
          <w:iCs w:val="0"/>
          <w:color w:val="auto"/>
          <w:sz w:val="24"/>
          <w:szCs w:val="24"/>
        </w:rPr>
        <w:t xml:space="preserve">Table </w:t>
      </w:r>
      <w:r w:rsidRPr="00917637">
        <w:rPr>
          <w:b/>
          <w:bCs/>
          <w:i w:val="0"/>
          <w:iCs w:val="0"/>
          <w:color w:val="auto"/>
          <w:sz w:val="24"/>
          <w:szCs w:val="24"/>
        </w:rPr>
        <w:fldChar w:fldCharType="begin"/>
      </w:r>
      <w:r w:rsidRPr="00917637">
        <w:rPr>
          <w:b/>
          <w:bCs/>
          <w:i w:val="0"/>
          <w:iCs w:val="0"/>
          <w:color w:val="auto"/>
          <w:sz w:val="24"/>
          <w:szCs w:val="24"/>
        </w:rPr>
        <w:instrText xml:space="preserve"> SEQ Table \* ARABIC </w:instrText>
      </w:r>
      <w:r w:rsidRPr="00917637">
        <w:rPr>
          <w:b/>
          <w:bCs/>
          <w:i w:val="0"/>
          <w:iCs w:val="0"/>
          <w:color w:val="auto"/>
          <w:sz w:val="24"/>
          <w:szCs w:val="24"/>
        </w:rPr>
        <w:fldChar w:fldCharType="separate"/>
      </w:r>
      <w:r w:rsidR="002062CC" w:rsidRPr="00917637">
        <w:rPr>
          <w:b/>
          <w:bCs/>
          <w:i w:val="0"/>
          <w:iCs w:val="0"/>
          <w:noProof/>
          <w:color w:val="auto"/>
          <w:sz w:val="24"/>
          <w:szCs w:val="24"/>
        </w:rPr>
        <w:t>2</w:t>
      </w:r>
      <w:r w:rsidRPr="00917637">
        <w:rPr>
          <w:b/>
          <w:bCs/>
          <w:i w:val="0"/>
          <w:iCs w:val="0"/>
          <w:color w:val="auto"/>
          <w:sz w:val="24"/>
          <w:szCs w:val="24"/>
        </w:rPr>
        <w:fldChar w:fldCharType="end"/>
      </w:r>
      <w:r w:rsidRPr="00917637">
        <w:rPr>
          <w:b/>
          <w:bCs/>
          <w:i w:val="0"/>
          <w:iCs w:val="0"/>
          <w:color w:val="auto"/>
          <w:sz w:val="24"/>
          <w:szCs w:val="24"/>
        </w:rPr>
        <w:t xml:space="preserve">. </w:t>
      </w:r>
      <w:r w:rsidRPr="00917637">
        <w:rPr>
          <w:i w:val="0"/>
          <w:iCs w:val="0"/>
          <w:color w:val="auto"/>
          <w:sz w:val="24"/>
          <w:szCs w:val="24"/>
        </w:rPr>
        <w:t>Literature Review</w:t>
      </w:r>
    </w:p>
    <w:tbl>
      <w:tblPr>
        <w:tblStyle w:val="TableGrid"/>
        <w:tblW w:w="0" w:type="auto"/>
        <w:tblLook w:val="04A0" w:firstRow="1" w:lastRow="0" w:firstColumn="1" w:lastColumn="0" w:noHBand="0" w:noVBand="1"/>
      </w:tblPr>
      <w:tblGrid>
        <w:gridCol w:w="2263"/>
        <w:gridCol w:w="3778"/>
        <w:gridCol w:w="3021"/>
      </w:tblGrid>
      <w:tr w:rsidR="00AD085F" w:rsidRPr="00917637" w14:paraId="502910DE" w14:textId="77777777" w:rsidTr="00F63F18">
        <w:tc>
          <w:tcPr>
            <w:tcW w:w="2263" w:type="dxa"/>
            <w:vAlign w:val="bottom"/>
          </w:tcPr>
          <w:p w14:paraId="117BE601" w14:textId="1D048087" w:rsidR="00AD085F" w:rsidRPr="00917637" w:rsidRDefault="00AD085F" w:rsidP="00AD085F">
            <w:pPr>
              <w:rPr>
                <w:rFonts w:cs="Times New Roman"/>
                <w:b/>
                <w:bCs/>
              </w:rPr>
            </w:pPr>
            <w:bookmarkStart w:id="0" w:name="_Hlk218948417"/>
            <w:r w:rsidRPr="00917637">
              <w:rPr>
                <w:rFonts w:cs="Times New Roman"/>
                <w:b/>
                <w:bCs/>
              </w:rPr>
              <w:t>Author(s) and Year</w:t>
            </w:r>
          </w:p>
        </w:tc>
        <w:tc>
          <w:tcPr>
            <w:tcW w:w="3778" w:type="dxa"/>
          </w:tcPr>
          <w:p w14:paraId="5933618B" w14:textId="5FB6358B" w:rsidR="00AD085F" w:rsidRPr="00917637" w:rsidRDefault="00F00E7C" w:rsidP="00AD085F">
            <w:pPr>
              <w:rPr>
                <w:rFonts w:cs="Times New Roman"/>
                <w:b/>
                <w:bCs/>
              </w:rPr>
            </w:pPr>
            <w:r w:rsidRPr="00917637">
              <w:rPr>
                <w:rFonts w:cs="Times New Roman"/>
                <w:b/>
                <w:bCs/>
              </w:rPr>
              <w:t xml:space="preserve">The </w:t>
            </w:r>
            <w:r w:rsidR="005A422D" w:rsidRPr="00917637">
              <w:rPr>
                <w:rFonts w:cs="Times New Roman"/>
                <w:b/>
                <w:bCs/>
              </w:rPr>
              <w:t>Pu</w:t>
            </w:r>
            <w:r w:rsidRPr="00917637">
              <w:rPr>
                <w:rFonts w:cs="Times New Roman"/>
                <w:b/>
                <w:bCs/>
              </w:rPr>
              <w:t xml:space="preserve">rpose of the </w:t>
            </w:r>
            <w:r w:rsidR="005A422D" w:rsidRPr="00917637">
              <w:rPr>
                <w:rFonts w:cs="Times New Roman"/>
                <w:b/>
                <w:bCs/>
              </w:rPr>
              <w:t>S</w:t>
            </w:r>
            <w:r w:rsidRPr="00917637">
              <w:rPr>
                <w:rFonts w:cs="Times New Roman"/>
                <w:b/>
                <w:bCs/>
              </w:rPr>
              <w:t>tudy</w:t>
            </w:r>
          </w:p>
        </w:tc>
        <w:tc>
          <w:tcPr>
            <w:tcW w:w="3021" w:type="dxa"/>
          </w:tcPr>
          <w:p w14:paraId="2331FFA5" w14:textId="0D1B5950" w:rsidR="00AD085F" w:rsidRPr="00917637" w:rsidRDefault="00F00E7C" w:rsidP="00AD085F">
            <w:pPr>
              <w:rPr>
                <w:rFonts w:cs="Times New Roman"/>
                <w:b/>
                <w:bCs/>
              </w:rPr>
            </w:pPr>
            <w:r w:rsidRPr="00917637">
              <w:rPr>
                <w:rFonts w:cs="Times New Roman"/>
                <w:b/>
                <w:bCs/>
              </w:rPr>
              <w:t xml:space="preserve">The </w:t>
            </w:r>
            <w:r w:rsidR="00B06C2D" w:rsidRPr="00917637">
              <w:rPr>
                <w:rFonts w:cs="Times New Roman"/>
                <w:b/>
                <w:bCs/>
              </w:rPr>
              <w:t>Finding</w:t>
            </w:r>
            <w:r w:rsidRPr="00917637">
              <w:rPr>
                <w:rFonts w:cs="Times New Roman"/>
                <w:b/>
                <w:bCs/>
              </w:rPr>
              <w:t xml:space="preserve"> of the Study</w:t>
            </w:r>
          </w:p>
        </w:tc>
      </w:tr>
      <w:tr w:rsidR="00AD085F" w:rsidRPr="00917637" w14:paraId="0A1ACF45" w14:textId="77777777" w:rsidTr="00B16512">
        <w:tc>
          <w:tcPr>
            <w:tcW w:w="2263" w:type="dxa"/>
            <w:vAlign w:val="center"/>
          </w:tcPr>
          <w:p w14:paraId="5278E9C4" w14:textId="6E15F5C7" w:rsidR="00AD085F" w:rsidRPr="00917637" w:rsidRDefault="00AD085F" w:rsidP="00AD085F">
            <w:pPr>
              <w:rPr>
                <w:rFonts w:cs="Times New Roman"/>
              </w:rPr>
            </w:pPr>
            <w:r w:rsidRPr="00917637">
              <w:rPr>
                <w:rFonts w:cs="Times New Roman"/>
              </w:rPr>
              <w:t xml:space="preserve">Green </w:t>
            </w:r>
            <w:r w:rsidR="00D4626C" w:rsidRPr="00917637">
              <w:rPr>
                <w:rFonts w:cs="Times New Roman"/>
              </w:rPr>
              <w:t>et al.,</w:t>
            </w:r>
            <w:r w:rsidRPr="00917637">
              <w:rPr>
                <w:rFonts w:cs="Times New Roman"/>
              </w:rPr>
              <w:t xml:space="preserve"> (201</w:t>
            </w:r>
            <w:r w:rsidR="00775E80" w:rsidRPr="00917637">
              <w:rPr>
                <w:rFonts w:cs="Times New Roman"/>
              </w:rPr>
              <w:t>9</w:t>
            </w:r>
            <w:r w:rsidRPr="00917637">
              <w:rPr>
                <w:rFonts w:cs="Times New Roman"/>
              </w:rPr>
              <w:t>)</w:t>
            </w:r>
          </w:p>
        </w:tc>
        <w:tc>
          <w:tcPr>
            <w:tcW w:w="3778" w:type="dxa"/>
          </w:tcPr>
          <w:p w14:paraId="03ACEB3C" w14:textId="468193C5" w:rsidR="00AD085F" w:rsidRPr="00917637" w:rsidRDefault="00406097" w:rsidP="00AD085F">
            <w:pPr>
              <w:rPr>
                <w:rFonts w:cs="Times New Roman"/>
              </w:rPr>
            </w:pPr>
            <w:r w:rsidRPr="00917637">
              <w:rPr>
                <w:rFonts w:cs="Times New Roman"/>
              </w:rPr>
              <w:t>The aim of this study is to reveal the relationship between operational strategies such as Just-in-Time Production (JIT), Total Quality Management (TQM), and Green Supply Chain Management (GSCM), and especially their complementary effects.</w:t>
            </w:r>
          </w:p>
        </w:tc>
        <w:tc>
          <w:tcPr>
            <w:tcW w:w="3021" w:type="dxa"/>
          </w:tcPr>
          <w:p w14:paraId="07065935" w14:textId="77777777" w:rsidR="00DC0758" w:rsidRPr="00917637" w:rsidRDefault="00DC0758" w:rsidP="00DC0758">
            <w:pPr>
              <w:rPr>
                <w:rFonts w:cs="Times New Roman"/>
              </w:rPr>
            </w:pPr>
            <w:r w:rsidRPr="00917637">
              <w:rPr>
                <w:rFonts w:cs="Times New Roman"/>
              </w:rPr>
              <w:t>According to the study, the relevant strategies are critical precursors to GSCM success and, when applied together rather than individually, create synergy and enhance performance.</w:t>
            </w:r>
          </w:p>
          <w:p w14:paraId="1BC906E9" w14:textId="2EA83BAE" w:rsidR="00AD085F" w:rsidRPr="00917637" w:rsidRDefault="00AD085F" w:rsidP="00AD085F">
            <w:pPr>
              <w:rPr>
                <w:rFonts w:cs="Times New Roman"/>
              </w:rPr>
            </w:pPr>
          </w:p>
        </w:tc>
      </w:tr>
      <w:tr w:rsidR="00AD085F" w:rsidRPr="00917637" w14:paraId="3A18C281" w14:textId="77777777" w:rsidTr="00B16512">
        <w:tc>
          <w:tcPr>
            <w:tcW w:w="2263" w:type="dxa"/>
            <w:vAlign w:val="center"/>
          </w:tcPr>
          <w:p w14:paraId="418E4D81" w14:textId="1F855133" w:rsidR="00AD085F" w:rsidRPr="00917637" w:rsidRDefault="00AD085F" w:rsidP="00AD085F">
            <w:pPr>
              <w:rPr>
                <w:rFonts w:cs="Times New Roman"/>
              </w:rPr>
            </w:pPr>
            <w:r w:rsidRPr="00917637">
              <w:rPr>
                <w:rFonts w:cs="Times New Roman"/>
              </w:rPr>
              <w:t xml:space="preserve">Reinerth </w:t>
            </w:r>
            <w:r w:rsidR="00D4626C" w:rsidRPr="00917637">
              <w:rPr>
                <w:rFonts w:cs="Times New Roman"/>
              </w:rPr>
              <w:t>et al.,</w:t>
            </w:r>
            <w:r w:rsidRPr="00917637">
              <w:rPr>
                <w:rFonts w:cs="Times New Roman"/>
              </w:rPr>
              <w:t xml:space="preserve"> (2019)</w:t>
            </w:r>
          </w:p>
        </w:tc>
        <w:tc>
          <w:tcPr>
            <w:tcW w:w="3778" w:type="dxa"/>
          </w:tcPr>
          <w:p w14:paraId="0B4013A0" w14:textId="69BE6C30" w:rsidR="00AD085F" w:rsidRPr="00917637" w:rsidRDefault="00AD085F" w:rsidP="00AD085F">
            <w:pPr>
              <w:rPr>
                <w:rFonts w:cs="Times New Roman"/>
              </w:rPr>
            </w:pPr>
            <w:r w:rsidRPr="00917637">
              <w:rPr>
                <w:rFonts w:cs="Times New Roman"/>
              </w:rPr>
              <w:t>This study aims to examine how sustainability criteria are incorporated into supplier selection and supplier management processes.</w:t>
            </w:r>
          </w:p>
        </w:tc>
        <w:tc>
          <w:tcPr>
            <w:tcW w:w="3021" w:type="dxa"/>
          </w:tcPr>
          <w:p w14:paraId="343D98B9" w14:textId="6FD21C4F" w:rsidR="00AD085F" w:rsidRPr="00917637" w:rsidRDefault="00DC0758" w:rsidP="00AD085F">
            <w:pPr>
              <w:rPr>
                <w:rFonts w:cs="Times New Roman"/>
              </w:rPr>
            </w:pPr>
            <w:r w:rsidRPr="00917637">
              <w:rPr>
                <w:rFonts w:cs="Times New Roman"/>
              </w:rPr>
              <w:t>According to the study, an integrated framework is presented in which not only cost but also social and environmental criteria are weighted in supplier selection.</w:t>
            </w:r>
          </w:p>
        </w:tc>
      </w:tr>
      <w:tr w:rsidR="00AD085F" w:rsidRPr="00917637" w14:paraId="1C23FF6F" w14:textId="77777777" w:rsidTr="00B16512">
        <w:tc>
          <w:tcPr>
            <w:tcW w:w="2263" w:type="dxa"/>
            <w:vAlign w:val="center"/>
          </w:tcPr>
          <w:p w14:paraId="62EAABC6" w14:textId="1308BCE2" w:rsidR="00AD085F" w:rsidRPr="00917637" w:rsidRDefault="00AD085F" w:rsidP="00AD085F">
            <w:pPr>
              <w:rPr>
                <w:rFonts w:cs="Times New Roman"/>
              </w:rPr>
            </w:pPr>
            <w:r w:rsidRPr="00917637">
              <w:rPr>
                <w:rFonts w:cs="Times New Roman"/>
              </w:rPr>
              <w:t xml:space="preserve">Orji </w:t>
            </w:r>
            <w:r w:rsidR="00D4626C" w:rsidRPr="00917637">
              <w:rPr>
                <w:rFonts w:cs="Times New Roman"/>
              </w:rPr>
              <w:t>et al.,</w:t>
            </w:r>
            <w:r w:rsidRPr="00917637">
              <w:rPr>
                <w:rFonts w:cs="Times New Roman"/>
              </w:rPr>
              <w:t xml:space="preserve"> (2020)</w:t>
            </w:r>
          </w:p>
        </w:tc>
        <w:tc>
          <w:tcPr>
            <w:tcW w:w="3778" w:type="dxa"/>
          </w:tcPr>
          <w:p w14:paraId="5FCCADC2" w14:textId="7AA3CE4E" w:rsidR="00AD085F" w:rsidRPr="00917637" w:rsidRDefault="00AD085F" w:rsidP="00AD085F">
            <w:pPr>
              <w:rPr>
                <w:rFonts w:cs="Times New Roman"/>
              </w:rPr>
            </w:pPr>
            <w:r w:rsidRPr="00917637">
              <w:rPr>
                <w:rFonts w:cs="Times New Roman"/>
              </w:rPr>
              <w:t>This study aims to examine the critical success factors (CSF) related to the use of social media to support social sustainability in the Nigerian logistics sector.</w:t>
            </w:r>
          </w:p>
        </w:tc>
        <w:tc>
          <w:tcPr>
            <w:tcW w:w="3021" w:type="dxa"/>
          </w:tcPr>
          <w:p w14:paraId="4A32DBB8" w14:textId="0C4ED29E" w:rsidR="00AD085F" w:rsidRPr="00917637" w:rsidRDefault="00DC0758" w:rsidP="00AD085F">
            <w:pPr>
              <w:rPr>
                <w:rFonts w:cs="Times New Roman"/>
              </w:rPr>
            </w:pPr>
            <w:r w:rsidRPr="00917637">
              <w:rPr>
                <w:rFonts w:cs="Times New Roman"/>
              </w:rPr>
              <w:t>According to the study, customer satisfaction, privacy/security, and affordability are the most critical factors in technology adoption.</w:t>
            </w:r>
          </w:p>
        </w:tc>
      </w:tr>
      <w:tr w:rsidR="00AD085F" w:rsidRPr="00917637" w14:paraId="14C24206" w14:textId="77777777" w:rsidTr="00B16512">
        <w:tc>
          <w:tcPr>
            <w:tcW w:w="2263" w:type="dxa"/>
            <w:vAlign w:val="center"/>
          </w:tcPr>
          <w:p w14:paraId="2C0AF3C8" w14:textId="0C9A4FAF" w:rsidR="00AD085F" w:rsidRPr="00917637" w:rsidRDefault="00AD085F" w:rsidP="00AD085F">
            <w:pPr>
              <w:rPr>
                <w:rFonts w:cs="Times New Roman"/>
              </w:rPr>
            </w:pPr>
            <w:r w:rsidRPr="00917637">
              <w:rPr>
                <w:rFonts w:cs="Times New Roman"/>
              </w:rPr>
              <w:t xml:space="preserve">Bai </w:t>
            </w:r>
            <w:r w:rsidR="00D4626C" w:rsidRPr="00917637">
              <w:rPr>
                <w:rFonts w:cs="Times New Roman"/>
              </w:rPr>
              <w:t>et al.,</w:t>
            </w:r>
            <w:r w:rsidRPr="00917637">
              <w:rPr>
                <w:rFonts w:cs="Times New Roman"/>
              </w:rPr>
              <w:t xml:space="preserve"> (2021)</w:t>
            </w:r>
          </w:p>
        </w:tc>
        <w:tc>
          <w:tcPr>
            <w:tcW w:w="3778" w:type="dxa"/>
          </w:tcPr>
          <w:p w14:paraId="3B370ACF" w14:textId="106E8268" w:rsidR="00AD085F" w:rsidRPr="00917637" w:rsidRDefault="00AD085F" w:rsidP="00AD085F">
            <w:pPr>
              <w:rPr>
                <w:rFonts w:cs="Times New Roman"/>
              </w:rPr>
            </w:pPr>
            <w:r w:rsidRPr="00917637">
              <w:rPr>
                <w:rFonts w:cs="Times New Roman"/>
              </w:rPr>
              <w:t>The purpose of this study is to develop a systematic group decision support approach that can be integrated into supplier selection and evaluation processes to ensure social sustainability.</w:t>
            </w:r>
          </w:p>
        </w:tc>
        <w:tc>
          <w:tcPr>
            <w:tcW w:w="3021" w:type="dxa"/>
          </w:tcPr>
          <w:p w14:paraId="49A68828" w14:textId="22CA6359" w:rsidR="00AD085F" w:rsidRPr="00917637" w:rsidRDefault="00DC0758" w:rsidP="00AD085F">
            <w:pPr>
              <w:rPr>
                <w:rFonts w:cs="Times New Roman"/>
              </w:rPr>
            </w:pPr>
            <w:r w:rsidRPr="00917637">
              <w:rPr>
                <w:rFonts w:cs="Times New Roman"/>
              </w:rPr>
              <w:t>According to the study, mathematical modeling of social criteria (job security, rights, etc.) enables a fairer and more effective supplier selection process.</w:t>
            </w:r>
          </w:p>
        </w:tc>
      </w:tr>
      <w:tr w:rsidR="00AD085F" w:rsidRPr="00917637" w14:paraId="7006773E" w14:textId="77777777" w:rsidTr="00B16512">
        <w:tc>
          <w:tcPr>
            <w:tcW w:w="2263" w:type="dxa"/>
            <w:vAlign w:val="center"/>
          </w:tcPr>
          <w:p w14:paraId="7B6B8B56" w14:textId="01E1A424" w:rsidR="00AD085F" w:rsidRPr="00917637" w:rsidRDefault="00AD085F" w:rsidP="00AD085F">
            <w:pPr>
              <w:rPr>
                <w:rFonts w:cs="Times New Roman"/>
              </w:rPr>
            </w:pPr>
            <w:r w:rsidRPr="00917637">
              <w:rPr>
                <w:rFonts w:cs="Times New Roman"/>
              </w:rPr>
              <w:t xml:space="preserve">Benzidia </w:t>
            </w:r>
            <w:r w:rsidR="00D4626C" w:rsidRPr="00917637">
              <w:rPr>
                <w:rFonts w:cs="Times New Roman"/>
              </w:rPr>
              <w:t>et al.,</w:t>
            </w:r>
            <w:r w:rsidRPr="00917637">
              <w:rPr>
                <w:rFonts w:cs="Times New Roman"/>
              </w:rPr>
              <w:t xml:space="preserve"> (2021)</w:t>
            </w:r>
          </w:p>
        </w:tc>
        <w:tc>
          <w:tcPr>
            <w:tcW w:w="3778" w:type="dxa"/>
          </w:tcPr>
          <w:p w14:paraId="67CD540E" w14:textId="050D01BC" w:rsidR="00AD085F" w:rsidRPr="00917637" w:rsidRDefault="00AD085F" w:rsidP="00AD085F">
            <w:pPr>
              <w:rPr>
                <w:rFonts w:cs="Times New Roman"/>
              </w:rPr>
            </w:pPr>
            <w:r w:rsidRPr="00917637">
              <w:rPr>
                <w:rFonts w:cs="Times New Roman"/>
              </w:rPr>
              <w:t>The purpose of this study is to systematically analyze the effects of Big Data and Artificial Intelligence (AI) technologies on Green Supply Chain Management applications and Organizational Ambidexterity capacity.</w:t>
            </w:r>
          </w:p>
        </w:tc>
        <w:tc>
          <w:tcPr>
            <w:tcW w:w="3021" w:type="dxa"/>
          </w:tcPr>
          <w:p w14:paraId="4B1E99FE" w14:textId="46468D00" w:rsidR="00AD085F" w:rsidRPr="00917637" w:rsidRDefault="00DC0758" w:rsidP="00AD085F">
            <w:pPr>
              <w:rPr>
                <w:rFonts w:cs="Times New Roman"/>
              </w:rPr>
            </w:pPr>
            <w:r w:rsidRPr="00917637">
              <w:rPr>
                <w:rFonts w:cs="Times New Roman"/>
              </w:rPr>
              <w:t>According to the study, digital technologies increase companies' capacity to both maintain current efficiency and innovate (dual capability).</w:t>
            </w:r>
          </w:p>
        </w:tc>
      </w:tr>
      <w:tr w:rsidR="00AD085F" w:rsidRPr="00917637" w14:paraId="1334D486" w14:textId="77777777" w:rsidTr="00B16512">
        <w:tc>
          <w:tcPr>
            <w:tcW w:w="2263" w:type="dxa"/>
            <w:vAlign w:val="center"/>
          </w:tcPr>
          <w:p w14:paraId="43197AC9" w14:textId="0B352444" w:rsidR="00AD085F" w:rsidRPr="00917637" w:rsidRDefault="00AD085F" w:rsidP="00AD085F">
            <w:pPr>
              <w:rPr>
                <w:rFonts w:cs="Times New Roman"/>
              </w:rPr>
            </w:pPr>
            <w:r w:rsidRPr="00917637">
              <w:rPr>
                <w:rFonts w:cs="Times New Roman"/>
              </w:rPr>
              <w:t xml:space="preserve">Dey </w:t>
            </w:r>
            <w:r w:rsidR="00D4626C" w:rsidRPr="00917637">
              <w:rPr>
                <w:rFonts w:cs="Times New Roman"/>
              </w:rPr>
              <w:t>et al.,</w:t>
            </w:r>
            <w:r w:rsidRPr="00917637">
              <w:rPr>
                <w:rFonts w:cs="Times New Roman"/>
              </w:rPr>
              <w:t xml:space="preserve"> (2022)</w:t>
            </w:r>
          </w:p>
        </w:tc>
        <w:tc>
          <w:tcPr>
            <w:tcW w:w="3778" w:type="dxa"/>
          </w:tcPr>
          <w:p w14:paraId="43885533" w14:textId="28F8FB54" w:rsidR="00AD085F" w:rsidRPr="00917637" w:rsidRDefault="00AD085F" w:rsidP="00AD085F">
            <w:pPr>
              <w:rPr>
                <w:rFonts w:cs="Times New Roman"/>
              </w:rPr>
            </w:pPr>
            <w:r w:rsidRPr="00917637">
              <w:rPr>
                <w:rFonts w:cs="Times New Roman"/>
              </w:rPr>
              <w:t>The purpose of this study is to systematically examine the applicability of blockchain technology in circular economy and waste management processes, the opportunities it provides, and the limitations encountered.</w:t>
            </w:r>
          </w:p>
        </w:tc>
        <w:tc>
          <w:tcPr>
            <w:tcW w:w="3021" w:type="dxa"/>
          </w:tcPr>
          <w:p w14:paraId="603959BF" w14:textId="0F4AF4FD" w:rsidR="00AD085F" w:rsidRPr="00917637" w:rsidRDefault="00DC0758" w:rsidP="00AD085F">
            <w:pPr>
              <w:rPr>
                <w:rFonts w:cs="Times New Roman"/>
              </w:rPr>
            </w:pPr>
            <w:r w:rsidRPr="00917637">
              <w:rPr>
                <w:rFonts w:cs="Times New Roman"/>
              </w:rPr>
              <w:t>According to the study, digital systems can create a “false sense of security” unless they are supported by physical verification mechanisms (autonomous controls).</w:t>
            </w:r>
          </w:p>
        </w:tc>
      </w:tr>
      <w:tr w:rsidR="00AD085F" w:rsidRPr="00917637" w14:paraId="0E738CEB" w14:textId="77777777" w:rsidTr="00B16512">
        <w:tc>
          <w:tcPr>
            <w:tcW w:w="2263" w:type="dxa"/>
            <w:vAlign w:val="center"/>
          </w:tcPr>
          <w:p w14:paraId="6CC9CDE0" w14:textId="3CD1AB26" w:rsidR="00AD085F" w:rsidRPr="00917637" w:rsidRDefault="00AD085F" w:rsidP="00AD085F">
            <w:pPr>
              <w:rPr>
                <w:rFonts w:cs="Times New Roman"/>
              </w:rPr>
            </w:pPr>
            <w:r w:rsidRPr="00917637">
              <w:rPr>
                <w:rFonts w:cs="Times New Roman"/>
              </w:rPr>
              <w:lastRenderedPageBreak/>
              <w:t xml:space="preserve">Ebrahimi </w:t>
            </w:r>
            <w:r w:rsidR="00D4626C" w:rsidRPr="00917637">
              <w:rPr>
                <w:rFonts w:cs="Times New Roman"/>
              </w:rPr>
              <w:t>et al.,</w:t>
            </w:r>
            <w:r w:rsidRPr="00917637">
              <w:rPr>
                <w:rFonts w:cs="Times New Roman"/>
              </w:rPr>
              <w:t xml:space="preserve"> (2022)</w:t>
            </w:r>
          </w:p>
        </w:tc>
        <w:tc>
          <w:tcPr>
            <w:tcW w:w="3778" w:type="dxa"/>
          </w:tcPr>
          <w:p w14:paraId="14EC093B" w14:textId="2442F059" w:rsidR="00AD085F" w:rsidRPr="00917637" w:rsidRDefault="00AD085F" w:rsidP="00AD085F">
            <w:pPr>
              <w:rPr>
                <w:rFonts w:cs="Times New Roman"/>
              </w:rPr>
            </w:pPr>
            <w:r w:rsidRPr="00917637">
              <w:rPr>
                <w:rFonts w:cs="Times New Roman"/>
              </w:rPr>
              <w:t>The objective of this study is to develop a green planning model that minimizes energy consumption and operational costs in cross-docking operations while prioritizing environmental sustainability.</w:t>
            </w:r>
          </w:p>
        </w:tc>
        <w:tc>
          <w:tcPr>
            <w:tcW w:w="3021" w:type="dxa"/>
          </w:tcPr>
          <w:p w14:paraId="3E2AE3D7" w14:textId="16E7121D" w:rsidR="00AD085F" w:rsidRPr="00917637" w:rsidRDefault="00DC0758" w:rsidP="00AD085F">
            <w:pPr>
              <w:rPr>
                <w:rFonts w:cs="Times New Roman"/>
              </w:rPr>
            </w:pPr>
            <w:r w:rsidRPr="00917637">
              <w:rPr>
                <w:rFonts w:cs="Times New Roman"/>
              </w:rPr>
              <w:t>According to the study, it has been technically demonstrated that green planning can increase operational efficiency while minimizing energy consumption.</w:t>
            </w:r>
          </w:p>
        </w:tc>
      </w:tr>
      <w:tr w:rsidR="00AD085F" w:rsidRPr="00917637" w14:paraId="0F4D27D5" w14:textId="77777777" w:rsidTr="00B16512">
        <w:tc>
          <w:tcPr>
            <w:tcW w:w="2263" w:type="dxa"/>
            <w:vAlign w:val="center"/>
          </w:tcPr>
          <w:p w14:paraId="01F1D6BC" w14:textId="0129EC53" w:rsidR="00AD085F" w:rsidRPr="00917637" w:rsidRDefault="00AD085F" w:rsidP="00AD085F">
            <w:pPr>
              <w:rPr>
                <w:rFonts w:cs="Times New Roman"/>
              </w:rPr>
            </w:pPr>
            <w:r w:rsidRPr="00917637">
              <w:rPr>
                <w:rFonts w:cs="Times New Roman"/>
              </w:rPr>
              <w:t xml:space="preserve">Zhang </w:t>
            </w:r>
            <w:r w:rsidR="00F2543C" w:rsidRPr="00917637">
              <w:rPr>
                <w:rFonts w:cs="Times New Roman"/>
              </w:rPr>
              <w:t>and</w:t>
            </w:r>
            <w:r w:rsidRPr="00917637">
              <w:rPr>
                <w:rFonts w:cs="Times New Roman"/>
              </w:rPr>
              <w:t xml:space="preserve"> Song (2022)</w:t>
            </w:r>
          </w:p>
        </w:tc>
        <w:tc>
          <w:tcPr>
            <w:tcW w:w="3778" w:type="dxa"/>
          </w:tcPr>
          <w:p w14:paraId="35C7A916" w14:textId="2860A923" w:rsidR="00AD085F" w:rsidRPr="00917637" w:rsidRDefault="00AD085F" w:rsidP="00AD085F">
            <w:pPr>
              <w:rPr>
                <w:rFonts w:cs="Times New Roman"/>
              </w:rPr>
            </w:pPr>
            <w:r w:rsidRPr="00917637">
              <w:rPr>
                <w:rFonts w:cs="Times New Roman"/>
              </w:rPr>
              <w:t>The purpose of this study is to systematically analyze the energy consumption and cost risks that arise during the integration of blockchain technology into the supply chain.</w:t>
            </w:r>
          </w:p>
        </w:tc>
        <w:tc>
          <w:tcPr>
            <w:tcW w:w="3021" w:type="dxa"/>
          </w:tcPr>
          <w:p w14:paraId="47AE9313" w14:textId="43967098" w:rsidR="00AD085F" w:rsidRPr="00917637" w:rsidRDefault="00DC0758" w:rsidP="00AD085F">
            <w:pPr>
              <w:rPr>
                <w:rFonts w:cs="Times New Roman"/>
              </w:rPr>
            </w:pPr>
            <w:r w:rsidRPr="00917637">
              <w:rPr>
                <w:rFonts w:cs="Times New Roman"/>
              </w:rPr>
              <w:t>According to the study, while blockchain provides transparency, it also consumes high amounts of energy, creating a trade-off between environmental and economic sustainability.</w:t>
            </w:r>
          </w:p>
        </w:tc>
      </w:tr>
      <w:tr w:rsidR="00AD085F" w:rsidRPr="00917637" w14:paraId="687FEE2F" w14:textId="77777777" w:rsidTr="00B16512">
        <w:tc>
          <w:tcPr>
            <w:tcW w:w="2263" w:type="dxa"/>
            <w:vAlign w:val="center"/>
          </w:tcPr>
          <w:p w14:paraId="1DFDC762" w14:textId="541FD991" w:rsidR="00AD085F" w:rsidRPr="00917637" w:rsidRDefault="00AD085F" w:rsidP="00AD085F">
            <w:pPr>
              <w:rPr>
                <w:rFonts w:cs="Times New Roman"/>
              </w:rPr>
            </w:pPr>
            <w:r w:rsidRPr="00917637">
              <w:rPr>
                <w:rFonts w:cs="Times New Roman"/>
              </w:rPr>
              <w:t xml:space="preserve">Chaudhuri </w:t>
            </w:r>
            <w:r w:rsidR="00D4626C" w:rsidRPr="00917637">
              <w:rPr>
                <w:rFonts w:cs="Times New Roman"/>
              </w:rPr>
              <w:t>et al.,</w:t>
            </w:r>
            <w:r w:rsidRPr="00917637">
              <w:rPr>
                <w:rFonts w:cs="Times New Roman"/>
              </w:rPr>
              <w:t xml:space="preserve"> (2023)</w:t>
            </w:r>
          </w:p>
        </w:tc>
        <w:tc>
          <w:tcPr>
            <w:tcW w:w="3778" w:type="dxa"/>
          </w:tcPr>
          <w:p w14:paraId="2BD6CC80" w14:textId="31AF2D11" w:rsidR="00AD085F" w:rsidRPr="00917637" w:rsidRDefault="00AD085F" w:rsidP="00AD085F">
            <w:pPr>
              <w:rPr>
                <w:rFonts w:cs="Times New Roman"/>
              </w:rPr>
            </w:pPr>
            <w:r w:rsidRPr="00917637">
              <w:rPr>
                <w:rFonts w:cs="Times New Roman"/>
              </w:rPr>
              <w:t>The purpose of this study is to analyze the effects of green supply chain technologies on organizational performance and to reveal the regulatory role of environmental dynamism in this relationship.</w:t>
            </w:r>
          </w:p>
        </w:tc>
        <w:tc>
          <w:tcPr>
            <w:tcW w:w="3021" w:type="dxa"/>
          </w:tcPr>
          <w:p w14:paraId="6A70126E" w14:textId="150D45B9" w:rsidR="00AD085F" w:rsidRPr="00917637" w:rsidRDefault="00DC0758" w:rsidP="00AD085F">
            <w:pPr>
              <w:rPr>
                <w:rFonts w:cs="Times New Roman"/>
              </w:rPr>
            </w:pPr>
            <w:r w:rsidRPr="00917637">
              <w:rPr>
                <w:rFonts w:cs="Times New Roman"/>
              </w:rPr>
              <w:t>According to the study, the impact of technology on performance is not always direct, but depends on the company's innovation capability and environmental conditions.</w:t>
            </w:r>
          </w:p>
        </w:tc>
      </w:tr>
      <w:tr w:rsidR="00AD085F" w:rsidRPr="00917637" w14:paraId="748706E8" w14:textId="77777777" w:rsidTr="00B16512">
        <w:tc>
          <w:tcPr>
            <w:tcW w:w="2263" w:type="dxa"/>
            <w:vAlign w:val="center"/>
          </w:tcPr>
          <w:p w14:paraId="0EE17451" w14:textId="60F4F7B5" w:rsidR="00AD085F" w:rsidRPr="00917637" w:rsidRDefault="00AD085F" w:rsidP="00AD085F">
            <w:pPr>
              <w:rPr>
                <w:rFonts w:cs="Times New Roman"/>
              </w:rPr>
            </w:pPr>
            <w:r w:rsidRPr="00917637">
              <w:rPr>
                <w:rFonts w:cs="Times New Roman"/>
              </w:rPr>
              <w:t xml:space="preserve">Chiwaridzo </w:t>
            </w:r>
            <w:r w:rsidR="00F2543C" w:rsidRPr="00917637">
              <w:rPr>
                <w:rFonts w:cs="Times New Roman"/>
              </w:rPr>
              <w:t>and</w:t>
            </w:r>
            <w:r w:rsidRPr="00917637">
              <w:rPr>
                <w:rFonts w:cs="Times New Roman"/>
              </w:rPr>
              <w:t xml:space="preserve"> Masengu (2023)</w:t>
            </w:r>
          </w:p>
        </w:tc>
        <w:tc>
          <w:tcPr>
            <w:tcW w:w="3778" w:type="dxa"/>
          </w:tcPr>
          <w:p w14:paraId="7A3808D6" w14:textId="4390E255" w:rsidR="00AD085F" w:rsidRPr="00917637" w:rsidRDefault="00F00E7C" w:rsidP="00AD085F">
            <w:pPr>
              <w:rPr>
                <w:rFonts w:cs="Times New Roman"/>
              </w:rPr>
            </w:pPr>
            <w:r w:rsidRPr="00917637">
              <w:rPr>
                <w:rFonts w:cs="Times New Roman"/>
              </w:rPr>
              <w:t>The purpose of this study is to systematically examine the effects of technology adoption in small and medium-sized enterprises (SMEs) on the three fundamental dimensions of sustainability: economic, environmental, and social.</w:t>
            </w:r>
          </w:p>
        </w:tc>
        <w:tc>
          <w:tcPr>
            <w:tcW w:w="3021" w:type="dxa"/>
          </w:tcPr>
          <w:p w14:paraId="52B7E989" w14:textId="282E4315" w:rsidR="00AD085F" w:rsidRPr="00917637" w:rsidRDefault="00DC0758" w:rsidP="00AD085F">
            <w:pPr>
              <w:rPr>
                <w:rFonts w:cs="Times New Roman"/>
              </w:rPr>
            </w:pPr>
            <w:r w:rsidRPr="00917637">
              <w:rPr>
                <w:rFonts w:cs="Times New Roman"/>
              </w:rPr>
              <w:t>According to the study, while technology increases economic and environmental sustainability, it has no statistically significant effect on social sustainability (the missing link).</w:t>
            </w:r>
          </w:p>
        </w:tc>
      </w:tr>
      <w:tr w:rsidR="00AD085F" w:rsidRPr="00917637" w14:paraId="4ECC892F" w14:textId="77777777" w:rsidTr="00B16512">
        <w:tc>
          <w:tcPr>
            <w:tcW w:w="2263" w:type="dxa"/>
            <w:vAlign w:val="center"/>
          </w:tcPr>
          <w:p w14:paraId="7B20DFD3" w14:textId="11D00841" w:rsidR="00AD085F" w:rsidRPr="00917637" w:rsidRDefault="00AD085F" w:rsidP="00F63F18">
            <w:pPr>
              <w:spacing w:before="0"/>
              <w:rPr>
                <w:rFonts w:cs="Times New Roman"/>
              </w:rPr>
            </w:pPr>
            <w:r w:rsidRPr="00917637">
              <w:rPr>
                <w:rFonts w:cs="Times New Roman"/>
              </w:rPr>
              <w:t xml:space="preserve">Meier </w:t>
            </w:r>
            <w:r w:rsidR="00D4626C" w:rsidRPr="00917637">
              <w:rPr>
                <w:rFonts w:cs="Times New Roman"/>
              </w:rPr>
              <w:t>et al.,</w:t>
            </w:r>
            <w:r w:rsidRPr="00917637">
              <w:rPr>
                <w:rFonts w:cs="Times New Roman"/>
              </w:rPr>
              <w:t xml:space="preserve"> (2023)</w:t>
            </w:r>
          </w:p>
        </w:tc>
        <w:tc>
          <w:tcPr>
            <w:tcW w:w="3778" w:type="dxa"/>
          </w:tcPr>
          <w:p w14:paraId="37379112" w14:textId="35E5BAEB" w:rsidR="00AD085F" w:rsidRPr="00917637" w:rsidRDefault="00F00E7C" w:rsidP="00AD085F">
            <w:pPr>
              <w:rPr>
                <w:rFonts w:cs="Times New Roman"/>
              </w:rPr>
            </w:pPr>
            <w:r w:rsidRPr="00917637">
              <w:rPr>
                <w:rFonts w:cs="Times New Roman"/>
              </w:rPr>
              <w:t>The purpose of this study is to systematically examine the use of Artificial Intelligence (AI) in sustainable supply chain management and its “Sensing” capability, defined as the technology's capacity to anticipate and manage environmental and social risks.</w:t>
            </w:r>
          </w:p>
        </w:tc>
        <w:tc>
          <w:tcPr>
            <w:tcW w:w="3021" w:type="dxa"/>
          </w:tcPr>
          <w:p w14:paraId="69C53D46" w14:textId="0BF7433F" w:rsidR="00AD085F" w:rsidRPr="00917637" w:rsidRDefault="00DC0758" w:rsidP="00AD085F">
            <w:pPr>
              <w:rPr>
                <w:rFonts w:cs="Times New Roman"/>
              </w:rPr>
            </w:pPr>
            <w:r w:rsidRPr="00917637">
              <w:rPr>
                <w:rFonts w:cs="Times New Roman"/>
              </w:rPr>
              <w:t>According to the study, AI provides proactive sustainability management by identifying pre-contractual risks and opportunities.</w:t>
            </w:r>
          </w:p>
        </w:tc>
      </w:tr>
      <w:tr w:rsidR="00D4626C" w:rsidRPr="00917637" w14:paraId="74C8E703" w14:textId="77777777" w:rsidTr="00B16512">
        <w:tc>
          <w:tcPr>
            <w:tcW w:w="2263" w:type="dxa"/>
            <w:vAlign w:val="center"/>
          </w:tcPr>
          <w:p w14:paraId="17B7B95A" w14:textId="538E9E42" w:rsidR="00D4626C" w:rsidRPr="00917637" w:rsidRDefault="00D4626C" w:rsidP="00D4626C">
            <w:pPr>
              <w:rPr>
                <w:rFonts w:cs="Times New Roman"/>
              </w:rPr>
            </w:pPr>
            <w:r w:rsidRPr="00917637">
              <w:rPr>
                <w:rFonts w:cs="Times New Roman"/>
              </w:rPr>
              <w:t>Nassani et al., (2023)</w:t>
            </w:r>
          </w:p>
        </w:tc>
        <w:tc>
          <w:tcPr>
            <w:tcW w:w="3778" w:type="dxa"/>
          </w:tcPr>
          <w:p w14:paraId="7E4E6D09" w14:textId="74E8223F" w:rsidR="00D4626C" w:rsidRPr="00917637" w:rsidRDefault="00D4626C" w:rsidP="00D4626C">
            <w:pPr>
              <w:rPr>
                <w:rFonts w:cs="Times New Roman"/>
              </w:rPr>
            </w:pPr>
            <w:r w:rsidRPr="00917637">
              <w:rPr>
                <w:rFonts w:cs="Times New Roman"/>
              </w:rPr>
              <w:t>The purpose of this study is to systematically analyze the interactions between social sustainability practices and governance mechanisms and human rights practices in the tourism and public sectors.</w:t>
            </w:r>
          </w:p>
        </w:tc>
        <w:tc>
          <w:tcPr>
            <w:tcW w:w="3021" w:type="dxa"/>
          </w:tcPr>
          <w:p w14:paraId="21B9ED14" w14:textId="351066A1" w:rsidR="00D4626C" w:rsidRPr="00917637" w:rsidRDefault="00D4626C" w:rsidP="00D4626C">
            <w:pPr>
              <w:rPr>
                <w:rFonts w:cs="Times New Roman"/>
              </w:rPr>
            </w:pPr>
            <w:r w:rsidRPr="00917637">
              <w:rPr>
                <w:rFonts w:cs="Times New Roman"/>
              </w:rPr>
              <w:t>According to the study, a human-centered approach and ethical governance mechanisms beyond technology are essential for success.</w:t>
            </w:r>
          </w:p>
        </w:tc>
      </w:tr>
      <w:tr w:rsidR="00D4626C" w:rsidRPr="00917637" w14:paraId="323B24E9" w14:textId="77777777" w:rsidTr="00B16512">
        <w:tc>
          <w:tcPr>
            <w:tcW w:w="2263" w:type="dxa"/>
            <w:vAlign w:val="center"/>
          </w:tcPr>
          <w:p w14:paraId="5A535A9F" w14:textId="18B2AAE5" w:rsidR="00D4626C" w:rsidRPr="00917637" w:rsidRDefault="00D4626C" w:rsidP="00D4626C">
            <w:pPr>
              <w:rPr>
                <w:rFonts w:cs="Times New Roman"/>
              </w:rPr>
            </w:pPr>
            <w:r w:rsidRPr="00917637">
              <w:rPr>
                <w:rFonts w:cs="Times New Roman"/>
              </w:rPr>
              <w:t>Wang et al., (2023)</w:t>
            </w:r>
          </w:p>
        </w:tc>
        <w:tc>
          <w:tcPr>
            <w:tcW w:w="3778" w:type="dxa"/>
          </w:tcPr>
          <w:p w14:paraId="4AC85B68" w14:textId="56112304" w:rsidR="00D4626C" w:rsidRPr="00917637" w:rsidRDefault="00D4626C" w:rsidP="00D4626C">
            <w:pPr>
              <w:rPr>
                <w:rFonts w:cs="Times New Roman"/>
              </w:rPr>
            </w:pPr>
            <w:r w:rsidRPr="00917637">
              <w:rPr>
                <w:rFonts w:cs="Times New Roman"/>
              </w:rPr>
              <w:t xml:space="preserve">The purpose of this study is to systematically analyze the effects of blockchain technology on security, </w:t>
            </w:r>
            <w:r w:rsidRPr="00917637">
              <w:rPr>
                <w:rFonts w:cs="Times New Roman"/>
              </w:rPr>
              <w:lastRenderedPageBreak/>
              <w:t>traceability, and data integrity processes in supply chains.</w:t>
            </w:r>
          </w:p>
        </w:tc>
        <w:tc>
          <w:tcPr>
            <w:tcW w:w="3021" w:type="dxa"/>
          </w:tcPr>
          <w:p w14:paraId="03676FDD" w14:textId="570D3820" w:rsidR="00D4626C" w:rsidRPr="00917637" w:rsidRDefault="00D4626C" w:rsidP="00D4626C">
            <w:pPr>
              <w:rPr>
                <w:rFonts w:cs="Times New Roman"/>
              </w:rPr>
            </w:pPr>
            <w:r w:rsidRPr="00917637">
              <w:rPr>
                <w:rFonts w:cs="Times New Roman"/>
              </w:rPr>
              <w:lastRenderedPageBreak/>
              <w:t xml:space="preserve">According to the study, despite technology reducing data manipulation, </w:t>
            </w:r>
            <w:r w:rsidRPr="00917637">
              <w:rPr>
                <w:rFonts w:cs="Times New Roman"/>
              </w:rPr>
              <w:lastRenderedPageBreak/>
              <w:t>certification processes must be supported by physical controls.</w:t>
            </w:r>
          </w:p>
        </w:tc>
      </w:tr>
      <w:tr w:rsidR="00D4626C" w:rsidRPr="00917637" w14:paraId="3D8975A3" w14:textId="77777777" w:rsidTr="00B16512">
        <w:tc>
          <w:tcPr>
            <w:tcW w:w="2263" w:type="dxa"/>
            <w:vAlign w:val="center"/>
          </w:tcPr>
          <w:p w14:paraId="2203DE41" w14:textId="1A9EBD23" w:rsidR="00D4626C" w:rsidRPr="00917637" w:rsidRDefault="00D4626C" w:rsidP="00D4626C">
            <w:pPr>
              <w:rPr>
                <w:rFonts w:cs="Times New Roman"/>
              </w:rPr>
            </w:pPr>
            <w:r w:rsidRPr="00917637">
              <w:rPr>
                <w:rFonts w:cs="Times New Roman"/>
              </w:rPr>
              <w:lastRenderedPageBreak/>
              <w:t>Zhao et al., (2023)</w:t>
            </w:r>
          </w:p>
        </w:tc>
        <w:tc>
          <w:tcPr>
            <w:tcW w:w="3778" w:type="dxa"/>
          </w:tcPr>
          <w:p w14:paraId="097234C4" w14:textId="1E56529F" w:rsidR="00D4626C" w:rsidRPr="00917637" w:rsidRDefault="00D4626C" w:rsidP="00D4626C">
            <w:pPr>
              <w:rPr>
                <w:rFonts w:cs="Times New Roman"/>
              </w:rPr>
            </w:pPr>
            <w:r w:rsidRPr="00917637">
              <w:rPr>
                <w:rFonts w:cs="Times New Roman"/>
              </w:rPr>
              <w:t>The purpose of this study is to systematically examine the effects of digital transformation on companies' green innovation performance.</w:t>
            </w:r>
          </w:p>
        </w:tc>
        <w:tc>
          <w:tcPr>
            <w:tcW w:w="3021" w:type="dxa"/>
          </w:tcPr>
          <w:p w14:paraId="7D5EEBD0" w14:textId="37FB2099" w:rsidR="00D4626C" w:rsidRPr="00917637" w:rsidRDefault="00D4626C" w:rsidP="00D4626C">
            <w:pPr>
              <w:rPr>
                <w:rFonts w:cs="Times New Roman"/>
              </w:rPr>
            </w:pPr>
            <w:r w:rsidRPr="00917637">
              <w:rPr>
                <w:rFonts w:cs="Times New Roman"/>
              </w:rPr>
              <w:t>According to the study, digitalization plays a fundamental “facilitating” role in triggering green innovation through information sharing and resource optimization.</w:t>
            </w:r>
          </w:p>
        </w:tc>
      </w:tr>
      <w:tr w:rsidR="00D4626C" w:rsidRPr="00917637" w14:paraId="051286DD" w14:textId="77777777" w:rsidTr="00B16512">
        <w:tc>
          <w:tcPr>
            <w:tcW w:w="2263" w:type="dxa"/>
            <w:vAlign w:val="center"/>
          </w:tcPr>
          <w:p w14:paraId="5D72B76B" w14:textId="36D5AB48" w:rsidR="00D4626C" w:rsidRPr="00917637" w:rsidRDefault="00D4626C" w:rsidP="00D4626C">
            <w:pPr>
              <w:rPr>
                <w:rFonts w:cs="Times New Roman"/>
              </w:rPr>
            </w:pPr>
            <w:r w:rsidRPr="00917637">
              <w:rPr>
                <w:rFonts w:cs="Times New Roman"/>
              </w:rPr>
              <w:t>Hoyos et al., (2024)</w:t>
            </w:r>
          </w:p>
        </w:tc>
        <w:tc>
          <w:tcPr>
            <w:tcW w:w="3778" w:type="dxa"/>
          </w:tcPr>
          <w:p w14:paraId="14F36F79" w14:textId="44593492" w:rsidR="00D4626C" w:rsidRPr="00917637" w:rsidRDefault="00D4626C" w:rsidP="00D4626C">
            <w:pPr>
              <w:rPr>
                <w:rFonts w:cs="Times New Roman"/>
              </w:rPr>
            </w:pPr>
            <w:r w:rsidRPr="00917637">
              <w:rPr>
                <w:rFonts w:cs="Times New Roman"/>
              </w:rPr>
              <w:t>The purpose of this study is to develop a comprehensive framework and governance mechanisms that will enable the effective management of social sustainability in supply chains.</w:t>
            </w:r>
          </w:p>
        </w:tc>
        <w:tc>
          <w:tcPr>
            <w:tcW w:w="3021" w:type="dxa"/>
          </w:tcPr>
          <w:p w14:paraId="5A082223" w14:textId="7584AE0E" w:rsidR="00D4626C" w:rsidRPr="00917637" w:rsidRDefault="00D4626C" w:rsidP="00D4626C">
            <w:pPr>
              <w:rPr>
                <w:rFonts w:cs="Times New Roman"/>
              </w:rPr>
            </w:pPr>
            <w:r w:rsidRPr="00917637">
              <w:rPr>
                <w:rFonts w:cs="Times New Roman"/>
              </w:rPr>
              <w:t>According to the study, social sustainability should be managed not only through auditing but also through collaboration and supplier development programs.</w:t>
            </w:r>
          </w:p>
        </w:tc>
      </w:tr>
      <w:tr w:rsidR="00D4626C" w:rsidRPr="00917637" w14:paraId="57D31F56" w14:textId="77777777" w:rsidTr="00B16512">
        <w:tc>
          <w:tcPr>
            <w:tcW w:w="2263" w:type="dxa"/>
            <w:vAlign w:val="center"/>
          </w:tcPr>
          <w:p w14:paraId="01A9BDB3" w14:textId="4FF818A2" w:rsidR="00D4626C" w:rsidRPr="00917637" w:rsidRDefault="00D4626C" w:rsidP="00D4626C">
            <w:pPr>
              <w:rPr>
                <w:rFonts w:cs="Times New Roman"/>
              </w:rPr>
            </w:pPr>
            <w:r w:rsidRPr="00917637">
              <w:rPr>
                <w:rFonts w:cs="Times New Roman"/>
              </w:rPr>
              <w:t xml:space="preserve">Colombage </w:t>
            </w:r>
            <w:r w:rsidR="00F2543C" w:rsidRPr="00917637">
              <w:rPr>
                <w:rFonts w:cs="Times New Roman"/>
              </w:rPr>
              <w:t xml:space="preserve">and </w:t>
            </w:r>
            <w:r w:rsidRPr="00917637">
              <w:rPr>
                <w:rFonts w:cs="Times New Roman"/>
              </w:rPr>
              <w:t>Sedera (2025)</w:t>
            </w:r>
          </w:p>
        </w:tc>
        <w:tc>
          <w:tcPr>
            <w:tcW w:w="3778" w:type="dxa"/>
          </w:tcPr>
          <w:p w14:paraId="67DF235D" w14:textId="7BB0CF81" w:rsidR="00D4626C" w:rsidRPr="00917637" w:rsidRDefault="00D4626C" w:rsidP="00D4626C">
            <w:pPr>
              <w:rPr>
                <w:rFonts w:cs="Times New Roman"/>
              </w:rPr>
            </w:pPr>
            <w:r w:rsidRPr="00917637">
              <w:rPr>
                <w:rFonts w:cs="Times New Roman"/>
              </w:rPr>
              <w:t>The purpose of this study is to analyze the illusion of visibility created by blockchain technology in supply chains and to reveal the relationships between transparency and information asymmetry.</w:t>
            </w:r>
          </w:p>
        </w:tc>
        <w:tc>
          <w:tcPr>
            <w:tcW w:w="3021" w:type="dxa"/>
          </w:tcPr>
          <w:p w14:paraId="765C8E7C" w14:textId="2250C6F0" w:rsidR="00D4626C" w:rsidRPr="00917637" w:rsidRDefault="00D4626C" w:rsidP="00D4626C">
            <w:pPr>
              <w:rPr>
                <w:rFonts w:cs="Times New Roman"/>
              </w:rPr>
            </w:pPr>
            <w:r w:rsidRPr="00917637">
              <w:rPr>
                <w:rFonts w:cs="Times New Roman"/>
              </w:rPr>
              <w:t>According to the study, it has been warned that technology can turn into a “theater stage” by creating a “distorted transparency” where companies only share the data they want.</w:t>
            </w:r>
          </w:p>
        </w:tc>
      </w:tr>
      <w:tr w:rsidR="00D4626C" w:rsidRPr="00917637" w14:paraId="343B9A47" w14:textId="77777777" w:rsidTr="00B16512">
        <w:tc>
          <w:tcPr>
            <w:tcW w:w="2263" w:type="dxa"/>
            <w:vAlign w:val="center"/>
          </w:tcPr>
          <w:p w14:paraId="5965FC7C" w14:textId="572B803D" w:rsidR="00D4626C" w:rsidRPr="00917637" w:rsidRDefault="00D4626C" w:rsidP="00D4626C">
            <w:pPr>
              <w:rPr>
                <w:rFonts w:cs="Times New Roman"/>
              </w:rPr>
            </w:pPr>
            <w:r w:rsidRPr="00917637">
              <w:rPr>
                <w:rFonts w:cs="Times New Roman"/>
              </w:rPr>
              <w:t>Gu et al., (2025)</w:t>
            </w:r>
          </w:p>
        </w:tc>
        <w:tc>
          <w:tcPr>
            <w:tcW w:w="3778" w:type="dxa"/>
          </w:tcPr>
          <w:p w14:paraId="3893FD82" w14:textId="3329F125" w:rsidR="00D4626C" w:rsidRPr="00917637" w:rsidRDefault="00D4626C" w:rsidP="00D4626C">
            <w:pPr>
              <w:rPr>
                <w:rFonts w:cs="Times New Roman"/>
              </w:rPr>
            </w:pPr>
            <w:r w:rsidRPr="00917637">
              <w:rPr>
                <w:rFonts w:cs="Times New Roman"/>
              </w:rPr>
              <w:t>The purpose of this study is to analyze the effects of integrating autonomous vehicles into the supply chain on social sustainability and to define applicable action categories in line with the emerging effects.</w:t>
            </w:r>
          </w:p>
        </w:tc>
        <w:tc>
          <w:tcPr>
            <w:tcW w:w="3021" w:type="dxa"/>
          </w:tcPr>
          <w:p w14:paraId="2071439D" w14:textId="7814588B" w:rsidR="00D4626C" w:rsidRPr="00917637" w:rsidRDefault="00D4626C" w:rsidP="00D4626C">
            <w:pPr>
              <w:rPr>
                <w:rFonts w:cs="Times New Roman"/>
              </w:rPr>
            </w:pPr>
            <w:r w:rsidRPr="00917637">
              <w:rPr>
                <w:rFonts w:cs="Times New Roman"/>
              </w:rPr>
              <w:t>According to the study, the concept of “reputation” has been presented as a new social indicator, and eight categories of managerial actions have been developed.</w:t>
            </w:r>
          </w:p>
        </w:tc>
      </w:tr>
    </w:tbl>
    <w:p w14:paraId="33D62342" w14:textId="77777777" w:rsidR="00AD085F" w:rsidRPr="00917637" w:rsidRDefault="00AD085F" w:rsidP="00AD085F"/>
    <w:p w14:paraId="18D1A6F8" w14:textId="3328EB14" w:rsidR="006228B7" w:rsidRPr="00917637" w:rsidRDefault="006228B7" w:rsidP="006228B7">
      <w:r w:rsidRPr="00917637">
        <w:t xml:space="preserve">A review of the current literature summarized in Table </w:t>
      </w:r>
      <w:r w:rsidR="009B560D" w:rsidRPr="00917637">
        <w:t>2</w:t>
      </w:r>
      <w:r w:rsidRPr="00917637">
        <w:t xml:space="preserve"> leads to three critical conclusions regarding the evolution of digital supply chain research and its current shortcomings:</w:t>
      </w:r>
    </w:p>
    <w:p w14:paraId="7553325F" w14:textId="3D18B50F" w:rsidR="006403A7" w:rsidRPr="00917637" w:rsidRDefault="006403A7" w:rsidP="008C21EC">
      <w:pPr>
        <w:pStyle w:val="ListParagraph"/>
        <w:numPr>
          <w:ilvl w:val="0"/>
          <w:numId w:val="1"/>
        </w:numPr>
      </w:pPr>
      <w:r w:rsidRPr="00917637">
        <w:rPr>
          <w:b/>
          <w:bCs/>
          <w:i/>
          <w:iCs/>
        </w:rPr>
        <w:t xml:space="preserve">Environmental Focus and the Secondary </w:t>
      </w:r>
      <w:r w:rsidR="00EF5E88" w:rsidRPr="00917637">
        <w:rPr>
          <w:b/>
          <w:bCs/>
          <w:i/>
          <w:iCs/>
        </w:rPr>
        <w:t>Position</w:t>
      </w:r>
      <w:r w:rsidRPr="00917637">
        <w:rPr>
          <w:b/>
          <w:bCs/>
          <w:i/>
          <w:iCs/>
        </w:rPr>
        <w:t xml:space="preserve"> of the Social Dimension:</w:t>
      </w:r>
      <w:r w:rsidRPr="00917637">
        <w:t xml:space="preserve"> A significant portion of current studies (</w:t>
      </w:r>
      <w:r w:rsidR="00EF5E88" w:rsidRPr="00917637">
        <w:t xml:space="preserve">e.g. </w:t>
      </w:r>
      <w:r w:rsidRPr="00917637">
        <w:t xml:space="preserve">Green et al., 2018; Ebrahimi et al., 2022; Zhao et al., 2023) examine the effects of digitalization </w:t>
      </w:r>
      <w:r w:rsidR="00EF5E88" w:rsidRPr="00917637">
        <w:t>on sustainable supply chain by considering g</w:t>
      </w:r>
      <w:r w:rsidRPr="00917637">
        <w:t xml:space="preserve">reen </w:t>
      </w:r>
      <w:r w:rsidR="00EF5E88" w:rsidRPr="00917637">
        <w:t>s</w:t>
      </w:r>
      <w:r w:rsidRPr="00917637">
        <w:t xml:space="preserve">upply </w:t>
      </w:r>
      <w:r w:rsidR="00EF5E88" w:rsidRPr="00917637">
        <w:t>c</w:t>
      </w:r>
      <w:r w:rsidRPr="00917637">
        <w:t xml:space="preserve">hain </w:t>
      </w:r>
      <w:r w:rsidR="00EF5E88" w:rsidRPr="00917637">
        <w:t>m</w:t>
      </w:r>
      <w:r w:rsidRPr="00917637">
        <w:t xml:space="preserve">anagement (GSCM), energy consumption, and carbon emissions. As shown in </w:t>
      </w:r>
      <w:r w:rsidR="00EF5E88" w:rsidRPr="00917637">
        <w:t>Table 2</w:t>
      </w:r>
      <w:r w:rsidRPr="00917637">
        <w:t xml:space="preserve">, when establishing the relationship between technology and sustainability, social dimensions such as workers' rights and fair management are often </w:t>
      </w:r>
      <w:r w:rsidR="00EF5E88" w:rsidRPr="00917637">
        <w:t>placed in the secondary position</w:t>
      </w:r>
      <w:r w:rsidRPr="00917637">
        <w:t xml:space="preserve">. </w:t>
      </w:r>
    </w:p>
    <w:p w14:paraId="1B9A9E7B" w14:textId="59141C9C" w:rsidR="006403A7" w:rsidRPr="00917637" w:rsidRDefault="006403A7" w:rsidP="008C21EC">
      <w:pPr>
        <w:pStyle w:val="ListParagraph"/>
        <w:numPr>
          <w:ilvl w:val="0"/>
          <w:numId w:val="1"/>
        </w:numPr>
      </w:pPr>
      <w:r w:rsidRPr="00917637">
        <w:rPr>
          <w:b/>
          <w:bCs/>
          <w:i/>
          <w:iCs/>
        </w:rPr>
        <w:t>Transition from Technological Optimism to a Critical Perspective:</w:t>
      </w:r>
      <w:r w:rsidRPr="00917637">
        <w:t xml:space="preserve"> While early studies presented digitalization as a seamless solution, studies from 2022 onwards seem to adopt a more critical tone. Dey et al. (2022) and Wang et al. (2023) </w:t>
      </w:r>
      <w:r w:rsidR="00720E38" w:rsidRPr="00917637">
        <w:t>particularly pointed out</w:t>
      </w:r>
      <w:r w:rsidRPr="00917637">
        <w:t xml:space="preserve"> that technologies such as blockchain can create a false sense of security unless they are supported by physical verification mechanisms. More importantly, Colombage and Sedera (2025) emphasize that the technology can be turned into a stage where companies only share the data they want, giving rise to the concept of “distorted transparency”</w:t>
      </w:r>
      <w:r w:rsidR="00720E38" w:rsidRPr="00917637">
        <w:t>.</w:t>
      </w:r>
      <w:r w:rsidRPr="00917637">
        <w:t xml:space="preserve"> These findings clearly indicate that the mere existence of technology is </w:t>
      </w:r>
      <w:r w:rsidRPr="00917637">
        <w:lastRenderedPageBreak/>
        <w:t>not sufficient to resolve social risks; it must be supported by appropriate governance mechanisms.</w:t>
      </w:r>
    </w:p>
    <w:p w14:paraId="4E65351B" w14:textId="01332B5C" w:rsidR="006228B7" w:rsidRPr="00917637" w:rsidRDefault="006403A7" w:rsidP="008C21EC">
      <w:pPr>
        <w:pStyle w:val="ListParagraph"/>
        <w:numPr>
          <w:ilvl w:val="0"/>
          <w:numId w:val="1"/>
        </w:numPr>
      </w:pPr>
      <w:r w:rsidRPr="00917637">
        <w:rPr>
          <w:b/>
          <w:bCs/>
          <w:i/>
          <w:iCs/>
        </w:rPr>
        <w:t>Theoretical Integration Gap:</w:t>
      </w:r>
      <w:r w:rsidRPr="00917637">
        <w:t xml:space="preserve"> When examining the studies (Reinerth et al., 2019; Bai et al., 2021), it is noted that mathematical models are widely used for supplier selection and sustainability, but there are limited multi-theoretical approaches that comprehensively explain the relationship between social risk management and corporate reputation </w:t>
      </w:r>
      <w:r w:rsidR="00A60C30" w:rsidRPr="00917637">
        <w:t xml:space="preserve">management or </w:t>
      </w:r>
      <w:r w:rsidR="00B945AE" w:rsidRPr="00917637">
        <w:t>CSR</w:t>
      </w:r>
      <w:r w:rsidRPr="00917637">
        <w:t xml:space="preserve">. Although Meier et al. (2023) </w:t>
      </w:r>
      <w:r w:rsidR="00A60C30" w:rsidRPr="00917637">
        <w:t>underlined</w:t>
      </w:r>
      <w:r w:rsidRPr="00917637">
        <w:t xml:space="preserve"> </w:t>
      </w:r>
      <w:r w:rsidR="00A60C30" w:rsidRPr="00917637">
        <w:t>the a</w:t>
      </w:r>
      <w:r w:rsidRPr="00917637">
        <w:t>bility</w:t>
      </w:r>
      <w:r w:rsidR="00A60C30" w:rsidRPr="00917637">
        <w:t xml:space="preserve"> of AI</w:t>
      </w:r>
      <w:r w:rsidRPr="00917637">
        <w:t xml:space="preserve"> to “sense” risks, how this technology resolves the trust issue between principal and agent has not been sufficiently explained theoretically.</w:t>
      </w:r>
    </w:p>
    <w:p w14:paraId="44E86F55" w14:textId="2908845A" w:rsidR="006228B7" w:rsidRPr="00917637" w:rsidRDefault="006403A7" w:rsidP="00AD085F">
      <w:r w:rsidRPr="00917637">
        <w:t>In light of these conclusions drawn from Table 1</w:t>
      </w:r>
      <w:r w:rsidR="008C21EC" w:rsidRPr="00917637">
        <w:t xml:space="preserve"> and Table 2</w:t>
      </w:r>
      <w:r w:rsidRPr="00917637">
        <w:t xml:space="preserve">, </w:t>
      </w:r>
      <w:r w:rsidR="00A60C30" w:rsidRPr="00917637">
        <w:t xml:space="preserve">it becomes evident that </w:t>
      </w:r>
      <w:r w:rsidRPr="00917637">
        <w:t xml:space="preserve">there is a need in the </w:t>
      </w:r>
      <w:r w:rsidR="00A60C30" w:rsidRPr="00917637">
        <w:t>extant</w:t>
      </w:r>
      <w:r w:rsidRPr="00917637">
        <w:t xml:space="preserve"> literature for a study that focuses on the neglected social dimension of sustainability, treats technology not merely as a tool but as a control mechanism to prevent the illusion of transparency</w:t>
      </w:r>
      <w:r w:rsidR="00A60C30" w:rsidRPr="00917637">
        <w:t>,</w:t>
      </w:r>
      <w:r w:rsidRPr="00917637">
        <w:t xml:space="preserve"> as pointed out by Colombage and Sedera (2025), and explains this process using Agency and Signaling theories. </w:t>
      </w:r>
      <w:r w:rsidR="00A60C30" w:rsidRPr="00917637">
        <w:t>Therefore, t</w:t>
      </w:r>
      <w:r w:rsidRPr="00917637">
        <w:t>his study aims to fill this gap by reconceptualizing the social sustainability mechanism, defined as the missing link by Chiwaridzo and Masengu (2023), through digital technologies.</w:t>
      </w:r>
    </w:p>
    <w:bookmarkEnd w:id="0"/>
    <w:p w14:paraId="7D75201A" w14:textId="38B103FD" w:rsidR="008C04BD" w:rsidRPr="00917637" w:rsidRDefault="00E83A6C" w:rsidP="00E83A6C">
      <w:pPr>
        <w:pStyle w:val="Heading2"/>
      </w:pPr>
      <w:r w:rsidRPr="00917637">
        <w:t>3.</w:t>
      </w:r>
      <w:r w:rsidR="00BF7EA7" w:rsidRPr="00917637">
        <w:t xml:space="preserve"> Technology as an Enabler of Social Sustainability</w:t>
      </w:r>
    </w:p>
    <w:p w14:paraId="4B6B4A06" w14:textId="675B41EC" w:rsidR="00B6628E" w:rsidRPr="00917637" w:rsidRDefault="00BF7EA7" w:rsidP="00656B8B">
      <w:r w:rsidRPr="00917637">
        <w:t xml:space="preserve">Social sustainability in global supply chains has traditionally been regarded as a voluntary CSR activity left largely to the initiative of </w:t>
      </w:r>
      <w:r w:rsidR="000A7CF8" w:rsidRPr="00917637">
        <w:t>businesses</w:t>
      </w:r>
      <w:r w:rsidRPr="00917637">
        <w:t xml:space="preserve">. However, it has increasingly become a strategic necessity shaped by legal sanctions, regulatory frameworks, and growing stakeholder pressure (Winkelmann et al., 2024). In particular, the rising complexity and multi-layered nature of global supply chains reduces the visibility of social risks, thereby compelling </w:t>
      </w:r>
      <w:r w:rsidR="000A7CF8" w:rsidRPr="00917637">
        <w:t>companie</w:t>
      </w:r>
      <w:r w:rsidRPr="00917637">
        <w:t xml:space="preserve">s to adopt more systematic and technology-driven approaches to identify and manage these risks. </w:t>
      </w:r>
      <w:r w:rsidR="000A7CF8" w:rsidRPr="00917637">
        <w:t>Thus</w:t>
      </w:r>
      <w:r w:rsidRPr="00917637">
        <w:t xml:space="preserve">, social sustainability extends beyond an ethical concern and emerges as a critical governance domain for maintaining corporate legitimacy, managing reputational risks, and sustaining long-term competitive advantage. </w:t>
      </w:r>
      <w:r w:rsidR="000A7CF8" w:rsidRPr="00917637">
        <w:t>Accordingly</w:t>
      </w:r>
      <w:r w:rsidRPr="00917637">
        <w:t xml:space="preserve">, this section examines how Industry 4.0 technologies namely </w:t>
      </w:r>
      <w:r w:rsidR="000A7CF8" w:rsidRPr="00917637">
        <w:t>BCT</w:t>
      </w:r>
      <w:r w:rsidRPr="00917637">
        <w:t>, IoT, and A</w:t>
      </w:r>
      <w:r w:rsidR="000A7CF8" w:rsidRPr="00917637">
        <w:t>I</w:t>
      </w:r>
      <w:r w:rsidRPr="00917637">
        <w:t xml:space="preserve"> systematically reduce information asymmetry in global supply chains, support legal compliance requirements in the realm of social sustainability, and evolve into strategic signaling mechanisms that enable firms to build trust and credibility among their stakeholders. </w:t>
      </w:r>
      <w:r w:rsidR="000A7CF8" w:rsidRPr="00917637">
        <w:t xml:space="preserve">Additionally, the section discusses </w:t>
      </w:r>
      <w:r w:rsidR="000F5E5D" w:rsidRPr="00917637">
        <w:t>how technology is positioned not only as a control and monitoring tool but also as a comprehensive management infrastructure that makes companies' social responsibility commitments visible and verifiable</w:t>
      </w:r>
      <w:r w:rsidR="000A7CF8" w:rsidRPr="00917637">
        <w:t xml:space="preserve"> by also </w:t>
      </w:r>
      <w:r w:rsidR="000F5E5D" w:rsidRPr="00917637">
        <w:t>considering theoretical frameworks and application examples.</w:t>
      </w:r>
    </w:p>
    <w:p w14:paraId="4B3F517E" w14:textId="54D8646A" w:rsidR="000F5E5D" w:rsidRPr="00917637" w:rsidRDefault="000F5E5D" w:rsidP="000F5E5D">
      <w:pPr>
        <w:pStyle w:val="Heading2"/>
      </w:pPr>
      <w:r w:rsidRPr="00917637">
        <w:t>3.1. Technical Solution and Theoretical Basis: Elimination of Asymmetry and Single Source of Truth</w:t>
      </w:r>
    </w:p>
    <w:p w14:paraId="06F393CB" w14:textId="37FB094E" w:rsidR="000F5E5D" w:rsidRPr="00917637" w:rsidRDefault="00E1163E" w:rsidP="000F5E5D">
      <w:r w:rsidRPr="00917637">
        <w:t>As Chaudhuri et al. (2023) emphasized, t</w:t>
      </w:r>
      <w:r w:rsidR="000F5E5D" w:rsidRPr="00917637">
        <w:t xml:space="preserve">he most fundamental structural problem of multi-tier supply chains is the profound information asymmetry between buying firms acting as principals and lower-tier suppliers acting as agents. Traditional audit mechanisms tend to exacerbate this asymmetry by creating an illusion of “skewed transparency” whereby suppliers comply with standards only at the time of inspection or strategically manipulate reported data (Colombage &amp; Sedera, 2025). Within the framework of </w:t>
      </w:r>
      <w:r w:rsidRPr="00917637">
        <w:t>a</w:t>
      </w:r>
      <w:r w:rsidR="000F5E5D" w:rsidRPr="00917637">
        <w:t xml:space="preserve">gency </w:t>
      </w:r>
      <w:r w:rsidRPr="00917637">
        <w:t>t</w:t>
      </w:r>
      <w:r w:rsidR="000F5E5D" w:rsidRPr="00917637">
        <w:t xml:space="preserve">heory, this situation enables suppliers to conceal unsustainable practices, thereby giving rise to moral hazard and elevated agency costs (Chaudhuri et al., 2023). Technology possesses the potential to structurally transform this asymmetry. BCT, through its decentralized and cryptographic architecture, prevents data manipulation by a single authority and establishes a collectively agreed “single source of truth” for all supply chain stakeholders (Colombage &amp; Sedera, 2025). The recording of data such as </w:t>
      </w:r>
      <w:r w:rsidR="006B1132" w:rsidRPr="00917637">
        <w:t>employee</w:t>
      </w:r>
      <w:r w:rsidR="000F5E5D" w:rsidRPr="00917637">
        <w:t xml:space="preserve"> payments or working hours into an immutable and transparent ledger ensures data integrity even in trustless environments (Wang et al., 2023). Furthermore, automated inspection </w:t>
      </w:r>
      <w:r w:rsidR="000F5E5D" w:rsidRPr="00917637">
        <w:lastRenderedPageBreak/>
        <w:t>systems and IoT sensors enable the real-time collection of production-site data without human intervention, thereby eliminating biases inherent in manual reporting and rendering information flows more objective and reliable (Dey et al., 2022).</w:t>
      </w:r>
    </w:p>
    <w:p w14:paraId="2563DBF8" w14:textId="2C599356" w:rsidR="000F5E5D" w:rsidRPr="00917637" w:rsidRDefault="000F5E5D" w:rsidP="000F5E5D">
      <w:r w:rsidRPr="00917637">
        <w:t xml:space="preserve">This study argues that digital technologies should be considered not only as a technical monitoring and reporting tool in supply chains, but also as an element of corporate transformation that redefines the governance structure. In particular, the continuous, </w:t>
      </w:r>
      <w:r w:rsidR="006B1132" w:rsidRPr="00917637">
        <w:t>decentralized</w:t>
      </w:r>
      <w:r w:rsidRPr="00917637">
        <w:t xml:space="preserve">, and immutable data flow offered by </w:t>
      </w:r>
      <w:r w:rsidR="006B1132" w:rsidRPr="00917637">
        <w:t>BCT</w:t>
      </w:r>
      <w:r w:rsidRPr="00917637">
        <w:t xml:space="preserve"> and IoT-based systems has the potential to shift companies' social sustainability performance from an audit-focused ex post approach to a risk-preventive and learning-based ex ante governance model. This transformation enables buyer companies to position their suppliers not merely as compliant actors, but as strategic partners who jointly create value. However, realizing this potential depends not solely on the existence of technological infrastructure, but </w:t>
      </w:r>
      <w:r w:rsidR="006B1132" w:rsidRPr="00917637">
        <w:t xml:space="preserve">also </w:t>
      </w:r>
      <w:r w:rsidRPr="00917637">
        <w:t xml:space="preserve">on companies developing corporate cultures that genuinely internalize transparency and avoiding the use of digital systems as selective disclosure tools. Otherwise, </w:t>
      </w:r>
      <w:r w:rsidR="006B1132" w:rsidRPr="00917637">
        <w:t xml:space="preserve">the deployment of advanced technologies without robust governance principles risks creating a more sophisticated illusion of visibility rather than delivering </w:t>
      </w:r>
      <w:r w:rsidRPr="00917637">
        <w:t>structural improvement in social sustainability.</w:t>
      </w:r>
    </w:p>
    <w:p w14:paraId="207069AE" w14:textId="345114BB" w:rsidR="000F5E5D" w:rsidRPr="00917637" w:rsidRDefault="000F5E5D" w:rsidP="000F5E5D">
      <w:pPr>
        <w:pStyle w:val="Heading2"/>
      </w:pPr>
      <w:r w:rsidRPr="00917637">
        <w:t>3.2. Strategic Dimension: Legal Compliance</w:t>
      </w:r>
    </w:p>
    <w:p w14:paraId="008EBDC2" w14:textId="35C3E283" w:rsidR="00406097" w:rsidRPr="00917637" w:rsidRDefault="00406097" w:rsidP="000F5E5D">
      <w:r w:rsidRPr="00917637">
        <w:t xml:space="preserve">This enhanced level of transparency provided by technology </w:t>
      </w:r>
      <w:r w:rsidR="00E9281C" w:rsidRPr="00917637">
        <w:t>both</w:t>
      </w:r>
      <w:r w:rsidRPr="00917637">
        <w:t xml:space="preserve"> enables </w:t>
      </w:r>
      <w:r w:rsidR="00E9281C" w:rsidRPr="00917637">
        <w:t>businesses</w:t>
      </w:r>
      <w:r w:rsidRPr="00917637">
        <w:t xml:space="preserve"> to improve their internal control mechanisms and operational processes, </w:t>
      </w:r>
      <w:r w:rsidR="00E9281C" w:rsidRPr="00917637">
        <w:t xml:space="preserve">and </w:t>
      </w:r>
      <w:r w:rsidRPr="00917637">
        <w:t xml:space="preserve">serves as a strategic safeguard against legal, regulatory, and social pressures from the external environment. For </w:t>
      </w:r>
      <w:r w:rsidR="00E9281C" w:rsidRPr="00917637">
        <w:t>instance</w:t>
      </w:r>
      <w:r w:rsidRPr="00917637">
        <w:t xml:space="preserve">, binding regulations such as the German Supply Chain Act hold </w:t>
      </w:r>
      <w:r w:rsidR="00E9281C" w:rsidRPr="00917637">
        <w:t>businesses</w:t>
      </w:r>
      <w:r w:rsidRPr="00917637">
        <w:t xml:space="preserve"> accountable not only for their direct activities but also for human rights violations occurring throughout their supply chains. Such regulatory frameworks make manually monitoring heterogeneous and sometimes contradictory standards in different countries an extremely costly, inefficient, and error-prone process for companies operating in multi-layered supply chains (Wang et al., 2023; Winkelmann et al., 2024).</w:t>
      </w:r>
    </w:p>
    <w:p w14:paraId="1330CDD9" w14:textId="4A5A6169" w:rsidR="00406097" w:rsidRPr="00917637" w:rsidRDefault="00406097" w:rsidP="000F5E5D">
      <w:r w:rsidRPr="00917637">
        <w:t>In this context, blockchain-based smart contracts offer a systematic solution that integrates companies' legal compliance processes into corporate memory by automatically verifying certification status</w:t>
      </w:r>
      <w:r w:rsidR="003A4B10" w:rsidRPr="00917637">
        <w:t xml:space="preserve"> of suppliers</w:t>
      </w:r>
      <w:r w:rsidRPr="00917637">
        <w:t>, compliance with labor standards, and social sustainability criteria within a framework of predefined rules. Thus, companies can develop a proactive governance model that focuses on detecting and preventing violations before they occur, rather than a reactive risk management approach that intervenes after an event (Wang et al., 2023).</w:t>
      </w:r>
    </w:p>
    <w:p w14:paraId="22C973BA" w14:textId="5FB921F9" w:rsidR="00406097" w:rsidRPr="00917637" w:rsidRDefault="00406097" w:rsidP="000F5E5D">
      <w:r w:rsidRPr="00917637">
        <w:t xml:space="preserve">From a </w:t>
      </w:r>
      <w:r w:rsidR="003A4B10" w:rsidRPr="00917637">
        <w:t>s</w:t>
      </w:r>
      <w:r w:rsidRPr="00917637">
        <w:t xml:space="preserve">ignal </w:t>
      </w:r>
      <w:r w:rsidR="003A4B10" w:rsidRPr="00917637">
        <w:t>t</w:t>
      </w:r>
      <w:r w:rsidRPr="00917637">
        <w:t xml:space="preserve">heory perspective, this technical competence stands out as a critical competitive factor that reduces the information asymmetry faced by companies and simultaneously transforms this asymmetry into a strategic advantage (Chaudhuri et al., 2023). Interacting natural stakeholders, particularly consumers and investors, cannot directly monitor the accuracy and consistency of </w:t>
      </w:r>
      <w:r w:rsidR="003A4B10" w:rsidRPr="00917637">
        <w:t>the</w:t>
      </w:r>
      <w:r w:rsidRPr="00917637">
        <w:t xml:space="preserve"> social responsibility</w:t>
      </w:r>
      <w:r w:rsidR="003A4B10" w:rsidRPr="00917637">
        <w:t xml:space="preserve"> </w:t>
      </w:r>
      <w:r w:rsidRPr="00917637">
        <w:t>and sustainability claims</w:t>
      </w:r>
      <w:r w:rsidR="003A4B10" w:rsidRPr="00917637">
        <w:t xml:space="preserve"> of companies</w:t>
      </w:r>
      <w:r w:rsidRPr="00917637">
        <w:t>; this creates a structural trust gap between companies and stakeholders.</w:t>
      </w:r>
    </w:p>
    <w:p w14:paraId="4DB44C7F" w14:textId="729E1124" w:rsidR="00406097" w:rsidRPr="00917637" w:rsidRDefault="00406097" w:rsidP="00D5784D">
      <w:r w:rsidRPr="00917637">
        <w:t>At this point, technology-enabled transparency contributes to closing this gap by providing a reliable and verifiable "signal" about intentions and practices</w:t>
      </w:r>
      <w:r w:rsidR="003A4B10" w:rsidRPr="00917637">
        <w:t xml:space="preserve"> of companies</w:t>
      </w:r>
      <w:r w:rsidRPr="00917637">
        <w:t xml:space="preserve"> (Jabbour et al., 2024). With the adoption of observable technologies, especially blockchain-based systems, companies can demonstrate that their sustainability commitments are not merely symbolic or rhetorical; rather, they are supported by immutable, backward-traceable, and unmanipulated data (Wang et al., 2023). In this </w:t>
      </w:r>
      <w:r w:rsidR="003A4B10" w:rsidRPr="00917637">
        <w:t>regard</w:t>
      </w:r>
      <w:r w:rsidRPr="00917637">
        <w:t xml:space="preserve">, the "single source of truth" approach provided by </w:t>
      </w:r>
      <w:r w:rsidR="005776CA" w:rsidRPr="00917637">
        <w:t xml:space="preserve">BCT </w:t>
      </w:r>
      <w:r w:rsidRPr="00917637">
        <w:t>enhances the consistency and reliability of data generated throughout the supply chain, strengthening the quality and credibility of the signal conveyed to stakeholders (Colombage and Sedera, 2025).</w:t>
      </w:r>
    </w:p>
    <w:p w14:paraId="5C08B627" w14:textId="73E1AA0E" w:rsidR="000E221C" w:rsidRPr="00917637" w:rsidRDefault="00D5784D" w:rsidP="00D5784D">
      <w:r w:rsidRPr="00917637">
        <w:lastRenderedPageBreak/>
        <w:t xml:space="preserve">As a result, this technology-enabled transparency mechanism significantly minimizes the “trust risk” faced by companies and positively shapes stakeholder perceptions, thereby becoming a strategic asset that strengthens corporate reputation (Zhang and Song, 2022; Jabbour et al., 2024). </w:t>
      </w:r>
      <w:r w:rsidR="005776CA" w:rsidRPr="00917637">
        <w:t>Accordingly</w:t>
      </w:r>
      <w:r w:rsidRPr="00917637">
        <w:t xml:space="preserve">, technology extends beyond merely being a tool for information generation or reporting, positioning technology as a fundamental governance mechanism that institutionalizes the trust relationship companies establish with their stakeholders and reinforces their competitive position. In this </w:t>
      </w:r>
      <w:r w:rsidR="005776CA" w:rsidRPr="00917637">
        <w:t>sense</w:t>
      </w:r>
      <w:r w:rsidRPr="00917637">
        <w:t xml:space="preserve">, technology-enabled transparency and signaling mechanisms not only strengthen companies’ voluntary sustainability commitments but also play a central role in meeting increasingly stringent legal and regulatory compliance requirements (Winkelmann et al., 2024). In particular, the German Supply Chain Act and similar regulatory frameworks require companies to systematically identify, monitor, and document social risks throughout their entire supply chains (Winkelmann et al., 2024; Wang et al., 2023). Under such conditions, the continuous and verifiable monitoring of sustainability performance through technology is no longer an optional managerial choice but has become an integral component of corporate governance structures (Jabbour et al., 2024). Within this regulatory environment, blockchain-based traceability systems and automated compliance mechanisms enable companies to reconceptualize legal compliance not as a burden limited to retrospective reporting activities, but as a forward-looking and preventive governance process (ex-ante governance) (Chaudhuri et al., 2023). </w:t>
      </w:r>
      <w:r w:rsidR="005776CA" w:rsidRPr="00917637">
        <w:t>From this point forth</w:t>
      </w:r>
      <w:r w:rsidRPr="00917637">
        <w:t>, technology functions simultaneously as a signal-generating mechanism that enhances stakeholder trust in the domain of social sustainability and as a corporate compliance infrastructure that mitigates regulatory risks (Colombage and Sedera, 2025). Consequently, this technology-enabled governance model allows companies to integrate legal compliance, reputation management, and long-term value creation within a holistic and coherent strategic framework (Sadia et al., 2024).</w:t>
      </w:r>
    </w:p>
    <w:p w14:paraId="0BE39C33" w14:textId="0F692E39" w:rsidR="00D5784D" w:rsidRPr="00917637" w:rsidRDefault="00641F04" w:rsidP="00641F04">
      <w:pPr>
        <w:pStyle w:val="Heading2"/>
      </w:pPr>
      <w:r w:rsidRPr="00917637">
        <w:t>3.3. Integrated Value Creation: Complementarity and Duality</w:t>
      </w:r>
    </w:p>
    <w:p w14:paraId="217C8AB1" w14:textId="1832E277" w:rsidR="00B03464" w:rsidRPr="00917637" w:rsidRDefault="00B03464" w:rsidP="00B03464">
      <w:r w:rsidRPr="00917637">
        <w:t xml:space="preserve">The contribution of technology to social sustainability cannot be evaluated independently </w:t>
      </w:r>
      <w:r w:rsidR="00873049" w:rsidRPr="00917637">
        <w:t>or</w:t>
      </w:r>
      <w:r w:rsidRPr="00917637">
        <w:t xml:space="preserve"> in isolation from existing management systems</w:t>
      </w:r>
      <w:r w:rsidR="00873049" w:rsidRPr="00917637">
        <w:t>. O</w:t>
      </w:r>
      <w:r w:rsidRPr="00917637">
        <w:t xml:space="preserve">n the contrary, when considered within the framework of </w:t>
      </w:r>
      <w:r w:rsidR="00873049" w:rsidRPr="00917637">
        <w:t>c</w:t>
      </w:r>
      <w:r w:rsidRPr="00917637">
        <w:t xml:space="preserve">omplementarity </w:t>
      </w:r>
      <w:r w:rsidR="00873049" w:rsidRPr="00917637">
        <w:t>t</w:t>
      </w:r>
      <w:r w:rsidRPr="00917637">
        <w:t xml:space="preserve">heory, it </w:t>
      </w:r>
      <w:r w:rsidR="00873049" w:rsidRPr="00917637">
        <w:t xml:space="preserve">becomes clear </w:t>
      </w:r>
      <w:r w:rsidRPr="00917637">
        <w:t>that digital tools create a much stronger effect when used in conjunction with established operational systems such as JIT (Just-in-Time Production) and TQM (Total Quality Management) (Green et al., 2018). This type of complementarity allows technology to go beyond being merely a tool for digitizing processes, enabling companies to simultaneously achieve operational excellence and social responsibility goals. For example, autonomous systems support economic sustainability by reducing errors, delays, and waste in production processes</w:t>
      </w:r>
      <w:r w:rsidR="00873049" w:rsidRPr="00917637">
        <w:t>. A</w:t>
      </w:r>
      <w:r w:rsidRPr="00917637">
        <w:t>t the same time, they increase job safety and employee well-being by taking over tasks that are dangerous, ergonomically risky, or threaten human health (Dey et al., 2022). In this respect, technology demonstrates that the often-assumed trade-off between economic efficiency and social sustainability is not always valid.</w:t>
      </w:r>
    </w:p>
    <w:p w14:paraId="35AB8E70" w14:textId="48F845D9" w:rsidR="00B03464" w:rsidRPr="00917637" w:rsidRDefault="00B03464" w:rsidP="00B03464">
      <w:r w:rsidRPr="00917637">
        <w:t xml:space="preserve">Implementing this type of integration requires companies to develop certain competencies at the organizational and managerial levels. In this </w:t>
      </w:r>
      <w:r w:rsidR="00375310" w:rsidRPr="00917637">
        <w:t>regard</w:t>
      </w:r>
      <w:r w:rsidRPr="00917637">
        <w:t>, the ability referred to in the literature as “supply chain ambidexterity” enables companies to simultaneously manage existing operational processes effectively and efficiently (exploitation)</w:t>
      </w:r>
      <w:r w:rsidR="00375310" w:rsidRPr="00917637">
        <w:t>,</w:t>
      </w:r>
      <w:r w:rsidRPr="00917637">
        <w:t xml:space="preserve"> and discover innovative approaches that detect (sensing) and manage social risks through digital technologies </w:t>
      </w:r>
      <w:r w:rsidR="00375310" w:rsidRPr="00917637">
        <w:t xml:space="preserve">(e.g. BCT, AI, </w:t>
      </w:r>
      <w:r w:rsidRPr="00917637">
        <w:t>and advanced analytics</w:t>
      </w:r>
      <w:r w:rsidR="00375310" w:rsidRPr="00917637">
        <w:t>)</w:t>
      </w:r>
      <w:r w:rsidRPr="00917637">
        <w:t xml:space="preserve"> (Benzidia et al., 2021; Meier et al., 2023). The ambidexterity capability </w:t>
      </w:r>
      <w:r w:rsidR="00375310" w:rsidRPr="00917637">
        <w:t xml:space="preserve">in supply chain </w:t>
      </w:r>
      <w:r w:rsidRPr="00917637">
        <w:t xml:space="preserve">acts as a critical lever, preventing technology from remaining a superficial application in the field of social sustainability and integrating it into corporate strategy. At the end of this </w:t>
      </w:r>
      <w:r w:rsidR="00375310" w:rsidRPr="00917637">
        <w:t xml:space="preserve">capability </w:t>
      </w:r>
      <w:r w:rsidRPr="00917637">
        <w:t>process, technology transforms into an integrated value creation mechanism that supports social justice (e.g. fair remuneration, safe working conditions, and inclusivity) while simultaneously improving operational performance and financial outcomes (Sadia et al., 2024).</w:t>
      </w:r>
    </w:p>
    <w:p w14:paraId="2052AC91" w14:textId="31818562" w:rsidR="00B03464" w:rsidRPr="00917637" w:rsidRDefault="00B03464" w:rsidP="00B03464">
      <w:r w:rsidRPr="00917637">
        <w:lastRenderedPageBreak/>
        <w:t>The real impact of digital technologies on social sustainability depends not so much on the technology itself, but rather on the extent to which companies can integrate these technologies with their existing management systems and organizational capabilities. When technology is superficially added to operational processes, social sustainability performance remains limited and fragile; conversely, in companies where technology is strategically aligned with systems such as JIT, TQM, and risk management, social sustainability becomes an integral component of long-term competitive advantage. In this context, technology is viewed not merely as a tool for efficiency or control, but as a transformative strategic architecture that integrates social responsibility, governance, and value creation for companies.</w:t>
      </w:r>
    </w:p>
    <w:p w14:paraId="0C38DE0C" w14:textId="15CC4591" w:rsidR="009C5B94" w:rsidRPr="00917637" w:rsidRDefault="009C5B94" w:rsidP="009C5B94">
      <w:pPr>
        <w:pStyle w:val="Heading2"/>
      </w:pPr>
      <w:r w:rsidRPr="00917637">
        <w:t>3.4 The Illusion of Visibility and New Sustainability Dilemmas</w:t>
      </w:r>
    </w:p>
    <w:p w14:paraId="09B6324F" w14:textId="48851267" w:rsidR="003B1140" w:rsidRPr="00917637" w:rsidRDefault="00B020EC" w:rsidP="009C5B94">
      <w:r w:rsidRPr="00917637">
        <w:t>T</w:t>
      </w:r>
      <w:r w:rsidR="007210D2" w:rsidRPr="00917637">
        <w:t xml:space="preserve">he prevailing view in </w:t>
      </w:r>
      <w:r w:rsidRPr="00917637">
        <w:t>previous studies</w:t>
      </w:r>
      <w:r w:rsidR="007210D2" w:rsidRPr="00917637">
        <w:t xml:space="preserve"> is that digitalization provides absolute and automatic transparency in supply chains. In addition, recent empirical findings show that technological investments do not always deliver the expected social performance. </w:t>
      </w:r>
      <w:r w:rsidRPr="00917637">
        <w:t xml:space="preserve">For instance, Chiwaridzo and Masengu’s (2023) </w:t>
      </w:r>
      <w:r w:rsidR="007210D2" w:rsidRPr="00917637">
        <w:t>study on SMEs in the Zimbabwean tourism sector found that while technology adoption has strong effects on economic and environmental sustainability, no statistically significant success has been achieved in converting these technologies into social sustainability through green supply chain management practices.</w:t>
      </w:r>
      <w:r w:rsidR="003B1140" w:rsidRPr="00917637">
        <w:t xml:space="preserve"> Similarly, a critical finding is also seen in case studies in the apparel industry. Colombage and Sedera (2025) point out that digital traceability systems do not always reflect reality; rather, they create a false sense of transparency where companies only share positive data and conceal risky areas. </w:t>
      </w:r>
      <w:r w:rsidRPr="00917637">
        <w:t>They also pointed out that</w:t>
      </w:r>
      <w:r w:rsidR="003B1140" w:rsidRPr="00917637">
        <w:t xml:space="preserve">, when technology is not managed with appropriate strategic intent, it can become a window dressing that </w:t>
      </w:r>
      <w:r w:rsidRPr="00917637">
        <w:t>covers</w:t>
      </w:r>
      <w:r w:rsidR="003B1140" w:rsidRPr="00917637">
        <w:t xml:space="preserve"> deep problems</w:t>
      </w:r>
      <w:r w:rsidRPr="00917637">
        <w:t>,</w:t>
      </w:r>
      <w:r w:rsidR="003B1140" w:rsidRPr="00917637">
        <w:t xml:space="preserve"> such as modern slavery</w:t>
      </w:r>
      <w:r w:rsidRPr="00917637">
        <w:t>,</w:t>
      </w:r>
      <w:r w:rsidR="003B1140" w:rsidRPr="00917637">
        <w:t xml:space="preserve"> rather than solving them. At the same time, Butt et al. (2025) emphasize that there are serious structural barriers to adopting socially sustainable technology, such as high implementation costs and the digital divide among suppliers, demonstrating that digital tools alone cannot be seen as a solution.</w:t>
      </w:r>
    </w:p>
    <w:p w14:paraId="55761D87" w14:textId="77777777" w:rsidR="00765757" w:rsidRPr="00917637" w:rsidRDefault="00765757" w:rsidP="00765757">
      <w:r w:rsidRPr="00917637">
        <w:t>In addition, the integration of technology into supply chains presents companies with significant economic trade-offs. Analyses based on mathematical modeling have revealed that green technology investments significantly reduce carbon emissions, but this gain leads to increases in production costs. This finding shows that sustainability strategies for companies are not always shaped by a win-win logic, but rather by necessary choices and cost pressures (Middya et al., 2025). This inverse relationship between environmental gains and economic performance further complicates sustainability decisions, particularly for businesses operating under short-term competitive pressures. This situation may expose companies to the risk of cutting back on social investments, such as employee welfare, while allocating limited resources to environmental compliance.</w:t>
      </w:r>
    </w:p>
    <w:p w14:paraId="7B13E9DB" w14:textId="6E65F195" w:rsidR="00EE0D88" w:rsidRPr="00917637" w:rsidRDefault="00EE0D88" w:rsidP="009C5B94">
      <w:r w:rsidRPr="00917637">
        <w:t xml:space="preserve">Another critical problem </w:t>
      </w:r>
      <w:r w:rsidR="00B020EC" w:rsidRPr="00917637">
        <w:t>faced during</w:t>
      </w:r>
      <w:r w:rsidRPr="00917637">
        <w:t xml:space="preserve"> digitalization</w:t>
      </w:r>
      <w:r w:rsidR="00B020EC" w:rsidRPr="00917637">
        <w:t xml:space="preserve"> process</w:t>
      </w:r>
      <w:r w:rsidRPr="00917637">
        <w:t xml:space="preserve"> is new social risks </w:t>
      </w:r>
      <w:r w:rsidR="00B020EC" w:rsidRPr="00917637">
        <w:t>stemming from</w:t>
      </w:r>
      <w:r w:rsidRPr="00917637">
        <w:t xml:space="preserve"> privacy and security. The integration of autonomous systems and digital platforms into supply chains has become one of the main negative social impacts threatening stakeholder welfare, along with cybersecurity vulnerabilities and data leaks (Gu et al., 2025). </w:t>
      </w:r>
      <w:r w:rsidR="00B020EC" w:rsidRPr="00917637">
        <w:t>To exemplify</w:t>
      </w:r>
      <w:r w:rsidRPr="00917637">
        <w:t>, managers working in the Nigerian logistics sector identified “insufficient privacy and security” as the second most critical barrier to the use of social media for sustainability purposes. This situation demonstrates that while digital tools promise transparency and traceability, they can also become a risk factor that threatens the personal data of employees and customers (Orji et al., 2020).</w:t>
      </w:r>
    </w:p>
    <w:p w14:paraId="2C8F0911" w14:textId="18B9F1A1" w:rsidR="00EE0D88" w:rsidRPr="00917637" w:rsidRDefault="00EE0D88" w:rsidP="009C5B94">
      <w:pPr>
        <w:pStyle w:val="Heading2"/>
        <w:rPr>
          <w:rFonts w:eastAsiaTheme="minorHAnsi" w:cstheme="minorBidi"/>
          <w:b w:val="0"/>
          <w:szCs w:val="24"/>
        </w:rPr>
      </w:pPr>
      <w:r w:rsidRPr="00917637">
        <w:rPr>
          <w:rFonts w:eastAsiaTheme="minorHAnsi" w:cstheme="minorBidi"/>
          <w:b w:val="0"/>
          <w:szCs w:val="24"/>
        </w:rPr>
        <w:lastRenderedPageBreak/>
        <w:t xml:space="preserve">The findings in question </w:t>
      </w:r>
      <w:r w:rsidR="00B020EC" w:rsidRPr="00917637">
        <w:rPr>
          <w:rFonts w:eastAsiaTheme="minorHAnsi" w:cstheme="minorBidi"/>
          <w:b w:val="0"/>
          <w:szCs w:val="24"/>
        </w:rPr>
        <w:t xml:space="preserve">thus </w:t>
      </w:r>
      <w:r w:rsidRPr="00917637">
        <w:rPr>
          <w:rFonts w:eastAsiaTheme="minorHAnsi" w:cstheme="minorBidi"/>
          <w:b w:val="0"/>
          <w:szCs w:val="24"/>
        </w:rPr>
        <w:t>reveal that technology is neither an automatic solution nor a threat in itself in terms of social sustainability. The key determining factor is the governance framework within which technology is implemented, the ethical principles that guide it, and the oversight mechanisms that regulate it. Social sustainability is not achieved by the mere presence of digital tools; it becomes meaningful only to the extent that these tools are integrated with the principles of justice, inclusivity, and accountability. Otherwise, digitalization risks merely obscuring social problems in a more sophisticated manner rather than solving them.</w:t>
      </w:r>
    </w:p>
    <w:p w14:paraId="735157E6" w14:textId="1648175B" w:rsidR="009C5B94" w:rsidRPr="00917637" w:rsidRDefault="009C5B94" w:rsidP="009C5B94">
      <w:pPr>
        <w:pStyle w:val="Heading2"/>
      </w:pPr>
      <w:r w:rsidRPr="00917637">
        <w:t xml:space="preserve">3.5 </w:t>
      </w:r>
      <w:r w:rsidR="000E1583" w:rsidRPr="00917637">
        <w:t xml:space="preserve">Establishing Effective </w:t>
      </w:r>
      <w:r w:rsidRPr="00917637">
        <w:t xml:space="preserve">Integrated Strategies: </w:t>
      </w:r>
      <w:r w:rsidR="004279C3" w:rsidRPr="00917637">
        <w:t>A Multi-Layered</w:t>
      </w:r>
      <w:r w:rsidRPr="00917637">
        <w:t xml:space="preserve"> </w:t>
      </w:r>
      <w:r w:rsidR="004279C3" w:rsidRPr="00917637">
        <w:t xml:space="preserve">Holistic </w:t>
      </w:r>
      <w:r w:rsidRPr="00917637">
        <w:t>Approach</w:t>
      </w:r>
      <w:r w:rsidR="004279C3" w:rsidRPr="00917637">
        <w:t xml:space="preserve"> for Social Sustainability</w:t>
      </w:r>
    </w:p>
    <w:p w14:paraId="5F751F93" w14:textId="7FEC533B" w:rsidR="00EE0D88" w:rsidRPr="00917637" w:rsidRDefault="00EE0D88" w:rsidP="009C5B94">
      <w:r w:rsidRPr="00917637">
        <w:t xml:space="preserve">To overcome these paradoxes, the literature recommends that managers adopt multi-layered and </w:t>
      </w:r>
      <w:r w:rsidR="004279C3" w:rsidRPr="00917637">
        <w:t>comprehensive</w:t>
      </w:r>
      <w:r w:rsidRPr="00917637">
        <w:t xml:space="preserve"> strategies rather than one-dimensional technology investments. In this context, it is emphasized that social sustainability is not only an operational necessity but also one of the fundamental components of long-term corporate value creation.</w:t>
      </w:r>
    </w:p>
    <w:p w14:paraId="4E445075" w14:textId="2DA40DD8" w:rsidR="00EE0D88" w:rsidRPr="00917637" w:rsidRDefault="000E1583" w:rsidP="009C5B94">
      <w:pPr>
        <w:rPr>
          <w:b/>
          <w:bCs/>
          <w:i/>
          <w:iCs/>
        </w:rPr>
      </w:pPr>
      <w:r w:rsidRPr="00917637">
        <w:rPr>
          <w:b/>
          <w:bCs/>
          <w:i/>
          <w:iCs/>
        </w:rPr>
        <w:t xml:space="preserve">3.5.1 </w:t>
      </w:r>
      <w:r w:rsidR="00EE0D88" w:rsidRPr="00917637">
        <w:rPr>
          <w:b/>
          <w:bCs/>
          <w:i/>
          <w:iCs/>
        </w:rPr>
        <w:t>Managing Reputation as an Asset</w:t>
      </w:r>
    </w:p>
    <w:p w14:paraId="039D79B8" w14:textId="359026AC" w:rsidR="00EE0D88" w:rsidRPr="00917637" w:rsidRDefault="00EE0D88" w:rsidP="009C5B94">
      <w:r w:rsidRPr="00917637">
        <w:t xml:space="preserve">Social sustainability practices should be viewed by companies not </w:t>
      </w:r>
      <w:r w:rsidR="004279C3" w:rsidRPr="00917637">
        <w:t>solely</w:t>
      </w:r>
      <w:r w:rsidRPr="00917637">
        <w:t xml:space="preserve"> as technical processes serving legal compliance, but also as a strategic reputation management tool. Gu et al. (2025) go beyond classic social performance indicators and define the concept of “</w:t>
      </w:r>
      <w:r w:rsidR="004279C3" w:rsidRPr="00917637">
        <w:t>r</w:t>
      </w:r>
      <w:r w:rsidRPr="00917637">
        <w:t>eputation” as a new and comprehensive indicator of social sustainability, emphasizing that companies should use technology to build a responsible and reliable corporate image. Similarly, Orji et al. (2020) stated that customer satisfaction is one of the critical success factors with the highest weight in the success of social sustainability practices, showing that stakeholder perception plays a central role in technology-based sustainability strategies (Orji et al., 2020). In this context, technology serves not only as a tool for generating information but also as a strategic lever that shapes corporate reputation.</w:t>
      </w:r>
    </w:p>
    <w:p w14:paraId="1C4538BF" w14:textId="09B3E10D" w:rsidR="00EE0D88" w:rsidRPr="00917637" w:rsidRDefault="000E1583" w:rsidP="009C5B94">
      <w:pPr>
        <w:rPr>
          <w:b/>
          <w:bCs/>
          <w:i/>
          <w:iCs/>
        </w:rPr>
      </w:pPr>
      <w:r w:rsidRPr="00917637">
        <w:rPr>
          <w:b/>
          <w:bCs/>
          <w:i/>
          <w:iCs/>
        </w:rPr>
        <w:t xml:space="preserve">3.5.2. </w:t>
      </w:r>
      <w:r w:rsidR="00EE0D88" w:rsidRPr="00917637">
        <w:rPr>
          <w:b/>
          <w:bCs/>
          <w:i/>
          <w:iCs/>
        </w:rPr>
        <w:t>Cultural Alignment and Leadership Commitment</w:t>
      </w:r>
    </w:p>
    <w:p w14:paraId="0ADD1AF7" w14:textId="6C5DF9FF" w:rsidR="009C5B94" w:rsidRPr="00917637" w:rsidRDefault="00EE0D88" w:rsidP="009C5B94">
      <w:r w:rsidRPr="00917637">
        <w:t>Technology transfer and digital transformation processes make it difficult to achieve the expected social sustainability outcomes when they are not aligned with organizational culture. Multiple case studies conducted across different sectors reveal that cultural misalignment between global sustainability standards and local practices, along with a lack of commitment from senior management, are among the most significant organizational barriers to digital sustainability projects (Butt et al., 2025). Therefore, leaders must view technology not merely as a technical investment or cost factor, but as a comprehensive cultural transformation process that requires employee participation, behavioral change, and organizational learning (Butt et al., 2025).</w:t>
      </w:r>
    </w:p>
    <w:p w14:paraId="6E17D4F2" w14:textId="54CD716F" w:rsidR="00EE0D88" w:rsidRPr="00917637" w:rsidRDefault="000E1583" w:rsidP="00EE0D88">
      <w:pPr>
        <w:rPr>
          <w:b/>
          <w:bCs/>
          <w:i/>
          <w:iCs/>
        </w:rPr>
      </w:pPr>
      <w:r w:rsidRPr="00917637">
        <w:rPr>
          <w:b/>
          <w:bCs/>
          <w:i/>
          <w:iCs/>
        </w:rPr>
        <w:t xml:space="preserve">3.5.3. </w:t>
      </w:r>
      <w:r w:rsidR="00EE0D88" w:rsidRPr="00917637">
        <w:rPr>
          <w:b/>
          <w:bCs/>
          <w:i/>
          <w:iCs/>
        </w:rPr>
        <w:t>Affordability and Financial Inclusion</w:t>
      </w:r>
    </w:p>
    <w:p w14:paraId="50869599" w14:textId="00CB1364" w:rsidR="00EE0D88" w:rsidRPr="00917637" w:rsidRDefault="00EE0D88" w:rsidP="009C5B94">
      <w:r w:rsidRPr="00917637">
        <w:t>The cost of technology stands out as one of the most fundamental barriers to participation in social sustainability practices, particularly for small suppliers operating in developing countries. Orji et al. (2020) emphasize</w:t>
      </w:r>
      <w:r w:rsidR="004279C3" w:rsidRPr="00917637">
        <w:t>d</w:t>
      </w:r>
      <w:r w:rsidRPr="00917637">
        <w:t xml:space="preserve"> that the factor of “affordability” plays a vital role in the technology adoption process, noting that high investment and operating costs can turn digitalization into a socially exclusionary mechanism. In this </w:t>
      </w:r>
      <w:r w:rsidR="004279C3" w:rsidRPr="00917637">
        <w:t>regard</w:t>
      </w:r>
      <w:r w:rsidRPr="00917637">
        <w:t>, carbon trading policies such as Cap-and-Trade and various financial incentive mechanisms have the potential to reduce cost pressures and strengthen not only environmental performance but also social justice and inclusivity across the chain (Middya et al., 2025).</w:t>
      </w:r>
    </w:p>
    <w:p w14:paraId="6FFC60F8" w14:textId="06964A50" w:rsidR="00D4626C" w:rsidRPr="00917637" w:rsidRDefault="00EE0D88" w:rsidP="009C5B94">
      <w:r w:rsidRPr="00917637">
        <w:t xml:space="preserve">The effectiveness of these strategies depends on technology being addressed not as a standalone solution, but in conjunction with governance, culture, and </w:t>
      </w:r>
      <w:r w:rsidR="00F63F18" w:rsidRPr="00917637">
        <w:t>inclusive</w:t>
      </w:r>
      <w:r w:rsidRPr="00917637">
        <w:t xml:space="preserve"> dimensions. Otherwise, digital tools may become mechanisms that deepen existing inequalities or merely provide symbolic compliance rather than strengthening social sustainability. Therefore, the fundamental issue for managers is not “to what extent” they use technology, but “with which corporate values </w:t>
      </w:r>
      <w:r w:rsidRPr="00917637">
        <w:lastRenderedPageBreak/>
        <w:t>and managerial principles” they integrate it. Ensuring social sustainability in a lasting manner requires a holistic management approach that supports technology with ethical leadership, organizational participation, and fair value sharing.</w:t>
      </w:r>
    </w:p>
    <w:p w14:paraId="65EEFEB8" w14:textId="5FEF82B4" w:rsidR="00F63F18" w:rsidRPr="00917637" w:rsidRDefault="007B4813" w:rsidP="00F63F18">
      <w:pPr>
        <w:pStyle w:val="Heading2"/>
      </w:pPr>
      <w:r w:rsidRPr="00917637">
        <w:t>4</w:t>
      </w:r>
      <w:r w:rsidR="00F63F18" w:rsidRPr="00917637">
        <w:t>. Discussion: The Contradictory Nature of Technology and Managerial Paradoxes</w:t>
      </w:r>
    </w:p>
    <w:p w14:paraId="79FA7C57" w14:textId="6835DC75" w:rsidR="00F63F18" w:rsidRPr="00917637" w:rsidRDefault="00F63F18" w:rsidP="009C5B94">
      <w:r w:rsidRPr="00917637">
        <w:t xml:space="preserve">This study </w:t>
      </w:r>
      <w:r w:rsidR="00CF3EB9" w:rsidRPr="00917637">
        <w:t>set out to e</w:t>
      </w:r>
      <w:r w:rsidRPr="00917637">
        <w:t xml:space="preserve">xamine the transformative effects of supply chain technologies on social sustainability from both theoretical and practical perspectives. </w:t>
      </w:r>
      <w:r w:rsidR="00CF3EB9" w:rsidRPr="00917637">
        <w:t>Relying on existing studies and practical solutions offered by businesses, our</w:t>
      </w:r>
      <w:r w:rsidRPr="00917637">
        <w:t xml:space="preserve"> findings confirm technology's capacity to increase transparency </w:t>
      </w:r>
      <w:r w:rsidR="00CF3EB9" w:rsidRPr="00917637">
        <w:t>while</w:t>
      </w:r>
      <w:r w:rsidRPr="00917637">
        <w:t xml:space="preserve"> reduc</w:t>
      </w:r>
      <w:r w:rsidR="00CF3EB9" w:rsidRPr="00917637">
        <w:t>ing</w:t>
      </w:r>
      <w:r w:rsidRPr="00917637">
        <w:t xml:space="preserve"> risks </w:t>
      </w:r>
      <w:r w:rsidR="00CF3EB9" w:rsidRPr="00917637">
        <w:t>and</w:t>
      </w:r>
      <w:r w:rsidRPr="00917637">
        <w:t xml:space="preserve"> reveal that this process does not follow a direct and simple linear relationship; rather, it involves managerial challenges and paradoxes.</w:t>
      </w:r>
    </w:p>
    <w:p w14:paraId="66E58CDD" w14:textId="4B320CA2" w:rsidR="00F63F18" w:rsidRPr="00917637" w:rsidRDefault="00CF3EB9" w:rsidP="00F63F18">
      <w:r w:rsidRPr="00917637">
        <w:t xml:space="preserve">According to our structured literature review, previous researchers largely argued that </w:t>
      </w:r>
      <w:r w:rsidR="00F63F18" w:rsidRPr="00917637">
        <w:t>digitalization provides absolute transparency in supply chains; however, this study's analysis reveals that technology can sometimes create an “illusion of visibility”</w:t>
      </w:r>
      <w:r w:rsidRPr="00917637">
        <w:t>. In this sense,</w:t>
      </w:r>
      <w:r w:rsidR="00F63F18" w:rsidRPr="00917637">
        <w:t xml:space="preserve"> Colombage and Sedera (2025) found that companies use technology to share only the “well-performing” parts of the chain, leaving risky areas outside the digitalization process. The</w:t>
      </w:r>
      <w:r w:rsidRPr="00917637">
        <w:t>y</w:t>
      </w:r>
      <w:r w:rsidR="00F63F18" w:rsidRPr="00917637">
        <w:t xml:space="preserve"> describe</w:t>
      </w:r>
      <w:r w:rsidRPr="00917637">
        <w:t>d</w:t>
      </w:r>
      <w:r w:rsidR="00F63F18" w:rsidRPr="00917637">
        <w:t xml:space="preserve"> this situation as a “theatrical stage” where companies polish the data they want and hide what they do</w:t>
      </w:r>
      <w:r w:rsidRPr="00917637">
        <w:t xml:space="preserve"> </w:t>
      </w:r>
      <w:r w:rsidR="00F63F18" w:rsidRPr="00917637">
        <w:t>n</w:t>
      </w:r>
      <w:r w:rsidRPr="00917637">
        <w:t>o</w:t>
      </w:r>
      <w:r w:rsidR="00F63F18" w:rsidRPr="00917637">
        <w:t>t, emphasizing that technology creates “skewed transparency”</w:t>
      </w:r>
      <w:r w:rsidRPr="00917637">
        <w:t>.</w:t>
      </w:r>
      <w:r w:rsidR="00F63F18" w:rsidRPr="00917637">
        <w:t xml:space="preserve"> </w:t>
      </w:r>
    </w:p>
    <w:p w14:paraId="592FF57C" w14:textId="48197E1C" w:rsidR="00F63F18" w:rsidRPr="00917637" w:rsidRDefault="00F63F18" w:rsidP="00F63F18">
      <w:r w:rsidRPr="00917637">
        <w:t>This situation leads to the persistence of “blind spots” deep within multi-layered chains (</w:t>
      </w:r>
      <w:r w:rsidR="00CF3EB9" w:rsidRPr="00917637">
        <w:t xml:space="preserve">e.g. </w:t>
      </w:r>
      <w:r w:rsidRPr="00917637">
        <w:t xml:space="preserve">Tier-2 and beyond). While </w:t>
      </w:r>
      <w:r w:rsidR="00CF3EB9" w:rsidRPr="00917637">
        <w:t>BCT</w:t>
      </w:r>
      <w:r w:rsidRPr="00917637">
        <w:t xml:space="preserve"> ensures the immutability of data, it cannot guarantee the accuracy of the data first entered into the system on its own. </w:t>
      </w:r>
      <w:r w:rsidR="00CF3EB9" w:rsidRPr="00917637">
        <w:t xml:space="preserve">In this regard, </w:t>
      </w:r>
      <w:r w:rsidRPr="00917637">
        <w:t xml:space="preserve">Wang et al. (2023) </w:t>
      </w:r>
      <w:r w:rsidR="00CF3EB9" w:rsidRPr="00917637">
        <w:t>pointed out</w:t>
      </w:r>
      <w:r w:rsidRPr="00917637">
        <w:t xml:space="preserve"> that suppliers can manipulate certification processes and that digital systems can create a “false sense of security” unless they are supported by physical audits.</w:t>
      </w:r>
      <w:r w:rsidR="00A52971" w:rsidRPr="00917637">
        <w:t xml:space="preserve"> </w:t>
      </w:r>
    </w:p>
    <w:p w14:paraId="6A370ABC" w14:textId="1A84E7BF" w:rsidR="00A52971" w:rsidRPr="00917637" w:rsidRDefault="00A52971" w:rsidP="00F63F18">
      <w:r w:rsidRPr="00917637">
        <w:t xml:space="preserve">More importantly, the presence of technology does not automatically mean that social sustainability performance will improve. </w:t>
      </w:r>
      <w:r w:rsidR="00CF3EB9" w:rsidRPr="00917637">
        <w:t xml:space="preserve">Chiwaridzo and Masengu’s (2023) </w:t>
      </w:r>
      <w:r w:rsidRPr="00917637">
        <w:t xml:space="preserve">empirical study on SMEs revealed that technology adoption positively </w:t>
      </w:r>
      <w:r w:rsidR="00CF3EB9" w:rsidRPr="00917637">
        <w:t>affected</w:t>
      </w:r>
      <w:r w:rsidRPr="00917637">
        <w:t xml:space="preserve"> economic and environmental sustainability but had no statistically significant effect on social sustainability. This "missing link" demonstrates that technology alone is not sufficient to solve social problems.</w:t>
      </w:r>
    </w:p>
    <w:p w14:paraId="1AE3EBEC" w14:textId="3BCD6742" w:rsidR="00A52971" w:rsidRPr="00917637" w:rsidRDefault="00A52971" w:rsidP="00F63F18">
      <w:r w:rsidRPr="00917637">
        <w:t>The fact that technologies used to achieve social sustainability ironically create other sustainability risks is a critical point of debate in the literature. Zhang and Song (2022) stated that energy consumption is one of the most critical environmental risks in blockchain integration. This is also supported by mathematical models developed by Middya et al. (2025)</w:t>
      </w:r>
      <w:r w:rsidR="00CF3EB9" w:rsidRPr="00917637">
        <w:t>;</w:t>
      </w:r>
      <w:r w:rsidRPr="00917637">
        <w:t xml:space="preserve"> although green technology investments reduce carbon emissions, they directly increase total production costs, creating a difficult trade-off among the three pillars of sustainability.</w:t>
      </w:r>
    </w:p>
    <w:p w14:paraId="20839236" w14:textId="5B8B2CBA" w:rsidR="00A52971" w:rsidRPr="00917637" w:rsidRDefault="00A52971" w:rsidP="00A52971">
      <w:r w:rsidRPr="00917637">
        <w:t xml:space="preserve">In light of these findings, the strategies suggested in the literature for managing social sustainability risks while creating value from technology are summarized </w:t>
      </w:r>
      <w:r w:rsidR="00CF3EB9" w:rsidRPr="00917637">
        <w:t>as follows</w:t>
      </w:r>
      <w:r w:rsidRPr="00917637">
        <w:t xml:space="preserve">. First, the </w:t>
      </w:r>
      <w:r w:rsidR="00CF3EB9" w:rsidRPr="00917637">
        <w:t>c</w:t>
      </w:r>
      <w:r w:rsidRPr="00917637">
        <w:t xml:space="preserve">omplementarity </w:t>
      </w:r>
      <w:r w:rsidR="00CF3EB9" w:rsidRPr="00917637">
        <w:t>s</w:t>
      </w:r>
      <w:r w:rsidRPr="00917637">
        <w:t xml:space="preserve">trategy emphasizes that technology investments should not be considered independently of a firm’s existing operational capabilities. As demonstrated by Green et al. (2018), integrating JIT and TQM systems with green and social management practices generates a synergistic effect and enhances sustainability performance. </w:t>
      </w:r>
      <w:r w:rsidR="005C322B" w:rsidRPr="00917637">
        <w:t>Solely</w:t>
      </w:r>
      <w:r w:rsidRPr="00917637">
        <w:t xml:space="preserve"> improving existing processes is insufficient; future-oriented capabilities </w:t>
      </w:r>
      <w:r w:rsidR="005C322B" w:rsidRPr="00917637">
        <w:t xml:space="preserve">of businesses </w:t>
      </w:r>
      <w:r w:rsidRPr="00917637">
        <w:t>are equally critical.</w:t>
      </w:r>
    </w:p>
    <w:p w14:paraId="20000995" w14:textId="5C8453C5" w:rsidR="00A52971" w:rsidRPr="00917637" w:rsidRDefault="00A52971" w:rsidP="00A52971">
      <w:r w:rsidRPr="00917637">
        <w:t xml:space="preserve">Building on the </w:t>
      </w:r>
      <w:r w:rsidR="005C322B" w:rsidRPr="00917637">
        <w:t>c</w:t>
      </w:r>
      <w:r w:rsidRPr="00917637">
        <w:t xml:space="preserve">omplementarity </w:t>
      </w:r>
      <w:r w:rsidR="005C322B" w:rsidRPr="00917637">
        <w:t>s</w:t>
      </w:r>
      <w:r w:rsidRPr="00917637">
        <w:t xml:space="preserve">trategy, the </w:t>
      </w:r>
      <w:r w:rsidR="005C322B" w:rsidRPr="00917637">
        <w:t>o</w:t>
      </w:r>
      <w:r w:rsidRPr="00917637">
        <w:t xml:space="preserve">rganizational </w:t>
      </w:r>
      <w:r w:rsidR="005C322B" w:rsidRPr="00917637">
        <w:t>am</w:t>
      </w:r>
      <w:r w:rsidRPr="00917637">
        <w:t xml:space="preserve">bidexterity and </w:t>
      </w:r>
      <w:r w:rsidR="005C322B" w:rsidRPr="00917637">
        <w:t>s</w:t>
      </w:r>
      <w:r w:rsidRPr="00917637">
        <w:t xml:space="preserve">ensing approach further enhances </w:t>
      </w:r>
      <w:r w:rsidR="005C322B" w:rsidRPr="00917637">
        <w:t>companies’</w:t>
      </w:r>
      <w:r w:rsidRPr="00917637">
        <w:t xml:space="preserve"> ability to manage social sustainability risks. Beyond managing current risks, </w:t>
      </w:r>
      <w:r w:rsidR="005C322B" w:rsidRPr="00917637">
        <w:t>companies</w:t>
      </w:r>
      <w:r w:rsidRPr="00917637">
        <w:t xml:space="preserve"> should proactively anticipate future social risks using AI-powered “sensing” capabilities. Benzidia et al. (2021) </w:t>
      </w:r>
      <w:r w:rsidR="005C322B" w:rsidRPr="00917637">
        <w:t>underlined</w:t>
      </w:r>
      <w:r w:rsidRPr="00917637">
        <w:t xml:space="preserve"> that firms with this ambidextrous structure demonstrate higher resilience during crises, making this capability a crucial tool for long-term sustainability success.</w:t>
      </w:r>
    </w:p>
    <w:p w14:paraId="0A5C87E9" w14:textId="08BA69E7" w:rsidR="00A52971" w:rsidRPr="00917637" w:rsidRDefault="00A52971" w:rsidP="00A52971">
      <w:r w:rsidRPr="00917637">
        <w:t xml:space="preserve">At the same time, </w:t>
      </w:r>
      <w:r w:rsidR="005C322B" w:rsidRPr="00917637">
        <w:t>s</w:t>
      </w:r>
      <w:r w:rsidRPr="00917637">
        <w:t>ignal</w:t>
      </w:r>
      <w:r w:rsidR="005C322B" w:rsidRPr="00917637">
        <w:t xml:space="preserve"> of trust</w:t>
      </w:r>
      <w:r w:rsidRPr="00917637">
        <w:t xml:space="preserve"> and </w:t>
      </w:r>
      <w:r w:rsidR="005C322B" w:rsidRPr="00917637">
        <w:t>r</w:t>
      </w:r>
      <w:r w:rsidRPr="00917637">
        <w:t>eputation</w:t>
      </w:r>
      <w:r w:rsidR="005C322B" w:rsidRPr="00917637">
        <w:t xml:space="preserve"> m</w:t>
      </w:r>
      <w:r w:rsidRPr="00917637">
        <w:t xml:space="preserve">anagement highlight the strategic role of technology. Investments in social sustainability should extend beyond operational improvements and be communicated to stakeholders as a signal of trust. Jabbour et al. (2024) </w:t>
      </w:r>
      <w:r w:rsidRPr="00917637">
        <w:lastRenderedPageBreak/>
        <w:t>emphasize</w:t>
      </w:r>
      <w:r w:rsidR="005C322B" w:rsidRPr="00917637">
        <w:t>d</w:t>
      </w:r>
      <w:r w:rsidRPr="00917637">
        <w:t xml:space="preserve"> that firms should present these capabilities transparently and verifiably. Gu et al. (2025) </w:t>
      </w:r>
      <w:r w:rsidR="005C322B" w:rsidRPr="00917637">
        <w:t>i</w:t>
      </w:r>
      <w:r w:rsidRPr="00917637">
        <w:t>de</w:t>
      </w:r>
      <w:r w:rsidR="005C322B" w:rsidRPr="00917637">
        <w:t>nti</w:t>
      </w:r>
      <w:r w:rsidRPr="00917637">
        <w:t>fie</w:t>
      </w:r>
      <w:r w:rsidR="005C322B" w:rsidRPr="00917637">
        <w:t>d</w:t>
      </w:r>
      <w:r w:rsidRPr="00917637">
        <w:t xml:space="preserve"> “reputation” as a key indicator of social sustainability and argue</w:t>
      </w:r>
      <w:r w:rsidR="005C322B" w:rsidRPr="00917637">
        <w:t>d</w:t>
      </w:r>
      <w:r w:rsidRPr="00917637">
        <w:t xml:space="preserve"> that technology plays a pivotal role in cultivating a responsible and trustworthy corporate image.</w:t>
      </w:r>
    </w:p>
    <w:p w14:paraId="7A9BD77D" w14:textId="07BEBA1A" w:rsidR="00A52971" w:rsidRPr="00917637" w:rsidRDefault="00A52971" w:rsidP="00A52971">
      <w:r w:rsidRPr="00917637">
        <w:t xml:space="preserve">Finally, </w:t>
      </w:r>
      <w:r w:rsidR="005C322B" w:rsidRPr="00917637">
        <w:t>c</w:t>
      </w:r>
      <w:r w:rsidRPr="00917637">
        <w:t xml:space="preserve">ultural </w:t>
      </w:r>
      <w:r w:rsidR="005C322B" w:rsidRPr="00917637">
        <w:t>a</w:t>
      </w:r>
      <w:r w:rsidRPr="00917637">
        <w:t xml:space="preserve">lignment and </w:t>
      </w:r>
      <w:r w:rsidR="005C322B" w:rsidRPr="00917637">
        <w:t>l</w:t>
      </w:r>
      <w:r w:rsidRPr="00917637">
        <w:t xml:space="preserve">eadership are essential for effective technology adoption. Butt et al. (2025) demonstrate that cultural incompatibility and lack of top management commitment are major barriers to technology implementation. </w:t>
      </w:r>
      <w:r w:rsidR="005C322B" w:rsidRPr="00917637">
        <w:t xml:space="preserve">From this point forth, </w:t>
      </w:r>
      <w:r w:rsidRPr="00917637">
        <w:t>managers should approach technology not merely as a technical investment but as a cultural transformation requiring active employee participation.</w:t>
      </w:r>
      <w:r w:rsidR="005C322B" w:rsidRPr="00917637">
        <w:t xml:space="preserve"> </w:t>
      </w:r>
      <w:r w:rsidRPr="00917637">
        <w:t>The coordinated implementation of these strategies maximizes the potential of technological investments to enhance social sustainability performance and strengthens stakeholder trust. This approach simultaneously achieves operational efficiency and long-term reputational benefits.</w:t>
      </w:r>
    </w:p>
    <w:p w14:paraId="351F2B6F" w14:textId="7A31A7B4" w:rsidR="00A52971" w:rsidRPr="00917637" w:rsidRDefault="00A52971" w:rsidP="00A52971">
      <w:pPr>
        <w:pStyle w:val="Heading2"/>
      </w:pPr>
      <w:r w:rsidRPr="00917637">
        <w:t>5. Conclusion</w:t>
      </w:r>
    </w:p>
    <w:p w14:paraId="5B2598B8" w14:textId="0155F353" w:rsidR="007210D2" w:rsidRPr="00917637" w:rsidRDefault="00A52971" w:rsidP="00A52971">
      <w:r w:rsidRPr="00917637">
        <w:t xml:space="preserve">This study examines the role of supply chain technologies on social sustainability from a </w:t>
      </w:r>
      <w:r w:rsidR="00056016" w:rsidRPr="00917637">
        <w:t xml:space="preserve">comprehensive and multi-layered </w:t>
      </w:r>
      <w:r w:rsidRPr="00917637">
        <w:t>perspective, ranging from risk management to value creation. The findings show that technology reduces agency costs and facilitates compliance with complex legal regulations, particularly by reducing information asymmetry in multi-layered chains. Blockchain and traceability systems provide transparency in the supply chain</w:t>
      </w:r>
      <w:r w:rsidR="00056016" w:rsidRPr="00917637">
        <w:t xml:space="preserve"> domain</w:t>
      </w:r>
      <w:r w:rsidRPr="00917637">
        <w:t>, making risky areas visible and contributing to strengthening corporate reputation. Furthermore, operational efficiency can be increased and energy consumption and costs minimized through the integration of green planning models and autonomous systems.</w:t>
      </w:r>
    </w:p>
    <w:p w14:paraId="6552F2F0" w14:textId="0DDE5ECA" w:rsidR="00A52971" w:rsidRPr="00917637" w:rsidRDefault="00A52971" w:rsidP="00A52971">
      <w:r w:rsidRPr="00917637">
        <w:t xml:space="preserve">On the other hand, it has also been shown that the use of technology does not automatically guarantee social sustainability performance; rather, it can trigger certain risks. New risks such as energy consumption, data security vulnerabilities, privacy breaches, and the digital divide create serious challenges for </w:t>
      </w:r>
      <w:r w:rsidR="00056016" w:rsidRPr="00917637">
        <w:t>businesses</w:t>
      </w:r>
      <w:r w:rsidRPr="00917637">
        <w:t xml:space="preserve"> that view technology only as a solution tool. Therefore, success in sustainable supply chains is possible not by using technology alone, but by integrating social and environmental criteria into strategic decision-making processes. The inclusion of social criteria in mathematical models, going beyond cost in supplier selection, and considering the principle of affordability form the foundation of an inclusive and equitable supply chain ecosystem.</w:t>
      </w:r>
    </w:p>
    <w:p w14:paraId="76530FB8" w14:textId="4F98CC2B" w:rsidR="00A52971" w:rsidRPr="00917637" w:rsidRDefault="00A52971" w:rsidP="00A52971">
      <w:r w:rsidRPr="00917637">
        <w:t xml:space="preserve">Consequently, the sustainable supply chains of the future will be built by leaders who position technology not merely as an operational tool or control mechanism, but as an integral part of social responsibility, risk management, and corporate reputation. The success of firms will directly depend on the extent to which they align their technological infrastructure with corporate governance principles, ethical practices, and strategic management processes. </w:t>
      </w:r>
      <w:r w:rsidR="00056016" w:rsidRPr="00917637">
        <w:t>Thus</w:t>
      </w:r>
      <w:r w:rsidRPr="00917637">
        <w:t>, it is concluded that investments in technology should not only provide efficiency and transparency but also be considered as part of a holistic strategy to achieve social sustainability goals.</w:t>
      </w:r>
    </w:p>
    <w:p w14:paraId="540A5F24" w14:textId="77777777" w:rsidR="005D7DD8" w:rsidRPr="00917637" w:rsidRDefault="005D7DD8" w:rsidP="00A52971"/>
    <w:p w14:paraId="5AFAB214" w14:textId="5E8E8C3F" w:rsidR="00947446" w:rsidRPr="00917637" w:rsidRDefault="00947446" w:rsidP="00947446">
      <w:pPr>
        <w:pStyle w:val="Heading2"/>
      </w:pPr>
      <w:r w:rsidRPr="00917637">
        <w:t>References</w:t>
      </w:r>
    </w:p>
    <w:p w14:paraId="173D8691" w14:textId="75A249E1" w:rsidR="00775E80" w:rsidRPr="00917637" w:rsidRDefault="00775E80" w:rsidP="001C0FC7">
      <w:r w:rsidRPr="00917637">
        <w:t xml:space="preserve">Agyabeng-Mensah, Y., Afum, E., &amp; Baah, C. (2024). Stakeholder pressure and circular supply chain practices: Moderating roles of environmental information exchange capability and circular innovation orientation. </w:t>
      </w:r>
      <w:r w:rsidRPr="00917637">
        <w:rPr>
          <w:i/>
          <w:iCs/>
        </w:rPr>
        <w:t>Business Strategy and the Environment</w:t>
      </w:r>
      <w:r w:rsidRPr="00917637">
        <w:t xml:space="preserve">, </w:t>
      </w:r>
      <w:r w:rsidRPr="00917637">
        <w:rPr>
          <w:i/>
          <w:iCs/>
        </w:rPr>
        <w:t>33</w:t>
      </w:r>
      <w:r w:rsidRPr="00917637">
        <w:t>(6), 5703–5720.</w:t>
      </w:r>
    </w:p>
    <w:p w14:paraId="642E2018" w14:textId="77777777" w:rsidR="003D164B" w:rsidRPr="00917637" w:rsidRDefault="003D164B" w:rsidP="001C0FC7"/>
    <w:p w14:paraId="6674EF0D" w14:textId="12991EC1" w:rsidR="001C0FC7" w:rsidRPr="00917637" w:rsidRDefault="001C0FC7" w:rsidP="001C0FC7">
      <w:r w:rsidRPr="00917637">
        <w:t xml:space="preserve">Arhinful, R., Mensah, L., Amin, H. I. M., Obeng, H. A., &amp; Gyamfi, B. A. (2025). The strategic role of sustainable finance in corporate reputation: A signaling theory perspective. </w:t>
      </w:r>
      <w:r w:rsidRPr="00917637">
        <w:rPr>
          <w:i/>
          <w:iCs/>
        </w:rPr>
        <w:t>Sustainability</w:t>
      </w:r>
      <w:r w:rsidRPr="00917637">
        <w:t xml:space="preserve">, </w:t>
      </w:r>
      <w:r w:rsidRPr="00917637">
        <w:rPr>
          <w:i/>
          <w:iCs/>
        </w:rPr>
        <w:t>17</w:t>
      </w:r>
      <w:r w:rsidRPr="00917637">
        <w:t>(11), 5002.</w:t>
      </w:r>
    </w:p>
    <w:p w14:paraId="7768C369" w14:textId="77777777" w:rsidR="003D164B" w:rsidRPr="00917637" w:rsidRDefault="003D164B" w:rsidP="001C0FC7"/>
    <w:p w14:paraId="2F03C028" w14:textId="58921627" w:rsidR="001C0FC7" w:rsidRPr="00917637" w:rsidRDefault="001C0FC7" w:rsidP="001C0FC7">
      <w:r w:rsidRPr="00917637">
        <w:lastRenderedPageBreak/>
        <w:t xml:space="preserve">Bai, Q., Chen, M., Nikolaidis, Y., &amp; Xu, J. (2021). Improving sustainability and social responsibility of a two-tier supply chain investing in emission reduction technology. </w:t>
      </w:r>
      <w:r w:rsidRPr="00917637">
        <w:rPr>
          <w:i/>
          <w:iCs/>
        </w:rPr>
        <w:t>Applied Mathematical Modelling</w:t>
      </w:r>
      <w:r w:rsidRPr="00917637">
        <w:t xml:space="preserve">, </w:t>
      </w:r>
      <w:r w:rsidRPr="00917637">
        <w:rPr>
          <w:i/>
          <w:iCs/>
        </w:rPr>
        <w:t>95</w:t>
      </w:r>
      <w:r w:rsidRPr="00917637">
        <w:t>, 688–714.</w:t>
      </w:r>
    </w:p>
    <w:p w14:paraId="4DB35A33" w14:textId="77777777" w:rsidR="003D164B" w:rsidRPr="00917637" w:rsidRDefault="003D164B" w:rsidP="001C0FC7"/>
    <w:p w14:paraId="3DEF90BA" w14:textId="091D8CE8" w:rsidR="001C0FC7" w:rsidRPr="00917637" w:rsidRDefault="001C0FC7" w:rsidP="001C0FC7">
      <w:r w:rsidRPr="00917637">
        <w:t xml:space="preserve">Benzidia, S., Makaoui, N., &amp; Subramanian, N. (2021). Impact of ambidexterity of blockchain technology and social factors on new product development: A supply chain and Industry 4.0 perspective. </w:t>
      </w:r>
      <w:r w:rsidRPr="00917637">
        <w:rPr>
          <w:i/>
          <w:iCs/>
        </w:rPr>
        <w:t>Technological Forecasting &amp; Social Change</w:t>
      </w:r>
      <w:r w:rsidRPr="00917637">
        <w:t xml:space="preserve">, </w:t>
      </w:r>
      <w:r w:rsidRPr="00917637">
        <w:rPr>
          <w:i/>
          <w:iCs/>
        </w:rPr>
        <w:t>169</w:t>
      </w:r>
      <w:r w:rsidRPr="00917637">
        <w:t>, 120819.</w:t>
      </w:r>
    </w:p>
    <w:p w14:paraId="0FDD1CCB" w14:textId="77777777" w:rsidR="003D164B" w:rsidRPr="00917637" w:rsidRDefault="003D164B" w:rsidP="001C0FC7"/>
    <w:p w14:paraId="2A901360" w14:textId="74984006" w:rsidR="001C0FC7" w:rsidRPr="00917637" w:rsidRDefault="001C0FC7" w:rsidP="001C0FC7">
      <w:r w:rsidRPr="00917637">
        <w:t xml:space="preserve">Butt, A. S., &amp; Alghababsheh, M. (2025). Exploring the barriers and enablers of technology adoption for managing social sustainability in supply chains. </w:t>
      </w:r>
      <w:r w:rsidRPr="00917637">
        <w:rPr>
          <w:i/>
          <w:iCs/>
        </w:rPr>
        <w:t>Industrial Management &amp; Data Systems</w:t>
      </w:r>
      <w:r w:rsidRPr="00917637">
        <w:t>.</w:t>
      </w:r>
    </w:p>
    <w:p w14:paraId="79B9F7AF" w14:textId="77777777" w:rsidR="003D164B" w:rsidRPr="00917637" w:rsidRDefault="003D164B" w:rsidP="001C0FC7"/>
    <w:p w14:paraId="7444219D" w14:textId="30A65FE7" w:rsidR="001C0FC7" w:rsidRPr="00917637" w:rsidRDefault="001C0FC7" w:rsidP="001C0FC7">
      <w:r w:rsidRPr="00917637">
        <w:t xml:space="preserve">Chaudhuri, A., Bhatia, M. S., Kayikci, Y., Fernandes, K. J., &amp; Fosso-Wamba, S. (2023). Improving social sustainability and reducing supply chain risks through blockchain implementation: Role of outcome and behavioural mechanisms. </w:t>
      </w:r>
      <w:r w:rsidRPr="00917637">
        <w:rPr>
          <w:i/>
          <w:iCs/>
        </w:rPr>
        <w:t>Annals of Operations Research</w:t>
      </w:r>
      <w:r w:rsidRPr="00917637">
        <w:t xml:space="preserve">, </w:t>
      </w:r>
      <w:r w:rsidRPr="00917637">
        <w:rPr>
          <w:i/>
          <w:iCs/>
        </w:rPr>
        <w:t>327</w:t>
      </w:r>
      <w:r w:rsidRPr="00917637">
        <w:t>, 401–433.</w:t>
      </w:r>
    </w:p>
    <w:p w14:paraId="6E72B3C0" w14:textId="77777777" w:rsidR="003D164B" w:rsidRPr="00917637" w:rsidRDefault="003D164B" w:rsidP="001C0FC7"/>
    <w:p w14:paraId="74CA78C5" w14:textId="6E5FDB73" w:rsidR="001C0FC7" w:rsidRPr="00917637" w:rsidRDefault="001C0FC7" w:rsidP="001C0FC7">
      <w:r w:rsidRPr="00917637">
        <w:t xml:space="preserve">Chiwaridzo, O. T., &amp; Masengu, R. (2024). Technology adoption meets green tourism supply chain management for sustainability of small and medium-sized tourism enterprises: A lesson from Zimbabwe. </w:t>
      </w:r>
      <w:r w:rsidRPr="00917637">
        <w:rPr>
          <w:i/>
          <w:iCs/>
        </w:rPr>
        <w:t>African Journal of Science, Technology, Innovation and Development</w:t>
      </w:r>
      <w:r w:rsidRPr="00917637">
        <w:t xml:space="preserve">, </w:t>
      </w:r>
      <w:r w:rsidRPr="00917637">
        <w:rPr>
          <w:i/>
          <w:iCs/>
        </w:rPr>
        <w:t>16</w:t>
      </w:r>
      <w:r w:rsidRPr="00917637">
        <w:t>(2), 153–165.</w:t>
      </w:r>
    </w:p>
    <w:p w14:paraId="1CD4E0CA" w14:textId="77777777" w:rsidR="003D164B" w:rsidRPr="00917637" w:rsidRDefault="003D164B" w:rsidP="001C0FC7"/>
    <w:p w14:paraId="28961FE7" w14:textId="4166B906" w:rsidR="001C0FC7" w:rsidRPr="00917637" w:rsidRDefault="001C0FC7" w:rsidP="001C0FC7">
      <w:r w:rsidRPr="00917637">
        <w:t xml:space="preserve">Colombage, A., &amp; Sedera, D. (2025). The fallacies in chain-of-custody in sustainable supply chain management: A case study from the apparel manufacturing industry. </w:t>
      </w:r>
      <w:r w:rsidRPr="00917637">
        <w:rPr>
          <w:i/>
          <w:iCs/>
        </w:rPr>
        <w:t>Sustainability</w:t>
      </w:r>
      <w:r w:rsidRPr="00917637">
        <w:t xml:space="preserve">, </w:t>
      </w:r>
      <w:r w:rsidRPr="00917637">
        <w:rPr>
          <w:i/>
          <w:iCs/>
        </w:rPr>
        <w:t>17</w:t>
      </w:r>
      <w:r w:rsidRPr="00917637">
        <w:t>(5), 2065.</w:t>
      </w:r>
    </w:p>
    <w:p w14:paraId="4B64F052" w14:textId="77777777" w:rsidR="003D164B" w:rsidRPr="00917637" w:rsidRDefault="003D164B" w:rsidP="001C0FC7"/>
    <w:p w14:paraId="7EEAE04F" w14:textId="2DC07568" w:rsidR="001C0FC7" w:rsidRPr="00917637" w:rsidRDefault="001C0FC7" w:rsidP="001C0FC7">
      <w:r w:rsidRPr="00917637">
        <w:t xml:space="preserve">Dey, B. K., Yilmaz, I., &amp; Seok, H. (2022). A sustainable supply chain integrated with autonomated inspection, flexible eco-production, and smart transportation. </w:t>
      </w:r>
      <w:r w:rsidRPr="00917637">
        <w:rPr>
          <w:i/>
          <w:iCs/>
        </w:rPr>
        <w:t>Processes</w:t>
      </w:r>
      <w:r w:rsidRPr="00917637">
        <w:t xml:space="preserve">, </w:t>
      </w:r>
      <w:r w:rsidRPr="00917637">
        <w:rPr>
          <w:i/>
          <w:iCs/>
        </w:rPr>
        <w:t>10</w:t>
      </w:r>
      <w:r w:rsidRPr="00917637">
        <w:t>(9), 1775.</w:t>
      </w:r>
    </w:p>
    <w:p w14:paraId="76423526" w14:textId="77777777" w:rsidR="003D164B" w:rsidRPr="00917637" w:rsidRDefault="003D164B" w:rsidP="001C0FC7"/>
    <w:p w14:paraId="13AC3D6C" w14:textId="7A6455F3" w:rsidR="001C0FC7" w:rsidRPr="00917637" w:rsidRDefault="001C0FC7" w:rsidP="001C0FC7">
      <w:r w:rsidRPr="00917637">
        <w:t xml:space="preserve">Ebrahimi, S., Hosseini-Motlagh, S.-M., Nematollahi, M., &amp; Cárdenas-Barrón, L. E. (2022). Coordinating double-level sustainability effort in a sustainable supply chain under cap-and-trade regulation. </w:t>
      </w:r>
      <w:r w:rsidRPr="00917637">
        <w:rPr>
          <w:i/>
          <w:iCs/>
        </w:rPr>
        <w:t>Expert Systems With Applications</w:t>
      </w:r>
      <w:r w:rsidRPr="00917637">
        <w:t xml:space="preserve">, </w:t>
      </w:r>
      <w:r w:rsidRPr="00917637">
        <w:rPr>
          <w:i/>
          <w:iCs/>
        </w:rPr>
        <w:t>207</w:t>
      </w:r>
      <w:r w:rsidRPr="00917637">
        <w:t>, 117872.</w:t>
      </w:r>
    </w:p>
    <w:p w14:paraId="7B6C3BF9" w14:textId="77777777" w:rsidR="003D164B" w:rsidRPr="00917637" w:rsidRDefault="003D164B" w:rsidP="001C0FC7"/>
    <w:p w14:paraId="7429C0A9" w14:textId="64FDE5F8" w:rsidR="001C0FC7" w:rsidRPr="00917637" w:rsidRDefault="001C0FC7" w:rsidP="001C0FC7">
      <w:r w:rsidRPr="00917637">
        <w:t xml:space="preserve">Gao, S., Jin, X., &amp; Zhang, Y. (2021). User participation behavior in crowdsourcing platforms: Impact of information signaling theory. </w:t>
      </w:r>
      <w:r w:rsidRPr="00917637">
        <w:rPr>
          <w:i/>
          <w:iCs/>
        </w:rPr>
        <w:t>Sustainability</w:t>
      </w:r>
      <w:r w:rsidRPr="00917637">
        <w:t xml:space="preserve">, </w:t>
      </w:r>
      <w:r w:rsidRPr="00917637">
        <w:rPr>
          <w:i/>
          <w:iCs/>
        </w:rPr>
        <w:t>13</w:t>
      </w:r>
      <w:r w:rsidRPr="00917637">
        <w:t>(11), 6290.</w:t>
      </w:r>
    </w:p>
    <w:p w14:paraId="480A7140" w14:textId="77777777" w:rsidR="003D164B" w:rsidRPr="00917637" w:rsidRDefault="003D164B" w:rsidP="001C0FC7"/>
    <w:p w14:paraId="5FE0EF79" w14:textId="0245BA58" w:rsidR="001C0FC7" w:rsidRPr="00917637" w:rsidRDefault="001C0FC7" w:rsidP="001C0FC7">
      <w:r w:rsidRPr="00917637">
        <w:t xml:space="preserve">Green, K. W., Inman, R. A., Sower, V. E., &amp; Zelbst, P. J. (2019). Impact of JIT, TQM and green supply chain practices on environmental sustainability. </w:t>
      </w:r>
      <w:r w:rsidRPr="00917637">
        <w:rPr>
          <w:i/>
          <w:iCs/>
        </w:rPr>
        <w:t>Journal of Manufacturing Technology Management</w:t>
      </w:r>
      <w:r w:rsidRPr="00917637">
        <w:t xml:space="preserve">, </w:t>
      </w:r>
      <w:r w:rsidRPr="00917637">
        <w:rPr>
          <w:i/>
          <w:iCs/>
        </w:rPr>
        <w:t>30</w:t>
      </w:r>
      <w:r w:rsidRPr="00917637">
        <w:t>(1), 26–47.</w:t>
      </w:r>
    </w:p>
    <w:p w14:paraId="5966DA82" w14:textId="77777777" w:rsidR="003D164B" w:rsidRPr="00917637" w:rsidRDefault="003D164B" w:rsidP="001C0FC7"/>
    <w:p w14:paraId="534FDB88" w14:textId="53A76F54" w:rsidR="001C0FC7" w:rsidRPr="00917637" w:rsidRDefault="001C0FC7" w:rsidP="001C0FC7">
      <w:r w:rsidRPr="00917637">
        <w:t xml:space="preserve">Gu, C., Reefke, H., &amp; Yates, N. (2025). Autonomous vehicle adoption and supply chain social sustainability: Delphi study and expert interviews. </w:t>
      </w:r>
      <w:r w:rsidRPr="00917637">
        <w:rPr>
          <w:i/>
          <w:iCs/>
        </w:rPr>
        <w:t>International Journal of Physical Distribution &amp; Logistics Management</w:t>
      </w:r>
      <w:r w:rsidRPr="00917637">
        <w:t xml:space="preserve">, </w:t>
      </w:r>
      <w:r w:rsidRPr="00917637">
        <w:rPr>
          <w:i/>
          <w:iCs/>
        </w:rPr>
        <w:t>55</w:t>
      </w:r>
      <w:r w:rsidRPr="00917637">
        <w:t>(3), 275–306.</w:t>
      </w:r>
    </w:p>
    <w:p w14:paraId="08A0EE8B" w14:textId="77777777" w:rsidR="003D164B" w:rsidRPr="00917637" w:rsidRDefault="003D164B" w:rsidP="001C0FC7"/>
    <w:p w14:paraId="39A5E3CC" w14:textId="59D983C4" w:rsidR="001C0FC7" w:rsidRPr="00917637" w:rsidRDefault="001C0FC7" w:rsidP="001C0FC7">
      <w:r w:rsidRPr="00917637">
        <w:lastRenderedPageBreak/>
        <w:t xml:space="preserve">Hoyos, M. V., Hessel, V., Salas, E., Culton, J., Robertson, K., Laybourn, A., Escribà-Gelonch, M., Cook, N., &amp; de Zwart, M. (2024). Supply chain sustainability in outer space: Lessons to be learnt from remote sites on Earth. </w:t>
      </w:r>
      <w:r w:rsidRPr="00917637">
        <w:rPr>
          <w:i/>
          <w:iCs/>
        </w:rPr>
        <w:t>Processes</w:t>
      </w:r>
      <w:r w:rsidRPr="00917637">
        <w:t xml:space="preserve">, </w:t>
      </w:r>
      <w:r w:rsidRPr="00917637">
        <w:rPr>
          <w:i/>
          <w:iCs/>
        </w:rPr>
        <w:t>12</w:t>
      </w:r>
      <w:r w:rsidRPr="00917637">
        <w:t>(10), 2105.</w:t>
      </w:r>
    </w:p>
    <w:p w14:paraId="16D75E03" w14:textId="77777777" w:rsidR="003D164B" w:rsidRPr="00917637" w:rsidRDefault="003D164B" w:rsidP="001C0FC7"/>
    <w:p w14:paraId="2C20D876" w14:textId="20EBF309" w:rsidR="001C0FC7" w:rsidRPr="00917637" w:rsidRDefault="001C0FC7" w:rsidP="001C0FC7">
      <w:r w:rsidRPr="00917637">
        <w:t xml:space="preserve">Jabbour, A. B. L. S., Fiorini, P. D. C., Latan, H., Laguir, I., &amp; Jabbour, C. J. C. (2024). Supply chain risk identification: Signaling companies' social sustainability reputation. </w:t>
      </w:r>
      <w:r w:rsidRPr="00917637">
        <w:rPr>
          <w:i/>
          <w:iCs/>
        </w:rPr>
        <w:t>Journal of Cleaner Production</w:t>
      </w:r>
      <w:r w:rsidRPr="00917637">
        <w:t xml:space="preserve">, </w:t>
      </w:r>
      <w:r w:rsidRPr="00917637">
        <w:rPr>
          <w:i/>
          <w:iCs/>
        </w:rPr>
        <w:t>478</w:t>
      </w:r>
      <w:r w:rsidRPr="00917637">
        <w:t>, 143817.</w:t>
      </w:r>
    </w:p>
    <w:p w14:paraId="77E8FBDB" w14:textId="77777777" w:rsidR="003D164B" w:rsidRPr="00917637" w:rsidRDefault="003D164B" w:rsidP="001C0FC7">
      <w:pPr>
        <w:rPr>
          <w:rFonts w:cs="Times New Roman"/>
          <w:sz w:val="32"/>
          <w:szCs w:val="32"/>
        </w:rPr>
      </w:pPr>
    </w:p>
    <w:p w14:paraId="366E8AF8" w14:textId="71572667" w:rsidR="00832E87" w:rsidRPr="00917637" w:rsidRDefault="00832E87" w:rsidP="001C0FC7">
      <w:pPr>
        <w:rPr>
          <w:rFonts w:cs="Times New Roman"/>
          <w:sz w:val="32"/>
          <w:szCs w:val="32"/>
        </w:rPr>
      </w:pPr>
      <w:r w:rsidRPr="009F049F">
        <w:rPr>
          <w:rFonts w:cs="Times New Roman"/>
          <w:color w:val="222222"/>
          <w:shd w:val="clear" w:color="auto" w:fill="FFFFFF"/>
          <w:lang w:val="fi-FI"/>
        </w:rPr>
        <w:t xml:space="preserve">Karakas, S., Acar, A. Z., &amp; Kucukaltan, B. (2024). </w:t>
      </w:r>
      <w:r w:rsidRPr="00917637">
        <w:rPr>
          <w:rFonts w:cs="Times New Roman"/>
          <w:color w:val="222222"/>
          <w:shd w:val="clear" w:color="auto" w:fill="FFFFFF"/>
        </w:rPr>
        <w:t>Blockchain adoption in logistics and supply chain: a literature review and research agenda. </w:t>
      </w:r>
      <w:r w:rsidRPr="00917637">
        <w:rPr>
          <w:rFonts w:cs="Times New Roman"/>
          <w:i/>
          <w:iCs/>
          <w:color w:val="222222"/>
          <w:shd w:val="clear" w:color="auto" w:fill="FFFFFF"/>
        </w:rPr>
        <w:t>International Journal of Production Research</w:t>
      </w:r>
      <w:r w:rsidRPr="00917637">
        <w:rPr>
          <w:rFonts w:cs="Times New Roman"/>
          <w:color w:val="222222"/>
          <w:shd w:val="clear" w:color="auto" w:fill="FFFFFF"/>
        </w:rPr>
        <w:t>, </w:t>
      </w:r>
      <w:r w:rsidRPr="00917637">
        <w:rPr>
          <w:rFonts w:cs="Times New Roman"/>
          <w:i/>
          <w:iCs/>
          <w:color w:val="222222"/>
          <w:shd w:val="clear" w:color="auto" w:fill="FFFFFF"/>
        </w:rPr>
        <w:t>62</w:t>
      </w:r>
      <w:r w:rsidRPr="00917637">
        <w:rPr>
          <w:rFonts w:cs="Times New Roman"/>
          <w:color w:val="222222"/>
          <w:shd w:val="clear" w:color="auto" w:fill="FFFFFF"/>
        </w:rPr>
        <w:t>(22), 8193-8216.</w:t>
      </w:r>
    </w:p>
    <w:p w14:paraId="372F56DC" w14:textId="77777777" w:rsidR="00832E87" w:rsidRPr="00917637" w:rsidRDefault="00832E87" w:rsidP="001C0FC7">
      <w:pPr>
        <w:rPr>
          <w:rFonts w:cs="Times New Roman"/>
          <w:sz w:val="32"/>
          <w:szCs w:val="32"/>
        </w:rPr>
      </w:pPr>
    </w:p>
    <w:p w14:paraId="04C0D70F" w14:textId="3680B3F9" w:rsidR="00734CD4" w:rsidRPr="00917637" w:rsidRDefault="00734CD4" w:rsidP="001C0FC7">
      <w:pPr>
        <w:rPr>
          <w:rFonts w:cs="Times New Roman"/>
          <w:color w:val="222222"/>
          <w:shd w:val="clear" w:color="auto" w:fill="FFFFFF"/>
        </w:rPr>
      </w:pPr>
      <w:r w:rsidRPr="00917637">
        <w:rPr>
          <w:rFonts w:cs="Times New Roman"/>
          <w:color w:val="222222"/>
          <w:shd w:val="clear" w:color="auto" w:fill="FFFFFF"/>
        </w:rPr>
        <w:t>Kucukaltan, B. (2022). Exploring the Interplay between Digital Business Models and Dynamic Capability in the Pursuit of Competitiveness. In </w:t>
      </w:r>
      <w:r w:rsidRPr="00917637">
        <w:rPr>
          <w:rFonts w:cs="Times New Roman"/>
          <w:i/>
          <w:iCs/>
          <w:color w:val="222222"/>
          <w:shd w:val="clear" w:color="auto" w:fill="FFFFFF"/>
        </w:rPr>
        <w:t>The Routledge Companion to Technology Management</w:t>
      </w:r>
      <w:r w:rsidRPr="00917637">
        <w:rPr>
          <w:rFonts w:cs="Times New Roman"/>
          <w:color w:val="222222"/>
          <w:shd w:val="clear" w:color="auto" w:fill="FFFFFF"/>
        </w:rPr>
        <w:t> (pp. 34-46). Routledge.</w:t>
      </w:r>
    </w:p>
    <w:p w14:paraId="46E42EC5" w14:textId="77777777" w:rsidR="00734CD4" w:rsidRPr="00917637" w:rsidRDefault="00734CD4" w:rsidP="001C0FC7">
      <w:pPr>
        <w:rPr>
          <w:rFonts w:cs="Times New Roman"/>
          <w:sz w:val="40"/>
          <w:szCs w:val="40"/>
        </w:rPr>
      </w:pPr>
    </w:p>
    <w:p w14:paraId="51440053" w14:textId="15E0A3EC" w:rsidR="00832E87" w:rsidRPr="00917637" w:rsidRDefault="00832E87" w:rsidP="001C0FC7">
      <w:pPr>
        <w:rPr>
          <w:rFonts w:cs="Times New Roman"/>
          <w:color w:val="222222"/>
          <w:shd w:val="clear" w:color="auto" w:fill="FFFFFF"/>
        </w:rPr>
      </w:pPr>
      <w:r w:rsidRPr="00917637">
        <w:rPr>
          <w:rFonts w:cs="Times New Roman"/>
          <w:color w:val="222222"/>
          <w:shd w:val="clear" w:color="auto" w:fill="FFFFFF"/>
        </w:rPr>
        <w:t>Kucukaltan, B., Kamasak, R., Yalcinkaya, B., &amp; Irani, Z. (2024). Investigating the themes in supply chain finance: the emergence of blockchain as a disruptive technology. </w:t>
      </w:r>
      <w:r w:rsidRPr="00917637">
        <w:rPr>
          <w:rFonts w:cs="Times New Roman"/>
          <w:i/>
          <w:iCs/>
          <w:color w:val="222222"/>
          <w:shd w:val="clear" w:color="auto" w:fill="FFFFFF"/>
        </w:rPr>
        <w:t>International journal of production research</w:t>
      </w:r>
      <w:r w:rsidRPr="00917637">
        <w:rPr>
          <w:rFonts w:cs="Times New Roman"/>
          <w:color w:val="222222"/>
          <w:shd w:val="clear" w:color="auto" w:fill="FFFFFF"/>
        </w:rPr>
        <w:t>, </w:t>
      </w:r>
      <w:r w:rsidRPr="00917637">
        <w:rPr>
          <w:rFonts w:cs="Times New Roman"/>
          <w:i/>
          <w:iCs/>
          <w:color w:val="222222"/>
          <w:shd w:val="clear" w:color="auto" w:fill="FFFFFF"/>
        </w:rPr>
        <w:t>62</w:t>
      </w:r>
      <w:r w:rsidRPr="00917637">
        <w:rPr>
          <w:rFonts w:cs="Times New Roman"/>
          <w:color w:val="222222"/>
          <w:shd w:val="clear" w:color="auto" w:fill="FFFFFF"/>
        </w:rPr>
        <w:t>(22), 8173-8192.</w:t>
      </w:r>
    </w:p>
    <w:p w14:paraId="4BADB583" w14:textId="77777777" w:rsidR="009F6C37" w:rsidRPr="00917637" w:rsidRDefault="009F6C37" w:rsidP="001C0FC7">
      <w:pPr>
        <w:rPr>
          <w:rFonts w:cs="Times New Roman"/>
          <w:color w:val="222222"/>
          <w:shd w:val="clear" w:color="auto" w:fill="FFFFFF"/>
        </w:rPr>
      </w:pPr>
    </w:p>
    <w:p w14:paraId="7E440D37" w14:textId="18A76F25" w:rsidR="009F6C37" w:rsidRPr="00917637" w:rsidRDefault="009F6C37" w:rsidP="001C0FC7">
      <w:pPr>
        <w:rPr>
          <w:rFonts w:cs="Times New Roman"/>
          <w:sz w:val="40"/>
          <w:szCs w:val="40"/>
        </w:rPr>
      </w:pPr>
      <w:r w:rsidRPr="00917637">
        <w:rPr>
          <w:rFonts w:cs="Times New Roman"/>
          <w:color w:val="222222"/>
          <w:shd w:val="clear" w:color="auto" w:fill="FFFFFF"/>
        </w:rPr>
        <w:t>Küçükaltan, B. (2020). Shifting towards technology-based on-demand transportation business models: A comparative research. </w:t>
      </w:r>
      <w:r w:rsidRPr="00917637">
        <w:rPr>
          <w:rFonts w:cs="Times New Roman"/>
          <w:i/>
          <w:iCs/>
          <w:color w:val="222222"/>
          <w:shd w:val="clear" w:color="auto" w:fill="FFFFFF"/>
        </w:rPr>
        <w:t>Afyon Kocatepe Üniversitesi Sosyal Bilimler Dergisi</w:t>
      </w:r>
      <w:r w:rsidRPr="00917637">
        <w:rPr>
          <w:rFonts w:cs="Times New Roman"/>
          <w:color w:val="222222"/>
          <w:shd w:val="clear" w:color="auto" w:fill="FFFFFF"/>
        </w:rPr>
        <w:t>, </w:t>
      </w:r>
      <w:r w:rsidRPr="00917637">
        <w:rPr>
          <w:rFonts w:cs="Times New Roman"/>
          <w:i/>
          <w:iCs/>
          <w:color w:val="222222"/>
          <w:shd w:val="clear" w:color="auto" w:fill="FFFFFF"/>
        </w:rPr>
        <w:t>22</w:t>
      </w:r>
      <w:r w:rsidRPr="00917637">
        <w:rPr>
          <w:rFonts w:cs="Times New Roman"/>
          <w:color w:val="222222"/>
          <w:shd w:val="clear" w:color="auto" w:fill="FFFFFF"/>
        </w:rPr>
        <w:t>(4), 1035-1045.</w:t>
      </w:r>
    </w:p>
    <w:p w14:paraId="3582B39F" w14:textId="77777777" w:rsidR="00832E87" w:rsidRPr="00917637" w:rsidRDefault="00832E87" w:rsidP="001C0FC7"/>
    <w:p w14:paraId="031CE80F" w14:textId="5F3E6657" w:rsidR="001C0FC7" w:rsidRPr="00917637" w:rsidRDefault="001C0FC7" w:rsidP="001C0FC7">
      <w:r w:rsidRPr="00917637">
        <w:t xml:space="preserve">Li, X., Li, Y., Li, G., &amp; Xu, J. (2025). Sustainable supply chain management practices and performance: The moderating effect of stakeholder pressure. </w:t>
      </w:r>
      <w:r w:rsidRPr="00917637">
        <w:rPr>
          <w:i/>
          <w:iCs/>
        </w:rPr>
        <w:t>Humanities &amp; Social Sciences Communications</w:t>
      </w:r>
      <w:r w:rsidRPr="00917637">
        <w:t xml:space="preserve">, </w:t>
      </w:r>
      <w:r w:rsidRPr="00917637">
        <w:rPr>
          <w:i/>
          <w:iCs/>
        </w:rPr>
        <w:t>12</w:t>
      </w:r>
      <w:r w:rsidRPr="00917637">
        <w:t>, 336.</w:t>
      </w:r>
    </w:p>
    <w:p w14:paraId="3444C843" w14:textId="77777777" w:rsidR="003D164B" w:rsidRPr="00917637" w:rsidRDefault="003D164B" w:rsidP="001C0FC7"/>
    <w:p w14:paraId="06FF3BFA" w14:textId="4013021C" w:rsidR="001C0FC7" w:rsidRPr="00917637" w:rsidRDefault="001C0FC7" w:rsidP="001C0FC7">
      <w:r w:rsidRPr="00917637">
        <w:t xml:space="preserve">Liu, Q., &amp; Dong, Y. (2025). How corporate environmental responsibility enhances sustainable performance through green supply chain management under stakeholder theory perspective. </w:t>
      </w:r>
      <w:r w:rsidRPr="00917637">
        <w:rPr>
          <w:i/>
          <w:iCs/>
        </w:rPr>
        <w:t>Asia Pacific Journal of Marketing and Logistics</w:t>
      </w:r>
      <w:r w:rsidRPr="00917637">
        <w:t>.</w:t>
      </w:r>
    </w:p>
    <w:p w14:paraId="5D81A4F3" w14:textId="77777777" w:rsidR="003D164B" w:rsidRPr="00917637" w:rsidRDefault="003D164B" w:rsidP="001C0FC7"/>
    <w:p w14:paraId="08ACA5F7" w14:textId="4DC36EE2" w:rsidR="001C0FC7" w:rsidRPr="00917637" w:rsidRDefault="001C0FC7" w:rsidP="001C0FC7">
      <w:r w:rsidRPr="00917637">
        <w:t xml:space="preserve">López-Santamaría, M., Amaya, N., Grueso Hinestroza, M. P., &amp; Cuero, Y. A. (2021). Sustainability disclosure practices as seen through the lens of the signaling theory: A study of companies listed on the Colombian Stock Exchange. </w:t>
      </w:r>
      <w:r w:rsidRPr="00917637">
        <w:rPr>
          <w:i/>
          <w:iCs/>
        </w:rPr>
        <w:t>Journal of Cleaner Production</w:t>
      </w:r>
      <w:r w:rsidRPr="00917637">
        <w:t xml:space="preserve">, </w:t>
      </w:r>
      <w:r w:rsidRPr="00917637">
        <w:rPr>
          <w:i/>
          <w:iCs/>
        </w:rPr>
        <w:t>317</w:t>
      </w:r>
      <w:r w:rsidRPr="00917637">
        <w:t>, 128416.</w:t>
      </w:r>
    </w:p>
    <w:p w14:paraId="48DE6937" w14:textId="77777777" w:rsidR="003D164B" w:rsidRPr="00917637" w:rsidRDefault="003D164B" w:rsidP="001C0FC7"/>
    <w:p w14:paraId="6267AB6B" w14:textId="51A1D7BE" w:rsidR="001C0FC7" w:rsidRPr="00917637" w:rsidRDefault="001C0FC7" w:rsidP="001C0FC7">
      <w:r w:rsidRPr="00917637">
        <w:t xml:space="preserve">Lotfi, M., &amp; Pisa, N. (2024). Child slavery in supply chains: Actors of the dirty scene. </w:t>
      </w:r>
      <w:r w:rsidRPr="00917637">
        <w:rPr>
          <w:i/>
          <w:iCs/>
        </w:rPr>
        <w:t>Journal of Transport and Supply Chain Management</w:t>
      </w:r>
      <w:r w:rsidRPr="00917637">
        <w:t xml:space="preserve">, </w:t>
      </w:r>
      <w:r w:rsidRPr="00917637">
        <w:rPr>
          <w:i/>
          <w:iCs/>
        </w:rPr>
        <w:t>18</w:t>
      </w:r>
      <w:r w:rsidRPr="00917637">
        <w:t>, a942.</w:t>
      </w:r>
    </w:p>
    <w:p w14:paraId="5FBB8646" w14:textId="77777777" w:rsidR="0062443D" w:rsidRPr="00917637" w:rsidRDefault="0062443D" w:rsidP="001C0FC7"/>
    <w:p w14:paraId="0435053C" w14:textId="4F68ADC3" w:rsidR="0062443D" w:rsidRPr="00917637" w:rsidRDefault="0062443D" w:rsidP="001C0FC7">
      <w:pPr>
        <w:rPr>
          <w:rFonts w:cs="Times New Roman"/>
          <w:sz w:val="32"/>
          <w:szCs w:val="32"/>
        </w:rPr>
      </w:pPr>
      <w:r w:rsidRPr="00917637">
        <w:rPr>
          <w:rFonts w:cs="Times New Roman"/>
          <w:color w:val="222222"/>
          <w:shd w:val="clear" w:color="auto" w:fill="FFFFFF"/>
        </w:rPr>
        <w:t>Mahroof, K., Omar, A., &amp; Kucukaltan, B. (2022). Sustainable food supply chains: overcoming key challenges through digital technologies. </w:t>
      </w:r>
      <w:r w:rsidRPr="00917637">
        <w:rPr>
          <w:rFonts w:cs="Times New Roman"/>
          <w:i/>
          <w:iCs/>
          <w:color w:val="222222"/>
          <w:shd w:val="clear" w:color="auto" w:fill="FFFFFF"/>
        </w:rPr>
        <w:t>International Journal of Productivity and Performance Management</w:t>
      </w:r>
      <w:r w:rsidRPr="00917637">
        <w:rPr>
          <w:rFonts w:cs="Times New Roman"/>
          <w:color w:val="222222"/>
          <w:shd w:val="clear" w:color="auto" w:fill="FFFFFF"/>
        </w:rPr>
        <w:t>, </w:t>
      </w:r>
      <w:r w:rsidRPr="00917637">
        <w:rPr>
          <w:rFonts w:cs="Times New Roman"/>
          <w:i/>
          <w:iCs/>
          <w:color w:val="222222"/>
          <w:shd w:val="clear" w:color="auto" w:fill="FFFFFF"/>
        </w:rPr>
        <w:t>71</w:t>
      </w:r>
      <w:r w:rsidRPr="00917637">
        <w:rPr>
          <w:rFonts w:cs="Times New Roman"/>
          <w:color w:val="222222"/>
          <w:shd w:val="clear" w:color="auto" w:fill="FFFFFF"/>
        </w:rPr>
        <w:t>(3), 981-1003.</w:t>
      </w:r>
    </w:p>
    <w:p w14:paraId="576A532C" w14:textId="77777777" w:rsidR="003D164B" w:rsidRPr="00917637" w:rsidRDefault="003D164B" w:rsidP="001C0FC7"/>
    <w:p w14:paraId="3E280962" w14:textId="177750FA" w:rsidR="001C0FC7" w:rsidRPr="00917637" w:rsidRDefault="001C0FC7" w:rsidP="001C0FC7">
      <w:r w:rsidRPr="00917637">
        <w:lastRenderedPageBreak/>
        <w:t xml:space="preserve">Meier, O., Gruchmann, T., &amp; Ivanova, D. (2023). Circular supply chain management with blockchain technology: A dynamic capabilities view. </w:t>
      </w:r>
      <w:r w:rsidRPr="00917637">
        <w:rPr>
          <w:i/>
          <w:iCs/>
        </w:rPr>
        <w:t>Transportation Research Part E</w:t>
      </w:r>
      <w:r w:rsidRPr="00917637">
        <w:t xml:space="preserve">, </w:t>
      </w:r>
      <w:r w:rsidRPr="00917637">
        <w:rPr>
          <w:i/>
          <w:iCs/>
        </w:rPr>
        <w:t>176</w:t>
      </w:r>
      <w:r w:rsidRPr="00917637">
        <w:t>, 103177.</w:t>
      </w:r>
    </w:p>
    <w:p w14:paraId="634BC23E" w14:textId="77777777" w:rsidR="003D164B" w:rsidRPr="00917637" w:rsidRDefault="003D164B" w:rsidP="001C0FC7"/>
    <w:p w14:paraId="20FCBB90" w14:textId="25059C59" w:rsidR="001C0FC7" w:rsidRPr="00917637" w:rsidRDefault="001C0FC7" w:rsidP="001C0FC7">
      <w:r w:rsidRPr="00917637">
        <w:t xml:space="preserve">Middya, A., Pervin, M., Sakalauskas, L., Roy, S. K., &amp; Weber, G.-W. (2026). Three-level sustainable supply chain model with cap-and-trade policy and green technology. </w:t>
      </w:r>
      <w:r w:rsidRPr="00917637">
        <w:rPr>
          <w:i/>
          <w:iCs/>
        </w:rPr>
        <w:t>Operational Research</w:t>
      </w:r>
      <w:r w:rsidRPr="00917637">
        <w:t xml:space="preserve">, </w:t>
      </w:r>
      <w:r w:rsidRPr="00917637">
        <w:rPr>
          <w:i/>
          <w:iCs/>
        </w:rPr>
        <w:t>26</w:t>
      </w:r>
      <w:r w:rsidRPr="00917637">
        <w:t>, 6.</w:t>
      </w:r>
    </w:p>
    <w:p w14:paraId="6399C940" w14:textId="77777777" w:rsidR="003D164B" w:rsidRPr="00917637" w:rsidRDefault="003D164B" w:rsidP="001C0FC7"/>
    <w:p w14:paraId="1AB43751" w14:textId="6C67C267" w:rsidR="001C0FC7" w:rsidRPr="00917637" w:rsidRDefault="001C0FC7" w:rsidP="001C0FC7">
      <w:r w:rsidRPr="00917637">
        <w:t xml:space="preserve">Nassani, A. A., Hussain, H., Condrea, E., Grigorescu, A., Yousaf, Z., &amp; Haffar, M. (2023). Zero waste management: Investigation of green technology, the green supply chain, and the moderating role of CSR intentions. </w:t>
      </w:r>
      <w:r w:rsidRPr="00917637">
        <w:rPr>
          <w:i/>
          <w:iCs/>
        </w:rPr>
        <w:t>Sustainability</w:t>
      </w:r>
      <w:r w:rsidRPr="00917637">
        <w:t xml:space="preserve">, </w:t>
      </w:r>
      <w:r w:rsidRPr="00917637">
        <w:rPr>
          <w:i/>
          <w:iCs/>
        </w:rPr>
        <w:t>15</w:t>
      </w:r>
      <w:r w:rsidRPr="00917637">
        <w:t>(5), 4169.</w:t>
      </w:r>
    </w:p>
    <w:p w14:paraId="7CF88CD1" w14:textId="77777777" w:rsidR="003D164B" w:rsidRPr="00917637" w:rsidRDefault="003D164B" w:rsidP="001C0FC7"/>
    <w:p w14:paraId="0EBAD427" w14:textId="1DCA8261" w:rsidR="001C0FC7" w:rsidRPr="00917637" w:rsidRDefault="001C0FC7" w:rsidP="001C0FC7">
      <w:r w:rsidRPr="00917637">
        <w:t xml:space="preserve">Orji, I. J., Kusi-Sarpong, S., &amp; Gupta, H. (2020). The critical success factors of using social media for supply chain social sustainability in the freight logistics industry. </w:t>
      </w:r>
      <w:r w:rsidRPr="00917637">
        <w:rPr>
          <w:i/>
          <w:iCs/>
        </w:rPr>
        <w:t>International Journal of Production Research</w:t>
      </w:r>
      <w:r w:rsidRPr="00917637">
        <w:t xml:space="preserve">, </w:t>
      </w:r>
      <w:r w:rsidRPr="00917637">
        <w:rPr>
          <w:i/>
          <w:iCs/>
        </w:rPr>
        <w:t>58</w:t>
      </w:r>
      <w:r w:rsidRPr="00917637">
        <w:t>(5), 1522–1539.</w:t>
      </w:r>
    </w:p>
    <w:p w14:paraId="1D3BE361" w14:textId="77777777" w:rsidR="003D164B" w:rsidRPr="00917637" w:rsidRDefault="003D164B" w:rsidP="001C0FC7"/>
    <w:p w14:paraId="306998B6" w14:textId="663F1600" w:rsidR="001C0FC7" w:rsidRPr="00917637" w:rsidRDefault="001C0FC7" w:rsidP="001C0FC7">
      <w:r w:rsidRPr="00917637">
        <w:t xml:space="preserve">Reinerth, D., Busse, C., &amp; Wagner, S. M. (2019). Using country sustainability risk to inform sustainable supply chain management: A design science study. </w:t>
      </w:r>
      <w:r w:rsidRPr="00917637">
        <w:rPr>
          <w:i/>
          <w:iCs/>
        </w:rPr>
        <w:t>Journal of Business Logistics</w:t>
      </w:r>
      <w:r w:rsidRPr="00917637">
        <w:t xml:space="preserve">, </w:t>
      </w:r>
      <w:r w:rsidRPr="00917637">
        <w:rPr>
          <w:i/>
          <w:iCs/>
        </w:rPr>
        <w:t>40</w:t>
      </w:r>
      <w:r w:rsidRPr="00917637">
        <w:t>(3), 241–264.</w:t>
      </w:r>
    </w:p>
    <w:p w14:paraId="0AEF72D9" w14:textId="77777777" w:rsidR="003D164B" w:rsidRPr="00917637" w:rsidRDefault="003D164B" w:rsidP="001C0FC7"/>
    <w:p w14:paraId="5E144EF7" w14:textId="1D8ED0DD" w:rsidR="001C0FC7" w:rsidRPr="00917637" w:rsidRDefault="001C0FC7" w:rsidP="001C0FC7">
      <w:r w:rsidRPr="00917637">
        <w:t xml:space="preserve">Sadia, U. H., Liu, D., &amp; Irfan, M. (2024). Toward sustainable development: The triple nexus for enhanced supply chain performance through information technology, resilience, and sustainability integration. </w:t>
      </w:r>
      <w:r w:rsidRPr="00917637">
        <w:rPr>
          <w:i/>
          <w:iCs/>
        </w:rPr>
        <w:t>Business Strategy &amp; Development</w:t>
      </w:r>
      <w:r w:rsidRPr="00917637">
        <w:t xml:space="preserve">, </w:t>
      </w:r>
      <w:r w:rsidRPr="00917637">
        <w:rPr>
          <w:i/>
          <w:iCs/>
        </w:rPr>
        <w:t>7</w:t>
      </w:r>
      <w:r w:rsidRPr="00917637">
        <w:t>(3), e70019.</w:t>
      </w:r>
    </w:p>
    <w:p w14:paraId="1D28950E" w14:textId="77777777" w:rsidR="003D164B" w:rsidRPr="00917637" w:rsidRDefault="003D164B" w:rsidP="001C0FC7"/>
    <w:p w14:paraId="74BBAA3F" w14:textId="1F15AA07" w:rsidR="00775E80" w:rsidRPr="00917637" w:rsidRDefault="00775E80" w:rsidP="001C0FC7">
      <w:r w:rsidRPr="00917637">
        <w:t xml:space="preserve">Spence, M. (1973). Job market signaling. </w:t>
      </w:r>
      <w:r w:rsidRPr="00917637">
        <w:rPr>
          <w:i/>
          <w:iCs/>
        </w:rPr>
        <w:t>The Quarterly Journal of Economics</w:t>
      </w:r>
      <w:r w:rsidRPr="00917637">
        <w:t xml:space="preserve">, </w:t>
      </w:r>
      <w:r w:rsidRPr="00917637">
        <w:rPr>
          <w:i/>
          <w:iCs/>
        </w:rPr>
        <w:t>87</w:t>
      </w:r>
      <w:r w:rsidRPr="00917637">
        <w:t>(3), 355–374.</w:t>
      </w:r>
    </w:p>
    <w:p w14:paraId="27386408" w14:textId="77777777" w:rsidR="003D164B" w:rsidRPr="00917637" w:rsidRDefault="003D164B" w:rsidP="001C0FC7"/>
    <w:p w14:paraId="4C263332" w14:textId="38EAEAA4" w:rsidR="001C0FC7" w:rsidRPr="00917637" w:rsidRDefault="001C0FC7" w:rsidP="001C0FC7">
      <w:r w:rsidRPr="00917637">
        <w:t xml:space="preserve">Ulimwengu, J. M., &amp; Sanginga, B. (2025). The complex economics of a complete ban on child labor in the cobalt supply chain: The case of the DR Congo. </w:t>
      </w:r>
      <w:r w:rsidRPr="00917637">
        <w:rPr>
          <w:i/>
          <w:iCs/>
        </w:rPr>
        <w:t>The Extractive Industries and Society</w:t>
      </w:r>
      <w:r w:rsidRPr="00917637">
        <w:t xml:space="preserve">, </w:t>
      </w:r>
      <w:r w:rsidRPr="00917637">
        <w:rPr>
          <w:i/>
          <w:iCs/>
        </w:rPr>
        <w:t>23</w:t>
      </w:r>
      <w:r w:rsidRPr="00917637">
        <w:t>, 101687.</w:t>
      </w:r>
    </w:p>
    <w:p w14:paraId="096C2782" w14:textId="77777777" w:rsidR="003D164B" w:rsidRPr="00917637" w:rsidRDefault="003D164B" w:rsidP="001C0FC7"/>
    <w:p w14:paraId="7086DA5B" w14:textId="39624134" w:rsidR="001C0FC7" w:rsidRPr="00917637" w:rsidRDefault="001C0FC7" w:rsidP="001C0FC7">
      <w:r w:rsidRPr="00917637">
        <w:t xml:space="preserve">Wang, B., Lin, Z., Wang, M., Wang, F., Xiangli, P., &amp; Li, Z. (2023). Applying blockchain technology to ensure compliance with sustainability standards in the PPE multi-tier supply chain. </w:t>
      </w:r>
      <w:r w:rsidRPr="00917637">
        <w:rPr>
          <w:i/>
          <w:iCs/>
        </w:rPr>
        <w:t>International Journal of Production Research</w:t>
      </w:r>
      <w:r w:rsidRPr="00917637">
        <w:t xml:space="preserve">, </w:t>
      </w:r>
      <w:r w:rsidRPr="00917637">
        <w:rPr>
          <w:i/>
          <w:iCs/>
        </w:rPr>
        <w:t>61</w:t>
      </w:r>
      <w:r w:rsidRPr="00917637">
        <w:t>(14), 4934–4950.</w:t>
      </w:r>
    </w:p>
    <w:p w14:paraId="159B71F8" w14:textId="77777777" w:rsidR="003D164B" w:rsidRPr="00917637" w:rsidRDefault="003D164B" w:rsidP="001C0FC7"/>
    <w:p w14:paraId="733CBAB2" w14:textId="153461DF" w:rsidR="001C0FC7" w:rsidRPr="00917637" w:rsidRDefault="001C0FC7" w:rsidP="001C0FC7">
      <w:r w:rsidRPr="00917637">
        <w:t xml:space="preserve">Wang, T., &amp; Feng, M. (2025). Enhancing corporate sustainability performance through supply chain low-carbon transformation: A stakeholder theory perspective. </w:t>
      </w:r>
      <w:r w:rsidRPr="00917637">
        <w:rPr>
          <w:i/>
          <w:iCs/>
        </w:rPr>
        <w:t>Corporate Social Responsibility and Environmental Management</w:t>
      </w:r>
      <w:r w:rsidRPr="00917637">
        <w:t>.</w:t>
      </w:r>
    </w:p>
    <w:p w14:paraId="6D21C237" w14:textId="77777777" w:rsidR="003D164B" w:rsidRPr="00917637" w:rsidRDefault="003D164B" w:rsidP="001C0FC7"/>
    <w:p w14:paraId="740EBC6F" w14:textId="076FF54A" w:rsidR="001C0FC7" w:rsidRPr="00917637" w:rsidRDefault="001C0FC7" w:rsidP="001C0FC7">
      <w:r w:rsidRPr="00917637">
        <w:t xml:space="preserve">Winkelmann, S., Guennoun, R., Möller, F., Schoormann, T., &amp; van der Valk, H. (2024). Back to a resilient future: Digital technologies for a sustainable supply chain. </w:t>
      </w:r>
      <w:r w:rsidRPr="00917637">
        <w:rPr>
          <w:i/>
          <w:iCs/>
        </w:rPr>
        <w:t>Information Systems and e-Business Management</w:t>
      </w:r>
      <w:r w:rsidRPr="00917637">
        <w:t xml:space="preserve">, </w:t>
      </w:r>
      <w:r w:rsidRPr="00917637">
        <w:rPr>
          <w:i/>
          <w:iCs/>
        </w:rPr>
        <w:t>22</w:t>
      </w:r>
      <w:r w:rsidRPr="00917637">
        <w:t>, 315–350.</w:t>
      </w:r>
    </w:p>
    <w:p w14:paraId="7095AD72" w14:textId="77777777" w:rsidR="003D164B" w:rsidRPr="00917637" w:rsidRDefault="003D164B" w:rsidP="001C0FC7"/>
    <w:p w14:paraId="745FF20C" w14:textId="4324A9DF" w:rsidR="001C0FC7" w:rsidRPr="00917637" w:rsidRDefault="001C0FC7" w:rsidP="001C0FC7">
      <w:r w:rsidRPr="00917637">
        <w:lastRenderedPageBreak/>
        <w:t xml:space="preserve">Zhang, F., &amp; Song, W. (2022). Sustainability risk assessment of blockchain adoption in sustainable supply chain: An integrated method. </w:t>
      </w:r>
      <w:r w:rsidRPr="00917637">
        <w:rPr>
          <w:i/>
          <w:iCs/>
        </w:rPr>
        <w:t>Computers &amp; Industrial Engineering</w:t>
      </w:r>
      <w:r w:rsidRPr="00917637">
        <w:t xml:space="preserve">, </w:t>
      </w:r>
      <w:r w:rsidRPr="00917637">
        <w:rPr>
          <w:i/>
          <w:iCs/>
        </w:rPr>
        <w:t>171</w:t>
      </w:r>
      <w:r w:rsidRPr="00917637">
        <w:t>, 108378.</w:t>
      </w:r>
    </w:p>
    <w:p w14:paraId="6296B5F0" w14:textId="77777777" w:rsidR="003D164B" w:rsidRPr="00917637" w:rsidRDefault="003D164B" w:rsidP="001C0FC7"/>
    <w:p w14:paraId="1FD5A82E" w14:textId="392BDBA9" w:rsidR="001C0FC7" w:rsidRPr="00917637" w:rsidRDefault="001C0FC7" w:rsidP="001C0FC7">
      <w:r w:rsidRPr="00917637">
        <w:t xml:space="preserve">Zhao, G., Jones, P., Dennehy, D., Liu, S., Chen, X., &amp; Lopez, C. (2023). Analysis of the drivers of industry 4.0 technology deployment to achieve agri-food supply chain sustainability: A hybrid approach. </w:t>
      </w:r>
      <w:r w:rsidRPr="00917637">
        <w:rPr>
          <w:i/>
          <w:iCs/>
        </w:rPr>
        <w:t>2023 IEEE International Conference on Industrial Engineering and Engineering Management (IEEM)</w:t>
      </w:r>
      <w:r w:rsidRPr="00917637">
        <w:t>.</w:t>
      </w:r>
    </w:p>
    <w:p w14:paraId="74CFE52A" w14:textId="77777777" w:rsidR="003D164B" w:rsidRPr="00917637" w:rsidRDefault="003D164B" w:rsidP="001C0FC7"/>
    <w:p w14:paraId="62A19CE3" w14:textId="4ACEA655" w:rsidR="001C0FC7" w:rsidRPr="00917637" w:rsidRDefault="001C0FC7" w:rsidP="001C0FC7">
      <w:r w:rsidRPr="00917637">
        <w:t xml:space="preserve">Zimmermann, R., Toscano, C., &amp; Chaves, A. C. (2025). Birds of a feather flock together: Increasing social sustainability through supply chain visibility. </w:t>
      </w:r>
      <w:r w:rsidRPr="00917637">
        <w:rPr>
          <w:i/>
          <w:iCs/>
        </w:rPr>
        <w:t>Production Planning &amp; Control</w:t>
      </w:r>
      <w:r w:rsidRPr="00917637">
        <w:t>.</w:t>
      </w:r>
    </w:p>
    <w:p w14:paraId="6D0CA8CC" w14:textId="168721F7" w:rsidR="001C0FC7" w:rsidRPr="001C0FC7" w:rsidRDefault="001C0FC7" w:rsidP="001C0FC7">
      <w:r w:rsidRPr="00917637">
        <w:t>Zutshi, A., Creed, A., &amp; Sohal, A. (200</w:t>
      </w:r>
      <w:r w:rsidR="00BF2730" w:rsidRPr="00917637">
        <w:t>9</w:t>
      </w:r>
      <w:r w:rsidRPr="00917637">
        <w:t xml:space="preserve">). Child labour and supply chain: Profitability or (mis)management. </w:t>
      </w:r>
      <w:r w:rsidRPr="00917637">
        <w:rPr>
          <w:i/>
          <w:iCs/>
        </w:rPr>
        <w:t>European Business Review</w:t>
      </w:r>
      <w:r w:rsidRPr="00917637">
        <w:t xml:space="preserve">, </w:t>
      </w:r>
      <w:r w:rsidRPr="00917637">
        <w:rPr>
          <w:i/>
          <w:iCs/>
        </w:rPr>
        <w:t>21</w:t>
      </w:r>
      <w:r w:rsidRPr="00917637">
        <w:t>(1), 42–63.</w:t>
      </w:r>
    </w:p>
    <w:p w14:paraId="0556583C" w14:textId="77777777" w:rsidR="00947446" w:rsidRPr="00947446" w:rsidRDefault="00947446" w:rsidP="00947446"/>
    <w:p w14:paraId="1BB14FEC" w14:textId="77777777" w:rsidR="00E40B83" w:rsidRPr="00E40B83" w:rsidRDefault="00E40B83" w:rsidP="00E40B83">
      <w:pPr>
        <w:keepNext/>
        <w:keepLines/>
        <w:spacing w:before="360" w:after="80" w:line="259" w:lineRule="auto"/>
        <w:jc w:val="left"/>
        <w:outlineLvl w:val="0"/>
        <w:rPr>
          <w:rFonts w:ascii="Calibri Light" w:eastAsia="Times New Roman" w:hAnsi="Calibri Light" w:cs="Times New Roman"/>
          <w:color w:val="2F5496"/>
          <w:sz w:val="40"/>
          <w:szCs w:val="40"/>
          <w:lang w:val="en-IN"/>
          <w14:ligatures w14:val="none"/>
        </w:rPr>
      </w:pPr>
      <w:r w:rsidRPr="00E40B83">
        <w:rPr>
          <w:rFonts w:ascii="Calibri Light" w:eastAsia="Times New Roman" w:hAnsi="Calibri Light" w:cs="Times New Roman"/>
          <w:color w:val="2F5496"/>
          <w:sz w:val="40"/>
          <w:szCs w:val="40"/>
          <w:lang w:val="en-IN"/>
          <w14:ligatures w14:val="none"/>
        </w:rPr>
        <w:t>QUESTIONS:</w:t>
      </w:r>
    </w:p>
    <w:p w14:paraId="7C53C87A" w14:textId="77777777" w:rsidR="00E40B83" w:rsidRPr="00E40B83" w:rsidRDefault="00E40B83" w:rsidP="00E40B83">
      <w:pPr>
        <w:spacing w:before="0" w:after="160" w:line="259" w:lineRule="auto"/>
        <w:jc w:val="left"/>
        <w:rPr>
          <w:rFonts w:ascii="Calibri" w:eastAsia="Times New Roman" w:hAnsi="Calibri" w:cs="Times New Roman"/>
          <w:sz w:val="22"/>
          <w:szCs w:val="22"/>
          <w:lang w:val="en-IN"/>
          <w14:ligatures w14:val="none"/>
        </w:rPr>
      </w:pPr>
      <w:r w:rsidRPr="00E40B83">
        <w:rPr>
          <w:rFonts w:ascii="Calibri" w:eastAsia="Times New Roman" w:hAnsi="Calibri" w:cs="Times New Roman"/>
          <w:sz w:val="22"/>
          <w:szCs w:val="22"/>
          <w:lang w:val="en-IN"/>
          <w14:ligatures w14:val="none"/>
        </w:rPr>
        <w:t>1.</w:t>
      </w:r>
      <w:r w:rsidRPr="00E40B83">
        <w:rPr>
          <w:rFonts w:ascii="Calibri" w:eastAsia="Times New Roman" w:hAnsi="Calibri" w:cs="Times New Roman"/>
          <w:sz w:val="22"/>
          <w:szCs w:val="22"/>
          <w:lang w:val="en-IN"/>
          <w14:ligatures w14:val="none"/>
        </w:rPr>
        <w:tab/>
        <w:t>What are the main strengths of the chapter, based on the material you have seen? Please indicate any sections or features that you feel are particularly strong.</w:t>
      </w:r>
    </w:p>
    <w:p w14:paraId="353EF5EB" w14:textId="77777777" w:rsidR="00E40B83" w:rsidRPr="00E40B83" w:rsidRDefault="00E40B83" w:rsidP="00E40B83">
      <w:pPr>
        <w:spacing w:before="0" w:after="160" w:line="259" w:lineRule="auto"/>
        <w:jc w:val="left"/>
        <w:rPr>
          <w:rFonts w:ascii="Calibri" w:eastAsia="Times New Roman" w:hAnsi="Calibri" w:cs="Times New Roman"/>
          <w:sz w:val="22"/>
          <w:szCs w:val="22"/>
          <w:lang w:val="en-IN"/>
          <w14:ligatures w14:val="none"/>
        </w:rPr>
      </w:pPr>
    </w:p>
    <w:p w14:paraId="4B6D0D1D" w14:textId="77777777" w:rsidR="00E40B83" w:rsidRPr="00E40B83" w:rsidRDefault="00E40B83" w:rsidP="00E40B83">
      <w:pPr>
        <w:spacing w:before="0" w:after="160" w:line="259" w:lineRule="auto"/>
        <w:jc w:val="left"/>
        <w:rPr>
          <w:rFonts w:ascii="Calibri" w:eastAsia="Times New Roman" w:hAnsi="Calibri" w:cs="Times New Roman"/>
          <w:sz w:val="22"/>
          <w:szCs w:val="22"/>
          <w:lang w:val="en-IN"/>
          <w14:ligatures w14:val="none"/>
        </w:rPr>
      </w:pPr>
      <w:r w:rsidRPr="00E40B83">
        <w:rPr>
          <w:rFonts w:ascii="Calibri" w:eastAsia="Times New Roman" w:hAnsi="Calibri" w:cs="Times New Roman"/>
          <w:sz w:val="22"/>
          <w:szCs w:val="22"/>
          <w:lang w:val="en-IN"/>
          <w14:ligatures w14:val="none"/>
        </w:rPr>
        <w:t>2.</w:t>
      </w:r>
      <w:r w:rsidRPr="00E40B83">
        <w:rPr>
          <w:rFonts w:ascii="Calibri" w:eastAsia="Times New Roman" w:hAnsi="Calibri" w:cs="Times New Roman"/>
          <w:sz w:val="22"/>
          <w:szCs w:val="22"/>
          <w:lang w:val="en-IN"/>
          <w14:ligatures w14:val="none"/>
        </w:rPr>
        <w:tab/>
        <w:t>What can be improved within this chapter? Please indicate any sections or features which you think need the most improvement.</w:t>
      </w:r>
    </w:p>
    <w:p w14:paraId="319CFC16" w14:textId="77777777" w:rsidR="00E40B83" w:rsidRPr="00E40B83" w:rsidRDefault="00E40B83" w:rsidP="00E40B83">
      <w:pPr>
        <w:spacing w:before="0" w:after="160" w:line="259" w:lineRule="auto"/>
        <w:jc w:val="left"/>
        <w:rPr>
          <w:rFonts w:ascii="Calibri" w:eastAsia="Times New Roman" w:hAnsi="Calibri" w:cs="Times New Roman"/>
          <w:sz w:val="22"/>
          <w:szCs w:val="22"/>
          <w:lang w:val="en-IN"/>
          <w14:ligatures w14:val="none"/>
        </w:rPr>
      </w:pPr>
    </w:p>
    <w:p w14:paraId="6E7F96B4" w14:textId="77777777" w:rsidR="00E40B83" w:rsidRPr="00E40B83" w:rsidRDefault="00E40B83" w:rsidP="00E40B83">
      <w:pPr>
        <w:spacing w:before="0" w:after="160" w:line="259" w:lineRule="auto"/>
        <w:jc w:val="left"/>
        <w:rPr>
          <w:rFonts w:ascii="Calibri" w:eastAsia="Times New Roman" w:hAnsi="Calibri" w:cs="Times New Roman"/>
          <w:sz w:val="22"/>
          <w:szCs w:val="22"/>
          <w:lang w:val="en-IN"/>
          <w14:ligatures w14:val="none"/>
        </w:rPr>
      </w:pPr>
      <w:r w:rsidRPr="00E40B83">
        <w:rPr>
          <w:rFonts w:ascii="Calibri" w:eastAsia="Times New Roman" w:hAnsi="Calibri" w:cs="Times New Roman"/>
          <w:sz w:val="22"/>
          <w:szCs w:val="22"/>
          <w:lang w:val="en-IN"/>
          <w14:ligatures w14:val="none"/>
        </w:rPr>
        <w:t>3.</w:t>
      </w:r>
      <w:r w:rsidRPr="00E40B83">
        <w:rPr>
          <w:rFonts w:ascii="Calibri" w:eastAsia="Times New Roman" w:hAnsi="Calibri" w:cs="Times New Roman"/>
          <w:sz w:val="22"/>
          <w:szCs w:val="22"/>
          <w:lang w:val="en-IN"/>
          <w14:ligatures w14:val="none"/>
        </w:rPr>
        <w:tab/>
        <w:t xml:space="preserve">Is the tone and approach appropriate for the needs of the audience? </w:t>
      </w:r>
    </w:p>
    <w:p w14:paraId="2FC578DE" w14:textId="77777777" w:rsidR="00E40B83" w:rsidRPr="00E40B83" w:rsidRDefault="00E40B83" w:rsidP="00E40B83">
      <w:pPr>
        <w:spacing w:before="0" w:after="160" w:line="259" w:lineRule="auto"/>
        <w:jc w:val="left"/>
        <w:rPr>
          <w:rFonts w:ascii="Calibri" w:eastAsia="Times New Roman" w:hAnsi="Calibri" w:cs="Times New Roman"/>
          <w:sz w:val="22"/>
          <w:szCs w:val="22"/>
          <w:lang w:val="en-IN"/>
          <w14:ligatures w14:val="none"/>
        </w:rPr>
      </w:pPr>
    </w:p>
    <w:p w14:paraId="45BAB1B1" w14:textId="77777777" w:rsidR="00E40B83" w:rsidRPr="00E40B83" w:rsidRDefault="00E40B83" w:rsidP="00E40B83">
      <w:pPr>
        <w:spacing w:before="0" w:after="160" w:line="259" w:lineRule="auto"/>
        <w:jc w:val="left"/>
        <w:rPr>
          <w:rFonts w:ascii="Calibri" w:eastAsia="Times New Roman" w:hAnsi="Calibri" w:cs="Times New Roman"/>
          <w:sz w:val="22"/>
          <w:szCs w:val="22"/>
          <w:lang w:val="en-IN"/>
          <w14:ligatures w14:val="none"/>
        </w:rPr>
      </w:pPr>
      <w:r w:rsidRPr="00E40B83">
        <w:rPr>
          <w:rFonts w:ascii="Calibri" w:eastAsia="Times New Roman" w:hAnsi="Calibri" w:cs="Times New Roman"/>
          <w:sz w:val="22"/>
          <w:szCs w:val="22"/>
          <w:lang w:val="en-IN"/>
          <w14:ligatures w14:val="none"/>
        </w:rPr>
        <w:t>4.</w:t>
      </w:r>
      <w:r w:rsidRPr="00E40B83">
        <w:rPr>
          <w:rFonts w:ascii="Calibri" w:eastAsia="Times New Roman" w:hAnsi="Calibri" w:cs="Times New Roman"/>
          <w:sz w:val="22"/>
          <w:szCs w:val="22"/>
          <w:lang w:val="en-IN"/>
          <w14:ligatures w14:val="none"/>
        </w:rPr>
        <w:tab/>
        <w:t>Is the content of a high quality and is the writing authoritative and credible?</w:t>
      </w:r>
    </w:p>
    <w:p w14:paraId="263FB35C" w14:textId="77777777" w:rsidR="00E40B83" w:rsidRPr="00E40B83" w:rsidRDefault="00E40B83" w:rsidP="00E40B83">
      <w:pPr>
        <w:spacing w:before="0" w:after="160" w:line="259" w:lineRule="auto"/>
        <w:jc w:val="left"/>
        <w:rPr>
          <w:rFonts w:ascii="Calibri" w:eastAsia="Times New Roman" w:hAnsi="Calibri" w:cs="Times New Roman"/>
          <w:sz w:val="22"/>
          <w:szCs w:val="22"/>
          <w:lang w:val="en-IN"/>
          <w14:ligatures w14:val="none"/>
        </w:rPr>
      </w:pPr>
    </w:p>
    <w:p w14:paraId="74D0A503" w14:textId="77777777" w:rsidR="00E40B83" w:rsidRPr="00E40B83" w:rsidRDefault="00E40B83" w:rsidP="00E40B83">
      <w:pPr>
        <w:spacing w:before="0" w:after="160" w:line="259" w:lineRule="auto"/>
        <w:jc w:val="left"/>
        <w:rPr>
          <w:rFonts w:ascii="Calibri" w:eastAsia="Times New Roman" w:hAnsi="Calibri" w:cs="Times New Roman"/>
          <w:sz w:val="22"/>
          <w:szCs w:val="22"/>
          <w:lang w:val="en-IN"/>
          <w14:ligatures w14:val="none"/>
        </w:rPr>
      </w:pPr>
      <w:r w:rsidRPr="00E40B83">
        <w:rPr>
          <w:rFonts w:ascii="Calibri" w:eastAsia="Times New Roman" w:hAnsi="Calibri" w:cs="Times New Roman"/>
          <w:sz w:val="22"/>
          <w:szCs w:val="22"/>
          <w:lang w:val="en-IN"/>
          <w14:ligatures w14:val="none"/>
        </w:rPr>
        <w:t>5.</w:t>
      </w:r>
      <w:r w:rsidRPr="00E40B83">
        <w:rPr>
          <w:rFonts w:ascii="Calibri" w:eastAsia="Times New Roman" w:hAnsi="Calibri" w:cs="Times New Roman"/>
          <w:sz w:val="22"/>
          <w:szCs w:val="22"/>
          <w:lang w:val="en-IN"/>
          <w14:ligatures w14:val="none"/>
        </w:rPr>
        <w:tab/>
        <w:t xml:space="preserve">Do you think that the current structure of the material is the most effective way of approaching the overall book’s goal? (E.g. length, unity, balance.) </w:t>
      </w:r>
    </w:p>
    <w:p w14:paraId="03576712" w14:textId="77777777" w:rsidR="00E40B83" w:rsidRPr="00E40B83" w:rsidRDefault="00E40B83" w:rsidP="00E40B83">
      <w:pPr>
        <w:spacing w:before="0" w:after="160" w:line="259" w:lineRule="auto"/>
        <w:jc w:val="left"/>
        <w:rPr>
          <w:rFonts w:ascii="Calibri" w:eastAsia="Times New Roman" w:hAnsi="Calibri" w:cs="Times New Roman"/>
          <w:sz w:val="22"/>
          <w:szCs w:val="22"/>
          <w:lang w:val="en-IN"/>
          <w14:ligatures w14:val="none"/>
        </w:rPr>
      </w:pPr>
    </w:p>
    <w:p w14:paraId="4B19BE22" w14:textId="77777777" w:rsidR="00E40B83" w:rsidRPr="00E40B83" w:rsidRDefault="00E40B83" w:rsidP="00E40B83">
      <w:pPr>
        <w:spacing w:before="0" w:after="160" w:line="259" w:lineRule="auto"/>
        <w:jc w:val="left"/>
        <w:rPr>
          <w:rFonts w:ascii="Calibri" w:eastAsia="Times New Roman" w:hAnsi="Calibri" w:cs="Times New Roman"/>
          <w:sz w:val="22"/>
          <w:szCs w:val="22"/>
          <w:lang w:val="en-IN"/>
          <w14:ligatures w14:val="none"/>
        </w:rPr>
      </w:pPr>
      <w:r w:rsidRPr="00E40B83">
        <w:rPr>
          <w:rFonts w:ascii="Calibri" w:eastAsia="Times New Roman" w:hAnsi="Calibri" w:cs="Times New Roman"/>
          <w:sz w:val="22"/>
          <w:szCs w:val="22"/>
          <w:lang w:val="en-IN"/>
          <w14:ligatures w14:val="none"/>
        </w:rPr>
        <w:t>6.</w:t>
      </w:r>
      <w:r w:rsidRPr="00E40B83">
        <w:rPr>
          <w:rFonts w:ascii="Calibri" w:eastAsia="Times New Roman" w:hAnsi="Calibri" w:cs="Times New Roman"/>
          <w:sz w:val="22"/>
          <w:szCs w:val="22"/>
          <w:lang w:val="en-IN"/>
          <w14:ligatures w14:val="none"/>
        </w:rPr>
        <w:tab/>
        <w:t>This book features examples and case studies throughout. Are these useful? Should any be elaborated upon or shortened?</w:t>
      </w:r>
    </w:p>
    <w:p w14:paraId="359FF8B7" w14:textId="77777777" w:rsidR="00E40B83" w:rsidRPr="00E40B83" w:rsidRDefault="00E40B83" w:rsidP="00E40B83">
      <w:pPr>
        <w:spacing w:before="0" w:after="160" w:line="259" w:lineRule="auto"/>
        <w:jc w:val="left"/>
        <w:rPr>
          <w:rFonts w:ascii="Calibri" w:eastAsia="Times New Roman" w:hAnsi="Calibri" w:cs="Times New Roman"/>
          <w:sz w:val="22"/>
          <w:szCs w:val="22"/>
          <w:lang w:val="en-IN"/>
          <w14:ligatures w14:val="none"/>
        </w:rPr>
      </w:pPr>
    </w:p>
    <w:p w14:paraId="55156091" w14:textId="77777777" w:rsidR="00E40B83" w:rsidRPr="00E40B83" w:rsidRDefault="00E40B83" w:rsidP="00E40B83">
      <w:pPr>
        <w:spacing w:before="0" w:after="160" w:line="259" w:lineRule="auto"/>
        <w:jc w:val="left"/>
        <w:rPr>
          <w:rFonts w:ascii="Calibri" w:eastAsia="Times New Roman" w:hAnsi="Calibri" w:cs="Times New Roman"/>
          <w:sz w:val="22"/>
          <w:szCs w:val="22"/>
          <w:lang w:val="en-IN"/>
          <w14:ligatures w14:val="none"/>
        </w:rPr>
      </w:pPr>
      <w:r w:rsidRPr="00E40B83">
        <w:rPr>
          <w:rFonts w:ascii="Calibri" w:eastAsia="Times New Roman" w:hAnsi="Calibri" w:cs="Times New Roman"/>
          <w:sz w:val="22"/>
          <w:szCs w:val="22"/>
          <w:lang w:val="en-IN"/>
          <w14:ligatures w14:val="none"/>
        </w:rPr>
        <w:t>7.</w:t>
      </w:r>
      <w:r w:rsidRPr="00E40B83">
        <w:rPr>
          <w:rFonts w:ascii="Calibri" w:eastAsia="Times New Roman" w:hAnsi="Calibri" w:cs="Times New Roman"/>
          <w:sz w:val="22"/>
          <w:szCs w:val="22"/>
          <w:lang w:val="en-IN"/>
          <w14:ligatures w14:val="none"/>
        </w:rPr>
        <w:tab/>
        <w:t>Do you have any suggestions for revision of the material? Where possible, please be specific. (E.g. specify places for cuts or expansion, and list errors.)</w:t>
      </w:r>
    </w:p>
    <w:p w14:paraId="30267D95" w14:textId="77777777" w:rsidR="00E40B83" w:rsidRPr="00E40B83" w:rsidRDefault="00E40B83" w:rsidP="00E40B83">
      <w:pPr>
        <w:spacing w:before="0" w:after="160" w:line="259" w:lineRule="auto"/>
        <w:jc w:val="left"/>
        <w:rPr>
          <w:rFonts w:ascii="Calibri" w:eastAsia="Times New Roman" w:hAnsi="Calibri" w:cs="Times New Roman"/>
          <w:sz w:val="22"/>
          <w:szCs w:val="22"/>
          <w:lang w:val="en-IN"/>
          <w14:ligatures w14:val="none"/>
        </w:rPr>
      </w:pPr>
    </w:p>
    <w:p w14:paraId="4FAC8DFA" w14:textId="77777777" w:rsidR="00E40B83" w:rsidRPr="00E40B83" w:rsidRDefault="00E40B83" w:rsidP="00E40B83">
      <w:pPr>
        <w:spacing w:before="0" w:after="160" w:line="259" w:lineRule="auto"/>
        <w:jc w:val="left"/>
        <w:rPr>
          <w:rFonts w:ascii="Calibri" w:eastAsia="Times New Roman" w:hAnsi="Calibri" w:cs="Times New Roman"/>
          <w:sz w:val="22"/>
          <w:szCs w:val="22"/>
          <w:lang w:val="en-IN"/>
          <w14:ligatures w14:val="none"/>
        </w:rPr>
      </w:pPr>
      <w:r w:rsidRPr="00E40B83">
        <w:rPr>
          <w:rFonts w:ascii="Calibri" w:eastAsia="Times New Roman" w:hAnsi="Calibri" w:cs="Times New Roman"/>
          <w:sz w:val="22"/>
          <w:szCs w:val="22"/>
          <w:lang w:val="en-IN"/>
          <w14:ligatures w14:val="none"/>
        </w:rPr>
        <w:t>8.</w:t>
      </w:r>
      <w:r w:rsidRPr="00E40B83">
        <w:rPr>
          <w:rFonts w:ascii="Calibri" w:eastAsia="Times New Roman" w:hAnsi="Calibri" w:cs="Times New Roman"/>
          <w:sz w:val="22"/>
          <w:szCs w:val="22"/>
          <w:lang w:val="en-IN"/>
          <w14:ligatures w14:val="none"/>
        </w:rPr>
        <w:tab/>
        <w:t>Are there any additional features that you would like to see added? (E.g. more figures/tables, discussion questions, exercises, summaries, text boxes and case studies etc.)</w:t>
      </w:r>
    </w:p>
    <w:p w14:paraId="29CF8949" w14:textId="77777777" w:rsidR="00E40B83" w:rsidRPr="00E40B83" w:rsidRDefault="00E40B83" w:rsidP="00E40B83">
      <w:pPr>
        <w:spacing w:before="0" w:after="160" w:line="259" w:lineRule="auto"/>
        <w:jc w:val="left"/>
        <w:rPr>
          <w:rFonts w:ascii="Calibri" w:eastAsia="Times New Roman" w:hAnsi="Calibri" w:cs="Times New Roman"/>
          <w:sz w:val="22"/>
          <w:szCs w:val="22"/>
          <w:lang w:val="en-IN"/>
          <w14:ligatures w14:val="none"/>
        </w:rPr>
      </w:pPr>
    </w:p>
    <w:p w14:paraId="19D28AB7" w14:textId="77777777" w:rsidR="00E40B83" w:rsidRPr="00E40B83" w:rsidRDefault="00E40B83" w:rsidP="00E40B83">
      <w:pPr>
        <w:spacing w:before="0" w:after="160" w:line="259" w:lineRule="auto"/>
        <w:jc w:val="left"/>
        <w:rPr>
          <w:rFonts w:ascii="Calibri" w:eastAsia="Times New Roman" w:hAnsi="Calibri" w:cs="Times New Roman"/>
          <w:sz w:val="22"/>
          <w:szCs w:val="22"/>
          <w:lang w:val="en-IN"/>
          <w14:ligatures w14:val="none"/>
        </w:rPr>
      </w:pPr>
      <w:r w:rsidRPr="00E40B83">
        <w:rPr>
          <w:rFonts w:ascii="Calibri" w:eastAsia="Times New Roman" w:hAnsi="Calibri" w:cs="Times New Roman"/>
          <w:sz w:val="22"/>
          <w:szCs w:val="22"/>
          <w:lang w:val="en-IN"/>
          <w14:ligatures w14:val="none"/>
        </w:rPr>
        <w:lastRenderedPageBreak/>
        <w:t>9.</w:t>
      </w:r>
      <w:r w:rsidRPr="00E40B83">
        <w:rPr>
          <w:rFonts w:ascii="Calibri" w:eastAsia="Times New Roman" w:hAnsi="Calibri" w:cs="Times New Roman"/>
          <w:sz w:val="22"/>
          <w:szCs w:val="22"/>
          <w:lang w:val="en-IN"/>
          <w14:ligatures w14:val="none"/>
        </w:rPr>
        <w:tab/>
        <w:t xml:space="preserve">How does this book compare to what other competitor books might offer? </w:t>
      </w:r>
    </w:p>
    <w:p w14:paraId="3D20561D" w14:textId="77777777" w:rsidR="00E40B83" w:rsidRPr="00E40B83" w:rsidRDefault="00E40B83" w:rsidP="00E40B83">
      <w:pPr>
        <w:spacing w:before="0" w:after="160" w:line="259" w:lineRule="auto"/>
        <w:jc w:val="left"/>
        <w:rPr>
          <w:rFonts w:ascii="Calibri" w:eastAsia="Times New Roman" w:hAnsi="Calibri" w:cs="Times New Roman"/>
          <w:sz w:val="22"/>
          <w:szCs w:val="22"/>
          <w:lang w:val="en-IN"/>
          <w14:ligatures w14:val="none"/>
        </w:rPr>
      </w:pPr>
    </w:p>
    <w:p w14:paraId="1C9462E4" w14:textId="77777777" w:rsidR="00E40B83" w:rsidRPr="00E40B83" w:rsidRDefault="00E40B83" w:rsidP="00E40B83">
      <w:pPr>
        <w:spacing w:before="0" w:after="160" w:line="259" w:lineRule="auto"/>
        <w:jc w:val="left"/>
        <w:rPr>
          <w:rFonts w:ascii="Calibri" w:eastAsia="Times New Roman" w:hAnsi="Calibri" w:cs="Times New Roman"/>
          <w:sz w:val="22"/>
          <w:szCs w:val="22"/>
          <w:lang w:val="en-IN"/>
          <w14:ligatures w14:val="none"/>
        </w:rPr>
      </w:pPr>
      <w:r w:rsidRPr="00E40B83">
        <w:rPr>
          <w:rFonts w:ascii="Calibri" w:eastAsia="Times New Roman" w:hAnsi="Calibri" w:cs="Times New Roman"/>
          <w:sz w:val="22"/>
          <w:szCs w:val="22"/>
          <w:lang w:val="en-IN"/>
          <w14:ligatures w14:val="none"/>
        </w:rPr>
        <w:t>10.</w:t>
      </w:r>
      <w:r w:rsidRPr="00E40B83">
        <w:rPr>
          <w:rFonts w:ascii="Calibri" w:eastAsia="Times New Roman" w:hAnsi="Calibri" w:cs="Times New Roman"/>
          <w:sz w:val="22"/>
          <w:szCs w:val="22"/>
          <w:lang w:val="en-IN"/>
          <w14:ligatures w14:val="none"/>
        </w:rPr>
        <w:tab/>
        <w:t>Are there any other comments that you would like to make on any other aspect of the text?</w:t>
      </w:r>
    </w:p>
    <w:p w14:paraId="03A27BD4" w14:textId="77777777" w:rsidR="00E40B83" w:rsidRPr="00E40B83" w:rsidRDefault="00E40B83" w:rsidP="00E40B83">
      <w:pPr>
        <w:spacing w:before="0" w:after="160" w:line="259" w:lineRule="auto"/>
        <w:jc w:val="left"/>
        <w:rPr>
          <w:rFonts w:ascii="Calibri" w:eastAsia="Times New Roman" w:hAnsi="Calibri" w:cs="Times New Roman"/>
          <w:sz w:val="22"/>
          <w:szCs w:val="22"/>
          <w:lang w:val="en-IN"/>
          <w14:ligatures w14:val="none"/>
        </w:rPr>
      </w:pPr>
    </w:p>
    <w:p w14:paraId="0B7533EF" w14:textId="77777777" w:rsidR="00E40B83" w:rsidRPr="00E40B83" w:rsidRDefault="00E40B83" w:rsidP="00E40B83">
      <w:pPr>
        <w:spacing w:before="0" w:after="160" w:line="259" w:lineRule="auto"/>
        <w:jc w:val="left"/>
        <w:rPr>
          <w:rFonts w:ascii="Calibri" w:eastAsia="Times New Roman" w:hAnsi="Calibri" w:cs="Times New Roman"/>
          <w:sz w:val="22"/>
          <w:szCs w:val="22"/>
          <w:lang w:val="en-IN"/>
          <w14:ligatures w14:val="none"/>
        </w:rPr>
      </w:pPr>
      <w:r w:rsidRPr="00E40B83">
        <w:rPr>
          <w:rFonts w:ascii="Calibri" w:eastAsia="Times New Roman" w:hAnsi="Calibri" w:cs="Times New Roman"/>
          <w:sz w:val="22"/>
          <w:szCs w:val="22"/>
          <w:lang w:val="en-IN"/>
          <w14:ligatures w14:val="none"/>
        </w:rPr>
        <w:t>11.</w:t>
      </w:r>
      <w:r w:rsidRPr="00E40B83">
        <w:rPr>
          <w:rFonts w:ascii="Calibri" w:eastAsia="Times New Roman" w:hAnsi="Calibri" w:cs="Times New Roman"/>
          <w:sz w:val="22"/>
          <w:szCs w:val="22"/>
          <w:lang w:val="en-IN"/>
          <w14:ligatures w14:val="none"/>
        </w:rPr>
        <w:tab/>
        <w:t>Would you consider adopting the text for your teaching (if teaching)?</w:t>
      </w:r>
    </w:p>
    <w:p w14:paraId="2A5608FB" w14:textId="77777777" w:rsidR="00E40B83" w:rsidRPr="00E40B83" w:rsidRDefault="00E40B83" w:rsidP="00E40B83">
      <w:pPr>
        <w:spacing w:before="0" w:after="160" w:line="259" w:lineRule="auto"/>
        <w:jc w:val="left"/>
        <w:rPr>
          <w:rFonts w:ascii="Calibri" w:eastAsia="Times New Roman" w:hAnsi="Calibri" w:cs="Times New Roman"/>
          <w:sz w:val="22"/>
          <w:szCs w:val="22"/>
          <w:lang w:val="en-IN"/>
          <w14:ligatures w14:val="none"/>
        </w:rPr>
      </w:pPr>
    </w:p>
    <w:p w14:paraId="41A33EA7" w14:textId="77777777" w:rsidR="00E40B83" w:rsidRPr="00E40B83" w:rsidRDefault="00E40B83" w:rsidP="00E40B83">
      <w:pPr>
        <w:spacing w:before="0" w:after="160" w:line="259" w:lineRule="auto"/>
        <w:rPr>
          <w:rFonts w:ascii="Calibri Light" w:eastAsia="Times New Roman" w:hAnsi="Calibri Light" w:cs="Calibri Light"/>
          <w:b/>
          <w:bCs/>
          <w:i/>
          <w:snapToGrid w:val="0"/>
          <w:color w:val="000000"/>
          <w:kern w:val="0"/>
          <w:sz w:val="22"/>
          <w:szCs w:val="22"/>
          <w:lang w:val="en-GB"/>
          <w14:ligatures w14:val="none"/>
        </w:rPr>
      </w:pPr>
      <w:r w:rsidRPr="00E40B83">
        <w:rPr>
          <w:rFonts w:ascii="Calibri Light" w:eastAsia="Times New Roman" w:hAnsi="Calibri Light" w:cs="Calibri Light"/>
          <w:b/>
          <w:bCs/>
          <w:i/>
          <w:snapToGrid w:val="0"/>
          <w:color w:val="000000"/>
          <w:kern w:val="0"/>
          <w:sz w:val="22"/>
          <w:szCs w:val="22"/>
          <w:lang w:val="en-GB"/>
          <w14:ligatures w14:val="none"/>
        </w:rPr>
        <w:t>Thank you very much again for taking the time to participate in this review.</w:t>
      </w:r>
    </w:p>
    <w:p w14:paraId="2EA772B9" w14:textId="77777777" w:rsidR="00E40B83" w:rsidRPr="00E40B83" w:rsidRDefault="00E40B83" w:rsidP="00E40B83">
      <w:pPr>
        <w:spacing w:before="0" w:after="160" w:line="259" w:lineRule="auto"/>
        <w:rPr>
          <w:rFonts w:ascii="Calibri Light" w:eastAsia="Times New Roman" w:hAnsi="Calibri Light" w:cs="Calibri Light"/>
          <w:b/>
          <w:bCs/>
          <w:i/>
          <w:snapToGrid w:val="0"/>
          <w:color w:val="000000"/>
          <w:kern w:val="0"/>
          <w:sz w:val="22"/>
          <w:szCs w:val="22"/>
          <w:lang w:val="en-GB"/>
          <w14:ligatures w14:val="none"/>
        </w:rPr>
      </w:pPr>
      <w:r w:rsidRPr="00E40B83">
        <w:rPr>
          <w:rFonts w:ascii="Calibri Light" w:eastAsia="Times New Roman" w:hAnsi="Calibri Light" w:cs="Calibri Light"/>
          <w:b/>
          <w:bCs/>
          <w:i/>
          <w:snapToGrid w:val="0"/>
          <w:color w:val="000000"/>
          <w:kern w:val="0"/>
          <w:sz w:val="22"/>
          <w:szCs w:val="22"/>
          <w:lang w:val="en-GB"/>
          <w14:ligatures w14:val="none"/>
        </w:rPr>
        <w:t>If you are interested in writing a textbook yourself, please do get in touch if you would like to find out about the process.</w:t>
      </w:r>
    </w:p>
    <w:p w14:paraId="68E8E5D1" w14:textId="77777777" w:rsidR="00E40B83" w:rsidRPr="00E40B83" w:rsidRDefault="00E40B83" w:rsidP="00E40B83">
      <w:pPr>
        <w:spacing w:before="0" w:after="200" w:line="276" w:lineRule="auto"/>
        <w:jc w:val="left"/>
        <w:rPr>
          <w:rFonts w:ascii="Calibri" w:eastAsia="Times New Roman" w:hAnsi="Calibri" w:cs="Calibri"/>
          <w:snapToGrid w:val="0"/>
          <w:color w:val="000000"/>
          <w:kern w:val="0"/>
          <w:sz w:val="22"/>
          <w:szCs w:val="22"/>
          <w:lang w:val="en-GB"/>
          <w14:ligatures w14:val="none"/>
        </w:rPr>
      </w:pPr>
    </w:p>
    <w:p w14:paraId="49C56F1F" w14:textId="77777777" w:rsidR="00E40B83" w:rsidRPr="00E40B83" w:rsidRDefault="00E40B83" w:rsidP="00E40B83">
      <w:pPr>
        <w:pBdr>
          <w:top w:val="single" w:sz="4" w:space="1" w:color="auto"/>
          <w:left w:val="single" w:sz="4" w:space="4" w:color="auto"/>
          <w:bottom w:val="single" w:sz="4" w:space="1" w:color="auto"/>
          <w:right w:val="single" w:sz="4" w:space="4" w:color="auto"/>
        </w:pBdr>
        <w:spacing w:before="0" w:after="200" w:line="276" w:lineRule="auto"/>
        <w:jc w:val="center"/>
        <w:rPr>
          <w:rFonts w:ascii="Calibri" w:eastAsia="Times New Roman" w:hAnsi="Calibri" w:cs="Calibri"/>
          <w:i/>
          <w:snapToGrid w:val="0"/>
          <w:color w:val="000000"/>
          <w:kern w:val="0"/>
          <w:sz w:val="22"/>
          <w:szCs w:val="22"/>
          <w:lang w:val="en-GB"/>
          <w14:ligatures w14:val="none"/>
        </w:rPr>
      </w:pPr>
      <w:r w:rsidRPr="00E40B83">
        <w:rPr>
          <w:rFonts w:ascii="Calibri" w:eastAsia="Times New Roman" w:hAnsi="Calibri" w:cs="Calibri"/>
          <w:b/>
          <w:bCs/>
          <w:i/>
          <w:iCs/>
          <w:snapToGrid w:val="0"/>
          <w:color w:val="000000"/>
          <w:kern w:val="0"/>
          <w:sz w:val="22"/>
          <w:szCs w:val="22"/>
          <w:lang w:val="en-GB"/>
          <w14:ligatures w14:val="none"/>
        </w:rPr>
        <w:t>Would you like our Sales and Marketing team to be in contact regarding the publication of this title (when published)?</w:t>
      </w:r>
    </w:p>
    <w:p w14:paraId="3644DD31" w14:textId="77777777" w:rsidR="00E40B83" w:rsidRPr="00E40B83" w:rsidRDefault="00E40B83" w:rsidP="00E40B83">
      <w:pPr>
        <w:pBdr>
          <w:top w:val="single" w:sz="4" w:space="1" w:color="auto"/>
          <w:left w:val="single" w:sz="4" w:space="4" w:color="auto"/>
          <w:bottom w:val="single" w:sz="4" w:space="1" w:color="auto"/>
          <w:right w:val="single" w:sz="4" w:space="4" w:color="auto"/>
        </w:pBdr>
        <w:spacing w:before="0" w:after="200" w:line="276" w:lineRule="auto"/>
        <w:jc w:val="left"/>
        <w:rPr>
          <w:rFonts w:ascii="Calibri" w:eastAsia="Times New Roman" w:hAnsi="Calibri" w:cs="Calibri"/>
          <w:i/>
          <w:snapToGrid w:val="0"/>
          <w:color w:val="000000"/>
          <w:kern w:val="0"/>
          <w:sz w:val="22"/>
          <w:szCs w:val="22"/>
          <w:lang w:val="en-GB"/>
          <w14:ligatures w14:val="none"/>
        </w:rPr>
      </w:pPr>
      <w:r w:rsidRPr="00E40B83">
        <w:rPr>
          <w:rFonts w:ascii="Calibri" w:eastAsia="Times New Roman" w:hAnsi="Calibri" w:cs="Calibri"/>
          <w:b/>
          <w:bCs/>
          <w:i/>
          <w:iCs/>
          <w:snapToGrid w:val="0"/>
          <w:color w:val="000000"/>
          <w:kern w:val="0"/>
          <w:sz w:val="22"/>
          <w:szCs w:val="22"/>
          <w:lang w:val="en-GB"/>
          <w14:ligatures w14:val="none"/>
        </w:rPr>
        <w:t>Yes or No:</w:t>
      </w:r>
    </w:p>
    <w:p w14:paraId="0AE66DFB" w14:textId="77777777" w:rsidR="00E40B83" w:rsidRPr="00E40B83" w:rsidRDefault="00E40B83" w:rsidP="00E40B83">
      <w:pPr>
        <w:pBdr>
          <w:top w:val="single" w:sz="4" w:space="1" w:color="auto"/>
          <w:left w:val="single" w:sz="4" w:space="4" w:color="auto"/>
          <w:bottom w:val="single" w:sz="4" w:space="1" w:color="auto"/>
          <w:right w:val="single" w:sz="4" w:space="4" w:color="auto"/>
        </w:pBdr>
        <w:spacing w:before="0" w:after="200" w:line="276" w:lineRule="auto"/>
        <w:jc w:val="left"/>
        <w:rPr>
          <w:rFonts w:ascii="Calibri" w:eastAsia="Times New Roman" w:hAnsi="Calibri" w:cs="Calibri"/>
          <w:i/>
          <w:snapToGrid w:val="0"/>
          <w:color w:val="000000"/>
          <w:kern w:val="0"/>
          <w:sz w:val="22"/>
          <w:szCs w:val="22"/>
          <w:lang w:val="en-GB"/>
          <w14:ligatures w14:val="none"/>
        </w:rPr>
      </w:pPr>
      <w:r w:rsidRPr="00E40B83">
        <w:rPr>
          <w:rFonts w:ascii="Calibri" w:eastAsia="Times New Roman" w:hAnsi="Calibri" w:cs="Calibri"/>
          <w:b/>
          <w:bCs/>
          <w:i/>
          <w:iCs/>
          <w:snapToGrid w:val="0"/>
          <w:color w:val="000000"/>
          <w:kern w:val="0"/>
          <w:sz w:val="22"/>
          <w:szCs w:val="22"/>
          <w:lang w:val="en-GB"/>
          <w14:ligatures w14:val="none"/>
        </w:rPr>
        <w:t> </w:t>
      </w:r>
    </w:p>
    <w:p w14:paraId="4515ED1B" w14:textId="77777777" w:rsidR="00E40B83" w:rsidRPr="00E40B83" w:rsidRDefault="00E40B83" w:rsidP="00E40B83">
      <w:pPr>
        <w:pBdr>
          <w:top w:val="single" w:sz="4" w:space="1" w:color="auto"/>
          <w:left w:val="single" w:sz="4" w:space="4" w:color="auto"/>
          <w:bottom w:val="single" w:sz="4" w:space="1" w:color="auto"/>
          <w:right w:val="single" w:sz="4" w:space="4" w:color="auto"/>
        </w:pBdr>
        <w:spacing w:before="0" w:after="200" w:line="276" w:lineRule="auto"/>
        <w:jc w:val="left"/>
        <w:rPr>
          <w:rFonts w:ascii="Calibri" w:eastAsia="Times New Roman" w:hAnsi="Calibri" w:cs="Calibri"/>
          <w:i/>
          <w:snapToGrid w:val="0"/>
          <w:color w:val="000000"/>
          <w:kern w:val="0"/>
          <w:sz w:val="22"/>
          <w:szCs w:val="22"/>
          <w:lang w:val="en-GB"/>
          <w14:ligatures w14:val="none"/>
        </w:rPr>
      </w:pPr>
      <w:r w:rsidRPr="00E40B83">
        <w:rPr>
          <w:rFonts w:ascii="Calibri" w:eastAsia="Times New Roman" w:hAnsi="Calibri" w:cs="Calibri"/>
          <w:b/>
          <w:bCs/>
          <w:i/>
          <w:snapToGrid w:val="0"/>
          <w:color w:val="000000"/>
          <w:kern w:val="0"/>
          <w:sz w:val="22"/>
          <w:szCs w:val="22"/>
          <w:lang w:val="en-GB"/>
          <w14:ligatures w14:val="none"/>
        </w:rPr>
        <w:t>Please insert preferred email:</w:t>
      </w:r>
    </w:p>
    <w:p w14:paraId="7536041D" w14:textId="77777777" w:rsidR="00E40B83" w:rsidRPr="00E40B83" w:rsidRDefault="00E40B83" w:rsidP="00E40B83">
      <w:pPr>
        <w:pBdr>
          <w:top w:val="single" w:sz="4" w:space="1" w:color="auto"/>
          <w:left w:val="single" w:sz="4" w:space="4" w:color="auto"/>
          <w:bottom w:val="single" w:sz="4" w:space="1" w:color="auto"/>
          <w:right w:val="single" w:sz="4" w:space="4" w:color="auto"/>
        </w:pBdr>
        <w:spacing w:before="0" w:after="200" w:line="276" w:lineRule="auto"/>
        <w:jc w:val="left"/>
        <w:rPr>
          <w:rFonts w:ascii="Calibri" w:eastAsia="Times New Roman" w:hAnsi="Calibri" w:cs="Calibri"/>
          <w:i/>
          <w:snapToGrid w:val="0"/>
          <w:color w:val="000000"/>
          <w:kern w:val="0"/>
          <w:sz w:val="22"/>
          <w:szCs w:val="22"/>
          <w:lang w:val="en-GB"/>
          <w14:ligatures w14:val="none"/>
        </w:rPr>
      </w:pPr>
      <w:r w:rsidRPr="00E40B83">
        <w:rPr>
          <w:rFonts w:ascii="Calibri" w:eastAsia="Times New Roman" w:hAnsi="Calibri" w:cs="Calibri"/>
          <w:b/>
          <w:bCs/>
          <w:i/>
          <w:iCs/>
          <w:snapToGrid w:val="0"/>
          <w:color w:val="000000"/>
          <w:kern w:val="0"/>
          <w:sz w:val="22"/>
          <w:szCs w:val="22"/>
          <w:lang w:val="en-GB"/>
          <w14:ligatures w14:val="none"/>
        </w:rPr>
        <w:t> </w:t>
      </w:r>
    </w:p>
    <w:p w14:paraId="3448CE89" w14:textId="77777777" w:rsidR="00E40B83" w:rsidRPr="00E40B83" w:rsidRDefault="00E40B83" w:rsidP="00E40B83">
      <w:pPr>
        <w:pBdr>
          <w:top w:val="single" w:sz="4" w:space="1" w:color="auto"/>
          <w:left w:val="single" w:sz="4" w:space="4" w:color="auto"/>
          <w:bottom w:val="single" w:sz="4" w:space="1" w:color="auto"/>
          <w:right w:val="single" w:sz="4" w:space="4" w:color="auto"/>
        </w:pBdr>
        <w:spacing w:before="0" w:after="200" w:line="276" w:lineRule="auto"/>
        <w:jc w:val="left"/>
        <w:rPr>
          <w:rFonts w:ascii="Calibri" w:eastAsia="Times New Roman" w:hAnsi="Calibri" w:cs="Calibri"/>
          <w:i/>
          <w:snapToGrid w:val="0"/>
          <w:color w:val="000000"/>
          <w:kern w:val="0"/>
          <w:sz w:val="22"/>
          <w:szCs w:val="22"/>
          <w:lang w:val="en-GB"/>
          <w14:ligatures w14:val="none"/>
        </w:rPr>
      </w:pPr>
      <w:r w:rsidRPr="00E40B83">
        <w:rPr>
          <w:rFonts w:ascii="Calibri" w:eastAsia="Times New Roman" w:hAnsi="Calibri" w:cs="Calibri"/>
          <w:b/>
          <w:bCs/>
          <w:i/>
          <w:iCs/>
          <w:snapToGrid w:val="0"/>
          <w:color w:val="000000"/>
          <w:kern w:val="0"/>
          <w:sz w:val="22"/>
          <w:szCs w:val="22"/>
          <w:lang w:val="en-GB"/>
          <w14:ligatures w14:val="none"/>
        </w:rPr>
        <w:t>Please note the title of this project may change.</w:t>
      </w:r>
    </w:p>
    <w:p w14:paraId="68283D4D" w14:textId="77777777" w:rsidR="00E40B83" w:rsidRPr="00E40B83" w:rsidRDefault="00E40B83" w:rsidP="00E40B83">
      <w:pPr>
        <w:spacing w:before="120" w:after="160" w:line="259" w:lineRule="auto"/>
        <w:rPr>
          <w:rFonts w:ascii="Calibri" w:eastAsia="Times New Roman" w:hAnsi="Calibri" w:cs="Calibri"/>
          <w:lang w:val="en-GB"/>
          <w14:ligatures w14:val="none"/>
        </w:rPr>
      </w:pPr>
    </w:p>
    <w:p w14:paraId="64A9CC32" w14:textId="77777777" w:rsidR="00A52971" w:rsidRPr="00F63F18" w:rsidRDefault="00A52971" w:rsidP="00F63F18"/>
    <w:sectPr w:rsidR="00A52971" w:rsidRPr="00F63F18" w:rsidSect="003672B4">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5002EFF" w:usb1="C2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CE3780"/>
    <w:multiLevelType w:val="hybridMultilevel"/>
    <w:tmpl w:val="F3443396"/>
    <w:lvl w:ilvl="0" w:tplc="A7C60B12">
      <w:start w:val="2"/>
      <w:numFmt w:val="bullet"/>
      <w:lvlText w:val="-"/>
      <w:lvlJc w:val="left"/>
      <w:pPr>
        <w:ind w:left="720" w:hanging="360"/>
      </w:pPr>
      <w:rPr>
        <w:rFonts w:ascii="Times New Roman" w:eastAsiaTheme="minorHAnsi" w:hAnsi="Times New Roman" w:cs="Times New Roman" w:hint="default"/>
        <w:b/>
        <w:i/>
      </w:rPr>
    </w:lvl>
    <w:lvl w:ilvl="1" w:tplc="041F0003" w:tentative="1">
      <w:start w:val="1"/>
      <w:numFmt w:val="bullet"/>
      <w:lvlText w:val="o"/>
      <w:lvlJc w:val="left"/>
      <w:pPr>
        <w:ind w:left="1440" w:hanging="360"/>
      </w:pPr>
      <w:rPr>
        <w:rFonts w:ascii="Courier New" w:hAnsi="Courier New" w:cs="Courier New" w:hint="default"/>
      </w:rPr>
    </w:lvl>
    <w:lvl w:ilvl="2" w:tplc="041F0005" w:tentative="1">
      <w:start w:val="1"/>
      <w:numFmt w:val="bullet"/>
      <w:lvlText w:val=""/>
      <w:lvlJc w:val="left"/>
      <w:pPr>
        <w:ind w:left="2160" w:hanging="360"/>
      </w:pPr>
      <w:rPr>
        <w:rFonts w:ascii="Wingdings" w:hAnsi="Wingdings" w:hint="default"/>
      </w:rPr>
    </w:lvl>
    <w:lvl w:ilvl="3" w:tplc="041F0001" w:tentative="1">
      <w:start w:val="1"/>
      <w:numFmt w:val="bullet"/>
      <w:lvlText w:val=""/>
      <w:lvlJc w:val="left"/>
      <w:pPr>
        <w:ind w:left="2880" w:hanging="360"/>
      </w:pPr>
      <w:rPr>
        <w:rFonts w:ascii="Symbol" w:hAnsi="Symbol" w:hint="default"/>
      </w:rPr>
    </w:lvl>
    <w:lvl w:ilvl="4" w:tplc="041F0003" w:tentative="1">
      <w:start w:val="1"/>
      <w:numFmt w:val="bullet"/>
      <w:lvlText w:val="o"/>
      <w:lvlJc w:val="left"/>
      <w:pPr>
        <w:ind w:left="3600" w:hanging="360"/>
      </w:pPr>
      <w:rPr>
        <w:rFonts w:ascii="Courier New" w:hAnsi="Courier New" w:cs="Courier New" w:hint="default"/>
      </w:rPr>
    </w:lvl>
    <w:lvl w:ilvl="5" w:tplc="041F0005" w:tentative="1">
      <w:start w:val="1"/>
      <w:numFmt w:val="bullet"/>
      <w:lvlText w:val=""/>
      <w:lvlJc w:val="left"/>
      <w:pPr>
        <w:ind w:left="4320" w:hanging="360"/>
      </w:pPr>
      <w:rPr>
        <w:rFonts w:ascii="Wingdings" w:hAnsi="Wingdings" w:hint="default"/>
      </w:rPr>
    </w:lvl>
    <w:lvl w:ilvl="6" w:tplc="041F0001" w:tentative="1">
      <w:start w:val="1"/>
      <w:numFmt w:val="bullet"/>
      <w:lvlText w:val=""/>
      <w:lvlJc w:val="left"/>
      <w:pPr>
        <w:ind w:left="5040" w:hanging="360"/>
      </w:pPr>
      <w:rPr>
        <w:rFonts w:ascii="Symbol" w:hAnsi="Symbol" w:hint="default"/>
      </w:rPr>
    </w:lvl>
    <w:lvl w:ilvl="7" w:tplc="041F0003" w:tentative="1">
      <w:start w:val="1"/>
      <w:numFmt w:val="bullet"/>
      <w:lvlText w:val="o"/>
      <w:lvlJc w:val="left"/>
      <w:pPr>
        <w:ind w:left="5760" w:hanging="360"/>
      </w:pPr>
      <w:rPr>
        <w:rFonts w:ascii="Courier New" w:hAnsi="Courier New" w:cs="Courier New" w:hint="default"/>
      </w:rPr>
    </w:lvl>
    <w:lvl w:ilvl="8" w:tplc="041F0005" w:tentative="1">
      <w:start w:val="1"/>
      <w:numFmt w:val="bullet"/>
      <w:lvlText w:val=""/>
      <w:lvlJc w:val="left"/>
      <w:pPr>
        <w:ind w:left="6480" w:hanging="360"/>
      </w:pPr>
      <w:rPr>
        <w:rFonts w:ascii="Wingdings" w:hAnsi="Wingdings" w:hint="default"/>
      </w:rPr>
    </w:lvl>
  </w:abstractNum>
  <w:num w:numId="1" w16cid:durableId="2239540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4A39"/>
    <w:rsid w:val="0003137F"/>
    <w:rsid w:val="00044F95"/>
    <w:rsid w:val="00056016"/>
    <w:rsid w:val="000A7CF8"/>
    <w:rsid w:val="000E1583"/>
    <w:rsid w:val="000E221C"/>
    <w:rsid w:val="000F5E5D"/>
    <w:rsid w:val="001402C3"/>
    <w:rsid w:val="00172349"/>
    <w:rsid w:val="00181E23"/>
    <w:rsid w:val="00191872"/>
    <w:rsid w:val="001960E9"/>
    <w:rsid w:val="001B6C98"/>
    <w:rsid w:val="001C0FC7"/>
    <w:rsid w:val="002062CC"/>
    <w:rsid w:val="00225319"/>
    <w:rsid w:val="00262192"/>
    <w:rsid w:val="0026315B"/>
    <w:rsid w:val="00270697"/>
    <w:rsid w:val="00283D3A"/>
    <w:rsid w:val="002B38E2"/>
    <w:rsid w:val="002E61D0"/>
    <w:rsid w:val="0030133B"/>
    <w:rsid w:val="0030150A"/>
    <w:rsid w:val="003672B4"/>
    <w:rsid w:val="00375310"/>
    <w:rsid w:val="003A4B10"/>
    <w:rsid w:val="003B1140"/>
    <w:rsid w:val="003D164B"/>
    <w:rsid w:val="003F5408"/>
    <w:rsid w:val="00406097"/>
    <w:rsid w:val="004279C3"/>
    <w:rsid w:val="00477520"/>
    <w:rsid w:val="004B6F9E"/>
    <w:rsid w:val="004E21E9"/>
    <w:rsid w:val="00500440"/>
    <w:rsid w:val="00511DCD"/>
    <w:rsid w:val="005226CA"/>
    <w:rsid w:val="00523969"/>
    <w:rsid w:val="005360D2"/>
    <w:rsid w:val="00551485"/>
    <w:rsid w:val="005679E7"/>
    <w:rsid w:val="005776CA"/>
    <w:rsid w:val="00586D77"/>
    <w:rsid w:val="00595B7C"/>
    <w:rsid w:val="005A422D"/>
    <w:rsid w:val="005A516B"/>
    <w:rsid w:val="005C17A7"/>
    <w:rsid w:val="005C322B"/>
    <w:rsid w:val="005D7DD8"/>
    <w:rsid w:val="0061360D"/>
    <w:rsid w:val="006228B7"/>
    <w:rsid w:val="0062443D"/>
    <w:rsid w:val="006403A7"/>
    <w:rsid w:val="00641F04"/>
    <w:rsid w:val="006559CD"/>
    <w:rsid w:val="00656B8B"/>
    <w:rsid w:val="006609D5"/>
    <w:rsid w:val="006A36E2"/>
    <w:rsid w:val="006A447C"/>
    <w:rsid w:val="006B1132"/>
    <w:rsid w:val="006C5600"/>
    <w:rsid w:val="006C5BA0"/>
    <w:rsid w:val="006E0862"/>
    <w:rsid w:val="006F63D4"/>
    <w:rsid w:val="00720E38"/>
    <w:rsid w:val="007210D2"/>
    <w:rsid w:val="007347DB"/>
    <w:rsid w:val="00734CD4"/>
    <w:rsid w:val="00740775"/>
    <w:rsid w:val="00765757"/>
    <w:rsid w:val="00775E80"/>
    <w:rsid w:val="00782C9F"/>
    <w:rsid w:val="00784C46"/>
    <w:rsid w:val="00793EA6"/>
    <w:rsid w:val="007B4813"/>
    <w:rsid w:val="007C0122"/>
    <w:rsid w:val="007C0E6B"/>
    <w:rsid w:val="007E1CF7"/>
    <w:rsid w:val="007F4F1A"/>
    <w:rsid w:val="007F7A0A"/>
    <w:rsid w:val="00823D74"/>
    <w:rsid w:val="00824531"/>
    <w:rsid w:val="00826F6D"/>
    <w:rsid w:val="00832E87"/>
    <w:rsid w:val="00836672"/>
    <w:rsid w:val="00841E55"/>
    <w:rsid w:val="00873049"/>
    <w:rsid w:val="00875B6E"/>
    <w:rsid w:val="00881BA8"/>
    <w:rsid w:val="008A00F6"/>
    <w:rsid w:val="008C04BD"/>
    <w:rsid w:val="008C21EC"/>
    <w:rsid w:val="009059CA"/>
    <w:rsid w:val="00917637"/>
    <w:rsid w:val="00930658"/>
    <w:rsid w:val="00947446"/>
    <w:rsid w:val="00950DEE"/>
    <w:rsid w:val="009A03CC"/>
    <w:rsid w:val="009B560D"/>
    <w:rsid w:val="009C5B94"/>
    <w:rsid w:val="009F049F"/>
    <w:rsid w:val="009F6C37"/>
    <w:rsid w:val="00A469D6"/>
    <w:rsid w:val="00A52971"/>
    <w:rsid w:val="00A60C30"/>
    <w:rsid w:val="00A65B13"/>
    <w:rsid w:val="00A74200"/>
    <w:rsid w:val="00AD085F"/>
    <w:rsid w:val="00AF6932"/>
    <w:rsid w:val="00B020EC"/>
    <w:rsid w:val="00B03464"/>
    <w:rsid w:val="00B06C2D"/>
    <w:rsid w:val="00B16512"/>
    <w:rsid w:val="00B51307"/>
    <w:rsid w:val="00B6628E"/>
    <w:rsid w:val="00B704C8"/>
    <w:rsid w:val="00B77A1B"/>
    <w:rsid w:val="00B92BBF"/>
    <w:rsid w:val="00B945AE"/>
    <w:rsid w:val="00BA4108"/>
    <w:rsid w:val="00BA620A"/>
    <w:rsid w:val="00BA77D1"/>
    <w:rsid w:val="00BB4059"/>
    <w:rsid w:val="00BF2730"/>
    <w:rsid w:val="00BF7EA7"/>
    <w:rsid w:val="00C13B7A"/>
    <w:rsid w:val="00C715B7"/>
    <w:rsid w:val="00C9676E"/>
    <w:rsid w:val="00C97BF5"/>
    <w:rsid w:val="00CA476C"/>
    <w:rsid w:val="00CB0ADC"/>
    <w:rsid w:val="00CD385C"/>
    <w:rsid w:val="00CE228D"/>
    <w:rsid w:val="00CF3EB9"/>
    <w:rsid w:val="00D10829"/>
    <w:rsid w:val="00D4626C"/>
    <w:rsid w:val="00D54001"/>
    <w:rsid w:val="00D5784D"/>
    <w:rsid w:val="00DC0758"/>
    <w:rsid w:val="00DC5365"/>
    <w:rsid w:val="00DE3536"/>
    <w:rsid w:val="00DF5573"/>
    <w:rsid w:val="00E1163E"/>
    <w:rsid w:val="00E24696"/>
    <w:rsid w:val="00E27903"/>
    <w:rsid w:val="00E40B83"/>
    <w:rsid w:val="00E5036F"/>
    <w:rsid w:val="00E5145F"/>
    <w:rsid w:val="00E51D06"/>
    <w:rsid w:val="00E613BC"/>
    <w:rsid w:val="00E83A6C"/>
    <w:rsid w:val="00E8413C"/>
    <w:rsid w:val="00E9281C"/>
    <w:rsid w:val="00EC32A0"/>
    <w:rsid w:val="00ED1F78"/>
    <w:rsid w:val="00EE0D88"/>
    <w:rsid w:val="00EE0DC6"/>
    <w:rsid w:val="00EF4D07"/>
    <w:rsid w:val="00EF5E88"/>
    <w:rsid w:val="00F00E7C"/>
    <w:rsid w:val="00F04A39"/>
    <w:rsid w:val="00F1076A"/>
    <w:rsid w:val="00F1445C"/>
    <w:rsid w:val="00F22A45"/>
    <w:rsid w:val="00F2543C"/>
    <w:rsid w:val="00F25BCF"/>
    <w:rsid w:val="00F34AF6"/>
    <w:rsid w:val="00F62354"/>
    <w:rsid w:val="00F63F18"/>
    <w:rsid w:val="00F641D4"/>
    <w:rsid w:val="00F8444A"/>
    <w:rsid w:val="00FC15CB"/>
    <w:rsid w:val="00FE0805"/>
  </w:rsids>
  <m:mathPr>
    <m:mathFont m:val="Cambria Math"/>
    <m:brkBin m:val="before"/>
    <m:brkBinSub m:val="--"/>
    <m:smallFrac m:val="0"/>
    <m:dispDef/>
    <m:lMargin m:val="0"/>
    <m:rMargin m:val="0"/>
    <m:defJc m:val="centerGroup"/>
    <m:wrapIndent m:val="1440"/>
    <m:intLim m:val="subSup"/>
    <m:naryLim m:val="undOvr"/>
  </m:mathPr>
  <w:themeFontLang w:val="tr-TR"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D0336D"/>
  <w15:chartTrackingRefBased/>
  <w15:docId w15:val="{1E5138A2-28BC-4F19-B9E6-C8E6C9FFF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6B8B"/>
    <w:pPr>
      <w:spacing w:before="60" w:after="60" w:line="240" w:lineRule="auto"/>
      <w:jc w:val="both"/>
    </w:pPr>
    <w:rPr>
      <w:rFonts w:ascii="Times New Roman" w:hAnsi="Times New Roman"/>
    </w:rPr>
  </w:style>
  <w:style w:type="paragraph" w:styleId="Heading1">
    <w:name w:val="heading 1"/>
    <w:basedOn w:val="Normal"/>
    <w:next w:val="Normal"/>
    <w:link w:val="Heading1Char"/>
    <w:uiPriority w:val="9"/>
    <w:qFormat/>
    <w:rsid w:val="00656B8B"/>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C715B7"/>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F63F18"/>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F04A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04A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04A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04A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04A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04A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6B8B"/>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C715B7"/>
    <w:rPr>
      <w:rFonts w:ascii="Times New Roman" w:eastAsiaTheme="majorEastAsia" w:hAnsi="Times New Roman" w:cstheme="majorBidi"/>
      <w:b/>
      <w:szCs w:val="32"/>
    </w:rPr>
  </w:style>
  <w:style w:type="character" w:customStyle="1" w:styleId="Heading3Char">
    <w:name w:val="Heading 3 Char"/>
    <w:basedOn w:val="DefaultParagraphFont"/>
    <w:link w:val="Heading3"/>
    <w:uiPriority w:val="9"/>
    <w:rsid w:val="00F63F18"/>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F04A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04A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04A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04A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04A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04A39"/>
    <w:rPr>
      <w:rFonts w:eastAsiaTheme="majorEastAsia" w:cstheme="majorBidi"/>
      <w:color w:val="272727" w:themeColor="text1" w:themeTint="D8"/>
    </w:rPr>
  </w:style>
  <w:style w:type="paragraph" w:styleId="Title">
    <w:name w:val="Title"/>
    <w:basedOn w:val="Normal"/>
    <w:next w:val="Normal"/>
    <w:link w:val="TitleChar"/>
    <w:uiPriority w:val="10"/>
    <w:qFormat/>
    <w:rsid w:val="00F04A3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04A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04A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04A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04A39"/>
    <w:pPr>
      <w:spacing w:before="160"/>
      <w:jc w:val="center"/>
    </w:pPr>
    <w:rPr>
      <w:i/>
      <w:iCs/>
      <w:color w:val="404040" w:themeColor="text1" w:themeTint="BF"/>
    </w:rPr>
  </w:style>
  <w:style w:type="character" w:customStyle="1" w:styleId="QuoteChar">
    <w:name w:val="Quote Char"/>
    <w:basedOn w:val="DefaultParagraphFont"/>
    <w:link w:val="Quote"/>
    <w:uiPriority w:val="29"/>
    <w:rsid w:val="00F04A39"/>
    <w:rPr>
      <w:i/>
      <w:iCs/>
      <w:color w:val="404040" w:themeColor="text1" w:themeTint="BF"/>
    </w:rPr>
  </w:style>
  <w:style w:type="paragraph" w:styleId="ListParagraph">
    <w:name w:val="List Paragraph"/>
    <w:basedOn w:val="Normal"/>
    <w:uiPriority w:val="34"/>
    <w:qFormat/>
    <w:rsid w:val="00F04A39"/>
    <w:pPr>
      <w:ind w:left="720"/>
      <w:contextualSpacing/>
    </w:pPr>
  </w:style>
  <w:style w:type="character" w:styleId="IntenseEmphasis">
    <w:name w:val="Intense Emphasis"/>
    <w:basedOn w:val="DefaultParagraphFont"/>
    <w:uiPriority w:val="21"/>
    <w:qFormat/>
    <w:rsid w:val="00F04A39"/>
    <w:rPr>
      <w:i/>
      <w:iCs/>
      <w:color w:val="0F4761" w:themeColor="accent1" w:themeShade="BF"/>
    </w:rPr>
  </w:style>
  <w:style w:type="paragraph" w:styleId="IntenseQuote">
    <w:name w:val="Intense Quote"/>
    <w:basedOn w:val="Normal"/>
    <w:next w:val="Normal"/>
    <w:link w:val="IntenseQuoteChar"/>
    <w:uiPriority w:val="30"/>
    <w:qFormat/>
    <w:rsid w:val="00F04A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04A39"/>
    <w:rPr>
      <w:i/>
      <w:iCs/>
      <w:color w:val="0F4761" w:themeColor="accent1" w:themeShade="BF"/>
    </w:rPr>
  </w:style>
  <w:style w:type="character" w:styleId="IntenseReference">
    <w:name w:val="Intense Reference"/>
    <w:basedOn w:val="DefaultParagraphFont"/>
    <w:uiPriority w:val="32"/>
    <w:qFormat/>
    <w:rsid w:val="00F04A39"/>
    <w:rPr>
      <w:b/>
      <w:bCs/>
      <w:smallCaps/>
      <w:color w:val="0F4761" w:themeColor="accent1" w:themeShade="BF"/>
      <w:spacing w:val="5"/>
    </w:rPr>
  </w:style>
  <w:style w:type="paragraph" w:styleId="NormalWeb">
    <w:name w:val="Normal (Web)"/>
    <w:basedOn w:val="Normal"/>
    <w:uiPriority w:val="99"/>
    <w:semiHidden/>
    <w:unhideWhenUsed/>
    <w:rsid w:val="00C715B7"/>
    <w:rPr>
      <w:rFonts w:cs="Times New Roman"/>
    </w:rPr>
  </w:style>
  <w:style w:type="table" w:styleId="TableGrid">
    <w:name w:val="Table Grid"/>
    <w:basedOn w:val="TableNormal"/>
    <w:uiPriority w:val="39"/>
    <w:rsid w:val="00AD08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00E7C"/>
    <w:pPr>
      <w:spacing w:before="0" w:after="200"/>
    </w:pPr>
    <w:rPr>
      <w:i/>
      <w:iCs/>
      <w:color w:val="0E2841" w:themeColor="text2"/>
      <w:sz w:val="18"/>
      <w:szCs w:val="18"/>
    </w:rPr>
  </w:style>
  <w:style w:type="character" w:styleId="Hyperlink">
    <w:name w:val="Hyperlink"/>
    <w:basedOn w:val="DefaultParagraphFont"/>
    <w:uiPriority w:val="99"/>
    <w:unhideWhenUsed/>
    <w:rsid w:val="00947446"/>
    <w:rPr>
      <w:color w:val="467886" w:themeColor="hyperlink"/>
      <w:u w:val="single"/>
    </w:rPr>
  </w:style>
  <w:style w:type="character" w:styleId="UnresolvedMention">
    <w:name w:val="Unresolved Mention"/>
    <w:basedOn w:val="DefaultParagraphFont"/>
    <w:uiPriority w:val="99"/>
    <w:semiHidden/>
    <w:unhideWhenUsed/>
    <w:rsid w:val="00947446"/>
    <w:rPr>
      <w:color w:val="605E5C"/>
      <w:shd w:val="clear" w:color="auto" w:fill="E1DFDD"/>
    </w:rPr>
  </w:style>
  <w:style w:type="character" w:styleId="Emphasis">
    <w:name w:val="Emphasis"/>
    <w:basedOn w:val="DefaultParagraphFont"/>
    <w:uiPriority w:val="20"/>
    <w:qFormat/>
    <w:rsid w:val="00A469D6"/>
    <w:rPr>
      <w:i/>
      <w:iCs/>
    </w:rPr>
  </w:style>
  <w:style w:type="character" w:styleId="Strong">
    <w:name w:val="Strong"/>
    <w:basedOn w:val="DefaultParagraphFont"/>
    <w:uiPriority w:val="22"/>
    <w:qFormat/>
    <w:rsid w:val="00586D7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4474461">
      <w:bodyDiv w:val="1"/>
      <w:marLeft w:val="0"/>
      <w:marRight w:val="0"/>
      <w:marTop w:val="0"/>
      <w:marBottom w:val="0"/>
      <w:divBdr>
        <w:top w:val="none" w:sz="0" w:space="0" w:color="auto"/>
        <w:left w:val="none" w:sz="0" w:space="0" w:color="auto"/>
        <w:bottom w:val="none" w:sz="0" w:space="0" w:color="auto"/>
        <w:right w:val="none" w:sz="0" w:space="0" w:color="auto"/>
      </w:divBdr>
    </w:div>
    <w:div w:id="2089617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B.Kucukaltan@bradford.ac.uk" TargetMode="External"/><Relationship Id="rId5" Type="http://schemas.openxmlformats.org/officeDocument/2006/relationships/hyperlink" Target="mailto:serkanakin@kayseri.edu.tr" TargetMode="External"/><Relationship Id="rId4" Type="http://schemas.openxmlformats.org/officeDocument/2006/relationships/webSettings" Target="webSettings.xml"/></Relationships>
</file>

<file path=word/theme/theme1.xml><?xml version="1.0" encoding="utf-8"?>
<a:theme xmlns:a="http://schemas.openxmlformats.org/drawingml/2006/main" name="Office Teması">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10012</Words>
  <Characters>57071</Characters>
  <Application>Microsoft Office Word</Application>
  <DocSecurity>0</DocSecurity>
  <Lines>475</Lines>
  <Paragraphs>133</Paragraphs>
  <ScaleCrop>false</ScaleCrop>
  <HeadingPairs>
    <vt:vector size="2" baseType="variant">
      <vt:variant>
        <vt:lpstr>Konu Başlığı</vt:lpstr>
      </vt:variant>
      <vt:variant>
        <vt:i4>1</vt:i4>
      </vt:variant>
    </vt:vector>
  </HeadingPairs>
  <TitlesOfParts>
    <vt:vector size="1" baseType="lpstr">
      <vt:lpstr/>
    </vt:vector>
  </TitlesOfParts>
  <Company/>
  <LinksUpToDate>false</LinksUpToDate>
  <CharactersWithSpaces>66950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c:creator>
  <cp:keywords/>
  <dc:description/>
  <cp:lastModifiedBy>Irina Neaga</cp:lastModifiedBy>
  <cp:revision>4</cp:revision>
  <cp:lastPrinted>2026-01-10T15:00:00Z</cp:lastPrinted>
  <dcterms:created xsi:type="dcterms:W3CDTF">2026-04-23T16:44:00Z</dcterms:created>
  <dcterms:modified xsi:type="dcterms:W3CDTF">2026-05-25T17:02:00Z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68e03492-6f45-4b97-bb13-d0372154a7f3</vt:lpwstr>
  </property>
</Properties>
</file>