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rPr>
      </w:pPr>
      <w:r>
        <w:rPr/>
        <w:drawing>
          <wp:inline distL="0" distT="0" distB="0" distR="0">
            <wp:extent cx="2971800" cy="1196017"/>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2971800" cy="1196017"/>
                    </a:xfrm>
                    <a:prstGeom prst="rect"/>
                  </pic:spPr>
                </pic:pic>
              </a:graphicData>
            </a:graphic>
          </wp:inline>
        </w:drawing>
      </w:r>
    </w:p>
    <w:p>
      <w:pPr>
        <w:pStyle w:val="style0"/>
        <w:spacing w:lineRule="auto" w:line="360"/>
        <w:jc w:val="center"/>
        <w:rPr>
          <w:b/>
          <w:bCs/>
          <w:sz w:val="32"/>
          <w:szCs w:val="32"/>
        </w:rPr>
      </w:pPr>
      <w:r>
        <w:rPr>
          <w:rFonts w:ascii="Times New Roman" w:cs="Times New Roman" w:eastAsia="Times New Roman" w:hAnsi="Times New Roman" w:hint="default"/>
          <w:b/>
          <w:bCs/>
          <w:i w:val="false"/>
          <w:iCs w:val="false"/>
          <w:color w:val="auto"/>
          <w:sz w:val="32"/>
          <w:szCs w:val="32"/>
          <w:highlight w:val="none"/>
          <w:vertAlign w:val="baseline"/>
          <w:em w:val="none"/>
          <w:lang w:eastAsia="en-IN"/>
        </w:rPr>
        <w:t>Master of Business Administration (MBA)</w:t>
      </w:r>
    </w:p>
    <w:p>
      <w:pPr>
        <w:pStyle w:val="style0"/>
        <w:spacing w:lineRule="auto" w:line="360"/>
        <w:jc w:val="center"/>
        <w:rPr>
          <w:b/>
          <w:bCs/>
          <w:sz w:val="32"/>
          <w:szCs w:val="32"/>
        </w:rPr>
      </w:pPr>
      <w:r>
        <w:rPr>
          <w:rFonts w:ascii="Times New Roman" w:cs="Times New Roman" w:eastAsia="Times New Roman" w:hAnsi="Times New Roman" w:hint="default"/>
          <w:b/>
          <w:bCs/>
          <w:i w:val="false"/>
          <w:iCs w:val="false"/>
          <w:color w:val="auto"/>
          <w:sz w:val="32"/>
          <w:szCs w:val="32"/>
          <w:highlight w:val="none"/>
          <w:vertAlign w:val="baseline"/>
          <w:em w:val="none"/>
          <w:lang w:val="en-US" w:eastAsia="en-IN"/>
        </w:rPr>
        <w:t>Module Name: Financial Management</w:t>
      </w:r>
    </w:p>
    <w:p>
      <w:pPr>
        <w:pStyle w:val="style0"/>
        <w:spacing w:lineRule="auto" w:line="360"/>
        <w:jc w:val="center"/>
        <w:rPr>
          <w:b/>
          <w:bCs/>
          <w:sz w:val="32"/>
          <w:szCs w:val="32"/>
        </w:rPr>
      </w:pPr>
      <w:r>
        <w:rPr>
          <w:rFonts w:ascii="Times New Roman" w:cs="Times New Roman" w:eastAsia="Times New Roman" w:hAnsi="Times New Roman" w:hint="default"/>
          <w:b/>
          <w:bCs/>
          <w:i w:val="false"/>
          <w:iCs w:val="false"/>
          <w:color w:val="auto"/>
          <w:sz w:val="32"/>
          <w:szCs w:val="32"/>
          <w:highlight w:val="none"/>
          <w:vertAlign w:val="baseline"/>
          <w:em w:val="none"/>
          <w:lang w:val="en-US" w:eastAsia="en-IN"/>
        </w:rPr>
        <w:t>Module Code: LCMB7002</w:t>
      </w:r>
    </w:p>
    <w:p>
      <w:pPr>
        <w:pStyle w:val="style0"/>
        <w:spacing w:lineRule="auto" w:line="360"/>
        <w:jc w:val="center"/>
        <w:rPr>
          <w:b/>
          <w:bCs/>
          <w:sz w:val="32"/>
          <w:szCs w:val="32"/>
        </w:rPr>
      </w:pPr>
    </w:p>
    <w:p>
      <w:pPr>
        <w:pStyle w:val="style0"/>
        <w:jc w:val="center"/>
        <w:rPr>
          <w:b/>
          <w:bCs/>
          <w:sz w:val="32"/>
          <w:szCs w:val="32"/>
        </w:rPr>
      </w:pPr>
    </w:p>
    <w:p>
      <w:pPr>
        <w:pStyle w:val="style0"/>
        <w:jc w:val="center"/>
        <w:rPr>
          <w:b/>
          <w:bCs/>
          <w:sz w:val="32"/>
          <w:szCs w:val="32"/>
        </w:rPr>
      </w:pPr>
      <w:r>
        <w:rPr>
          <w:b/>
          <w:bCs/>
          <w:sz w:val="32"/>
          <w:szCs w:val="32"/>
          <w:lang w:val="en-US"/>
        </w:rPr>
        <w:t xml:space="preserve">Assignment Title: </w:t>
      </w:r>
      <w:r>
        <w:rPr>
          <w:b/>
          <w:bCs/>
          <w:sz w:val="32"/>
          <w:szCs w:val="32"/>
        </w:rPr>
        <w:t>STRATEGIC FINANCIAL ANALYSIS AND INVESTMENT APPRAISAL OF TESLA INC.: EVALUATING PERFORMANCE, WORKING CAPITAL, AND CAPITAL BUDGETING DECISIONS</w:t>
      </w:r>
    </w:p>
    <w:p>
      <w:pPr>
        <w:pStyle w:val="style0"/>
        <w:jc w:val="center"/>
        <w:rPr>
          <w:b/>
          <w:bCs/>
          <w:sz w:val="32"/>
          <w:szCs w:val="32"/>
        </w:rPr>
      </w:pPr>
    </w:p>
    <w:p>
      <w:pPr>
        <w:pStyle w:val="style0"/>
        <w:jc w:val="center"/>
        <w:rPr>
          <w:b/>
          <w:bCs/>
          <w:sz w:val="32"/>
          <w:szCs w:val="32"/>
        </w:rPr>
      </w:pPr>
      <w:r>
        <w:rPr>
          <w:b/>
          <w:bCs/>
          <w:sz w:val="32"/>
          <w:szCs w:val="32"/>
        </w:rPr>
        <w:t>Student Name: Harsh Barot</w:t>
      </w:r>
    </w:p>
    <w:p>
      <w:pPr>
        <w:pStyle w:val="style0"/>
        <w:jc w:val="center"/>
        <w:rPr>
          <w:b/>
          <w:bCs/>
          <w:sz w:val="32"/>
          <w:szCs w:val="32"/>
        </w:rPr>
      </w:pPr>
      <w:r>
        <w:rPr>
          <w:b/>
          <w:bCs/>
          <w:sz w:val="32"/>
          <w:szCs w:val="32"/>
        </w:rPr>
        <w:t>Student ID:2531265</w:t>
      </w:r>
    </w:p>
    <w:p>
      <w:pPr>
        <w:pStyle w:val="style0"/>
        <w:jc w:val="left"/>
        <w:rPr>
          <w:b/>
          <w:bCs/>
          <w:sz w:val="32"/>
          <w:szCs w:val="32"/>
        </w:rPr>
      </w:pPr>
    </w:p>
    <w:p>
      <w:pPr>
        <w:pStyle w:val="style0"/>
        <w:jc w:val="center"/>
        <w:rPr>
          <w:b/>
          <w:bCs/>
          <w:sz w:val="32"/>
          <w:szCs w:val="32"/>
        </w:rPr>
      </w:pPr>
      <w:r>
        <w:rPr>
          <w:b/>
          <w:bCs/>
          <w:sz w:val="32"/>
          <w:szCs w:val="32"/>
        </w:rPr>
        <w:t xml:space="preserve">Lecturer's Name: </w:t>
      </w:r>
      <w:r>
        <w:rPr>
          <w:b/>
          <w:bCs/>
          <w:sz w:val="32"/>
          <w:szCs w:val="32"/>
          <w:lang w:val="en-US"/>
        </w:rPr>
        <w:t>Shengfeng mei / Patrick Yeboah</w:t>
      </w:r>
    </w:p>
    <w:p>
      <w:pPr>
        <w:pStyle w:val="style0"/>
        <w:jc w:val="center"/>
        <w:rPr>
          <w:b/>
          <w:bCs/>
          <w:sz w:val="32"/>
          <w:szCs w:val="32"/>
        </w:rPr>
      </w:pPr>
      <w:r>
        <w:rPr>
          <w:b/>
          <w:bCs/>
          <w:sz w:val="32"/>
          <w:szCs w:val="32"/>
        </w:rPr>
        <w:t>Work Count:</w:t>
      </w:r>
      <w:r>
        <w:rPr>
          <w:b/>
          <w:bCs/>
          <w:sz w:val="32"/>
          <w:szCs w:val="32"/>
          <w:lang w:val="en-US"/>
        </w:rPr>
        <w:t xml:space="preserve"> 5175</w:t>
      </w:r>
    </w:p>
    <w:p>
      <w:pPr>
        <w:pStyle w:val="style0"/>
        <w:jc w:val="center"/>
        <w:rPr>
          <w:rFonts w:ascii="Times New Roman" w:cs="Times New Roman" w:hAnsi="Times New Roman"/>
          <w:b/>
          <w:bCs/>
          <w:color w:val="auto"/>
          <w:sz w:val="28"/>
          <w:szCs w:val="28"/>
        </w:rPr>
      </w:pPr>
      <w:r>
        <w:rPr>
          <w:b/>
          <w:bCs/>
          <w:sz w:val="32"/>
          <w:szCs w:val="32"/>
        </w:rPr>
        <w:t>Submission Date:</w:t>
      </w:r>
      <w:r>
        <w:rPr>
          <w:b/>
          <w:bCs/>
          <w:sz w:val="32"/>
          <w:szCs w:val="32"/>
          <w:lang w:val="en-US"/>
        </w:rPr>
        <w:t xml:space="preserve"> 24/04/2026</w:t>
      </w:r>
    </w:p>
    <w:p>
      <w:pPr>
        <w:pStyle w:val="style0"/>
        <w:jc w:val="center"/>
        <w:rPr>
          <w:rFonts w:ascii="Times New Roman" w:cs="Times New Roman" w:hAnsi="Times New Roman"/>
          <w:b/>
          <w:bCs/>
          <w:color w:val="auto"/>
          <w:sz w:val="28"/>
          <w:szCs w:val="28"/>
        </w:rPr>
      </w:pPr>
    </w:p>
    <w:p>
      <w:pPr>
        <w:pStyle w:val="style0"/>
        <w:jc w:val="center"/>
        <w:rPr>
          <w:rFonts w:ascii="Times New Roman" w:cs="Times New Roman" w:hAnsi="Times New Roman"/>
          <w:b/>
          <w:bCs/>
          <w:color w:val="auto"/>
          <w:sz w:val="28"/>
          <w:szCs w:val="28"/>
        </w:rPr>
      </w:pPr>
    </w:p>
    <w:p>
      <w:pPr>
        <w:pStyle w:val="style0"/>
        <w:jc w:val="center"/>
        <w:rPr>
          <w:rFonts w:ascii="Times New Roman" w:cs="Times New Roman" w:hAnsi="Times New Roman"/>
          <w:b/>
          <w:bCs/>
          <w:color w:val="auto"/>
          <w:sz w:val="28"/>
          <w:szCs w:val="28"/>
        </w:rPr>
      </w:pPr>
    </w:p>
    <w:p>
      <w:pPr>
        <w:pStyle w:val="style266"/>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"_Toc227792497"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_Toc227792497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"_Toc227792498" </w:instrText>
      </w:r>
      <w:r>
        <w:rPr/>
        <w:fldChar w:fldCharType="separate"/>
      </w:r>
      <w:r>
        <w:rPr>
          <w:rStyle w:val="style85"/>
          <w:noProof/>
        </w:rPr>
        <w:t>2. Financial Health Check</w:t>
      </w:r>
      <w:r>
        <w:rPr>
          <w:noProof/>
          <w:webHidden/>
        </w:rPr>
        <w:tab/>
      </w:r>
      <w:r>
        <w:rPr>
          <w:noProof/>
          <w:webHidden/>
        </w:rPr>
        <w:fldChar w:fldCharType="begin"/>
      </w:r>
      <w:r>
        <w:rPr>
          <w:noProof/>
          <w:webHidden/>
        </w:rPr>
        <w:instrText xml:space="preserve"> PAGEREF _Toc227792498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"_Toc227792499" </w:instrText>
      </w:r>
      <w:r>
        <w:rPr/>
        <w:fldChar w:fldCharType="separate"/>
      </w:r>
      <w:r>
        <w:rPr>
          <w:rStyle w:val="style85"/>
          <w:noProof/>
        </w:rPr>
        <w:t>2.1 Profitability Analysis</w:t>
      </w:r>
      <w:r>
        <w:rPr>
          <w:noProof/>
          <w:webHidden/>
        </w:rPr>
        <w:tab/>
      </w:r>
      <w:r>
        <w:rPr>
          <w:noProof/>
          <w:webHidden/>
        </w:rPr>
        <w:fldChar w:fldCharType="begin"/>
      </w:r>
      <w:r>
        <w:rPr>
          <w:noProof/>
          <w:webHidden/>
        </w:rPr>
        <w:instrText xml:space="preserve"> PAGEREF _Toc227792499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"_Toc227792500" </w:instrText>
      </w:r>
      <w:r>
        <w:rPr/>
        <w:fldChar w:fldCharType="separate"/>
      </w:r>
      <w:r>
        <w:rPr>
          <w:rStyle w:val="style85"/>
          <w:noProof/>
        </w:rPr>
        <w:t>2.2 Efficiency Analysis</w:t>
      </w:r>
      <w:r>
        <w:rPr>
          <w:noProof/>
          <w:webHidden/>
        </w:rPr>
        <w:tab/>
      </w:r>
      <w:r>
        <w:rPr>
          <w:noProof/>
          <w:webHidden/>
        </w:rPr>
        <w:fldChar w:fldCharType="begin"/>
      </w:r>
      <w:r>
        <w:rPr>
          <w:noProof/>
          <w:webHidden/>
        </w:rPr>
        <w:instrText xml:space="preserve"> PAGEREF _Toc227792500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"_Toc227792501" </w:instrText>
      </w:r>
      <w:r>
        <w:rPr/>
        <w:fldChar w:fldCharType="separate"/>
      </w:r>
      <w:r>
        <w:rPr>
          <w:rStyle w:val="style85"/>
          <w:noProof/>
        </w:rPr>
        <w:t>2.3 Liquidity Analysis</w:t>
      </w:r>
      <w:r>
        <w:rPr>
          <w:noProof/>
          <w:webHidden/>
        </w:rPr>
        <w:tab/>
      </w:r>
      <w:r>
        <w:rPr>
          <w:noProof/>
          <w:webHidden/>
        </w:rPr>
        <w:fldChar w:fldCharType="begin"/>
      </w:r>
      <w:r>
        <w:rPr>
          <w:noProof/>
          <w:webHidden/>
        </w:rPr>
        <w:instrText xml:space="preserve"> PAGEREF _Toc227792501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"_Toc227792502" </w:instrText>
      </w:r>
      <w:r>
        <w:rPr/>
        <w:fldChar w:fldCharType="separate"/>
      </w:r>
      <w:r>
        <w:rPr>
          <w:rStyle w:val="style85"/>
          <w:noProof/>
        </w:rPr>
        <w:t>2.4 Solvency (Gearing) Analysis</w:t>
      </w:r>
      <w:r>
        <w:rPr>
          <w:noProof/>
          <w:webHidden/>
        </w:rPr>
        <w:tab/>
      </w:r>
      <w:r>
        <w:rPr>
          <w:noProof/>
          <w:webHidden/>
        </w:rPr>
        <w:fldChar w:fldCharType="begin"/>
      </w:r>
      <w:r>
        <w:rPr>
          <w:noProof/>
          <w:webHidden/>
        </w:rPr>
        <w:instrText xml:space="preserve"> PAGEREF _Toc227792502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"_Toc227792503" </w:instrText>
      </w:r>
      <w:r>
        <w:rPr/>
        <w:fldChar w:fldCharType="separate"/>
      </w:r>
      <w:r>
        <w:rPr>
          <w:rStyle w:val="style85"/>
          <w:noProof/>
        </w:rPr>
        <w:t>2.5 Cash Flow Analysis</w:t>
      </w:r>
      <w:r>
        <w:rPr>
          <w:noProof/>
          <w:webHidden/>
        </w:rPr>
        <w:tab/>
      </w:r>
      <w:r>
        <w:rPr>
          <w:noProof/>
          <w:webHidden/>
        </w:rPr>
        <w:fldChar w:fldCharType="begin"/>
      </w:r>
      <w:r>
        <w:rPr>
          <w:noProof/>
          <w:webHidden/>
        </w:rPr>
        <w:instrText xml:space="preserve"> PAGEREF _Toc227792503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"_Toc227792504" </w:instrText>
      </w:r>
      <w:r>
        <w:rPr/>
        <w:fldChar w:fldCharType="separate"/>
      </w:r>
      <w:r>
        <w:rPr>
          <w:rStyle w:val="style85"/>
          <w:noProof/>
        </w:rPr>
        <w:t>3. Working Capital Management</w:t>
      </w:r>
      <w:r>
        <w:rPr>
          <w:noProof/>
          <w:webHidden/>
        </w:rPr>
        <w:tab/>
      </w:r>
      <w:r>
        <w:rPr>
          <w:noProof/>
          <w:webHidden/>
        </w:rPr>
        <w:fldChar w:fldCharType="begin"/>
      </w:r>
      <w:r>
        <w:rPr>
          <w:noProof/>
          <w:webHidden/>
        </w:rPr>
        <w:instrText xml:space="preserve"> PAGEREF _Toc227792504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"_Toc227792505" </w:instrText>
      </w:r>
      <w:r>
        <w:rPr/>
        <w:fldChar w:fldCharType="separate"/>
      </w:r>
      <w:r>
        <w:rPr>
          <w:rStyle w:val="style85"/>
          <w:noProof/>
        </w:rPr>
        <w:t>3.1 Cash Conversion Cycle Analysis</w:t>
      </w:r>
      <w:r>
        <w:rPr>
          <w:noProof/>
          <w:webHidden/>
        </w:rPr>
        <w:tab/>
      </w:r>
      <w:r>
        <w:rPr>
          <w:noProof/>
          <w:webHidden/>
        </w:rPr>
        <w:fldChar w:fldCharType="begin"/>
      </w:r>
      <w:r>
        <w:rPr>
          <w:noProof/>
          <w:webHidden/>
        </w:rPr>
        <w:instrText xml:space="preserve"> PAGEREF _Toc227792505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"_Toc227792506" </w:instrText>
      </w:r>
      <w:r>
        <w:rPr/>
        <w:fldChar w:fldCharType="separate"/>
      </w:r>
      <w:r>
        <w:rPr>
          <w:rStyle w:val="style85"/>
          <w:noProof/>
        </w:rPr>
        <w:t>3.2 Working Capital Evaluation</w:t>
      </w:r>
      <w:r>
        <w:rPr>
          <w:noProof/>
          <w:webHidden/>
        </w:rPr>
        <w:tab/>
      </w:r>
      <w:r>
        <w:rPr>
          <w:noProof/>
          <w:webHidden/>
        </w:rPr>
        <w:fldChar w:fldCharType="begin"/>
      </w:r>
      <w:r>
        <w:rPr>
          <w:noProof/>
          <w:webHidden/>
        </w:rPr>
        <w:instrText xml:space="preserve"> PAGEREF _Toc227792506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"_Toc227792507" </w:instrText>
      </w:r>
      <w:r>
        <w:rPr/>
        <w:fldChar w:fldCharType="separate"/>
      </w:r>
      <w:r>
        <w:rPr>
          <w:rStyle w:val="style85"/>
          <w:noProof/>
        </w:rPr>
        <w:t>3.3 Recommendations</w:t>
      </w:r>
      <w:r>
        <w:rPr>
          <w:noProof/>
          <w:webHidden/>
        </w:rPr>
        <w:tab/>
      </w:r>
      <w:r>
        <w:rPr>
          <w:noProof/>
          <w:webHidden/>
        </w:rPr>
        <w:fldChar w:fldCharType="begin"/>
      </w:r>
      <w:r>
        <w:rPr>
          <w:noProof/>
          <w:webHidden/>
        </w:rPr>
        <w:instrText xml:space="preserve"> PAGEREF _Toc227792507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"_Toc227792508" </w:instrText>
      </w:r>
      <w:r>
        <w:rPr/>
        <w:fldChar w:fldCharType="separate"/>
      </w:r>
      <w:r>
        <w:rPr>
          <w:rStyle w:val="style85"/>
          <w:noProof/>
        </w:rPr>
        <w:t>4. Strategic Financial Restructuring</w:t>
      </w:r>
      <w:r>
        <w:rPr>
          <w:noProof/>
          <w:webHidden/>
        </w:rPr>
        <w:tab/>
      </w:r>
      <w:r>
        <w:rPr>
          <w:noProof/>
          <w:webHidden/>
        </w:rPr>
        <w:fldChar w:fldCharType="begin"/>
      </w:r>
      <w:r>
        <w:rPr>
          <w:noProof/>
          <w:webHidden/>
        </w:rPr>
        <w:instrText xml:space="preserve"> PAGEREF _Toc227792508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"_Toc227792509" </w:instrText>
      </w:r>
      <w:r>
        <w:rPr/>
        <w:fldChar w:fldCharType="separate"/>
      </w:r>
      <w:r>
        <w:rPr>
          <w:rStyle w:val="style85"/>
          <w:noProof/>
        </w:rPr>
        <w:t>4.1 Financial Problems Identified</w:t>
      </w:r>
      <w:r>
        <w:rPr>
          <w:noProof/>
          <w:webHidden/>
        </w:rPr>
        <w:tab/>
      </w:r>
      <w:r>
        <w:rPr>
          <w:noProof/>
          <w:webHidden/>
        </w:rPr>
        <w:fldChar w:fldCharType="begin"/>
      </w:r>
      <w:r>
        <w:rPr>
          <w:noProof/>
          <w:webHidden/>
        </w:rPr>
        <w:instrText xml:space="preserve"> PAGEREF _Toc227792509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"_Toc227792510" </w:instrText>
      </w:r>
      <w:r>
        <w:rPr/>
        <w:fldChar w:fldCharType="separate"/>
      </w:r>
      <w:r>
        <w:rPr>
          <w:rStyle w:val="style85"/>
          <w:noProof/>
        </w:rPr>
        <w:t>4.2 Restructuring Strategies</w:t>
      </w:r>
      <w:r>
        <w:rPr>
          <w:noProof/>
          <w:webHidden/>
        </w:rPr>
        <w:tab/>
      </w:r>
      <w:r>
        <w:rPr>
          <w:noProof/>
          <w:webHidden/>
        </w:rPr>
        <w:fldChar w:fldCharType="begin"/>
      </w:r>
      <w:r>
        <w:rPr>
          <w:noProof/>
          <w:webHidden/>
        </w:rPr>
        <w:instrText xml:space="preserve"> PAGEREF _Toc227792510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"_Toc227792511" </w:instrText>
      </w:r>
      <w:r>
        <w:rPr/>
        <w:fldChar w:fldCharType="separate"/>
      </w:r>
      <w:r>
        <w:rPr>
          <w:rStyle w:val="style85"/>
          <w:noProof/>
        </w:rPr>
        <w:t>4.3 Impact Analysis</w:t>
      </w:r>
      <w:r>
        <w:rPr>
          <w:noProof/>
          <w:webHidden/>
        </w:rPr>
        <w:tab/>
      </w:r>
      <w:r>
        <w:rPr>
          <w:noProof/>
          <w:webHidden/>
        </w:rPr>
        <w:fldChar w:fldCharType="begin"/>
      </w:r>
      <w:r>
        <w:rPr>
          <w:noProof/>
          <w:webHidden/>
        </w:rPr>
        <w:instrText xml:space="preserve"> PAGEREF _Toc227792511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"_Toc227792512" </w:instrText>
      </w:r>
      <w:r>
        <w:rPr/>
        <w:fldChar w:fldCharType="separate"/>
      </w:r>
      <w:r>
        <w:rPr>
          <w:rStyle w:val="style85"/>
          <w:noProof/>
        </w:rPr>
        <w:t>4.4 Global &amp; Ethical Considerations</w:t>
      </w:r>
      <w:r>
        <w:rPr>
          <w:noProof/>
          <w:webHidden/>
        </w:rPr>
        <w:tab/>
      </w:r>
      <w:r>
        <w:rPr>
          <w:noProof/>
          <w:webHidden/>
        </w:rPr>
        <w:fldChar w:fldCharType="begin"/>
      </w:r>
      <w:r>
        <w:rPr>
          <w:noProof/>
          <w:webHidden/>
        </w:rPr>
        <w:instrText xml:space="preserve"> PAGEREF _Toc227792512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"_Toc227792513" </w:instrText>
      </w:r>
      <w:r>
        <w:rPr/>
        <w:fldChar w:fldCharType="separate"/>
      </w:r>
      <w:r>
        <w:rPr>
          <w:rStyle w:val="style85"/>
          <w:noProof/>
        </w:rPr>
        <w:t>5. Investment Appraisal</w:t>
      </w:r>
      <w:r>
        <w:rPr>
          <w:noProof/>
          <w:webHidden/>
        </w:rPr>
        <w:tab/>
      </w:r>
      <w:r>
        <w:rPr>
          <w:noProof/>
          <w:webHidden/>
        </w:rPr>
        <w:fldChar w:fldCharType="begin"/>
      </w:r>
      <w:r>
        <w:rPr>
          <w:noProof/>
          <w:webHidden/>
        </w:rPr>
        <w:instrText xml:space="preserve"> PAGEREF _Toc227792513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"_Toc227792514" </w:instrText>
      </w:r>
      <w:r>
        <w:rPr/>
        <w:fldChar w:fldCharType="separate"/>
      </w:r>
      <w:r>
        <w:rPr>
          <w:rStyle w:val="style85"/>
          <w:noProof/>
        </w:rPr>
        <w:t>5.1 Evaluation of Projects</w:t>
      </w:r>
      <w:r>
        <w:rPr>
          <w:noProof/>
          <w:webHidden/>
        </w:rPr>
        <w:tab/>
      </w:r>
      <w:r>
        <w:rPr>
          <w:noProof/>
          <w:webHidden/>
        </w:rPr>
        <w:fldChar w:fldCharType="begin"/>
      </w:r>
      <w:r>
        <w:rPr>
          <w:noProof/>
          <w:webHidden/>
        </w:rPr>
        <w:instrText xml:space="preserve"> PAGEREF _Toc227792514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"_Toc227792515" </w:instrText>
      </w:r>
      <w:r>
        <w:rPr/>
        <w:fldChar w:fldCharType="separate"/>
      </w:r>
      <w:r>
        <w:rPr>
          <w:rStyle w:val="style85"/>
          <w:noProof/>
        </w:rPr>
        <w:t>5.2 Recommendation of Project</w:t>
      </w:r>
      <w:r>
        <w:rPr>
          <w:noProof/>
          <w:webHidden/>
        </w:rPr>
        <w:tab/>
      </w:r>
      <w:r>
        <w:rPr>
          <w:noProof/>
          <w:webHidden/>
        </w:rPr>
        <w:fldChar w:fldCharType="begin"/>
      </w:r>
      <w:r>
        <w:rPr>
          <w:noProof/>
          <w:webHidden/>
        </w:rPr>
        <w:instrText xml:space="preserve"> PAGEREF _Toc227792515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"_Toc227792516" </w:instrText>
      </w:r>
      <w:r>
        <w:rPr/>
        <w:fldChar w:fldCharType="separate"/>
      </w:r>
      <w:r>
        <w:rPr>
          <w:rStyle w:val="style85"/>
          <w:noProof/>
        </w:rPr>
        <w:t>5.3 Capital Rationing</w:t>
      </w:r>
      <w:r>
        <w:rPr>
          <w:noProof/>
          <w:webHidden/>
        </w:rPr>
        <w:tab/>
      </w:r>
      <w:r>
        <w:rPr>
          <w:noProof/>
          <w:webHidden/>
        </w:rPr>
        <w:fldChar w:fldCharType="begin"/>
      </w:r>
      <w:r>
        <w:rPr>
          <w:noProof/>
          <w:webHidden/>
        </w:rPr>
        <w:instrText xml:space="preserve"> PAGEREF _Toc227792516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"_Toc227792517" </w:instrText>
      </w:r>
      <w:r>
        <w:rPr/>
        <w:fldChar w:fldCharType="separate"/>
      </w:r>
      <w:r>
        <w:rPr>
          <w:rStyle w:val="style85"/>
          <w:noProof/>
        </w:rPr>
        <w:t>5.4 Risk Analysis</w:t>
      </w:r>
      <w:r>
        <w:rPr>
          <w:noProof/>
          <w:webHidden/>
        </w:rPr>
        <w:tab/>
      </w:r>
      <w:r>
        <w:rPr>
          <w:noProof/>
          <w:webHidden/>
        </w:rPr>
        <w:fldChar w:fldCharType="begin"/>
      </w:r>
      <w:r>
        <w:rPr>
          <w:noProof/>
          <w:webHidden/>
        </w:rPr>
        <w:instrText xml:space="preserve"> PAGEREF _Toc227792517 \h </w:instrText>
      </w:r>
      <w:r>
        <w:rPr>
          <w:noProof/>
          <w:webHidden/>
        </w:rPr>
        <w:fldChar w:fldCharType="separate"/>
      </w:r>
      <w:r>
        <w:rPr>
          <w:noProof/>
          <w:webHidden/>
        </w:rPr>
        <w:t>18</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"_Toc227792518" </w:instrText>
      </w:r>
      <w:r>
        <w:rPr/>
        <w:fldChar w:fldCharType="separate"/>
      </w:r>
      <w:r>
        <w:rPr>
          <w:rStyle w:val="style85"/>
          <w:noProof/>
        </w:rPr>
        <w:t>6. Conclusion</w:t>
      </w:r>
      <w:r>
        <w:rPr>
          <w:noProof/>
          <w:webHidden/>
        </w:rPr>
        <w:tab/>
      </w:r>
      <w:r>
        <w:rPr>
          <w:noProof/>
          <w:webHidden/>
        </w:rPr>
        <w:fldChar w:fldCharType="begin"/>
      </w:r>
      <w:r>
        <w:rPr>
          <w:noProof/>
          <w:webHidden/>
        </w:rPr>
        <w:instrText xml:space="preserve"> PAGEREF _Toc227792518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"_Toc227792519"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_Toc227792519 \h </w:instrText>
      </w:r>
      <w:r>
        <w:rPr>
          <w:noProof/>
          <w:webHidden/>
        </w:rPr>
        <w:fldChar w:fldCharType="separate"/>
      </w:r>
      <w:r>
        <w:rPr>
          <w:noProof/>
          <w:webHidden/>
        </w:rPr>
        <w:t>20</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"_Toc227792520" </w:instrText>
      </w:r>
      <w:r>
        <w:rPr/>
        <w:fldChar w:fldCharType="separate"/>
      </w:r>
      <w:r>
        <w:rPr>
          <w:rStyle w:val="style85"/>
          <w:noProof/>
        </w:rPr>
        <w:t>Appendices</w:t>
      </w:r>
      <w:r>
        <w:rPr>
          <w:noProof/>
          <w:webHidden/>
        </w:rPr>
        <w:tab/>
      </w:r>
      <w:r>
        <w:rPr>
          <w:noProof/>
          <w:webHidden/>
        </w:rPr>
        <w:fldChar w:fldCharType="begin"/>
      </w:r>
      <w:r>
        <w:rPr>
          <w:noProof/>
          <w:webHidden/>
        </w:rPr>
        <w:instrText xml:space="preserve"> PAGEREF _Toc227792520 \h </w:instrText>
      </w:r>
      <w:r>
        <w:rPr>
          <w:noProof/>
          <w:webHidden/>
        </w:rPr>
        <w:fldChar w:fldCharType="separate"/>
      </w:r>
      <w:r>
        <w:rPr>
          <w:noProof/>
          <w:webHidden/>
        </w:rPr>
        <w:t>24</w:t>
      </w:r>
      <w:r>
        <w:rPr>
          <w:noProof/>
          <w:webHidden/>
        </w:rPr>
        <w:fldChar w:fldCharType="end"/>
      </w:r>
      <w:r>
        <w:rPr/>
        <w:fldChar w:fldCharType="end"/>
      </w:r>
    </w:p>
    <w:p>
      <w:pPr>
        <w:pStyle w:val="style0"/>
        <w:rPr>
          <w:b/>
          <w:bCs/>
          <w:noProof/>
        </w:rPr>
      </w:pPr>
      <w:r>
        <w:rPr>
          <w:b/>
          <w:bCs/>
          <w:noProof/>
        </w:rPr>
        <w:fldChar w:fldCharType="end"/>
      </w:r>
    </w:p>
    <w:bookmarkStart w:id="0" w:name="_d9ob9nf3plbs" w:colFirst="0" w:colLast="0"/>
    <w:bookmarkStart w:id="1" w:name="_Toc227792497"/>
    <w:bookmarkEnd w:id="0"/>
    <w:p>
      <w:pPr>
        <w:pStyle w:val="style1"/>
        <w:rPr>
          <w:sz w:val="24"/>
          <w:szCs w:val="24"/>
        </w:rPr>
      </w:pPr>
      <w:r>
        <w:t>1. Introduction</w:t>
      </w:r>
      <w:bookmarkEnd w:id="1"/>
    </w:p>
    <w:p>
      <w:pPr>
        <w:pStyle w:val="style0"/>
        <w:rPr/>
      </w:pPr>
      <w:r>
        <w:t>One of the most successful and innovative companies within the world electric vehicle (EV) market, Tesla Inc. is known due to the innovative technology, environmentally-friendly energy solutions, and a blistering gain of markets. Tesla is a global company that started small as a niche manufacturer of electric vehicles in 2003 but has since expanded to provide various other products, such as battery storage systems and solar energy-saving solutions, among others. The innovativeness, verticalization and sustainability as strategic direction of this company has empowered it tear down the traditional automotive industry taking a firm competitive stand across the globe.</w:t>
      </w:r>
    </w:p>
    <w:p>
      <w:pPr>
        <w:pStyle w:val="style0"/>
        <w:rPr/>
      </w:pPr>
      <w:r>
        <w:t>Over the last decade, the EV market has shown a rampant growth in the world due to the rising environmental issues, governmental policies with regards to carbon emissions as well as technological innovations in the area of battery performance. Other key players like BYD and Volkswagen have also stepped up the competition with their EVs and heavy investment in the research and development process. This has made the industry very competitive with companies struggling to attain cost-efficiency, innovation and market share.</w:t>
      </w:r>
    </w:p>
    <w:p>
      <w:pPr>
        <w:pStyle w:val="style0"/>
        <w:rPr/>
      </w:pPr>
      <w:r>
        <w:t>Financial management in this dynamic setting is vital in a long-term sustainability, as well as strategic growth assurance. The paper will be an in-depth financial analysis of Tesla and the last five years in terms of key performance indicators of financial statements. It also analyses the working capital management of the company to determine the efficiency in liquidity management and operations. The report also suggests some strategic financial restructuring options to support shareholder value and organisational flexibility. Lastly, capital budgeting methods are then used to analyze the possible projects and help in making a sound decision in an investment appraisal.</w:t>
      </w:r>
    </w:p>
    <w:bookmarkStart w:id="2" w:name="_tdldiakshgkq" w:colFirst="0" w:colLast="0"/>
    <w:bookmarkStart w:id="3" w:name="_Toc227792498"/>
    <w:bookmarkEnd w:id="2"/>
    <w:p>
      <w:pPr>
        <w:pStyle w:val="style1"/>
        <w:rPr/>
      </w:pPr>
      <w:r>
        <w:t>2. Financial Health Check</w:t>
      </w:r>
      <w:bookmarkEnd w:id="3"/>
    </w:p>
    <w:bookmarkStart w:id="4" w:name="_kur0u6x6rwsw" w:colFirst="0" w:colLast="0"/>
    <w:bookmarkStart w:id="5" w:name="_Toc227792499"/>
    <w:bookmarkEnd w:id="4"/>
    <w:p>
      <w:pPr>
        <w:pStyle w:val="style2"/>
        <w:rPr/>
      </w:pPr>
      <w:r>
        <w:t>2.1 Profitability Analysis</w:t>
      </w:r>
      <w:bookmarkEnd w:id="5"/>
    </w:p>
    <w:p>
      <w:pPr>
        <w:pStyle w:val="style0"/>
        <w:rPr/>
      </w:pPr>
      <w:r>
        <w:rPr>
          <w:noProof/>
        </w:rPr>
        <w:drawing>
          <wp:inline distL="0" distT="0" distB="0" distR="0">
            <wp:extent cx="5943600" cy="1206500"/>
            <wp:effectExtent l="0" t="0" r="0" b="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0" r="0" b="0"/>
                    <a:stretch/>
                  </pic:blipFill>
                  <pic:spPr>
                    <a:xfrm rot="0">
                      <a:off x="0" y="0"/>
                      <a:ext cx="5943600" cy="12065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Figure 1: Profitability ratio</w:t>
      </w:r>
    </w:p>
    <w:p>
      <w:pPr>
        <w:pStyle w:val="style0"/>
        <w:jc w:val="center"/>
        <w:rPr/>
      </w:pPr>
      <w:r>
        <w:t>(Source: Self-Created)</w:t>
      </w:r>
    </w:p>
    <w:p>
      <w:pPr>
        <w:pStyle w:val="style0"/>
        <w:rPr/>
      </w:pPr>
      <w:r>
        <w:t>The Tesla Inc. profitability performance forecast of the five years 2020-2024 can be illustrated by an informative but inconsistent trend. The gross profit rose to higher heights of £20,853 million in 2022, with a slight increase to £17,660 million in 2023 and 2024 respectively. In turn, the ratio of gross profit rose in 2021 (25 per cent), to its highest level of 26 per cent in 2022, compared to 21 per cent in 2020. This, however, changed towards the latter years, decreasing to 18% in 2023 and 2024 (Nair and Prajapati, 2025). This decrease indicates that although Tesla enjoyed the benefits of economies and scale and enhanced efficiency in production, it subsequently experienced rising costs of operation and, perhaps, implemented extreme pricing to be competitive in the EV marketplace.</w:t>
      </w:r>
    </w:p>
    <w:p>
      <w:pPr>
        <w:pStyle w:val="style0"/>
        <w:rPr/>
      </w:pPr>
      <w:r>
        <w:t>In a similar fashion, net profit also increased significantly as in 2020 it had an amount of £862 million followed by a significant growth of 14,974 million in 2023 and then plummeted trying to reach 7,153 in 2024. The net profit ratio followed a similar pattern, rising from 3% in 2020 to 10% in 2021 and peaking at 15% in both 2022 and 2023, before falling to 7% in 2024. This shows that Tesla has achieved a considerable enhancement in its profitability in the period in the middle, probably because of a rise in sales volume and operational efficiencies (Ding, 2025). Nonetheless, following the steep drop of 2024, the force of the marginal compression suggests that this could be as a result of prices going down, higher input cost, or rather an increase in competition.</w:t>
      </w:r>
    </w:p>
    <w:p>
      <w:pPr>
        <w:pStyle w:val="style0"/>
        <w:rPr/>
      </w:pPr>
      <w:r>
        <w:t xml:space="preserve">On the whole, Tesla profitability analysis indicates the presence of a high growth period and </w:t>
      </w:r>
      <w:r>
        <w:t>stabilisation</w:t>
      </w:r>
      <w:r>
        <w:t xml:space="preserve"> and pressure period. Although the company had the capacity to make high profits, its sustainability in competitive environment, with price being a major factor, is the main challenge. It implies that there is a necessity to manage costs strategically and optimise prices in perpetuating long-term profitability (El Gibran and Nainggolan, 2025).</w:t>
      </w:r>
    </w:p>
    <w:bookmarkStart w:id="6" w:name="_5lgv9g8ro335" w:colFirst="0" w:colLast="0"/>
    <w:bookmarkStart w:id="7" w:name="_Toc227792500"/>
    <w:bookmarkEnd w:id="6"/>
    <w:p>
      <w:pPr>
        <w:pStyle w:val="style2"/>
        <w:rPr/>
      </w:pPr>
      <w:r>
        <w:t>2.2 Efficiency Analysis</w:t>
      </w:r>
      <w:bookmarkEnd w:id="7"/>
    </w:p>
    <w:p>
      <w:pPr>
        <w:pStyle w:val="style0"/>
        <w:rPr/>
      </w:pPr>
      <w:r>
        <w:rPr>
          <w:noProof/>
        </w:rPr>
        <w:drawing>
          <wp:inline distL="0" distT="0" distB="0" distR="0">
            <wp:extent cx="5943600" cy="1219200"/>
            <wp:effectExtent l="0" t="0" r="0" b="0"/>
            <wp:docPr id="1028"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4" cstate="print"/>
                    <a:srcRect l="0" t="0" r="0" b="0"/>
                    <a:stretch/>
                  </pic:blipFill>
                  <pic:spPr>
                    <a:xfrm rot="0">
                      <a:off x="0" y="0"/>
                      <a:ext cx="5943600" cy="12192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Figure 2: Efficiency ratio</w:t>
      </w:r>
    </w:p>
    <w:p>
      <w:pPr>
        <w:pStyle w:val="style0"/>
        <w:jc w:val="center"/>
        <w:rPr/>
      </w:pPr>
      <w:r>
        <w:t>(Source: Self-Created)</w:t>
      </w:r>
    </w:p>
    <w:p>
      <w:pPr>
        <w:pStyle w:val="style0"/>
        <w:rPr/>
      </w:pPr>
      <w:r>
        <w:t>Efficiency ratios of Tesla Inc. offer up information on the effectiveness of the company in terms of utilizing the resources to produce revenue. Inventory turnover ratio improved in 2021 when it was 6.99 times, as compared to 6.07 times in 2020, which shows better inventory management and quicker flow of goods. But this ratio has greatly dropped to 4.72 times in 2022, a possible suggestion of inefficiencies, perhaps because of supply chain problems or over-production at a time of intense growth. In 2023, the ratio has improved to 5.81 and in 2024, it is even better at 6.68, which shows improved inventory control and operational adjustments (Zhang, 2026).</w:t>
      </w:r>
    </w:p>
    <w:p>
      <w:pPr>
        <w:pStyle w:val="style0"/>
        <w:rPr/>
      </w:pPr>
      <w:r>
        <w:t>The initial trend with an improving tendency is the asset turnover ratio which was 0.60 in 2020 and rose to 0.99 in 2022. This means that Tesla was more effective in its asset utilisation to produce sales in this time span. Nevertheless, the percentage decreased to 0.91 in 2023 and to 0.80 in 2024, indicating that assets growth might have exceeded revenue creation. This may be attributed to high investments in new production plants, technology and infrastructure which are yet to be translated into corresponding growth in revenues.</w:t>
      </w:r>
    </w:p>
    <w:p>
      <w:pPr>
        <w:pStyle w:val="style0"/>
        <w:rPr/>
      </w:pPr>
      <w:r>
        <w:t>The analysis of efficiency as whole shows that Tesla has been able to effectively perform its operations early in its operational years, however, variability in inventory turnover and decreasing asset turnover within recent years tells of difficulties in retaining efficiency in fast growth (Zhang, 2025). This implies that there should be improved coordination of asset funding with revenues.</w:t>
      </w:r>
    </w:p>
    <w:bookmarkStart w:id="8" w:name="_9lbd8lxw1cxa" w:colFirst="0" w:colLast="0"/>
    <w:bookmarkStart w:id="9" w:name="_Toc227792501"/>
    <w:bookmarkEnd w:id="8"/>
    <w:p>
      <w:pPr>
        <w:pStyle w:val="style2"/>
        <w:rPr/>
      </w:pPr>
      <w:r>
        <w:t>2.3 Liquidity Analysis</w:t>
      </w:r>
      <w:bookmarkEnd w:id="9"/>
    </w:p>
    <w:p>
      <w:pPr>
        <w:pStyle w:val="style0"/>
        <w:rPr/>
      </w:pPr>
      <w:r>
        <w:rPr>
          <w:noProof/>
        </w:rPr>
        <w:drawing>
          <wp:inline distL="0" distT="0" distB="0" distR="0">
            <wp:extent cx="5943600" cy="1270000"/>
            <wp:effectExtent l="0" t="0" r="0" b="0"/>
            <wp:docPr id="1029"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5" cstate="print"/>
                    <a:srcRect l="0" t="0" r="0" b="0"/>
                    <a:stretch/>
                  </pic:blipFill>
                  <pic:spPr>
                    <a:xfrm rot="0">
                      <a:off x="0" y="0"/>
                      <a:ext cx="5943600" cy="12700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Figure 3: Liquidity ratio</w:t>
      </w:r>
    </w:p>
    <w:p>
      <w:pPr>
        <w:pStyle w:val="style0"/>
        <w:jc w:val="center"/>
        <w:rPr/>
      </w:pPr>
      <w:r>
        <w:t>(Source: Self-Created)</w:t>
      </w:r>
    </w:p>
    <w:p>
      <w:pPr>
        <w:pStyle w:val="style0"/>
        <w:rPr/>
      </w:pPr>
      <w:r>
        <w:t>Liquidity analysis assesses Tesla Inc. capability of meeting its short-term obligations. The current ratio improved upon 1.88 2020 to 2.54 2021, which means that it currently enjoys a good liquidity status and can better meet current liabilities using current assets. The ratio, however, fell to 1.53 in 2022, indicating a short-run liquidity strain which may have been caused by higher short-term liabilities or investment in working capital (Liang and Yubin, 2025). This ratio then stood at 1.73 in 2023 and even better in 2024 at 2.02 which suggests that liquidity has recovered.</w:t>
      </w:r>
    </w:p>
    <w:p>
      <w:pPr>
        <w:pStyle w:val="style0"/>
        <w:rPr/>
      </w:pPr>
      <w:r>
        <w:t>The same was the case with the quick ratio that does not include the inventory as part of its current assets. It increased from 1.59 in 2020 to 2.00 in 2021, then dropped sharply to 1.05 in 2022. This decline also points out that there might be a dependence on inventory so as to fulfill short term obligations of that year. Nevertheless, in 2023 this figure rose to 1.25 and in 2024 even higher to 1.61 which is an indicator of a better liquidity management and a better cash position.</w:t>
      </w:r>
    </w:p>
    <w:p>
      <w:pPr>
        <w:pStyle w:val="style0"/>
        <w:rPr/>
      </w:pPr>
      <w:r>
        <w:t>Generally, Tesla has a relatively good liquidity position, as both ratios are above 1 during the period. The 2022 decline is an indication that there is temporary stress on the financial position, yet the recovery that follows shows management of cash and working capital (Cui and Chen, 2025). This implies that the firm is financially stable enough in the short-term even as it allows it to pursue its growth plan.</w:t>
      </w:r>
    </w:p>
    <w:bookmarkStart w:id="10" w:name="_6cs93cr592ju" w:colFirst="0" w:colLast="0"/>
    <w:bookmarkStart w:id="11" w:name="_Toc227792502"/>
    <w:bookmarkEnd w:id="10"/>
    <w:p>
      <w:pPr>
        <w:pStyle w:val="style2"/>
        <w:rPr/>
      </w:pPr>
      <w:r>
        <w:t>2.4 Solvency (Gearing) Analysis</w:t>
      </w:r>
      <w:bookmarkEnd w:id="11"/>
    </w:p>
    <w:p>
      <w:pPr>
        <w:pStyle w:val="style0"/>
        <w:rPr/>
      </w:pPr>
      <w:r>
        <w:rPr>
          <w:noProof/>
        </w:rPr>
        <w:drawing>
          <wp:inline distL="0" distT="0" distB="0" distR="0">
            <wp:extent cx="5943600" cy="1079500"/>
            <wp:effectExtent l="0" t="0" r="0" b="0"/>
            <wp:docPr id="1030"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6" cstate="print"/>
                    <a:srcRect l="0" t="0" r="0" b="0"/>
                    <a:stretch/>
                  </pic:blipFill>
                  <pic:spPr>
                    <a:xfrm rot="0">
                      <a:off x="0" y="0"/>
                      <a:ext cx="5943600" cy="10795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Figure 5: Solvency ratio</w:t>
      </w:r>
    </w:p>
    <w:p>
      <w:pPr>
        <w:pStyle w:val="style0"/>
        <w:jc w:val="center"/>
        <w:rPr/>
      </w:pPr>
      <w:r>
        <w:t>(Source: Self-Created)</w:t>
      </w:r>
    </w:p>
    <w:p>
      <w:pPr>
        <w:pStyle w:val="style0"/>
        <w:rPr/>
      </w:pPr>
      <w:r>
        <w:t xml:space="preserve">Tesla Inc. is more financially stable with a capital structure as indicated by the solvency position. The debt-to-asset ratio decreased steadily from 0.54 in 2020 to 0.49 in 2021, 0.44 in 2022, and </w:t>
      </w:r>
      <w:r>
        <w:t>stabilised</w:t>
      </w:r>
      <w:r>
        <w:t xml:space="preserve"> at 0.40 in both 2023 and 2024. This decreasing trend shows that Tesla has been decreasing its dependence on debt financing over the years, thus diminishing financial risk and enhancing its solvency status (Muller, 2025).</w:t>
      </w:r>
    </w:p>
    <w:p>
      <w:pPr>
        <w:pStyle w:val="style0"/>
        <w:rPr/>
      </w:pPr>
      <w:r>
        <w:t>In contrast, the equity ratio increased from 0.43 in 2020 to 0.49 in 2021, 0.54 in 2022, 0.59 in 2023, and 0.60 in 2024. This trend indicates that there has been an increase in the percentage of assets which are being funded using equity and thus increasing financial stability and decreasing the exposure to interest liability. The rising equity base is an indicator that Tesla has been keeping or raising funds in the entity markets to contribute to its growth.</w:t>
      </w:r>
    </w:p>
    <w:p>
      <w:pPr>
        <w:pStyle w:val="style0"/>
        <w:rPr/>
      </w:pPr>
      <w:r>
        <w:t xml:space="preserve">In general, the solvency analysis shows an impressive and strengthening financial structure. The decrease in debt levels and growth in equity financing shows that the company is becoming more strategic in its change of the capital structure to a less risky and sustainable format. This places </w:t>
      </w:r>
      <w:r>
        <w:t>Tesla in a good stance in terms of financial well-being in the long-term and gives it larger room to invest and grow in the future (Liu and Zhou, 2025).</w:t>
      </w:r>
    </w:p>
    <w:bookmarkStart w:id="12" w:name="_i842zqasmg2k" w:colFirst="0" w:colLast="0"/>
    <w:bookmarkStart w:id="13" w:name="_Toc227792503"/>
    <w:bookmarkEnd w:id="12"/>
    <w:p>
      <w:pPr>
        <w:pStyle w:val="style2"/>
        <w:rPr/>
      </w:pPr>
      <w:r>
        <w:t>2.5 Cash Flow Analysis</w:t>
      </w:r>
      <w:bookmarkEnd w:id="13"/>
    </w:p>
    <w:p>
      <w:pPr>
        <w:pStyle w:val="style0"/>
        <w:rPr/>
      </w:pPr>
      <w:r>
        <w:rPr>
          <w:noProof/>
        </w:rPr>
        <w:drawing>
          <wp:inline distL="0" distT="0" distB="0" distR="0">
            <wp:extent cx="5943600" cy="1143000"/>
            <wp:effectExtent l="0" t="0" r="0" b="0"/>
            <wp:docPr id="1031"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cstate="print"/>
                    <a:srcRect l="0" t="0" r="0" b="0"/>
                    <a:stretch/>
                  </pic:blipFill>
                  <pic:spPr>
                    <a:xfrm rot="0">
                      <a:off x="0" y="0"/>
                      <a:ext cx="5943600" cy="11430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Figure 5: Cash flow analysis</w:t>
      </w:r>
    </w:p>
    <w:p>
      <w:pPr>
        <w:pStyle w:val="style0"/>
        <w:jc w:val="center"/>
        <w:rPr/>
      </w:pPr>
      <w:r>
        <w:t>(Source: Self-Created)</w:t>
      </w:r>
    </w:p>
    <w:p>
      <w:pPr>
        <w:pStyle w:val="style0"/>
        <w:rPr/>
      </w:pPr>
      <w:r>
        <w:t>Cash flow analysis gives a better insight into the real liquidity status of Tesla Inc. not in terms of accounting profits. Compared to the prior year, 0.42, the operating cash flow ratio improved by a huge margin because in the year 2021, there was 1.08, which means that the company has enough cash operating to meet its current liabilities. This excellent performance indicates that its operational efficiency and cash management were better at that time (</w:t>
      </w:r>
      <w:r>
        <w:t>Komarudin</w:t>
      </w:r>
      <w:r>
        <w:t>, 2025).</w:t>
      </w:r>
    </w:p>
    <w:p>
      <w:pPr>
        <w:pStyle w:val="style0"/>
        <w:rPr/>
      </w:pPr>
      <w:r>
        <w:t xml:space="preserve">However, the ratio declined to 0.55 in 2022, 0.46 in 2023, and slightly improved to 0.52 in 2024. This negative trend indicates that Tesla generated </w:t>
      </w:r>
      <w:r>
        <w:t>less</w:t>
      </w:r>
      <w:r>
        <w:t xml:space="preserve"> operating cash in comparison to its short-term commitments since 2021. Although the ratios are still above the critical levels, the ratios below 1 signal that current operating cash flows might not be adequate enough to cover the current liabilities and puts liquidity issues into focus.</w:t>
      </w:r>
    </w:p>
    <w:p>
      <w:pPr>
        <w:pStyle w:val="style0"/>
        <w:rPr/>
      </w:pPr>
      <w:r>
        <w:t>Likewise, the cash flow to debt ratio changed to a better position (0.21 in 2020), and reached a high level (0.40 in 2022) which reflects the ability to meet total debt through operational cash flows. In 2023 and 2024, the ratio however dropped to 0.31, indicating that it has lower repayment capacity compared with previous years (</w:t>
      </w:r>
      <w:r>
        <w:t>Katterbauer</w:t>
      </w:r>
      <w:r>
        <w:t xml:space="preserve"> </w:t>
      </w:r>
      <w:r>
        <w:rPr>
          <w:i/>
          <w:iCs/>
        </w:rPr>
        <w:t>et al.</w:t>
      </w:r>
      <w:r>
        <w:t>, 2025).</w:t>
      </w:r>
    </w:p>
    <w:p>
      <w:pPr>
        <w:pStyle w:val="style0"/>
        <w:rPr/>
      </w:pPr>
      <w:r>
        <w:t>An analysis of profitability in comparison with cash flow discloses a key revelation. Although Tesla documented high net profits, especially in 2022 and 2023, the numbers of cash flow ratios decreased over recent years. This means there could be a difference between accounting profits and cash generated, which could be as a result of an increase in receivables, buildup of inventory, or capital expenditure.</w:t>
      </w:r>
    </w:p>
    <w:bookmarkStart w:id="14" w:name="_wqmt9d77pkd0" w:colFirst="0" w:colLast="0"/>
    <w:bookmarkStart w:id="15" w:name="_Toc227792504"/>
    <w:bookmarkEnd w:id="14"/>
    <w:p>
      <w:pPr>
        <w:pStyle w:val="style1"/>
        <w:rPr/>
      </w:pPr>
      <w:r>
        <w:t>3. Working Capital Management</w:t>
      </w:r>
      <w:bookmarkEnd w:id="15"/>
    </w:p>
    <w:bookmarkStart w:id="16" w:name="_j9txvlopf4cg" w:colFirst="0" w:colLast="0"/>
    <w:bookmarkStart w:id="17" w:name="_Toc227792505"/>
    <w:bookmarkEnd w:id="16"/>
    <w:p>
      <w:pPr>
        <w:pStyle w:val="style2"/>
        <w:rPr/>
      </w:pPr>
      <w:r>
        <w:t>3.1 Cash Conversion Cycle Analysis</w:t>
      </w:r>
      <w:bookmarkEnd w:id="17"/>
    </w:p>
    <w:p>
      <w:pPr>
        <w:pStyle w:val="style0"/>
        <w:rPr/>
      </w:pPr>
      <w:r>
        <w:rPr>
          <w:noProof/>
        </w:rPr>
        <w:drawing>
          <wp:inline distL="0" distT="0" distB="0" distR="0">
            <wp:extent cx="5943600" cy="914400"/>
            <wp:effectExtent l="0" t="0" r="0" b="0"/>
            <wp:docPr id="1032"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8" cstate="print"/>
                    <a:srcRect l="0" t="0" r="0" b="0"/>
                    <a:stretch/>
                  </pic:blipFill>
                  <pic:spPr>
                    <a:xfrm rot="0">
                      <a:off x="0" y="0"/>
                      <a:ext cx="5943600" cy="9144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Figure 6: Cash Conversion Cycle</w:t>
      </w:r>
    </w:p>
    <w:p>
      <w:pPr>
        <w:pStyle w:val="style0"/>
        <w:jc w:val="center"/>
        <w:rPr/>
      </w:pPr>
      <w:r>
        <w:t>(Source: Self-Created)</w:t>
      </w:r>
    </w:p>
    <w:p>
      <w:pPr>
        <w:pStyle w:val="style0"/>
        <w:rPr/>
      </w:pPr>
      <w:r>
        <w:t>Cash conversion cycle (CCC) is one of the most important indicators of the effectiveness with which Tesla Inc. can use its working capital by considering the period of time in which the investments in inventory and receivables can be converted into the cash flows. The CCC of Tesla reflects strong changes during the five-year period, 2020-24, which shows the ability to shift operational efficiency to differing rates.</w:t>
      </w:r>
    </w:p>
    <w:p>
      <w:pPr>
        <w:pStyle w:val="style0"/>
        <w:rPr/>
      </w:pPr>
      <w:r>
        <w:t>The negative CCC of -6.7 days in 2020 indicates that Tesla has a very effective working capital system. This implies that the firm could get paid by the customers prior to paying its suppliers. High payable days of 88.7, in comparison to the inventory days of 60.1 and receivable days of 21.8, contributed greatly towards this strong position (Ibrahim Abugarayesh, 2025). Likewise, in 2022 CCC once more became negative at -1.3 days, with the significant growth in payable days to 91.9, despite a significant increase in inventory days to 77.3. These adverse loops underscore Tesla's capability to efficiently utilize supplier financing as a short-term source of funds.</w:t>
      </w:r>
    </w:p>
    <w:p>
      <w:pPr>
        <w:pStyle w:val="style0"/>
        <w:rPr/>
      </w:pPr>
      <w:r>
        <w:t>Nevertheless, in 2021, 2023, and 2024, the CCC became positive, which means that the efficiency of working capital slowed down. The CCC rose substantially in 2021 to 31.0 days, mainly because of a drastic drop in payable days to 34.2 and inventory days stood at 52.2 and receivable days dropped to 13.0. This is indicative of the fact that Tesla paid its suppliers faster shortening the perks of supplier credit. The CCC of 9.5 and 14.4 days in 2023 and 2024, respectively, indicate a moderate working capital cycle. The drop-in inventory days to 62.9 in 2023 and to 54.7 in 2024 did not allow the company to sustain a negative cycle as payable days dropped to 66.6 and 56.7.</w:t>
      </w:r>
    </w:p>
    <w:bookmarkStart w:id="18" w:name="_2jwhdkrxg035" w:colFirst="0" w:colLast="0"/>
    <w:bookmarkStart w:id="19" w:name="_Toc227792506"/>
    <w:bookmarkEnd w:id="18"/>
    <w:p>
      <w:pPr>
        <w:pStyle w:val="style2"/>
        <w:rPr/>
      </w:pPr>
      <w:r>
        <w:t>3.2 Working Capital Evaluation</w:t>
      </w:r>
      <w:bookmarkEnd w:id="19"/>
    </w:p>
    <w:p>
      <w:pPr>
        <w:pStyle w:val="style0"/>
        <w:rPr/>
      </w:pPr>
      <w:r>
        <w:t xml:space="preserve">The working capital analysis of Tesla Inc. indicates its efficiency in dealing with its short-term assets and liabilities. Over five years, Tesla grew and expanded its current assets between 2020 and 2024, which amounted to £26,717 million to 58360 million, respectively. Meanwhile, the </w:t>
      </w:r>
      <w:r>
        <w:t xml:space="preserve">current liabilities also went up by increasing by 28,821 million to 14, 248 million albeit with a relatively lower rate. This growth trend is supportive of the trend of generally stable liquidity position of the company in the previous ratio analysis (Cho </w:t>
      </w:r>
      <w:r>
        <w:rPr>
          <w:i/>
          <w:iCs/>
        </w:rPr>
        <w:t>et al.</w:t>
      </w:r>
      <w:r>
        <w:t>, 2025).</w:t>
      </w:r>
    </w:p>
    <w:p>
      <w:pPr>
        <w:pStyle w:val="style0"/>
        <w:rPr/>
      </w:pPr>
      <w:r>
        <w:t>Another very positive point is the increase in the inventory level since it was at its lowest in 2020 when the company had levels of 4,101 million, then rose to the highest at 13,626 million in 2023 before marginally decreasing, to be at 12,017 million in 2024. The growth of the inventory can be attributed to the growth of production capacity and the growing demand of electric vehicles at Tesla. Nonetheless, the drastic rise of 2022 and 2023, however, could also reflect potential inefficiency because an improvement of the inventories could mean a greater holding cost and obsolescence risk.</w:t>
      </w:r>
    </w:p>
    <w:p>
      <w:pPr>
        <w:pStyle w:val="style0"/>
        <w:rPr/>
      </w:pPr>
      <w:r>
        <w:t>The change in the inventory days especially reaching an in-cycle of 77.3 days in the year 2022 is an additional indication of existing inventory management issues during the moments of swift growth. Though the decrease to 54.7 days in 2024 is a good sign, the general direction shows that Tesla should strike a delicate balance between manufacturing and demand (</w:t>
      </w:r>
      <w:r>
        <w:t>Onomakpo</w:t>
      </w:r>
      <w:r>
        <w:t>, 2025).</w:t>
      </w:r>
    </w:p>
    <w:bookmarkStart w:id="20" w:name="_xe24bbutnxpf" w:colFirst="0" w:colLast="0"/>
    <w:bookmarkStart w:id="21" w:name="_Toc227792507"/>
    <w:bookmarkEnd w:id="20"/>
    <w:p>
      <w:pPr>
        <w:pStyle w:val="style2"/>
        <w:rPr/>
      </w:pPr>
      <w:r>
        <w:t>3.3 Recommendations</w:t>
      </w:r>
      <w:bookmarkEnd w:id="21"/>
    </w:p>
    <w:p>
      <w:pPr>
        <w:pStyle w:val="style0"/>
        <w:rPr/>
      </w:pPr>
      <w:r>
        <w:t>Tesla Inc. has an opportunity to enhance the efficiency of working capital by seeking ways to optimise the key elements of the cash conversion cycle. Receivables management is one of the key aspects that should be improved. Even though the levels of receivable days were also quite low (16.5 days in 2024 as compared to 13.0 days in 2021), even minor shifts can affect cash flow. To promote efficiency in Tesla collection, the company can apply tougher credit requirements, provide incentives with early payments, and use electronic payment mechanisms to ensure faster cash flows (</w:t>
      </w:r>
      <w:r>
        <w:t>Dinçergök</w:t>
      </w:r>
      <w:r>
        <w:t xml:space="preserve"> and </w:t>
      </w:r>
      <w:r>
        <w:t>Pirgaip</w:t>
      </w:r>
      <w:r>
        <w:t>, 2025).</w:t>
      </w:r>
    </w:p>
    <w:p>
      <w:pPr>
        <w:pStyle w:val="style0"/>
        <w:rPr/>
      </w:pPr>
      <w:r>
        <w:t>Another imperative area that should be addressed is inventory management. There is much increase in inventory days especially in 2022 which suggests issues with inventory control. To ensure that production is optimized to market demand, Tesla should consider more sophisticated inventory management systems like just-in-time (JIT), demand forecasting, and data analytics. This would assist in decreasing holding costs and the chances of surplus inventory.</w:t>
      </w:r>
    </w:p>
    <w:p>
      <w:pPr>
        <w:pStyle w:val="style0"/>
        <w:rPr/>
      </w:pPr>
      <w:r>
        <w:t xml:space="preserve">Moreover, supplier management is also important in ensuring a positive cash conversion cycle. The current decrease in the payable days of 88.7 in 2020 to 56.7 in 2024 hints at a lesser dependency on supplier credit. Tesla ought to discuss more viable terms of payments with </w:t>
      </w:r>
      <w:r>
        <w:t>suppliers to extend terms of payment without ruining relations. This would enable the company to hold cash longer and enhance liquidity (</w:t>
      </w:r>
      <w:r>
        <w:t>Baruwa</w:t>
      </w:r>
      <w:r>
        <w:t xml:space="preserve"> </w:t>
      </w:r>
      <w:r>
        <w:rPr>
          <w:i/>
          <w:iCs/>
        </w:rPr>
        <w:t>et al.</w:t>
      </w:r>
      <w:r>
        <w:t>, 2025).</w:t>
      </w:r>
    </w:p>
    <w:bookmarkStart w:id="22" w:name="_7j43v0i21m8n" w:colFirst="0" w:colLast="0"/>
    <w:bookmarkStart w:id="23" w:name="_Toc227792508"/>
    <w:bookmarkEnd w:id="22"/>
    <w:p>
      <w:pPr>
        <w:pStyle w:val="style1"/>
        <w:rPr/>
      </w:pPr>
      <w:r>
        <w:t>4. Strategic Financial Restructuring</w:t>
      </w:r>
      <w:bookmarkEnd w:id="23"/>
    </w:p>
    <w:bookmarkStart w:id="24" w:name="_km2y2aos6zuy" w:colFirst="0" w:colLast="0"/>
    <w:bookmarkStart w:id="25" w:name="_Toc227792509"/>
    <w:bookmarkEnd w:id="24"/>
    <w:p>
      <w:pPr>
        <w:pStyle w:val="style2"/>
        <w:rPr/>
      </w:pPr>
      <w:r>
        <w:t>4.1 Financial Problems Identified</w:t>
      </w:r>
      <w:bookmarkEnd w:id="25"/>
    </w:p>
    <w:p>
      <w:pPr>
        <w:pStyle w:val="style0"/>
        <w:rPr/>
      </w:pPr>
      <w:r>
        <w:t xml:space="preserve">The financial discussion of Tesla Inc. identifies some urgent problems which require strategic financial redesigning. The reduction in the profitability levels in recent years is one of the main issues. Whereas gross and net profit ratios showed a good growth in the company until 2022, the decline in the 2023 and 2024 years shows growing cost pressures and a possible challenging pricing strategy (Liu </w:t>
      </w:r>
      <w:r>
        <w:rPr>
          <w:i/>
          <w:iCs/>
        </w:rPr>
        <w:t>et al.</w:t>
      </w:r>
      <w:r>
        <w:t>, 2025). Compression of margins can be inferred by the decrease in the gross profit ratio which reduced by 18% in 2024 as compared to 26% in 2022 and the decrease in net profit ratio which collapsed to 7%. This can be attributed to aggressive pricing policies to keep market share, increased cost of raw materials and heightened competition in the electric vehicle industry.</w:t>
      </w:r>
    </w:p>
    <w:p>
      <w:pPr>
        <w:pStyle w:val="style0"/>
        <w:rPr/>
      </w:pPr>
      <w:r>
        <w:t xml:space="preserve">The other major problem is the fluctuation in the performance of the cash flow. Though Tesla recorded a good operating cash flow ratio of 1.08 in 2021, the following years have seen a downward trend, with the ratio determined to be less than 1.0. This shows that the operating cash flows do not always adequately meet short term liabilities. Furthermore, the difference between accounting profits and cash generation indicates there are probably inefficiencies in cash management from increased receivables, inventory holding or increased capital expenditures (Haryanto </w:t>
      </w:r>
      <w:r>
        <w:rPr>
          <w:i/>
          <w:iCs/>
        </w:rPr>
        <w:t>et al.</w:t>
      </w:r>
      <w:r>
        <w:t>, 2025).</w:t>
      </w:r>
    </w:p>
    <w:p>
      <w:pPr>
        <w:pStyle w:val="style0"/>
        <w:rPr/>
      </w:pPr>
      <w:r>
        <w:t>Besides, the rising cash conversion cycle over the past few years accentuates working capital inefficiency in management. Although Tesla continued to have negative cycles during 2020 and 2022, a transition to positive cycles in 2021, 2023 and 2024 shows that an increasing amount of cash is now tied-up in the business. This trend has been enhanced by the reduction in payable days and variation of inventory levels which has lowered the benefits of supplier financing.</w:t>
      </w:r>
    </w:p>
    <w:bookmarkStart w:id="26" w:name="_up7fjjqr1045" w:colFirst="0" w:colLast="0"/>
    <w:bookmarkStart w:id="27" w:name="_Toc227792510"/>
    <w:bookmarkEnd w:id="26"/>
    <w:p>
      <w:pPr>
        <w:pStyle w:val="style2"/>
        <w:rPr/>
      </w:pPr>
      <w:r>
        <w:t>4.2 Restructuring Strategies</w:t>
      </w:r>
      <w:bookmarkEnd w:id="27"/>
    </w:p>
    <w:p>
      <w:pPr>
        <w:pStyle w:val="style0"/>
        <w:rPr/>
      </w:pPr>
      <w:r>
        <w:t xml:space="preserve">Tesla Inc. needs to employ an effective strategic financial restructuring plan to meet the identified financial challenges, aiming at enhancing efficiency, profitability, and financial stability. A sound cost control framework is one of the strategies. Since there has been a decrease in profit margins, Tesla ought to consider cutting the production and operation costs by optimizing its processes, automating them, and making their supply chain cost-effective (Daruwala and Mansour, 2025). </w:t>
      </w:r>
      <w:r>
        <w:t>The economies of scale can be used to reduce input costs by negotiating with suppliers and lowering the costs, and cost efficiency can be raised through technological inventions in battery production.</w:t>
      </w:r>
    </w:p>
    <w:p>
      <w:pPr>
        <w:pStyle w:val="style0"/>
        <w:rPr/>
      </w:pPr>
      <w:r>
        <w:t>Another strategy direction that is significant is diversification. Electric vehicles are not Tesla’s only means of diversification since the company has already moved beyond to energy storage and solar power, yet further diversification of energy infrastructure, artificial intelligence, autonomous driving software, and more can offer some more revenue opportunities (</w:t>
      </w:r>
      <w:r>
        <w:t>Kumalawati</w:t>
      </w:r>
      <w:r>
        <w:t xml:space="preserve"> and </w:t>
      </w:r>
      <w:r>
        <w:t>Noveria</w:t>
      </w:r>
      <w:r>
        <w:t>, 2026). Increasing global market orientation and creation of complementary products should assist in lessening the reliance on vehicle sales as well as counteract the risk of market volatility.</w:t>
      </w:r>
    </w:p>
    <w:p>
      <w:pPr>
        <w:pStyle w:val="style0"/>
        <w:rPr/>
      </w:pPr>
      <w:r>
        <w:t>Regarding financial structure, Tesla ought to persist in partaking an equity-based move other than a dependence on debt. The decreasing debt-to-asset ratio is a good sign, and additional enhancement of the equity base can minimize financial risk and interest payments. Tesla has the opportunity to finance expansion initiatives by making use of equity markets or without having to sell its earnings, thus preserving good balance sheet.</w:t>
      </w:r>
    </w:p>
    <w:p>
      <w:pPr>
        <w:pStyle w:val="style0"/>
        <w:rPr/>
      </w:pPr>
      <w:r>
        <w:t xml:space="preserve">The optimisation of assets is also vital to enhance efficiency. The ratio of asset turnover has been falling indicating that asset utilisation in the past few years has not been efficient. Tesla needs to work on optimising results of the current assets through the improvement of capacity utilisation and subjecting investments and revenue generation into sync (Matevosyan </w:t>
      </w:r>
      <w:r>
        <w:rPr>
          <w:i/>
          <w:iCs/>
        </w:rPr>
        <w:t>et al.</w:t>
      </w:r>
      <w:r>
        <w:t>, 2026). By selling assets that are either performing poorly or not core, it becomes possible to release resources to other more productive activities whilst any strategic investments made are to be well assessed to be getting sufficient returns.</w:t>
      </w:r>
    </w:p>
    <w:bookmarkStart w:id="28" w:name="_4lwssgcqbpe9" w:colFirst="0" w:colLast="0"/>
    <w:bookmarkStart w:id="29" w:name="_Toc227792511"/>
    <w:bookmarkEnd w:id="28"/>
    <w:p>
      <w:pPr>
        <w:pStyle w:val="style2"/>
        <w:rPr/>
      </w:pPr>
      <w:r>
        <w:t>4.3 Impact Analysis</w:t>
      </w:r>
      <w:bookmarkEnd w:id="29"/>
    </w:p>
    <w:p>
      <w:pPr>
        <w:pStyle w:val="style0"/>
        <w:rPr/>
      </w:pPr>
      <w:r>
        <w:t xml:space="preserve">Such an application of strategic restructuring of funds will have a considerable impact on different stakeholders of Tesla Inc.. To the shareholders, this would increase in the long term their profitability and shareholder value due to better cost efficiency and diversification. Nonetheless, there is a potential of a shift towards equity financing resulting in the dilution of ownership, a factor that might not be optimal to the current shareholders within a short period (Ali </w:t>
      </w:r>
      <w:r>
        <w:rPr>
          <w:i/>
          <w:iCs/>
        </w:rPr>
        <w:t>et al.</w:t>
      </w:r>
      <w:r>
        <w:t>, 2025).</w:t>
      </w:r>
    </w:p>
    <w:p>
      <w:pPr>
        <w:pStyle w:val="style0"/>
        <w:rPr/>
      </w:pPr>
      <w:r>
        <w:t xml:space="preserve">On the aspect of debt, decreased dependence on the debt financing will impact a decrease in financial risks and interest payments, enhancing the financial position of the company in terms of its solvency. The reduction in debt would improve the creditworthiness of Tesla as well as make </w:t>
      </w:r>
      <w:r>
        <w:t>them more resilient to the economic downs. This corresponds to the decrease in the debt-to-asset ratio that has been noted and a more sustainable financial structure.</w:t>
      </w:r>
    </w:p>
    <w:p>
      <w:pPr>
        <w:pStyle w:val="style0"/>
        <w:rPr/>
      </w:pPr>
      <w:r>
        <w:t>Regarding the flexibility of operations, the suggested strategies will lead to a substantial enhancement of Tesla functioning in terms of adapting to the varying market environment (</w:t>
      </w:r>
      <w:r>
        <w:t>Changxiang</w:t>
      </w:r>
      <w:r>
        <w:t xml:space="preserve"> </w:t>
      </w:r>
      <w:r>
        <w:rPr>
          <w:i/>
          <w:iCs/>
        </w:rPr>
        <w:t>et al.</w:t>
      </w:r>
      <w:r>
        <w:t>, 2025). This will be achieved through diversification and asset optimisation, which will make the company better respond to demand changes and improve with technological changes. Moreover, better working capital management will increase liquidity to enable Tesla to fulfill the short-term obligations more effectively.</w:t>
      </w:r>
    </w:p>
    <w:bookmarkStart w:id="30" w:name="_k5voumgf2r3d" w:colFirst="0" w:colLast="0"/>
    <w:bookmarkStart w:id="31" w:name="_Toc227792512"/>
    <w:bookmarkEnd w:id="30"/>
    <w:p>
      <w:pPr>
        <w:pStyle w:val="style2"/>
        <w:rPr/>
      </w:pPr>
      <w:r>
        <w:t>4.4 Global &amp; Ethical Considerations</w:t>
      </w:r>
      <w:bookmarkEnd w:id="31"/>
    </w:p>
    <w:p>
      <w:pPr>
        <w:pStyle w:val="style0"/>
        <w:rPr/>
      </w:pPr>
      <w:r>
        <w:t>Tesla Inc. is a multinational company, so in its financial restructuring plan, the company has to take into account several international and ethical considerations. Exposure to currency risk is one of the main challenges, since Tesla has many countries of operation and collects revenues in various currencies. Changes in the exchange rates may also affect the profitability and cash flows, which can be addressed using hedging techniques to reduce risks (Sethi and Bapat, 2026).</w:t>
      </w:r>
    </w:p>
    <w:p>
      <w:pPr>
        <w:pStyle w:val="style0"/>
        <w:rPr/>
      </w:pPr>
      <w:r>
        <w:t>Another crucial aspect of costs and price policies is inflation. Inflation may lead to high expenses in raw materials, labour and logistics and hence pressurize profit margins. Tesla needs to implement the flexible pricing policy and cost management techniques to deal with the inflationary forces.</w:t>
      </w:r>
    </w:p>
    <w:p>
      <w:pPr>
        <w:pStyle w:val="style0"/>
        <w:rPr/>
      </w:pPr>
      <w:r>
        <w:t xml:space="preserve">The Tesla business model is fundamentally based on the complex of environmental, social, and governance (ESG) considerations. Being a pioneer in sustainable energy solutions, the company will be required to have high ecological standards and decrease its carbon footprint (Becerra Ruiz </w:t>
      </w:r>
      <w:r>
        <w:rPr>
          <w:i/>
          <w:iCs/>
        </w:rPr>
        <w:t>et al.</w:t>
      </w:r>
      <w:r>
        <w:t>, 2025). By investing further in clean technologies and manufacturing processes that are sustainable, Tesla will improve its reputation and will not be in conflict with the sustainability targets of the world.</w:t>
      </w:r>
    </w:p>
    <w:p>
      <w:pPr>
        <w:pStyle w:val="style0"/>
        <w:rPr/>
      </w:pPr>
      <w:r>
        <w:t>Corporate Social Responsibility (CSR) is also crucial in ensuring that the trust of the stakeholders can be sustained. Tesla needs to make sure that it sources the materials ethically, especially those used in the battery production, as well as, it should advocate fair working conditions throughout its supply chain. Tesla can ease its financial strategy by incorporating ethical considerations and thus, it can grow sustainably and remain socially and environmentally responsible.</w:t>
      </w:r>
    </w:p>
    <w:bookmarkStart w:id="32" w:name="_bjmv43buaah0" w:colFirst="0" w:colLast="0"/>
    <w:bookmarkStart w:id="33" w:name="_Toc227792513"/>
    <w:bookmarkEnd w:id="32"/>
    <w:p>
      <w:pPr>
        <w:pStyle w:val="style1"/>
        <w:rPr/>
      </w:pPr>
      <w:r>
        <w:t>5. Investment Appraisal</w:t>
      </w:r>
      <w:bookmarkEnd w:id="33"/>
    </w:p>
    <w:bookmarkStart w:id="34" w:name="_fkqxnm5yuyh2" w:colFirst="0" w:colLast="0"/>
    <w:bookmarkStart w:id="35" w:name="_Toc227792514"/>
    <w:bookmarkEnd w:id="34"/>
    <w:p>
      <w:pPr>
        <w:pStyle w:val="style2"/>
        <w:rPr/>
      </w:pPr>
      <w:r>
        <w:t>5.1 Evaluation of Projects</w:t>
      </w:r>
      <w:bookmarkEnd w:id="35"/>
    </w:p>
    <w:p>
      <w:pPr>
        <w:pStyle w:val="style0"/>
        <w:jc w:val="center"/>
        <w:rPr/>
      </w:pPr>
      <w:r>
        <w:rPr>
          <w:noProof/>
        </w:rPr>
        <w:drawing>
          <wp:inline distL="0" distT="0" distB="0" distR="0">
            <wp:extent cx="3933825" cy="6261864"/>
            <wp:effectExtent l="0" t="0" r="0" b="0"/>
            <wp:docPr id="1033"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cstate="print"/>
                    <a:srcRect l="0" t="0" r="0" b="0"/>
                    <a:stretch/>
                  </pic:blipFill>
                  <pic:spPr>
                    <a:xfrm rot="0">
                      <a:off x="0" y="0"/>
                      <a:ext cx="3933825" cy="6261864"/>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 xml:space="preserve">Figure 7: Project </w:t>
      </w:r>
      <w:r>
        <w:rPr>
          <w:b/>
          <w:bCs/>
        </w:rPr>
        <w:t>A</w:t>
      </w:r>
      <w:r>
        <w:rPr>
          <w:b/>
          <w:bCs/>
        </w:rPr>
        <w:t xml:space="preserve"> Investment </w:t>
      </w:r>
      <w:r>
        <w:rPr>
          <w:b/>
          <w:bCs/>
        </w:rPr>
        <w:t>Apprisal</w:t>
      </w:r>
    </w:p>
    <w:p>
      <w:pPr>
        <w:pStyle w:val="style0"/>
        <w:jc w:val="center"/>
        <w:rPr/>
      </w:pPr>
      <w:r>
        <w:t>(Source: Self-Created)</w:t>
      </w:r>
    </w:p>
    <w:p>
      <w:pPr>
        <w:pStyle w:val="style0"/>
        <w:rPr/>
      </w:pPr>
      <w:r>
        <w:t xml:space="preserve">Key capital budgeting techniques are used to evaluate the investment appraisal of proposed projects in Tesla Inc., i.e., Net Present Value (NPV), Internal Rate of Return (IRR), Payback Period </w:t>
      </w:r>
      <w:r>
        <w:t>(PBP), Profitability Index (PI), and Accounting Rate of Return (ARR). The approaches offer a holistic assessment of financial feasibility and risk of every project (</w:t>
      </w:r>
      <w:r>
        <w:t>Comachaei</w:t>
      </w:r>
      <w:r>
        <w:t>, 2025).</w:t>
      </w:r>
    </w:p>
    <w:p>
      <w:pPr>
        <w:pStyle w:val="style0"/>
        <w:rPr/>
      </w:pPr>
      <w:r>
        <w:t>Project A is initially planned on a cash outlay of £50 million and cash inflows of 5 years. The discounted cash flow analysis indicates that the discounted inflow estimation equals less than the amount of the initial investment leading to the negative NPV of - £8.68 million. The profitability index value also proves negative; it is at -0.17 implying that the project is not creating the right amount of value in relation to the cost. Project A will have a payback period of 4.5 years, which implies that it is a long way to payback. Also, the IRR of 2.7 is considerably below the discount rate of 10 which means that the project does not perform the money-earning required (</w:t>
      </w:r>
      <w:r>
        <w:t>Toušek</w:t>
      </w:r>
      <w:r>
        <w:t xml:space="preserve"> </w:t>
      </w:r>
      <w:r>
        <w:rPr>
          <w:i/>
          <w:iCs/>
        </w:rPr>
        <w:t>et al.</w:t>
      </w:r>
      <w:r>
        <w:t>, 2025). Despite the fact that ARR is 22 which implies moderate accounting profitability, the general financial indicators indicate that the Project A is not financial.</w:t>
      </w:r>
    </w:p>
    <w:p>
      <w:pPr>
        <w:pStyle w:val="style0"/>
        <w:jc w:val="center"/>
        <w:rPr/>
      </w:pPr>
      <w:r>
        <w:rPr>
          <w:noProof/>
        </w:rPr>
        <w:drawing>
          <wp:inline distL="0" distT="0" distB="0" distR="0">
            <wp:extent cx="3950478" cy="6196013"/>
            <wp:effectExtent l="0" t="0" r="0" b="0"/>
            <wp:docPr id="1034"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0" cstate="print"/>
                    <a:srcRect l="0" t="0" r="0" b="0"/>
                    <a:stretch/>
                  </pic:blipFill>
                  <pic:spPr>
                    <a:xfrm rot="0">
                      <a:off x="0" y="0"/>
                      <a:ext cx="3950478" cy="6196013"/>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 xml:space="preserve">Figure 8: Project B Investment </w:t>
      </w:r>
      <w:r>
        <w:rPr>
          <w:b/>
          <w:bCs/>
        </w:rPr>
        <w:t>Apprisal</w:t>
      </w:r>
    </w:p>
    <w:p>
      <w:pPr>
        <w:pStyle w:val="style0"/>
        <w:jc w:val="center"/>
        <w:rPr/>
      </w:pPr>
      <w:r>
        <w:t>(Source: Self-Created)</w:t>
      </w:r>
    </w:p>
    <w:p>
      <w:pPr>
        <w:pStyle w:val="style0"/>
        <w:rPr/>
      </w:pPr>
      <w:r>
        <w:t xml:space="preserve">Project B will also need a startup capital of £50 million and a stable cash inflows of 11 million yearly. The NPV of the Project B equals -£8.30 million and, though this slightly higher than that of Project A, it is a loss in value. The profitability index is still negative at -0.17 which again proves that the given discount rate does not make the project a feasible one. </w:t>
      </w:r>
      <w:r>
        <w:t>Its</w:t>
      </w:r>
      <w:r>
        <w:t xml:space="preserve"> payback period is also equal to that of project A at 4.5 years thus showing slow payback on the initial investment. The </w:t>
      </w:r>
      <w:r>
        <w:t>IRR of 3.3 is slightly increased compared to that of project A and it is still significantly lower than the necessary IRR of 10%. The ARR of the project is 22, but the economic returns are not adequate. Hence, Project B is not very attractive financially either (Sharma, 2025).</w:t>
      </w:r>
    </w:p>
    <w:p>
      <w:pPr>
        <w:pStyle w:val="style0"/>
        <w:jc w:val="center"/>
        <w:rPr/>
      </w:pPr>
      <w:r>
        <w:rPr>
          <w:noProof/>
        </w:rPr>
        <w:drawing>
          <wp:inline distL="0" distT="0" distB="0" distR="0">
            <wp:extent cx="4237778" cy="6681787"/>
            <wp:effectExtent l="0" t="0" r="0" b="0"/>
            <wp:docPr id="1035"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9.png"/>
                    <pic:cNvPicPr/>
                  </pic:nvPicPr>
                  <pic:blipFill>
                    <a:blip r:embed="rId11" cstate="print"/>
                    <a:srcRect l="0" t="0" r="0" b="0"/>
                    <a:stretch/>
                  </pic:blipFill>
                  <pic:spPr>
                    <a:xfrm rot="0">
                      <a:off x="0" y="0"/>
                      <a:ext cx="4237778" cy="6681787"/>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rPr>
      </w:pPr>
      <w:r>
        <w:rPr>
          <w:b/>
          <w:bCs/>
        </w:rPr>
        <w:t xml:space="preserve">Figure 9: Project C Investment </w:t>
      </w:r>
      <w:r>
        <w:rPr>
          <w:b/>
          <w:bCs/>
        </w:rPr>
        <w:t>Apprisal</w:t>
      </w:r>
    </w:p>
    <w:p>
      <w:pPr>
        <w:pStyle w:val="style0"/>
        <w:jc w:val="center"/>
        <w:rPr/>
      </w:pPr>
      <w:r>
        <w:t>(Source: Self-Created)</w:t>
      </w:r>
    </w:p>
    <w:p>
      <w:pPr>
        <w:pStyle w:val="style0"/>
        <w:rPr/>
      </w:pPr>
      <w:r>
        <w:t>On the contrary, Project C shows slightly improved financial performance. Whereas it is also initial investment of around 50 million, the cash inflow yield is more attractive with increased returns in the later years. The NPV of Project C equals -1.98 million, which is much less negative than of the Projects A and B. The profitability index is also nearer to zero at -0.04 showing a near break-even situation. Payback period stands at 3.6 years and it is less than that of the Project A and Project B, indicating faster recovery of the investment. In addition, project C has the largest IRR of 9 which is near the required rate of return of 10. Also, the ARR is higher at 26% which shows greater accounting profitability (Mujtaba, 2025).</w:t>
      </w:r>
    </w:p>
    <w:p>
      <w:pPr>
        <w:pStyle w:val="style0"/>
        <w:rPr/>
      </w:pPr>
      <w:r>
        <w:t>In general, this assessment indicates that each of the three projects contains a negative NPV indicating that none of them are able to provide the appropriate magnitude of return required. Nevertheless, Project C is always performing better in all the evaluation criteria where the Project C is the financially viable choice between the three. This discussion has shown that it is desirable to employ various methods of appraisal in coming up with informed investment decisions (</w:t>
      </w:r>
      <w:r>
        <w:t>Darmansyah</w:t>
      </w:r>
      <w:r>
        <w:t xml:space="preserve"> </w:t>
      </w:r>
      <w:r>
        <w:rPr>
          <w:i/>
          <w:iCs/>
        </w:rPr>
        <w:t>et al.</w:t>
      </w:r>
      <w:r>
        <w:t>, 2025).</w:t>
      </w:r>
    </w:p>
    <w:bookmarkStart w:id="36" w:name="_rkokqwrb9uao" w:colFirst="0" w:colLast="0"/>
    <w:bookmarkStart w:id="37" w:name="_Toc227792515"/>
    <w:bookmarkEnd w:id="36"/>
    <w:p>
      <w:pPr>
        <w:pStyle w:val="style2"/>
        <w:rPr/>
      </w:pPr>
      <w:r>
        <w:t>5.2 Recommendation of Project</w:t>
      </w:r>
      <w:bookmarkEnd w:id="37"/>
    </w:p>
    <w:p>
      <w:pPr>
        <w:pStyle w:val="style0"/>
        <w:rPr/>
      </w:pPr>
      <w:r>
        <w:t xml:space="preserve">Within the results of the investment appraisal, Project C is the most appropriate one to Tesla Inc. In as much as all three projects give negative NPVs, Project C is the project that has the smallest negative NPV of -£1.98 million, which means that it causes the lowest loss in value as compared to Project A and B. It implies that Project C is more near the financial viability at the specified discount rate (Roy </w:t>
      </w:r>
      <w:r>
        <w:rPr>
          <w:i/>
          <w:iCs/>
        </w:rPr>
        <w:t>et al.</w:t>
      </w:r>
      <w:r>
        <w:t>, 2025).</w:t>
      </w:r>
    </w:p>
    <w:p>
      <w:pPr>
        <w:pStyle w:val="style0"/>
        <w:rPr/>
      </w:pPr>
      <w:r>
        <w:t>Besides, Project C has got the smallest payback period of 3.6 years and this is by far lower when compared to the 4.5 year payback period of Project A and Project B. A disabled period will lessen investment risk through fast recuperating the robustness of the cash invested, but especially in a volatile and competitive industry like electric vehicles.</w:t>
      </w:r>
    </w:p>
    <w:p>
      <w:pPr>
        <w:pStyle w:val="style0"/>
        <w:rPr/>
      </w:pPr>
      <w:r>
        <w:t>Moreover, the Project C has the highest internal rate of return at 9% that is closer to the required rate of return of 10% than the lower rates of IRRs of 2.7 and 3.3 of the Project A and B respectively. This means that the Project C returns relatively more and it is more efficient in using the invested capital. Its attractiveness in terms of profitability is further reinforced by accounting rate of return of 26%. even though NPV is negative, Project C should be chosen because it reduces the financial loss, guarantees faster payback period, and payoffs are also relatively high (Paul, 2025). It is the most reasonable and efficient investment decision that Tesla can make in the given circumstances.</w:t>
      </w:r>
    </w:p>
    <w:bookmarkStart w:id="38" w:name="_kjn0qvsdfixy" w:colFirst="0" w:colLast="0"/>
    <w:bookmarkStart w:id="39" w:name="_Toc227792516"/>
    <w:bookmarkEnd w:id="38"/>
    <w:p>
      <w:pPr>
        <w:pStyle w:val="style2"/>
        <w:rPr/>
      </w:pPr>
      <w:r>
        <w:t>5.3 Capital Rationing</w:t>
      </w:r>
      <w:bookmarkEnd w:id="39"/>
    </w:p>
    <w:p>
      <w:pPr>
        <w:pStyle w:val="style0"/>
        <w:rPr/>
      </w:pPr>
      <w:r>
        <w:t>With capital rationing where Tesla Inc. is limited to investing up to a sum of £100 million, only two of the three projects suggested can be undertaken by the company. The project selection, in this case, has to be made according to the maximisation of returns and a minimum risk.</w:t>
      </w:r>
    </w:p>
    <w:p>
      <w:pPr>
        <w:pStyle w:val="style0"/>
        <w:rPr/>
      </w:pPr>
      <w:r>
        <w:t>Since the results of the evaluation have shown that Project C has better financial performance according to all appraisal techniques, it should be given priority because it has better financial performance (Azhar and Syarif, 2025). In the second project, Project B would be the most appropriate alternative to Project A since it has a small better NPV (-8.30million versus -8.68million) and higher IRR (3.3% versus 2.7%). Though the two projects are not really appealing economically, Project B is slightly better and, thus, it is a less risky choice.</w:t>
      </w:r>
    </w:p>
    <w:p>
      <w:pPr>
        <w:pStyle w:val="style0"/>
        <w:rPr/>
      </w:pPr>
      <w:r>
        <w:t>Project C and Project B will enable Tesla to spend its 100 million budget in a manner that will help it limit the net financial loss and at the same time achieve a balanced risk-reward distribution. This combination not only makes sure that the company invests in most efficient project, but also it would choose next best available option (</w:t>
      </w:r>
      <w:r>
        <w:t>Nurfitriani</w:t>
      </w:r>
      <w:r>
        <w:t xml:space="preserve"> and Latif, 2025). Decisions like this involving capital rationing are necessary in order to optimise the allocation of resources and make sure that scarce funds are used in the most profitable areas.</w:t>
      </w:r>
    </w:p>
    <w:bookmarkStart w:id="40" w:name="_y10yt5vj3kde" w:colFirst="0" w:colLast="0"/>
    <w:bookmarkStart w:id="41" w:name="_Toc227792517"/>
    <w:bookmarkEnd w:id="40"/>
    <w:p>
      <w:pPr>
        <w:pStyle w:val="style2"/>
        <w:rPr/>
      </w:pPr>
      <w:r>
        <w:t>5.4 Risk Analysis</w:t>
      </w:r>
      <w:bookmarkEnd w:id="41"/>
    </w:p>
    <w:p>
      <w:pPr>
        <w:pStyle w:val="style0"/>
        <w:rPr/>
      </w:pPr>
      <w:r>
        <w:t>The decision making of Tesla Inc. has a number of risks that should be taken into consideration. Market risk plays a crucial role, demand of electric vehicles may be fluctuated under the influence of economic conditions, shifts in consumer preference and governmental regulations. Any decrease in demand would have negative influence on anticipated cash flows of proposed projects (Edo-Osagie, 2025).</w:t>
      </w:r>
    </w:p>
    <w:p>
      <w:pPr>
        <w:pStyle w:val="style0"/>
        <w:rPr/>
      </w:pPr>
      <w:r>
        <w:t>Another important issue is technological risk which is especially appropriate within the industry that is characterised by swift innovation. The new technological capability of battery, autonomous driving, and alternative energy solutions may make previously invested technologies outdated or competitive. To stay ahead of technological developments, Tesla will have to invest in research and development continuously.</w:t>
      </w:r>
    </w:p>
    <w:p>
      <w:pPr>
        <w:pStyle w:val="style0"/>
        <w:rPr/>
      </w:pPr>
      <w:r>
        <w:t>Uncertainty of demand is also a determining factor in investment appraisal. The cash flows of the projects have been estimated considering assumptions based on future sales and market conditions which might never be realised as projected (</w:t>
      </w:r>
      <w:r>
        <w:t>Odewuyi</w:t>
      </w:r>
      <w:r>
        <w:t xml:space="preserve"> </w:t>
      </w:r>
      <w:r>
        <w:rPr>
          <w:i/>
          <w:iCs/>
        </w:rPr>
        <w:t>et al.</w:t>
      </w:r>
      <w:r>
        <w:t xml:space="preserve">, 2025). Revenue generation can be affected by factors like heightened competition, pricing pressures and change of regulations. All </w:t>
      </w:r>
      <w:r>
        <w:t>these risks underscore the need to make investment decisions with careful consideration. Tesla needs to be able to think about its financial indicators, as well as the external unknowns with an eye toward making certain the investment strategies it implements are stable and meet long-term business goals.</w:t>
      </w:r>
    </w:p>
    <w:bookmarkStart w:id="42" w:name="_h4yic7oq40ik" w:colFirst="0" w:colLast="0"/>
    <w:bookmarkStart w:id="43" w:name="_Toc227792518"/>
    <w:bookmarkEnd w:id="42"/>
    <w:p>
      <w:pPr>
        <w:pStyle w:val="style1"/>
        <w:rPr/>
      </w:pPr>
      <w:r>
        <w:t>6. Conclusion</w:t>
      </w:r>
      <w:bookmarkEnd w:id="43"/>
    </w:p>
    <w:p>
      <w:pPr>
        <w:pStyle w:val="style0"/>
        <w:rPr/>
      </w:pPr>
      <w:r>
        <w:t>The financial overview of Tesla Inc., in general, shows that this company continues to be a powerful and well-represented participant of the world market of the electric vehicle, yet it is still experiencing some financial difficulties that it should deal with strategically. As shown in the profitability analysis, it experienced a high growth rate before the margins began declining, which indicated the growing cost pressures and competitive pricing policies. Although Tesla has managed to grow its business and enhance the profitability process, the issue of profitability in a very competitive industry is also essential.</w:t>
      </w:r>
    </w:p>
    <w:p>
      <w:pPr>
        <w:pStyle w:val="style0"/>
        <w:rPr/>
      </w:pPr>
      <w:r>
        <w:t>The liquidity and solvency analysis revealed that Tesla has a relatively good financial position and enough current assets to cover the short-term liabilities and a declining situation of using debt financing. Nonetheless, the cash flow analysis showed discrepancies in operating cash development, which implies that there may be inefficiencies in the conversion of profits to real cash flows. Also, the working capital analysis showed that the negative cash conversion cycle has changed to the positive over the past years indicating that more cash is being held up in operation.</w:t>
      </w:r>
    </w:p>
    <w:p>
      <w:pPr>
        <w:pStyle w:val="style0"/>
        <w:rPr/>
      </w:pPr>
      <w:r>
        <w:t>The strategic financial restructuring section highlighted a necessity to control costs, diversify, better manage working capital, and have a more powerful equity-based capital structure. The strategies are necessary towards the improvement of financial stability and the long-term growth.</w:t>
      </w:r>
    </w:p>
    <w:p>
      <w:pPr>
        <w:pStyle w:val="style0"/>
        <w:rPr/>
      </w:pPr>
      <w:r>
        <w:t>This investment appraisal also revealed that while none of the proposed projects have positive NPVs, Project C is the most feasible available because it has nearly a better performance in all assessment parameters. Project C together with Project B will give the most balanced allocation of resources under capital rationing.</w:t>
      </w:r>
    </w:p>
    <w:bookmarkStart w:id="44" w:name="_67ismtoork0x" w:colFirst="0" w:colLast="0"/>
    <w:bookmarkEnd w:id="44"/>
    <w:p>
      <w:pPr>
        <w:pStyle w:val="style1"/>
        <w:rPr/>
      </w:pPr>
      <w:r>
        <w:br w:type="page"/>
      </w:r>
    </w:p>
    <w:bookmarkStart w:id="45" w:name="_r7ozp2ldqp0k" w:colFirst="0" w:colLast="0"/>
    <w:bookmarkStart w:id="46" w:name="_Toc227792519"/>
    <w:bookmarkEnd w:id="45"/>
    <w:p>
      <w:pPr>
        <w:pStyle w:val="style1"/>
        <w:rPr/>
      </w:pPr>
      <w:r>
        <w:t>Reference List</w:t>
      </w:r>
      <w:bookmarkEnd w:id="46"/>
    </w:p>
    <w:p>
      <w:pPr>
        <w:pStyle w:val="style0"/>
        <w:rPr>
          <w:b/>
          <w:bCs/>
        </w:rPr>
      </w:pPr>
      <w:r>
        <w:rPr>
          <w:b/>
          <w:bCs/>
        </w:rPr>
        <w:t>Journals</w:t>
      </w:r>
    </w:p>
    <w:p>
      <w:pPr>
        <w:pStyle w:val="style0"/>
        <w:spacing w:before="240" w:after="240"/>
        <w:rPr/>
      </w:pPr>
      <w:r>
        <w:t>Nair, A. and Prajapati, N., 2025. FINANCIAL PERFORMANCE ANALYSIS OF SELECT LISTED ELECTRIC VEHICLE MANUFACTURERS IN INDIA.</w:t>
      </w:r>
    </w:p>
    <w:p>
      <w:pPr>
        <w:pStyle w:val="style0"/>
        <w:spacing w:before="240" w:after="240"/>
        <w:rPr/>
      </w:pPr>
      <w:r>
        <w:t xml:space="preserve">El Gibran, P.A. and Nainggolan, Y.A., 2025. Impact Of Financial Performance on The Innovation and Development of Research and Development in Electric Vehicle Industry. </w:t>
      </w:r>
      <w:r>
        <w:rPr>
          <w:i/>
          <w:iCs/>
        </w:rPr>
        <w:t>Economic Reviews Journal</w:t>
      </w:r>
      <w:r>
        <w:t xml:space="preserve">, </w:t>
      </w:r>
      <w:r>
        <w:rPr>
          <w:i/>
          <w:iCs/>
        </w:rPr>
        <w:t>4</w:t>
      </w:r>
      <w:r>
        <w:t>(2), pp.534-552.</w:t>
      </w:r>
    </w:p>
    <w:p>
      <w:pPr>
        <w:pStyle w:val="style0"/>
        <w:spacing w:before="240" w:after="240"/>
        <w:rPr/>
      </w:pPr>
      <w:r>
        <w:t xml:space="preserve">Liang, L.Y. and Yubin, Z., 2025. The Impacts of Digital Transformation on Firm Performance: A Case Study of Tesla Business Model. </w:t>
      </w:r>
      <w:r>
        <w:rPr>
          <w:i/>
          <w:iCs/>
        </w:rPr>
        <w:t>International Journal of Research and Scientific Innovation, XII (V)</w:t>
      </w:r>
      <w:r>
        <w:t>, pp.287-302.</w:t>
      </w:r>
    </w:p>
    <w:p>
      <w:pPr>
        <w:pStyle w:val="style0"/>
        <w:spacing w:before="240" w:after="240"/>
        <w:rPr/>
      </w:pPr>
      <w:r>
        <w:t xml:space="preserve">Cui, X. and Chen, J., 2025. Green Bonds in the Automotive Sector: A Performance Analysis of Tesla, Volkswagen and General Motors. </w:t>
      </w:r>
      <w:r>
        <w:rPr>
          <w:i/>
          <w:iCs/>
        </w:rPr>
        <w:t>Sustainable Development Economics</w:t>
      </w:r>
      <w:r>
        <w:t xml:space="preserve">, </w:t>
      </w:r>
      <w:r>
        <w:rPr>
          <w:i/>
          <w:iCs/>
        </w:rPr>
        <w:t>1</w:t>
      </w:r>
      <w:r>
        <w:t>(1), pp.44-51.</w:t>
      </w:r>
    </w:p>
    <w:p>
      <w:pPr>
        <w:pStyle w:val="style0"/>
        <w:spacing w:before="240" w:after="240"/>
        <w:rPr/>
      </w:pPr>
      <w:r>
        <w:t>Muller, B.A., 2025. Sectoral financial analysis of the automotive industry: insights into financial and operational dynamics.</w:t>
      </w:r>
    </w:p>
    <w:p>
      <w:pPr>
        <w:pStyle w:val="style0"/>
        <w:spacing w:before="240" w:after="240"/>
        <w:rPr/>
      </w:pPr>
      <w:r>
        <w:t xml:space="preserve">Liu, X. and Zhou, Y., 2025. The Impact of Strategic Corporate Social Responsibility on Organizational Resilience—An Exploratory Case Study Based on Tesla. </w:t>
      </w:r>
      <w:r>
        <w:rPr>
          <w:i/>
          <w:iCs/>
        </w:rPr>
        <w:t>Administrative Sciences</w:t>
      </w:r>
      <w:r>
        <w:t xml:space="preserve">, </w:t>
      </w:r>
      <w:r>
        <w:rPr>
          <w:i/>
          <w:iCs/>
        </w:rPr>
        <w:t>15</w:t>
      </w:r>
      <w:r>
        <w:t>(6), p.212.</w:t>
      </w:r>
    </w:p>
    <w:p>
      <w:pPr>
        <w:pStyle w:val="style0"/>
        <w:spacing w:before="240" w:after="240"/>
        <w:rPr/>
      </w:pPr>
      <w:r>
        <w:t>Komarudin</w:t>
      </w:r>
      <w:r>
        <w:t xml:space="preserve">, M.F., 2025. Analysis of the Relationship between Environmental Management Accounting and Long-Term Financial Performance. </w:t>
      </w:r>
      <w:r>
        <w:rPr>
          <w:i/>
          <w:iCs/>
        </w:rPr>
        <w:t>Journal of the American Institute</w:t>
      </w:r>
      <w:r>
        <w:t xml:space="preserve">, </w:t>
      </w:r>
      <w:r>
        <w:rPr>
          <w:i/>
          <w:iCs/>
        </w:rPr>
        <w:t>2</w:t>
      </w:r>
      <w:r>
        <w:t>(3), pp.394-406.</w:t>
      </w:r>
    </w:p>
    <w:p>
      <w:pPr>
        <w:pStyle w:val="style0"/>
        <w:spacing w:before="240" w:after="240"/>
        <w:rPr/>
      </w:pPr>
      <w:r>
        <w:t>Katterbauer</w:t>
      </w:r>
      <w:r>
        <w:t xml:space="preserve">, K., Yılmaz, S., Syed, H. and Özbay, R.D., 2025. Chinese Electric Vehicle (Ev) Financial Performance–Is The Market Supporting It?. </w:t>
      </w:r>
      <w:r>
        <w:rPr>
          <w:i/>
          <w:iCs/>
        </w:rPr>
        <w:t>Journal of Recycling Economy &amp; Sustainability Policy</w:t>
      </w:r>
      <w:r>
        <w:t xml:space="preserve">, </w:t>
      </w:r>
      <w:r>
        <w:rPr>
          <w:i/>
          <w:iCs/>
        </w:rPr>
        <w:t>4</w:t>
      </w:r>
      <w:r>
        <w:t>(2), pp.1-13.</w:t>
      </w:r>
    </w:p>
    <w:p>
      <w:pPr>
        <w:pStyle w:val="style0"/>
        <w:spacing w:before="240" w:after="240"/>
        <w:rPr/>
      </w:pPr>
      <w:r>
        <w:t xml:space="preserve">Ibrahim Abugarayesh, O., 2025. Tesla EV Vehicles Scenario Planning. </w:t>
      </w:r>
      <w:r>
        <w:rPr>
          <w:i/>
          <w:iCs/>
        </w:rPr>
        <w:t>Omar, Tesla EV Vehicles Scenario Planning (June 12, 2025)</w:t>
      </w:r>
      <w:r>
        <w:t>.</w:t>
      </w:r>
    </w:p>
    <w:p>
      <w:pPr>
        <w:pStyle w:val="style0"/>
        <w:spacing w:before="240" w:after="240"/>
        <w:rPr/>
      </w:pPr>
      <w:r>
        <w:t xml:space="preserve">Cho, M.J., Bae, K., Byun, J. and Shin, J., 2025. Expanding the identification of key resource combinations for mid-to long-term growth in electric vehicle market entry. </w:t>
      </w:r>
      <w:r>
        <w:rPr>
          <w:i/>
          <w:iCs/>
        </w:rPr>
        <w:t>PLoS One</w:t>
      </w:r>
      <w:r>
        <w:t xml:space="preserve">, </w:t>
      </w:r>
      <w:r>
        <w:rPr>
          <w:i/>
          <w:iCs/>
        </w:rPr>
        <w:t>20</w:t>
      </w:r>
      <w:r>
        <w:t>(8), p.e0328563.</w:t>
      </w:r>
    </w:p>
    <w:p>
      <w:pPr>
        <w:pStyle w:val="style0"/>
        <w:spacing w:before="240" w:after="240"/>
        <w:rPr/>
      </w:pPr>
      <w:r>
        <w:t>Onomakpo</w:t>
      </w:r>
      <w:r>
        <w:t xml:space="preserve">, H.E.O., 2025. ESG risk ratings and stock performance in electric vehicle manufacturing: A panel regression analysis using the Fama-French five-factor model. </w:t>
      </w:r>
      <w:r>
        <w:rPr>
          <w:i/>
          <w:iCs/>
        </w:rPr>
        <w:t>Journal of Investment Banking and Finance</w:t>
      </w:r>
      <w:r>
        <w:t xml:space="preserve">, </w:t>
      </w:r>
      <w:r>
        <w:rPr>
          <w:i/>
          <w:iCs/>
        </w:rPr>
        <w:t>3</w:t>
      </w:r>
      <w:r>
        <w:t>(1), p.12.</w:t>
      </w:r>
    </w:p>
    <w:p>
      <w:pPr>
        <w:pStyle w:val="style0"/>
        <w:spacing w:before="240" w:after="240"/>
        <w:rPr/>
      </w:pPr>
      <w:r>
        <w:t>Dinçergök</w:t>
      </w:r>
      <w:r>
        <w:t xml:space="preserve">, B. and </w:t>
      </w:r>
      <w:r>
        <w:t>Pirgaip</w:t>
      </w:r>
      <w:r>
        <w:t xml:space="preserve">, B., 2025. Financial Constraints and the ESG–Firm Performance Nexus in the Automotive Industry: Evidence from a Global Panel Study. </w:t>
      </w:r>
      <w:r>
        <w:rPr>
          <w:i/>
          <w:iCs/>
        </w:rPr>
        <w:t>Sustainability</w:t>
      </w:r>
      <w:r>
        <w:t xml:space="preserve">, </w:t>
      </w:r>
      <w:r>
        <w:rPr>
          <w:i/>
          <w:iCs/>
        </w:rPr>
        <w:t>17</w:t>
      </w:r>
      <w:r>
        <w:t>(15), p.6985.</w:t>
      </w:r>
    </w:p>
    <w:p>
      <w:pPr>
        <w:pStyle w:val="style0"/>
        <w:spacing w:before="240" w:after="240"/>
        <w:rPr/>
      </w:pPr>
      <w:r>
        <w:t>Baruwa</w:t>
      </w:r>
      <w:r>
        <w:t xml:space="preserve">, Z., Yuan, H., Li, S. and Zhu, Z., 2025. Constructing and Analysing Global Corporate Networks With </w:t>
      </w:r>
      <w:r>
        <w:t>Wikidata</w:t>
      </w:r>
      <w:r>
        <w:t xml:space="preserve">: The Case of Electric Vehicle Industry. </w:t>
      </w:r>
      <w:r>
        <w:rPr>
          <w:i/>
          <w:iCs/>
        </w:rPr>
        <w:t>Global Networks</w:t>
      </w:r>
      <w:r>
        <w:t xml:space="preserve">, </w:t>
      </w:r>
      <w:r>
        <w:rPr>
          <w:i/>
          <w:iCs/>
        </w:rPr>
        <w:t>25</w:t>
      </w:r>
      <w:r>
        <w:t>(4), p.e70029.</w:t>
      </w:r>
    </w:p>
    <w:p>
      <w:pPr>
        <w:pStyle w:val="style0"/>
        <w:spacing w:before="240" w:after="240"/>
        <w:rPr/>
      </w:pPr>
      <w:r>
        <w:t xml:space="preserve">Liu, C., Boothman, S.G. and Graham, J.D., 2025. The rise and recent decline of Tesla’s share of the US electric vehicle market. </w:t>
      </w:r>
      <w:r>
        <w:rPr>
          <w:i/>
          <w:iCs/>
        </w:rPr>
        <w:t>World Electric Vehicle Journal</w:t>
      </w:r>
      <w:r>
        <w:t xml:space="preserve">, </w:t>
      </w:r>
      <w:r>
        <w:rPr>
          <w:i/>
          <w:iCs/>
        </w:rPr>
        <w:t>16</w:t>
      </w:r>
      <w:r>
        <w:t>(2), p.90.</w:t>
      </w:r>
    </w:p>
    <w:p>
      <w:pPr>
        <w:pStyle w:val="style0"/>
        <w:spacing w:before="240" w:after="240"/>
        <w:rPr/>
      </w:pPr>
      <w:r>
        <w:t xml:space="preserve">Haryanto, A.R., </w:t>
      </w:r>
      <w:r>
        <w:t>Hamsal</w:t>
      </w:r>
      <w:r>
        <w:t xml:space="preserve">, M., </w:t>
      </w:r>
      <w:r>
        <w:t>Abdinagoro</w:t>
      </w:r>
      <w:r>
        <w:t xml:space="preserve">, S.B. and Rahim, R.K., 2025. Building an entrepreneurship model in Indonesia’s electric vehicle industry: struggling or sustaining. </w:t>
      </w:r>
      <w:r>
        <w:rPr>
          <w:i/>
          <w:iCs/>
        </w:rPr>
        <w:t>Frontiers in Sustainability</w:t>
      </w:r>
      <w:r>
        <w:t xml:space="preserve">, </w:t>
      </w:r>
      <w:r>
        <w:rPr>
          <w:i/>
          <w:iCs/>
        </w:rPr>
        <w:t>6</w:t>
      </w:r>
      <w:r>
        <w:t>, p.1706858.</w:t>
      </w:r>
    </w:p>
    <w:p>
      <w:pPr>
        <w:pStyle w:val="style0"/>
        <w:spacing w:before="240" w:after="240"/>
        <w:rPr/>
      </w:pPr>
      <w:r>
        <w:t xml:space="preserve">Daruwala, Z. and Mansour, M.H.M., 2025. Efficiency at the Core: How Working Capital Management Relates to Accounting Metrics and Market Performance in the Automotive Industry. </w:t>
      </w:r>
      <w:r>
        <w:rPr>
          <w:i/>
          <w:iCs/>
        </w:rPr>
        <w:t>Journal of Economics and Management Sciences</w:t>
      </w:r>
      <w:r>
        <w:t xml:space="preserve">, </w:t>
      </w:r>
      <w:r>
        <w:rPr>
          <w:i/>
          <w:iCs/>
        </w:rPr>
        <w:t>8</w:t>
      </w:r>
      <w:r>
        <w:t>(5), pp.p1-p1.</w:t>
      </w:r>
    </w:p>
    <w:p>
      <w:pPr>
        <w:pStyle w:val="style0"/>
        <w:spacing w:before="240" w:after="240"/>
        <w:rPr/>
      </w:pPr>
      <w:r>
        <w:t>Kumalawati</w:t>
      </w:r>
      <w:r>
        <w:t xml:space="preserve">, N.I. and </w:t>
      </w:r>
      <w:r>
        <w:t>Noveria</w:t>
      </w:r>
      <w:r>
        <w:t xml:space="preserve">, A., 2026. Electric Vehicle Strategies: A Literature Review on Their Impact on Firm Performance and Market Value. </w:t>
      </w:r>
      <w:r>
        <w:rPr>
          <w:i/>
          <w:iCs/>
        </w:rPr>
        <w:t>Journal Research of Social Science, Economics &amp; Management</w:t>
      </w:r>
      <w:r>
        <w:t xml:space="preserve">, </w:t>
      </w:r>
      <w:r>
        <w:rPr>
          <w:i/>
          <w:iCs/>
        </w:rPr>
        <w:t>5</w:t>
      </w:r>
      <w:r>
        <w:t>(6).</w:t>
      </w:r>
    </w:p>
    <w:p>
      <w:pPr>
        <w:pStyle w:val="style0"/>
        <w:spacing w:before="240" w:after="240"/>
        <w:rPr/>
      </w:pPr>
      <w:r>
        <w:t xml:space="preserve">Matevosyan, A.V., Mikayelyan, V.K., Grigoryan, H.H., Matevosyan, M.H. and Grigoryan, A.Z., 2026. The Impact of the Corporate Financing Ratio on the Weighted Average Cost of Capital: Evidence from Automobile Manufacturing Companies. In </w:t>
      </w:r>
      <w:r>
        <w:rPr>
          <w:i/>
          <w:iCs/>
        </w:rPr>
        <w:t>Smart Transport Systems and the Digital Economy Infrastructure</w:t>
      </w:r>
      <w:r>
        <w:t xml:space="preserve"> (pp. 29-37). Cham: Springer Nature Switzerland.</w:t>
      </w:r>
    </w:p>
    <w:p>
      <w:pPr>
        <w:pStyle w:val="style0"/>
        <w:spacing w:before="240" w:after="240"/>
        <w:rPr/>
      </w:pPr>
      <w:r>
        <w:t xml:space="preserve">Ali, K., Showkat, N. and </w:t>
      </w:r>
      <w:r>
        <w:t>Alhammadi</w:t>
      </w:r>
      <w:r>
        <w:t>, M.H., 2025. Impact of Working Capital Management on the Financial Performance of Select Listed Sectoral Indices: An Evidence from India.</w:t>
      </w:r>
    </w:p>
    <w:p>
      <w:pPr>
        <w:pStyle w:val="style0"/>
        <w:spacing w:before="240" w:after="240"/>
        <w:rPr/>
      </w:pPr>
      <w:r>
        <w:t>Changxiang</w:t>
      </w:r>
      <w:r>
        <w:t>, H., Hamdan, S.L.B. and Aridi, N.A.B., 2025. An empirical study on supplier concentration and working capital: the moderating effect of internal control. International Journal of Applied Management Science, 17(5), pp.1-20.</w:t>
      </w:r>
    </w:p>
    <w:p>
      <w:pPr>
        <w:pStyle w:val="style0"/>
        <w:spacing w:before="240" w:after="240"/>
        <w:rPr/>
      </w:pPr>
      <w:r>
        <w:t xml:space="preserve">Sethi, H.S. and Bapat, V., 2026. Nexus between firm life cycle and working capital management: Evidence from Indian manufacturing firms. </w:t>
      </w:r>
      <w:r>
        <w:rPr>
          <w:i/>
          <w:iCs/>
        </w:rPr>
        <w:t>Asia-Pacific Financial Markets</w:t>
      </w:r>
      <w:r>
        <w:t xml:space="preserve">, </w:t>
      </w:r>
      <w:r>
        <w:rPr>
          <w:i/>
          <w:iCs/>
        </w:rPr>
        <w:t>33</w:t>
      </w:r>
      <w:r>
        <w:t>(2), pp.801-829.</w:t>
      </w:r>
    </w:p>
    <w:p>
      <w:pPr>
        <w:pStyle w:val="style0"/>
        <w:spacing w:before="240" w:after="240"/>
        <w:rPr/>
      </w:pPr>
      <w:r>
        <w:t xml:space="preserve">Becerra Ruiz, A.M., Segura, M. and Cardona-Arenas, C.D., 2025. Drivers of working capital growth in Risaralda's industries: uncovering nonlinear patterns in an emerging economy (Colombia, 2020–2021). </w:t>
      </w:r>
      <w:r>
        <w:rPr>
          <w:i/>
          <w:iCs/>
        </w:rPr>
        <w:t>Journal of Economic and Administrative Sciences</w:t>
      </w:r>
      <w:r>
        <w:t>, pp.1-20.</w:t>
      </w:r>
    </w:p>
    <w:p>
      <w:pPr>
        <w:pStyle w:val="style0"/>
        <w:spacing w:before="240" w:after="240"/>
        <w:rPr/>
      </w:pPr>
      <w:r>
        <w:t>Comachaei</w:t>
      </w:r>
      <w:r>
        <w:t xml:space="preserve">, F., 2025. The effect of ride-hailing platforms on the automobile industry in the United States: An empirical study. </w:t>
      </w:r>
      <w:r>
        <w:rPr>
          <w:i/>
          <w:iCs/>
        </w:rPr>
        <w:t>IEEE Transactions on Engineering Management</w:t>
      </w:r>
      <w:r>
        <w:t>.</w:t>
      </w:r>
    </w:p>
    <w:p>
      <w:pPr>
        <w:pStyle w:val="style0"/>
        <w:spacing w:before="240" w:after="240"/>
        <w:rPr/>
      </w:pPr>
      <w:r>
        <w:t xml:space="preserve">Toušek, Z., Hinke, J., Gregor, B. and Prokop, M., 2025. Vulnerability Within the Czech Automotive Supply Chain. </w:t>
      </w:r>
      <w:r>
        <w:rPr>
          <w:i/>
          <w:iCs/>
        </w:rPr>
        <w:t>Danube</w:t>
      </w:r>
      <w:r>
        <w:t xml:space="preserve">, </w:t>
      </w:r>
      <w:r>
        <w:rPr>
          <w:i/>
          <w:iCs/>
        </w:rPr>
        <w:t>16</w:t>
      </w:r>
      <w:r>
        <w:t>(1), pp.30-48.</w:t>
      </w:r>
    </w:p>
    <w:p>
      <w:pPr>
        <w:pStyle w:val="style0"/>
        <w:spacing w:before="240" w:after="240"/>
        <w:rPr/>
      </w:pPr>
      <w:r>
        <w:t xml:space="preserve">Sharma, P., 2025. Capital Budgeting Techniques: Learn the Methods Businesses Use to Evaluate Potential Investments. </w:t>
      </w:r>
      <w:r>
        <w:rPr>
          <w:i/>
          <w:iCs/>
        </w:rPr>
        <w:t>Advances in Consumer Research</w:t>
      </w:r>
      <w:r>
        <w:t xml:space="preserve">, </w:t>
      </w:r>
      <w:r>
        <w:rPr>
          <w:i/>
          <w:iCs/>
        </w:rPr>
        <w:t>2</w:t>
      </w:r>
      <w:r>
        <w:t>(2).</w:t>
      </w:r>
    </w:p>
    <w:p>
      <w:pPr>
        <w:pStyle w:val="style0"/>
        <w:spacing w:before="240" w:after="240"/>
        <w:rPr/>
      </w:pPr>
      <w:r>
        <w:t xml:space="preserve">Mujtaba, A., 2025. Strategic financial management in the era of globalization: The role of capital budgeting in multinational corporations. </w:t>
      </w:r>
      <w:r>
        <w:rPr>
          <w:i/>
          <w:iCs/>
        </w:rPr>
        <w:t>The Critical Review of Social Sciences Studies</w:t>
      </w:r>
      <w:r>
        <w:t xml:space="preserve">, </w:t>
      </w:r>
      <w:r>
        <w:rPr>
          <w:i/>
          <w:iCs/>
        </w:rPr>
        <w:t>3</w:t>
      </w:r>
      <w:r>
        <w:t>(1), pp.2724-2739.</w:t>
      </w:r>
    </w:p>
    <w:p>
      <w:pPr>
        <w:pStyle w:val="style0"/>
        <w:spacing w:before="240" w:after="240"/>
        <w:rPr/>
      </w:pPr>
      <w:r>
        <w:t>Darmansyah</w:t>
      </w:r>
      <w:r>
        <w:t xml:space="preserve">, A., Ali, Q. and Parveen, S., 2025. Sophisticated capital budgeting decisions for financial performance and risk management—A tale of two business entities. </w:t>
      </w:r>
      <w:r>
        <w:rPr>
          <w:i/>
          <w:iCs/>
        </w:rPr>
        <w:t>Journal of Risk and Financial Management</w:t>
      </w:r>
      <w:r>
        <w:t xml:space="preserve">, </w:t>
      </w:r>
      <w:r>
        <w:rPr>
          <w:i/>
          <w:iCs/>
        </w:rPr>
        <w:t>18</w:t>
      </w:r>
      <w:r>
        <w:t>(6), p.297.</w:t>
      </w:r>
    </w:p>
    <w:p>
      <w:pPr>
        <w:pStyle w:val="style0"/>
        <w:spacing w:before="240" w:after="240"/>
        <w:rPr/>
      </w:pPr>
      <w:r>
        <w:t xml:space="preserve">Roy, A., Ara, J., Ghodke, S. and Akter, J., 2025. Artificial intelligence in corporate financial strategy: transforming long-term investment and capital budgeting decisions. </w:t>
      </w:r>
      <w:r>
        <w:rPr>
          <w:i/>
          <w:iCs/>
        </w:rPr>
        <w:t>Journal of Economics, Finance and Accounting Studies</w:t>
      </w:r>
      <w:r>
        <w:t xml:space="preserve">, </w:t>
      </w:r>
      <w:r>
        <w:rPr>
          <w:i/>
          <w:iCs/>
        </w:rPr>
        <w:t>7</w:t>
      </w:r>
      <w:r>
        <w:t>(5), pp.50-59.</w:t>
      </w:r>
    </w:p>
    <w:p>
      <w:pPr>
        <w:pStyle w:val="style0"/>
        <w:spacing w:before="240" w:after="240"/>
        <w:rPr/>
      </w:pPr>
      <w:r>
        <w:t xml:space="preserve">Paul, N., 2025. Enhancing the Performance of MSMES Through the Application of Appraisal Techniques in Real Assets Investment: Empirical Evidence from South-West, Nigeria. </w:t>
      </w:r>
      <w:r>
        <w:rPr>
          <w:i/>
          <w:iCs/>
        </w:rPr>
        <w:t>IIARD International Journal Of Economics And Business Management</w:t>
      </w:r>
      <w:r>
        <w:t>, p.11.</w:t>
      </w:r>
    </w:p>
    <w:p>
      <w:pPr>
        <w:pStyle w:val="style0"/>
        <w:spacing w:before="240" w:after="240"/>
        <w:rPr/>
      </w:pPr>
      <w:r>
        <w:t xml:space="preserve">Azhar, Z. and Syarif, R., 2025. Budgeting for small business: A study literature review. </w:t>
      </w:r>
      <w:r>
        <w:rPr>
          <w:i/>
          <w:iCs/>
        </w:rPr>
        <w:t>Jurnal Ilmiah Akuntansi Kesatuan</w:t>
      </w:r>
      <w:r>
        <w:t xml:space="preserve">, </w:t>
      </w:r>
      <w:r>
        <w:rPr>
          <w:i/>
          <w:iCs/>
        </w:rPr>
        <w:t>13</w:t>
      </w:r>
      <w:r>
        <w:t>(1), pp.169-182.</w:t>
      </w:r>
    </w:p>
    <w:p>
      <w:pPr>
        <w:pStyle w:val="style0"/>
        <w:spacing w:before="240" w:after="240"/>
        <w:rPr/>
      </w:pPr>
      <w:r>
        <w:t>Nurfitriani</w:t>
      </w:r>
      <w:r>
        <w:t xml:space="preserve">, N. and Latif, I.N., 2025. Sustainable Capital Budgeting: Assessing Long-Term Effects Beyond Profitability. </w:t>
      </w:r>
      <w:r>
        <w:rPr>
          <w:i/>
          <w:iCs/>
        </w:rPr>
        <w:t>JASF: Journal of Accounting and Strategic Finance</w:t>
      </w:r>
      <w:r>
        <w:t xml:space="preserve">, </w:t>
      </w:r>
      <w:r>
        <w:rPr>
          <w:i/>
          <w:iCs/>
        </w:rPr>
        <w:t>8</w:t>
      </w:r>
      <w:r>
        <w:t>(1), pp.133-151.</w:t>
      </w:r>
    </w:p>
    <w:p>
      <w:pPr>
        <w:pStyle w:val="style0"/>
        <w:spacing w:before="240" w:after="240"/>
        <w:rPr/>
      </w:pPr>
      <w:r>
        <w:t xml:space="preserve">Edo-Osagie, E., 2025. Advanced budgeting and dynamic allocation strategies for maximizing financial resilience amid economic volatility and market shifts. </w:t>
      </w:r>
      <w:r>
        <w:rPr>
          <w:i/>
          <w:iCs/>
        </w:rPr>
        <w:t>International Journal of Research Publication and Reviews</w:t>
      </w:r>
      <w:r>
        <w:t xml:space="preserve">, </w:t>
      </w:r>
      <w:r>
        <w:rPr>
          <w:i/>
          <w:iCs/>
        </w:rPr>
        <w:t>6</w:t>
      </w:r>
      <w:r>
        <w:t>(3), pp.1060-1077.</w:t>
      </w:r>
    </w:p>
    <w:p>
      <w:pPr>
        <w:pStyle w:val="style0"/>
        <w:spacing w:before="240" w:after="240"/>
        <w:rPr/>
      </w:pPr>
      <w:r>
        <w:t xml:space="preserve">Odewuyi, O.M., </w:t>
      </w:r>
      <w:r>
        <w:t>Shodimu</w:t>
      </w:r>
      <w:r>
        <w:t>, O.A., Kazeem, O. and Paul, A., 2025. Harnessing artificial intelligence to revolutionize corporate finance and financial decisions in strategic consulting for businesses.</w:t>
      </w:r>
    </w:p>
    <w:p>
      <w:pPr>
        <w:pStyle w:val="style0"/>
        <w:spacing w:before="240" w:after="240"/>
        <w:rPr/>
      </w:pPr>
      <w:r>
        <w:t xml:space="preserve">Ding, R., 2025, July. Value Investing in the EV Industry: A Case Study of Tesla. In </w:t>
      </w:r>
      <w:r>
        <w:rPr>
          <w:i/>
          <w:iCs/>
        </w:rPr>
        <w:t>2025 International Conference on Financial Risk and Investment Management (ICFRIM 2025)</w:t>
      </w:r>
      <w:r>
        <w:t xml:space="preserve"> (pp. 929-937). Atlantis Press.</w:t>
      </w:r>
    </w:p>
    <w:p>
      <w:pPr>
        <w:pStyle w:val="style0"/>
        <w:spacing w:before="240" w:after="240"/>
        <w:rPr/>
      </w:pPr>
      <w:r>
        <w:t xml:space="preserve">Zhang, W., 2025, November. Research on Valuation Heterogeneity in the New Energy Vehicle Industry: An Integrated Financial-Market Analysis of BYD, Tesla, and NIO. In </w:t>
      </w:r>
      <w:r>
        <w:rPr>
          <w:i/>
          <w:iCs/>
        </w:rPr>
        <w:t>2025 10th International Conference on Modern Management, Education and Social Sciences (MMET 2025)</w:t>
      </w:r>
      <w:r>
        <w:t xml:space="preserve"> (pp. 1080-1086). Atlantis Press.</w:t>
      </w:r>
    </w:p>
    <w:p>
      <w:pPr>
        <w:pStyle w:val="style0"/>
        <w:spacing w:before="240" w:after="240"/>
        <w:rPr/>
      </w:pPr>
      <w:r>
        <w:t xml:space="preserve">Zhang, Z., 2026, March. The Impact of Annual Report Tone on Corporate Financing: A Case Study of Tesla, Inc. In </w:t>
      </w:r>
      <w:r>
        <w:rPr>
          <w:i/>
          <w:iCs/>
        </w:rPr>
        <w:t>Exploring Science Academic Conference Series</w:t>
      </w:r>
      <w:r>
        <w:t xml:space="preserve"> (Vol. 13, pp. 132-139).</w:t>
      </w:r>
    </w:p>
    <w:p>
      <w:pPr>
        <w:pStyle w:val="style0"/>
        <w:rPr/>
      </w:pPr>
      <w:r>
        <w:br w:type="page"/>
      </w:r>
    </w:p>
    <w:bookmarkStart w:id="47" w:name="_bm996osgtqp5" w:colFirst="0" w:colLast="0"/>
    <w:bookmarkStart w:id="48" w:name="_Toc227792520"/>
    <w:bookmarkEnd w:id="47"/>
    <w:p>
      <w:pPr>
        <w:pStyle w:val="style1"/>
        <w:rPr/>
      </w:pPr>
      <w:r>
        <w:t>Appendices</w:t>
      </w:r>
      <w:bookmarkEnd w:id="48"/>
    </w:p>
    <w:p>
      <w:pPr>
        <w:pStyle w:val="style0"/>
        <w:rPr>
          <w:b/>
          <w:bCs/>
        </w:rPr>
      </w:pPr>
      <w:r>
        <w:rPr>
          <w:b/>
          <w:bCs/>
        </w:rPr>
        <w:t>Appendix 1:</w:t>
      </w:r>
      <w:r>
        <w:rPr>
          <w:b/>
          <w:bCs/>
        </w:rPr>
        <w:t xml:space="preserve"> Ratio calculation </w:t>
      </w:r>
    </w:p>
    <w:tbl>
      <w:tblPr>
        <w:tblW w:w="5000" w:type="pct"/>
        <w:tblLook w:val="04A0" w:firstRow="1" w:lastRow="0" w:firstColumn="1" w:lastColumn="0" w:noHBand="0" w:noVBand="1"/>
      </w:tblPr>
      <w:tblGrid>
        <w:gridCol w:w="1563"/>
        <w:gridCol w:w="1688"/>
        <w:gridCol w:w="1200"/>
        <w:gridCol w:w="1183"/>
        <w:gridCol w:w="1212"/>
        <w:gridCol w:w="1222"/>
        <w:gridCol w:w="1282"/>
      </w:tblGrid>
      <w:tr>
        <w:trPr>
          <w:trHeight w:val="324" w:hRule="atLeast"/>
        </w:trPr>
        <w:tc>
          <w:tcPr>
            <w:tcW w:w="1069" w:type="pct"/>
            <w:tcBorders>
              <w:top w:val="single" w:sz="4" w:space="0" w:color="auto"/>
              <w:left w:val="nil"/>
              <w:bottom w:val="double" w:sz="6" w:space="0" w:color="auto"/>
              <w:right w:val="nil"/>
            </w:tcBorders>
            <w:noWrap/>
            <w:vAlign w:val="center"/>
            <w:hideMark/>
          </w:tcPr>
          <w:p>
            <w:pPr>
              <w:pStyle w:val="style0"/>
              <w:spacing w:lineRule="auto" w:line="240"/>
              <w:jc w:val="left"/>
              <w:rPr>
                <w:b/>
                <w:bCs/>
                <w:color w:val="000000"/>
                <w:lang w:val="en-IN"/>
              </w:rPr>
            </w:pPr>
            <w:r>
              <w:rPr>
                <w:b/>
                <w:bCs/>
                <w:color w:val="000000"/>
                <w:lang w:val="en-IN"/>
              </w:rPr>
              <w:t>Profitability ratio</w:t>
            </w:r>
          </w:p>
        </w:tc>
        <w:tc>
          <w:tcPr>
            <w:tcW w:w="1608"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Formula</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2020</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2021</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2022</w:t>
            </w:r>
          </w:p>
        </w:tc>
        <w:tc>
          <w:tcPr>
            <w:tcW w:w="493"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2023</w:t>
            </w:r>
          </w:p>
        </w:tc>
        <w:tc>
          <w:tcPr>
            <w:tcW w:w="493"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2024</w:t>
            </w:r>
          </w:p>
        </w:tc>
      </w:tr>
      <w:tr>
        <w:tblPrEx/>
        <w:trPr>
          <w:trHeight w:val="324"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Gorss profit</w:t>
            </w:r>
          </w:p>
        </w:tc>
        <w:tc>
          <w:tcPr>
            <w:tcW w:w="1608" w:type="pct"/>
            <w:vMerge w:val="restart"/>
            <w:tcBorders>
              <w:top w:val="nil"/>
              <w:left w:val="nil"/>
              <w:bottom w:val="nil"/>
              <w:right w:val="nil"/>
            </w:tcBorders>
            <w:vAlign w:val="bottom"/>
            <w:hideMark/>
          </w:tcPr>
          <w:p>
            <w:pPr>
              <w:pStyle w:val="style0"/>
              <w:spacing w:lineRule="auto" w:line="240"/>
              <w:jc w:val="center"/>
              <w:rPr>
                <w:color w:val="000000"/>
                <w:lang w:val="en-IN"/>
              </w:rPr>
            </w:pPr>
            <w:r>
              <w:rPr>
                <w:color w:val="000000"/>
                <w:lang w:val="en-IN"/>
              </w:rPr>
              <w:t>(Gross profit / Net sale) *100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6630.00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13606.00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20853.00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17660.00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17450.00</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Net sales</w:t>
            </w:r>
          </w:p>
        </w:tc>
        <w:tc>
          <w:tcPr>
            <w:tcW w:w="1608"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31536.00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53823.00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81462.00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96773.00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97690.00</w:t>
            </w:r>
          </w:p>
        </w:tc>
      </w:tr>
      <w:tr>
        <w:tblPrEx/>
        <w:trPr>
          <w:trHeight w:val="324" w:hRule="atLeast"/>
        </w:trPr>
        <w:tc>
          <w:tcPr>
            <w:tcW w:w="1069"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Gross profit Ratio</w:t>
            </w:r>
          </w:p>
        </w:tc>
        <w:tc>
          <w:tcPr>
            <w:tcW w:w="1608"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21%</w:t>
            </w: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25%</w:t>
            </w: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26%</w:t>
            </w:r>
          </w:p>
        </w:tc>
        <w:tc>
          <w:tcPr>
            <w:tcW w:w="493"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18%</w:t>
            </w:r>
          </w:p>
        </w:tc>
        <w:tc>
          <w:tcPr>
            <w:tcW w:w="493"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18%</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Net profit</w:t>
            </w:r>
          </w:p>
        </w:tc>
        <w:tc>
          <w:tcPr>
            <w:tcW w:w="1608" w:type="pct"/>
            <w:vMerge w:val="restart"/>
            <w:tcBorders>
              <w:top w:val="nil"/>
              <w:left w:val="nil"/>
              <w:bottom w:val="double" w:sz="6" w:space="0" w:color="000000"/>
              <w:right w:val="nil"/>
            </w:tcBorders>
            <w:vAlign w:val="bottom"/>
            <w:hideMark/>
          </w:tcPr>
          <w:p>
            <w:pPr>
              <w:pStyle w:val="style0"/>
              <w:spacing w:lineRule="auto" w:line="240"/>
              <w:jc w:val="center"/>
              <w:rPr>
                <w:color w:val="000000"/>
                <w:lang w:val="en-IN"/>
              </w:rPr>
            </w:pPr>
            <w:r>
              <w:rPr>
                <w:color w:val="000000"/>
                <w:lang w:val="en-IN"/>
              </w:rPr>
              <w:t>(Net profit / Net sales) *100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862.00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5644.00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12587.00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14974.00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7153.00</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Net sales</w:t>
            </w:r>
          </w:p>
        </w:tc>
        <w:tc>
          <w:tcPr>
            <w:tcW w:w="1608"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31536.00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53823.00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81462.00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96773.00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97690.00</w:t>
            </w:r>
          </w:p>
        </w:tc>
      </w:tr>
      <w:tr>
        <w:tblPrEx/>
        <w:trPr>
          <w:trHeight w:val="336" w:hRule="atLeast"/>
        </w:trPr>
        <w:tc>
          <w:tcPr>
            <w:tcW w:w="1069" w:type="pct"/>
            <w:tcBorders>
              <w:top w:val="nil"/>
              <w:left w:val="nil"/>
              <w:bottom w:val="double" w:sz="6" w:space="0" w:color="auto"/>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Net profit ratio</w:t>
            </w:r>
          </w:p>
        </w:tc>
        <w:tc>
          <w:tcPr>
            <w:tcW w:w="1608"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3%</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10%</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15%</w:t>
            </w:r>
          </w:p>
        </w:tc>
        <w:tc>
          <w:tcPr>
            <w:tcW w:w="493"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15%</w:t>
            </w:r>
          </w:p>
        </w:tc>
        <w:tc>
          <w:tcPr>
            <w:tcW w:w="493"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7%</w:t>
            </w:r>
          </w:p>
        </w:tc>
      </w:tr>
      <w:tr>
        <w:tblPrEx/>
        <w:trPr>
          <w:trHeight w:val="348" w:hRule="atLeast"/>
        </w:trPr>
        <w:tc>
          <w:tcPr>
            <w:tcW w:w="1069"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p>
        </w:tc>
        <w:tc>
          <w:tcPr>
            <w:tcW w:w="1608"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93"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93" w:type="pct"/>
            <w:tcBorders>
              <w:top w:val="nil"/>
              <w:left w:val="nil"/>
              <w:bottom w:val="nil"/>
              <w:right w:val="nil"/>
            </w:tcBorders>
            <w:noWrap/>
            <w:vAlign w:val="bottom"/>
            <w:hideMark/>
          </w:tcPr>
          <w:p>
            <w:pPr>
              <w:pStyle w:val="style0"/>
              <w:spacing w:lineRule="auto" w:line="240"/>
              <w:jc w:val="left"/>
              <w:rPr>
                <w:sz w:val="20"/>
                <w:szCs w:val="20"/>
                <w:lang w:val="en-IN"/>
              </w:rPr>
            </w:pPr>
          </w:p>
        </w:tc>
      </w:tr>
      <w:tr>
        <w:tblPrEx/>
        <w:trPr>
          <w:trHeight w:val="300" w:hRule="atLeast"/>
        </w:trPr>
        <w:tc>
          <w:tcPr>
            <w:tcW w:w="1069"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608"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93"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93" w:type="pct"/>
            <w:tcBorders>
              <w:top w:val="nil"/>
              <w:left w:val="nil"/>
              <w:bottom w:val="nil"/>
              <w:right w:val="nil"/>
            </w:tcBorders>
            <w:noWrap/>
            <w:vAlign w:val="bottom"/>
            <w:hideMark/>
          </w:tcPr>
          <w:p>
            <w:pPr>
              <w:pStyle w:val="style0"/>
              <w:spacing w:lineRule="auto" w:line="240"/>
              <w:jc w:val="left"/>
              <w:rPr>
                <w:sz w:val="20"/>
                <w:szCs w:val="20"/>
                <w:lang w:val="en-IN"/>
              </w:rPr>
            </w:pPr>
          </w:p>
        </w:tc>
      </w:tr>
      <w:tr>
        <w:tblPrEx/>
        <w:trPr>
          <w:trHeight w:val="324" w:hRule="atLeast"/>
        </w:trPr>
        <w:tc>
          <w:tcPr>
            <w:tcW w:w="1069"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Efficiency ratio</w:t>
            </w:r>
          </w:p>
        </w:tc>
        <w:tc>
          <w:tcPr>
            <w:tcW w:w="1608" w:type="pct"/>
            <w:tcBorders>
              <w:top w:val="single" w:sz="4" w:space="0" w:color="auto"/>
              <w:left w:val="nil"/>
              <w:bottom w:val="double" w:sz="6" w:space="0" w:color="auto"/>
              <w:right w:val="nil"/>
            </w:tcBorders>
            <w:noWrap/>
            <w:vAlign w:val="center"/>
            <w:hideMark/>
          </w:tcPr>
          <w:p>
            <w:pPr>
              <w:pStyle w:val="style0"/>
              <w:spacing w:lineRule="auto" w:line="240"/>
              <w:jc w:val="left"/>
              <w:rPr>
                <w:b/>
                <w:bCs/>
                <w:color w:val="000000"/>
                <w:lang w:val="en-IN"/>
              </w:rPr>
            </w:pPr>
            <w:r>
              <w:rPr>
                <w:b/>
                <w:bCs/>
                <w:color w:val="000000"/>
                <w:lang w:val="en-IN"/>
              </w:rPr>
              <w:t>Formula</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2020</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2021</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2022</w:t>
            </w:r>
          </w:p>
        </w:tc>
        <w:tc>
          <w:tcPr>
            <w:tcW w:w="493"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2023</w:t>
            </w:r>
          </w:p>
        </w:tc>
        <w:tc>
          <w:tcPr>
            <w:tcW w:w="493"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2024</w:t>
            </w:r>
          </w:p>
        </w:tc>
      </w:tr>
      <w:tr>
        <w:tblPrEx/>
        <w:trPr>
          <w:trHeight w:val="324"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Cost of Goods sold</w:t>
            </w:r>
          </w:p>
        </w:tc>
        <w:tc>
          <w:tcPr>
            <w:tcW w:w="1608" w:type="pct"/>
            <w:tcBorders>
              <w:top w:val="nil"/>
              <w:left w:val="nil"/>
              <w:bottom w:val="nil"/>
              <w:right w:val="nil"/>
            </w:tcBorders>
            <w:noWrap/>
            <w:vAlign w:val="bottom"/>
            <w:hideMark/>
          </w:tcPr>
          <w:p>
            <w:pPr>
              <w:pStyle w:val="style0"/>
              <w:spacing w:lineRule="auto" w:line="240"/>
              <w:jc w:val="center"/>
              <w:rPr>
                <w:color w:val="000000"/>
                <w:lang w:val="en-IN"/>
              </w:rPr>
            </w:pPr>
            <w:r>
              <w:rPr>
                <w:color w:val="000000"/>
                <w:lang w:val="en-IN"/>
              </w:rPr>
              <w:t>(Cost of Goods sold / Average Inventory)</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24906.00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40217.00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60609.00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79113.00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80240.00</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Average Inventory</w:t>
            </w:r>
          </w:p>
        </w:tc>
        <w:tc>
          <w:tcPr>
            <w:tcW w:w="1608" w:type="pct"/>
            <w:tcBorders>
              <w:top w:val="nil"/>
              <w:left w:val="nil"/>
              <w:bottom w:val="nil"/>
              <w:right w:val="nil"/>
            </w:tcBorders>
            <w:noWrap/>
            <w:vAlign w:val="bottom"/>
            <w:hideMark/>
          </w:tcPr>
          <w:p>
            <w:pPr>
              <w:pStyle w:val="style0"/>
              <w:spacing w:lineRule="auto" w:line="240"/>
              <w:jc w:val="left"/>
              <w:rPr>
                <w:color w:val="000000"/>
                <w:lang w:val="en-IN"/>
              </w:rPr>
            </w:pP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4101.00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5757.00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12839.00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13626.00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12017.00</w:t>
            </w:r>
          </w:p>
        </w:tc>
      </w:tr>
      <w:tr>
        <w:tblPrEx/>
        <w:trPr>
          <w:trHeight w:val="324" w:hRule="atLeast"/>
        </w:trPr>
        <w:tc>
          <w:tcPr>
            <w:tcW w:w="1069"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Inventory Turnover ratio</w:t>
            </w:r>
          </w:p>
        </w:tc>
        <w:tc>
          <w:tcPr>
            <w:tcW w:w="1608"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6.07</w:t>
            </w: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6.99</w:t>
            </w: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4.72</w:t>
            </w:r>
          </w:p>
        </w:tc>
        <w:tc>
          <w:tcPr>
            <w:tcW w:w="493"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5.81</w:t>
            </w:r>
          </w:p>
        </w:tc>
        <w:tc>
          <w:tcPr>
            <w:tcW w:w="493"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6.68</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Sales</w:t>
            </w:r>
          </w:p>
        </w:tc>
        <w:tc>
          <w:tcPr>
            <w:tcW w:w="1608" w:type="pct"/>
            <w:tcBorders>
              <w:top w:val="nil"/>
              <w:left w:val="nil"/>
              <w:bottom w:val="nil"/>
              <w:right w:val="nil"/>
            </w:tcBorders>
            <w:noWrap/>
            <w:vAlign w:val="bottom"/>
            <w:hideMark/>
          </w:tcPr>
          <w:p>
            <w:pPr>
              <w:pStyle w:val="style0"/>
              <w:spacing w:lineRule="auto" w:line="240"/>
              <w:jc w:val="center"/>
              <w:rPr>
                <w:color w:val="000000"/>
                <w:lang w:val="en-IN"/>
              </w:rPr>
            </w:pPr>
            <w:r>
              <w:rPr>
                <w:color w:val="000000"/>
                <w:lang w:val="en-IN"/>
              </w:rPr>
              <w:t>(Sales / Average Total Assets)</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31536.00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53823.00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81462.00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96773.00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97690.00</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Average total Assets</w:t>
            </w:r>
          </w:p>
        </w:tc>
        <w:tc>
          <w:tcPr>
            <w:tcW w:w="1608" w:type="pct"/>
            <w:tcBorders>
              <w:top w:val="nil"/>
              <w:left w:val="nil"/>
              <w:bottom w:val="nil"/>
              <w:right w:val="nil"/>
            </w:tcBorders>
            <w:noWrap/>
            <w:vAlign w:val="bottom"/>
            <w:hideMark/>
          </w:tcPr>
          <w:p>
            <w:pPr>
              <w:pStyle w:val="style0"/>
              <w:spacing w:lineRule="auto" w:line="240"/>
              <w:jc w:val="left"/>
              <w:rPr>
                <w:color w:val="000000"/>
                <w:lang w:val="en-IN"/>
              </w:rPr>
            </w:pP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52148.00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62131.00</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82338.00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106618.00</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122070.00</w:t>
            </w:r>
          </w:p>
        </w:tc>
      </w:tr>
      <w:tr>
        <w:tblPrEx/>
        <w:trPr>
          <w:trHeight w:val="336" w:hRule="atLeast"/>
        </w:trPr>
        <w:tc>
          <w:tcPr>
            <w:tcW w:w="1069" w:type="pct"/>
            <w:tcBorders>
              <w:top w:val="nil"/>
              <w:left w:val="nil"/>
              <w:bottom w:val="double" w:sz="6" w:space="0" w:color="auto"/>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Assets Turnover ratio</w:t>
            </w:r>
          </w:p>
        </w:tc>
        <w:tc>
          <w:tcPr>
            <w:tcW w:w="1608" w:type="pct"/>
            <w:tcBorders>
              <w:top w:val="nil"/>
              <w:left w:val="nil"/>
              <w:bottom w:val="double" w:sz="6" w:space="0" w:color="auto"/>
              <w:right w:val="nil"/>
            </w:tcBorders>
            <w:noWrap/>
            <w:vAlign w:val="bottom"/>
            <w:hideMark/>
          </w:tcPr>
          <w:p>
            <w:pPr>
              <w:pStyle w:val="style0"/>
              <w:spacing w:lineRule="auto" w:line="240"/>
              <w:jc w:val="center"/>
              <w:rPr>
                <w:color w:val="000000"/>
                <w:lang w:val="en-IN"/>
              </w:rPr>
            </w:pPr>
            <w:r>
              <w:rPr>
                <w:color w:val="000000"/>
                <w:lang w:val="en-IN"/>
              </w:rPr>
              <w:t> </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0.60</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0.87</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0.99</w:t>
            </w:r>
          </w:p>
        </w:tc>
        <w:tc>
          <w:tcPr>
            <w:tcW w:w="493"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0.91</w:t>
            </w:r>
          </w:p>
        </w:tc>
        <w:tc>
          <w:tcPr>
            <w:tcW w:w="493"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0.80</w:t>
            </w:r>
          </w:p>
        </w:tc>
      </w:tr>
      <w:tr>
        <w:tblPrEx/>
        <w:trPr>
          <w:trHeight w:val="300" w:hRule="atLeast"/>
        </w:trPr>
        <w:tc>
          <w:tcPr>
            <w:tcW w:w="1069"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p>
        </w:tc>
        <w:tc>
          <w:tcPr>
            <w:tcW w:w="1608"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45"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93"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93" w:type="pct"/>
            <w:tcBorders>
              <w:top w:val="nil"/>
              <w:left w:val="nil"/>
              <w:bottom w:val="nil"/>
              <w:right w:val="nil"/>
            </w:tcBorders>
            <w:noWrap/>
            <w:vAlign w:val="bottom"/>
            <w:hideMark/>
          </w:tcPr>
          <w:p>
            <w:pPr>
              <w:pStyle w:val="style0"/>
              <w:spacing w:lineRule="auto" w:line="240"/>
              <w:jc w:val="left"/>
              <w:rPr>
                <w:sz w:val="20"/>
                <w:szCs w:val="20"/>
                <w:lang w:val="en-IN"/>
              </w:rPr>
            </w:pPr>
          </w:p>
        </w:tc>
      </w:tr>
      <w:tr>
        <w:tblPrEx/>
        <w:trPr>
          <w:trHeight w:val="324" w:hRule="atLeast"/>
        </w:trPr>
        <w:tc>
          <w:tcPr>
            <w:tcW w:w="1069"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Investment Ratios</w:t>
            </w:r>
          </w:p>
        </w:tc>
        <w:tc>
          <w:tcPr>
            <w:tcW w:w="1608" w:type="pct"/>
            <w:tcBorders>
              <w:top w:val="single" w:sz="4" w:space="0" w:color="auto"/>
              <w:left w:val="nil"/>
              <w:bottom w:val="double" w:sz="6" w:space="0" w:color="auto"/>
              <w:right w:val="nil"/>
            </w:tcBorders>
            <w:noWrap/>
            <w:vAlign w:val="center"/>
            <w:hideMark/>
          </w:tcPr>
          <w:p>
            <w:pPr>
              <w:pStyle w:val="style0"/>
              <w:spacing w:lineRule="auto" w:line="240"/>
              <w:jc w:val="left"/>
              <w:rPr>
                <w:b/>
                <w:bCs/>
                <w:color w:val="000000"/>
                <w:lang w:val="en-IN"/>
              </w:rPr>
            </w:pPr>
            <w:r>
              <w:rPr>
                <w:b/>
                <w:bCs/>
                <w:color w:val="000000"/>
                <w:lang w:val="en-IN"/>
              </w:rPr>
              <w:t>Formula</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2020</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2021</w:t>
            </w:r>
          </w:p>
        </w:tc>
        <w:tc>
          <w:tcPr>
            <w:tcW w:w="445"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2022</w:t>
            </w:r>
          </w:p>
        </w:tc>
        <w:tc>
          <w:tcPr>
            <w:tcW w:w="493"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2023</w:t>
            </w:r>
          </w:p>
        </w:tc>
        <w:tc>
          <w:tcPr>
            <w:tcW w:w="493"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2024</w:t>
            </w:r>
          </w:p>
        </w:tc>
      </w:tr>
      <w:tr>
        <w:tblPrEx/>
        <w:trPr>
          <w:trHeight w:val="336" w:hRule="atLeast"/>
        </w:trPr>
        <w:tc>
          <w:tcPr>
            <w:tcW w:w="1069"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EPS</w:t>
            </w:r>
          </w:p>
        </w:tc>
        <w:tc>
          <w:tcPr>
            <w:tcW w:w="1608"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0.25</w:t>
            </w: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1.87</w:t>
            </w:r>
          </w:p>
        </w:tc>
        <w:tc>
          <w:tcPr>
            <w:tcW w:w="445"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4.02</w:t>
            </w:r>
          </w:p>
        </w:tc>
        <w:tc>
          <w:tcPr>
            <w:tcW w:w="493"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4.73</w:t>
            </w:r>
          </w:p>
        </w:tc>
        <w:tc>
          <w:tcPr>
            <w:tcW w:w="493"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2.23</w:t>
            </w:r>
          </w:p>
        </w:tc>
      </w:tr>
      <w:tr>
        <w:tblPrEx/>
        <w:trPr>
          <w:trHeight w:val="312"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Stock Price</w:t>
            </w:r>
          </w:p>
        </w:tc>
        <w:tc>
          <w:tcPr>
            <w:tcW w:w="1608" w:type="pct"/>
            <w:vMerge w:val="restart"/>
            <w:tcBorders>
              <w:top w:val="nil"/>
              <w:left w:val="nil"/>
              <w:bottom w:val="double" w:sz="6" w:space="0" w:color="000000"/>
              <w:right w:val="nil"/>
            </w:tcBorders>
            <w:noWrap/>
            <w:vAlign w:val="bottom"/>
            <w:hideMark/>
          </w:tcPr>
          <w:p>
            <w:pPr>
              <w:pStyle w:val="style0"/>
              <w:spacing w:lineRule="auto" w:line="240"/>
              <w:jc w:val="center"/>
              <w:rPr>
                <w:color w:val="000000"/>
                <w:lang w:val="en-IN"/>
              </w:rPr>
            </w:pPr>
            <w:r>
              <w:rPr>
                <w:color w:val="000000"/>
                <w:lang w:val="en-IN"/>
              </w:rPr>
              <w:t>(Stock Price / EPS)</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43.37</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206.67</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349.87</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133.42</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218.89</w:t>
            </w:r>
          </w:p>
        </w:tc>
      </w:tr>
      <w:tr>
        <w:tblPrEx/>
        <w:trPr>
          <w:trHeight w:val="324" w:hRule="atLeast"/>
        </w:trPr>
        <w:tc>
          <w:tcPr>
            <w:tcW w:w="106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EPS</w:t>
            </w:r>
          </w:p>
        </w:tc>
        <w:tc>
          <w:tcPr>
            <w:tcW w:w="1608"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0.25</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1.87</w:t>
            </w:r>
          </w:p>
        </w:tc>
        <w:tc>
          <w:tcPr>
            <w:tcW w:w="445"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4.02</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4.73</w:t>
            </w:r>
          </w:p>
        </w:tc>
        <w:tc>
          <w:tcPr>
            <w:tcW w:w="493"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2.23</w:t>
            </w:r>
          </w:p>
        </w:tc>
      </w:tr>
      <w:tr>
        <w:tblPrEx/>
        <w:trPr>
          <w:trHeight w:val="336" w:hRule="atLeast"/>
        </w:trPr>
        <w:tc>
          <w:tcPr>
            <w:tcW w:w="1069" w:type="pct"/>
            <w:tcBorders>
              <w:top w:val="nil"/>
              <w:left w:val="nil"/>
              <w:bottom w:val="double" w:sz="6" w:space="0" w:color="auto"/>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 xml:space="preserve">Price to </w:t>
            </w:r>
            <w:r>
              <w:rPr>
                <w:b/>
                <w:bCs/>
                <w:i/>
                <w:iCs/>
                <w:color w:val="000000"/>
                <w:u w:val="single"/>
                <w:lang w:val="en-IN"/>
              </w:rPr>
              <w:t>earning</w:t>
            </w:r>
            <w:r>
              <w:rPr>
                <w:b/>
                <w:bCs/>
                <w:i/>
                <w:iCs/>
                <w:color w:val="000000"/>
                <w:u w:val="single"/>
                <w:lang w:val="en-IN"/>
              </w:rPr>
              <w:t xml:space="preserve"> ratio</w:t>
            </w:r>
          </w:p>
        </w:tc>
        <w:tc>
          <w:tcPr>
            <w:tcW w:w="1608"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173.48</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110.52</w:t>
            </w:r>
          </w:p>
        </w:tc>
        <w:tc>
          <w:tcPr>
            <w:tcW w:w="445"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87.03</w:t>
            </w:r>
          </w:p>
        </w:tc>
        <w:tc>
          <w:tcPr>
            <w:tcW w:w="493"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28.21</w:t>
            </w:r>
          </w:p>
        </w:tc>
        <w:tc>
          <w:tcPr>
            <w:tcW w:w="493"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98.16</w:t>
            </w:r>
          </w:p>
        </w:tc>
      </w:tr>
    </w:tbl>
    <w:p>
      <w:pPr>
        <w:pStyle w:val="style0"/>
        <w:rPr>
          <w:b/>
          <w:bCs/>
        </w:rPr>
      </w:pPr>
    </w:p>
    <w:tbl>
      <w:tblPr>
        <w:tblW w:w="5000" w:type="pct"/>
        <w:tblLook w:val="04A0" w:firstRow="1" w:lastRow="0" w:firstColumn="1" w:lastColumn="0" w:noHBand="0" w:noVBand="1"/>
      </w:tblPr>
      <w:tblGrid>
        <w:gridCol w:w="1436"/>
        <w:gridCol w:w="1808"/>
        <w:gridCol w:w="1164"/>
        <w:gridCol w:w="1207"/>
        <w:gridCol w:w="1236"/>
        <w:gridCol w:w="1222"/>
        <w:gridCol w:w="1282"/>
      </w:tblGrid>
      <w:tr>
        <w:trPr>
          <w:trHeight w:val="324" w:hRule="atLeast"/>
        </w:trPr>
        <w:tc>
          <w:tcPr>
            <w:tcW w:w="1079"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Liquidity ratio</w:t>
            </w:r>
          </w:p>
        </w:tc>
        <w:tc>
          <w:tcPr>
            <w:tcW w:w="1710"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Formula</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2020</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2021</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2022</w:t>
            </w:r>
          </w:p>
        </w:tc>
        <w:tc>
          <w:tcPr>
            <w:tcW w:w="470"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2023</w:t>
            </w:r>
          </w:p>
        </w:tc>
        <w:tc>
          <w:tcPr>
            <w:tcW w:w="470"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2024</w:t>
            </w:r>
          </w:p>
        </w:tc>
      </w:tr>
      <w:tr>
        <w:tblPrEx/>
        <w:trPr>
          <w:trHeight w:val="324"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Current Assets</w:t>
            </w:r>
          </w:p>
        </w:tc>
        <w:tc>
          <w:tcPr>
            <w:tcW w:w="1710" w:type="pct"/>
            <w:vMerge w:val="restart"/>
            <w:tcBorders>
              <w:top w:val="nil"/>
              <w:left w:val="nil"/>
              <w:bottom w:val="nil"/>
              <w:right w:val="nil"/>
            </w:tcBorders>
            <w:vAlign w:val="bottom"/>
            <w:hideMark/>
          </w:tcPr>
          <w:p>
            <w:pPr>
              <w:pStyle w:val="style0"/>
              <w:spacing w:lineRule="auto" w:line="240"/>
              <w:jc w:val="center"/>
              <w:rPr>
                <w:color w:val="000000"/>
                <w:lang w:val="en-IN"/>
              </w:rPr>
            </w:pPr>
            <w:r>
              <w:rPr>
                <w:color w:val="000000"/>
                <w:lang w:val="en-IN"/>
              </w:rPr>
              <w:t xml:space="preserve">(Current Assets / Current </w:t>
            </w:r>
            <w:r>
              <w:rPr>
                <w:color w:val="000000"/>
                <w:lang w:val="en-IN"/>
              </w:rPr>
              <w:t>Laibility</w:t>
            </w:r>
            <w:r>
              <w:rPr>
                <w:color w:val="000000"/>
                <w:lang w:val="en-IN"/>
              </w:rPr>
              <w:t>)</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26717.00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27100.00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40917.00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49616.00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58360.00</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Current liability</w:t>
            </w:r>
          </w:p>
        </w:tc>
        <w:tc>
          <w:tcPr>
            <w:tcW w:w="1710"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14248.00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10667.00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26709.00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28748.00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28821.00</w:t>
            </w:r>
          </w:p>
        </w:tc>
      </w:tr>
      <w:tr>
        <w:tblPrEx/>
        <w:trPr>
          <w:trHeight w:val="324" w:hRule="atLeast"/>
        </w:trPr>
        <w:tc>
          <w:tcPr>
            <w:tcW w:w="1079"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Current Ratio</w:t>
            </w:r>
          </w:p>
        </w:tc>
        <w:tc>
          <w:tcPr>
            <w:tcW w:w="1710"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1.88</w:t>
            </w: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2.54</w:t>
            </w: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1.53</w:t>
            </w:r>
          </w:p>
        </w:tc>
        <w:tc>
          <w:tcPr>
            <w:tcW w:w="470"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1.73</w:t>
            </w:r>
          </w:p>
        </w:tc>
        <w:tc>
          <w:tcPr>
            <w:tcW w:w="470"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2.02</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Current Assets</w:t>
            </w:r>
          </w:p>
        </w:tc>
        <w:tc>
          <w:tcPr>
            <w:tcW w:w="1710" w:type="pct"/>
            <w:vMerge w:val="restart"/>
            <w:tcBorders>
              <w:top w:val="nil"/>
              <w:left w:val="nil"/>
              <w:bottom w:val="double" w:sz="6" w:space="0" w:color="000000"/>
              <w:right w:val="nil"/>
            </w:tcBorders>
            <w:vAlign w:val="bottom"/>
            <w:hideMark/>
          </w:tcPr>
          <w:p>
            <w:pPr>
              <w:pStyle w:val="style0"/>
              <w:spacing w:lineRule="auto" w:line="240"/>
              <w:jc w:val="center"/>
              <w:rPr>
                <w:color w:val="000000"/>
                <w:lang w:val="en-IN"/>
              </w:rPr>
            </w:pPr>
            <w:r>
              <w:rPr>
                <w:color w:val="000000"/>
                <w:lang w:val="en-IN"/>
              </w:rPr>
              <w:t>(Current Assets -Inventory)/ Current Liability</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26717.00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27100.00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40917.00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49616.00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58360.00</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Inventiry</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4101.00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5757.00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12839.00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13626.00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12017.00</w:t>
            </w:r>
          </w:p>
        </w:tc>
      </w:tr>
      <w:tr>
        <w:tblPrEx/>
        <w:trPr>
          <w:trHeight w:val="336"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Currnet</w:t>
            </w:r>
            <w:r>
              <w:rPr>
                <w:color w:val="000000"/>
                <w:lang w:val="en-IN"/>
              </w:rPr>
              <w:t xml:space="preserve"> Liability</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14248.00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10667.00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26709.00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28748.00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28821.00</w:t>
            </w:r>
          </w:p>
        </w:tc>
      </w:tr>
      <w:tr>
        <w:tblPrEx/>
        <w:trPr>
          <w:trHeight w:val="348" w:hRule="atLeast"/>
        </w:trPr>
        <w:tc>
          <w:tcPr>
            <w:tcW w:w="1079" w:type="pct"/>
            <w:tcBorders>
              <w:top w:val="nil"/>
              <w:left w:val="nil"/>
              <w:bottom w:val="double" w:sz="6" w:space="0" w:color="auto"/>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Quick ratio</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1.59</w:t>
            </w: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2.00</w:t>
            </w: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1.05</w:t>
            </w:r>
          </w:p>
        </w:tc>
        <w:tc>
          <w:tcPr>
            <w:tcW w:w="470"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1.25</w:t>
            </w:r>
          </w:p>
        </w:tc>
        <w:tc>
          <w:tcPr>
            <w:tcW w:w="470"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1.61</w:t>
            </w:r>
          </w:p>
        </w:tc>
      </w:tr>
      <w:tr>
        <w:tblPrEx/>
        <w:trPr>
          <w:trHeight w:val="300" w:hRule="atLeast"/>
        </w:trPr>
        <w:tc>
          <w:tcPr>
            <w:tcW w:w="1079"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p>
        </w:tc>
        <w:tc>
          <w:tcPr>
            <w:tcW w:w="1710"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24"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24"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24"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70"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70" w:type="pct"/>
            <w:tcBorders>
              <w:top w:val="nil"/>
              <w:left w:val="nil"/>
              <w:bottom w:val="nil"/>
              <w:right w:val="nil"/>
            </w:tcBorders>
            <w:noWrap/>
            <w:vAlign w:val="bottom"/>
            <w:hideMark/>
          </w:tcPr>
          <w:p>
            <w:pPr>
              <w:pStyle w:val="style0"/>
              <w:spacing w:lineRule="auto" w:line="240"/>
              <w:jc w:val="left"/>
              <w:rPr>
                <w:sz w:val="20"/>
                <w:szCs w:val="20"/>
                <w:lang w:val="en-IN"/>
              </w:rPr>
            </w:pPr>
          </w:p>
        </w:tc>
      </w:tr>
      <w:tr>
        <w:tblPrEx/>
        <w:trPr>
          <w:trHeight w:val="324" w:hRule="atLeast"/>
        </w:trPr>
        <w:tc>
          <w:tcPr>
            <w:tcW w:w="1079" w:type="pct"/>
            <w:tcBorders>
              <w:top w:val="single" w:sz="4" w:space="0" w:color="auto"/>
              <w:left w:val="nil"/>
              <w:bottom w:val="double" w:sz="6" w:space="0" w:color="auto"/>
              <w:right w:val="nil"/>
            </w:tcBorders>
            <w:noWrap/>
            <w:vAlign w:val="center"/>
            <w:hideMark/>
          </w:tcPr>
          <w:p>
            <w:pPr>
              <w:pStyle w:val="style0"/>
              <w:spacing w:lineRule="auto" w:line="240"/>
              <w:jc w:val="left"/>
              <w:rPr>
                <w:b/>
                <w:bCs/>
                <w:color w:val="000000"/>
                <w:lang w:val="en-IN"/>
              </w:rPr>
            </w:pPr>
            <w:r>
              <w:rPr>
                <w:b/>
                <w:bCs/>
                <w:color w:val="000000"/>
                <w:lang w:val="en-IN"/>
              </w:rPr>
              <w:t>Solvency ratio</w:t>
            </w:r>
          </w:p>
        </w:tc>
        <w:tc>
          <w:tcPr>
            <w:tcW w:w="1710"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Formula</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2020</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2021</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2022</w:t>
            </w:r>
          </w:p>
        </w:tc>
        <w:tc>
          <w:tcPr>
            <w:tcW w:w="470"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2023</w:t>
            </w:r>
          </w:p>
        </w:tc>
        <w:tc>
          <w:tcPr>
            <w:tcW w:w="470"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2024</w:t>
            </w:r>
          </w:p>
        </w:tc>
      </w:tr>
      <w:tr>
        <w:tblPrEx/>
        <w:trPr>
          <w:trHeight w:val="324"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Total Debt</w:t>
            </w:r>
          </w:p>
        </w:tc>
        <w:tc>
          <w:tcPr>
            <w:tcW w:w="1710" w:type="pct"/>
            <w:vMerge w:val="restart"/>
            <w:tcBorders>
              <w:top w:val="nil"/>
              <w:left w:val="nil"/>
              <w:bottom w:val="nil"/>
              <w:right w:val="nil"/>
            </w:tcBorders>
            <w:noWrap/>
            <w:vAlign w:val="center"/>
            <w:hideMark/>
          </w:tcPr>
          <w:p>
            <w:pPr>
              <w:pStyle w:val="style0"/>
              <w:spacing w:lineRule="auto" w:line="240"/>
              <w:jc w:val="center"/>
              <w:rPr>
                <w:color w:val="000000"/>
                <w:lang w:val="en-IN"/>
              </w:rPr>
            </w:pPr>
            <w:r>
              <w:rPr>
                <w:color w:val="000000"/>
                <w:lang w:val="en-IN"/>
              </w:rPr>
              <w:t>(Total Debt / Total Assets)</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28418.00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30548.00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36440.00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43009.00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48390.00</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Total Assets</w:t>
            </w:r>
          </w:p>
        </w:tc>
        <w:tc>
          <w:tcPr>
            <w:tcW w:w="1710"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52148.00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62131.00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82338.00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106618.00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122070.00</w:t>
            </w:r>
          </w:p>
        </w:tc>
      </w:tr>
      <w:tr>
        <w:tblPrEx/>
        <w:trPr>
          <w:trHeight w:val="324" w:hRule="atLeast"/>
        </w:trPr>
        <w:tc>
          <w:tcPr>
            <w:tcW w:w="1079"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Debt to Asset ratio</w:t>
            </w:r>
          </w:p>
        </w:tc>
        <w:tc>
          <w:tcPr>
            <w:tcW w:w="1710"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0.54</w:t>
            </w: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0.49</w:t>
            </w: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0.44</w:t>
            </w:r>
          </w:p>
        </w:tc>
        <w:tc>
          <w:tcPr>
            <w:tcW w:w="470"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0.40</w:t>
            </w:r>
          </w:p>
        </w:tc>
        <w:tc>
          <w:tcPr>
            <w:tcW w:w="470"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0.40</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Total Equity</w:t>
            </w:r>
          </w:p>
        </w:tc>
        <w:tc>
          <w:tcPr>
            <w:tcW w:w="1710" w:type="pct"/>
            <w:vMerge w:val="restart"/>
            <w:tcBorders>
              <w:top w:val="nil"/>
              <w:left w:val="nil"/>
              <w:bottom w:val="double" w:sz="6" w:space="0" w:color="000000"/>
              <w:right w:val="nil"/>
            </w:tcBorders>
            <w:noWrap/>
            <w:vAlign w:val="bottom"/>
            <w:hideMark/>
          </w:tcPr>
          <w:p>
            <w:pPr>
              <w:pStyle w:val="style0"/>
              <w:spacing w:lineRule="auto" w:line="240"/>
              <w:jc w:val="center"/>
              <w:rPr>
                <w:color w:val="000000"/>
                <w:lang w:val="en-IN"/>
              </w:rPr>
            </w:pPr>
            <w:r>
              <w:rPr>
                <w:color w:val="000000"/>
                <w:lang w:val="en-IN"/>
              </w:rPr>
              <w:t>(Total Equity / Total Assets)</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22225.00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30189.00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44704.00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62634.00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72913.00</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Total Assets</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52148.00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62131.00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82338.00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106618.00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122070.00</w:t>
            </w:r>
          </w:p>
        </w:tc>
      </w:tr>
      <w:tr>
        <w:tblPrEx/>
        <w:trPr>
          <w:trHeight w:val="336" w:hRule="atLeast"/>
        </w:trPr>
        <w:tc>
          <w:tcPr>
            <w:tcW w:w="1079" w:type="pct"/>
            <w:tcBorders>
              <w:top w:val="nil"/>
              <w:left w:val="nil"/>
              <w:bottom w:val="double" w:sz="6" w:space="0" w:color="auto"/>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Equity ratio</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0.43</w:t>
            </w: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0.49</w:t>
            </w: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0.54</w:t>
            </w:r>
          </w:p>
        </w:tc>
        <w:tc>
          <w:tcPr>
            <w:tcW w:w="470"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0.59</w:t>
            </w:r>
          </w:p>
        </w:tc>
        <w:tc>
          <w:tcPr>
            <w:tcW w:w="470"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0.60</w:t>
            </w:r>
          </w:p>
        </w:tc>
      </w:tr>
      <w:tr>
        <w:tblPrEx/>
        <w:trPr>
          <w:trHeight w:val="300" w:hRule="atLeast"/>
        </w:trPr>
        <w:tc>
          <w:tcPr>
            <w:tcW w:w="1079"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p>
        </w:tc>
        <w:tc>
          <w:tcPr>
            <w:tcW w:w="1710"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24"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24"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24"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70"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470" w:type="pct"/>
            <w:tcBorders>
              <w:top w:val="nil"/>
              <w:left w:val="nil"/>
              <w:bottom w:val="nil"/>
              <w:right w:val="nil"/>
            </w:tcBorders>
            <w:noWrap/>
            <w:vAlign w:val="bottom"/>
            <w:hideMark/>
          </w:tcPr>
          <w:p>
            <w:pPr>
              <w:pStyle w:val="style0"/>
              <w:spacing w:lineRule="auto" w:line="240"/>
              <w:jc w:val="left"/>
              <w:rPr>
                <w:sz w:val="20"/>
                <w:szCs w:val="20"/>
                <w:lang w:val="en-IN"/>
              </w:rPr>
            </w:pPr>
          </w:p>
        </w:tc>
      </w:tr>
      <w:tr>
        <w:tblPrEx/>
        <w:trPr>
          <w:trHeight w:val="324" w:hRule="atLeast"/>
        </w:trPr>
        <w:tc>
          <w:tcPr>
            <w:tcW w:w="1079" w:type="pct"/>
            <w:tcBorders>
              <w:top w:val="single" w:sz="4" w:space="0" w:color="auto"/>
              <w:left w:val="nil"/>
              <w:bottom w:val="double" w:sz="6" w:space="0" w:color="auto"/>
              <w:right w:val="nil"/>
            </w:tcBorders>
            <w:noWrap/>
            <w:vAlign w:val="center"/>
            <w:hideMark/>
          </w:tcPr>
          <w:p>
            <w:pPr>
              <w:pStyle w:val="style0"/>
              <w:spacing w:lineRule="auto" w:line="240"/>
              <w:jc w:val="left"/>
              <w:rPr>
                <w:b/>
                <w:bCs/>
                <w:color w:val="000000"/>
                <w:lang w:val="en-IN"/>
              </w:rPr>
            </w:pPr>
            <w:r>
              <w:rPr>
                <w:b/>
                <w:bCs/>
                <w:color w:val="000000"/>
                <w:lang w:val="en-IN"/>
              </w:rPr>
              <w:t>Cash Flow Ratios</w:t>
            </w:r>
          </w:p>
        </w:tc>
        <w:tc>
          <w:tcPr>
            <w:tcW w:w="1710" w:type="pct"/>
            <w:tcBorders>
              <w:top w:val="single" w:sz="4" w:space="0" w:color="auto"/>
              <w:left w:val="nil"/>
              <w:bottom w:val="double" w:sz="6" w:space="0" w:color="auto"/>
              <w:right w:val="nil"/>
            </w:tcBorders>
            <w:noWrap/>
            <w:vAlign w:val="center"/>
            <w:hideMark/>
          </w:tcPr>
          <w:p>
            <w:pPr>
              <w:pStyle w:val="style0"/>
              <w:spacing w:lineRule="auto" w:line="240"/>
              <w:jc w:val="center"/>
              <w:rPr>
                <w:b/>
                <w:bCs/>
                <w:color w:val="000000"/>
                <w:lang w:val="en-IN"/>
              </w:rPr>
            </w:pPr>
            <w:r>
              <w:rPr>
                <w:b/>
                <w:bCs/>
                <w:color w:val="000000"/>
                <w:lang w:val="en-IN"/>
              </w:rPr>
              <w:t>Formula</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2020</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2021</w:t>
            </w:r>
          </w:p>
        </w:tc>
        <w:tc>
          <w:tcPr>
            <w:tcW w:w="424"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2022</w:t>
            </w:r>
          </w:p>
        </w:tc>
        <w:tc>
          <w:tcPr>
            <w:tcW w:w="470"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2023</w:t>
            </w:r>
          </w:p>
        </w:tc>
        <w:tc>
          <w:tcPr>
            <w:tcW w:w="470" w:type="pct"/>
            <w:tcBorders>
              <w:top w:val="single" w:sz="4" w:space="0" w:color="auto"/>
              <w:left w:val="nil"/>
              <w:bottom w:val="double" w:sz="6" w:space="0" w:color="auto"/>
              <w:right w:val="nil"/>
            </w:tcBorders>
            <w:noWrap/>
            <w:vAlign w:val="bottom"/>
            <w:hideMark/>
          </w:tcPr>
          <w:p>
            <w:pPr>
              <w:pStyle w:val="style0"/>
              <w:spacing w:lineRule="auto" w:line="240"/>
              <w:jc w:val="right"/>
              <w:rPr>
                <w:b/>
                <w:bCs/>
                <w:color w:val="000000"/>
                <w:lang w:val="en-IN"/>
              </w:rPr>
            </w:pPr>
            <w:r>
              <w:rPr>
                <w:b/>
                <w:bCs/>
                <w:color w:val="000000"/>
                <w:lang w:val="en-IN"/>
              </w:rPr>
              <w:t>2024</w:t>
            </w:r>
          </w:p>
        </w:tc>
      </w:tr>
      <w:tr>
        <w:tblPrEx/>
        <w:trPr>
          <w:trHeight w:val="336"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Operating Cash flow</w:t>
            </w:r>
          </w:p>
        </w:tc>
        <w:tc>
          <w:tcPr>
            <w:tcW w:w="1710" w:type="pct"/>
            <w:vMerge w:val="restart"/>
            <w:tcBorders>
              <w:top w:val="nil"/>
              <w:left w:val="nil"/>
              <w:bottom w:val="nil"/>
              <w:right w:val="nil"/>
            </w:tcBorders>
            <w:noWrap/>
            <w:vAlign w:val="center"/>
            <w:hideMark/>
          </w:tcPr>
          <w:p>
            <w:pPr>
              <w:pStyle w:val="style0"/>
              <w:spacing w:lineRule="auto" w:line="240"/>
              <w:jc w:val="center"/>
              <w:rPr>
                <w:color w:val="000000"/>
                <w:lang w:val="en-IN"/>
              </w:rPr>
            </w:pPr>
            <w:r>
              <w:rPr>
                <w:color w:val="000000"/>
                <w:lang w:val="en-IN"/>
              </w:rPr>
              <w:t>(Operating Cash flow / Current Liability)</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5943.00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11497.00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14724.00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13256.00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14923.00</w:t>
            </w:r>
          </w:p>
        </w:tc>
      </w:tr>
      <w:tr>
        <w:tblPrEx/>
        <w:trPr>
          <w:trHeight w:val="312"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Current Liability</w:t>
            </w:r>
          </w:p>
        </w:tc>
        <w:tc>
          <w:tcPr>
            <w:tcW w:w="1710"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14248.00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10667.00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26709.00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28748.00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28821.00</w:t>
            </w:r>
          </w:p>
        </w:tc>
      </w:tr>
      <w:tr>
        <w:tblPrEx/>
        <w:trPr>
          <w:trHeight w:val="324" w:hRule="atLeast"/>
        </w:trPr>
        <w:tc>
          <w:tcPr>
            <w:tcW w:w="1079" w:type="pct"/>
            <w:tcBorders>
              <w:top w:val="nil"/>
              <w:left w:val="nil"/>
              <w:bottom w:val="nil"/>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Operating Cash flow ratio</w:t>
            </w:r>
          </w:p>
        </w:tc>
        <w:tc>
          <w:tcPr>
            <w:tcW w:w="1710" w:type="pct"/>
            <w:vMerge w:val="continue"/>
            <w:tcBorders>
              <w:top w:val="nil"/>
              <w:left w:val="nil"/>
              <w:bottom w:val="nil"/>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0.42</w:t>
            </w: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1.08</w:t>
            </w:r>
          </w:p>
        </w:tc>
        <w:tc>
          <w:tcPr>
            <w:tcW w:w="424"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0.55</w:t>
            </w:r>
          </w:p>
        </w:tc>
        <w:tc>
          <w:tcPr>
            <w:tcW w:w="470"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0.46</w:t>
            </w:r>
          </w:p>
        </w:tc>
        <w:tc>
          <w:tcPr>
            <w:tcW w:w="470" w:type="pct"/>
            <w:tcBorders>
              <w:top w:val="nil"/>
              <w:left w:val="nil"/>
              <w:bottom w:val="nil"/>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0.52</w:t>
            </w:r>
          </w:p>
        </w:tc>
      </w:tr>
      <w:tr>
        <w:tblPrEx/>
        <w:trPr>
          <w:trHeight w:val="336"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Operating Cash flow</w:t>
            </w:r>
          </w:p>
        </w:tc>
        <w:tc>
          <w:tcPr>
            <w:tcW w:w="1710" w:type="pct"/>
            <w:vMerge w:val="restart"/>
            <w:tcBorders>
              <w:top w:val="nil"/>
              <w:left w:val="nil"/>
              <w:bottom w:val="double" w:sz="6" w:space="0" w:color="000000"/>
              <w:right w:val="nil"/>
            </w:tcBorders>
            <w:noWrap/>
            <w:vAlign w:val="center"/>
            <w:hideMark/>
          </w:tcPr>
          <w:p>
            <w:pPr>
              <w:pStyle w:val="style0"/>
              <w:spacing w:lineRule="auto" w:line="240"/>
              <w:jc w:val="center"/>
              <w:rPr>
                <w:color w:val="000000"/>
                <w:lang w:val="en-IN"/>
              </w:rPr>
            </w:pPr>
            <w:r>
              <w:rPr>
                <w:color w:val="000000"/>
                <w:lang w:val="en-IN"/>
              </w:rPr>
              <w:t>(Operating Cash flow / Total Debt)</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5943.00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11497.00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14724.00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13256.00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14923.00</w:t>
            </w:r>
          </w:p>
        </w:tc>
      </w:tr>
      <w:tr>
        <w:tblPrEx/>
        <w:trPr>
          <w:trHeight w:val="324" w:hRule="atLeast"/>
        </w:trPr>
        <w:tc>
          <w:tcPr>
            <w:tcW w:w="1079" w:type="pct"/>
            <w:tcBorders>
              <w:top w:val="nil"/>
              <w:left w:val="nil"/>
              <w:bottom w:val="nil"/>
              <w:right w:val="nil"/>
            </w:tcBorders>
            <w:noWrap/>
            <w:vAlign w:val="bottom"/>
            <w:hideMark/>
          </w:tcPr>
          <w:p>
            <w:pPr>
              <w:pStyle w:val="style0"/>
              <w:spacing w:lineRule="auto" w:line="240"/>
              <w:jc w:val="left"/>
              <w:rPr>
                <w:color w:val="000000"/>
                <w:lang w:val="en-IN"/>
              </w:rPr>
            </w:pPr>
            <w:r>
              <w:rPr>
                <w:color w:val="000000"/>
                <w:lang w:val="en-IN"/>
              </w:rPr>
              <w:t>Total Debt</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28418.00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30548.00</w:t>
            </w:r>
          </w:p>
        </w:tc>
        <w:tc>
          <w:tcPr>
            <w:tcW w:w="424"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36440.00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43009.00</w:t>
            </w:r>
          </w:p>
        </w:tc>
        <w:tc>
          <w:tcPr>
            <w:tcW w:w="470" w:type="pct"/>
            <w:tcBorders>
              <w:top w:val="nil"/>
              <w:left w:val="nil"/>
              <w:bottom w:val="nil"/>
              <w:right w:val="nil"/>
            </w:tcBorders>
            <w:noWrap/>
            <w:vAlign w:val="bottom"/>
            <w:hideMark/>
          </w:tcPr>
          <w:p>
            <w:pPr>
              <w:pStyle w:val="style0"/>
              <w:spacing w:lineRule="auto" w:line="240"/>
              <w:jc w:val="right"/>
              <w:rPr>
                <w:color w:val="000000"/>
                <w:lang w:val="en-IN"/>
              </w:rPr>
            </w:pPr>
            <w:r>
              <w:rPr>
                <w:color w:val="000000"/>
                <w:lang w:val="en-IN"/>
              </w:rPr>
              <w:t>48390.00</w:t>
            </w:r>
          </w:p>
        </w:tc>
      </w:tr>
      <w:tr>
        <w:tblPrEx/>
        <w:trPr>
          <w:trHeight w:val="336" w:hRule="atLeast"/>
        </w:trPr>
        <w:tc>
          <w:tcPr>
            <w:tcW w:w="1079" w:type="pct"/>
            <w:tcBorders>
              <w:top w:val="nil"/>
              <w:left w:val="nil"/>
              <w:bottom w:val="double" w:sz="6" w:space="0" w:color="auto"/>
              <w:right w:val="nil"/>
            </w:tcBorders>
            <w:noWrap/>
            <w:vAlign w:val="bottom"/>
            <w:hideMark/>
          </w:tcPr>
          <w:p>
            <w:pPr>
              <w:pStyle w:val="style0"/>
              <w:spacing w:lineRule="auto" w:line="240"/>
              <w:jc w:val="left"/>
              <w:rPr>
                <w:b/>
                <w:bCs/>
                <w:i/>
                <w:iCs/>
                <w:color w:val="000000"/>
                <w:u w:val="single"/>
                <w:lang w:val="en-IN"/>
              </w:rPr>
            </w:pPr>
            <w:r>
              <w:rPr>
                <w:b/>
                <w:bCs/>
                <w:i/>
                <w:iCs/>
                <w:color w:val="000000"/>
                <w:u w:val="single"/>
                <w:lang w:val="en-IN"/>
              </w:rPr>
              <w:t>Cash Flow to Debt Ratio</w:t>
            </w:r>
          </w:p>
        </w:tc>
        <w:tc>
          <w:tcPr>
            <w:tcW w:w="1710" w:type="pct"/>
            <w:vMerge w:val="continue"/>
            <w:tcBorders>
              <w:top w:val="nil"/>
              <w:left w:val="nil"/>
              <w:bottom w:val="double" w:sz="6" w:space="0" w:color="000000"/>
              <w:right w:val="nil"/>
            </w:tcBorders>
            <w:vAlign w:val="center"/>
            <w:hideMark/>
          </w:tcPr>
          <w:p>
            <w:pPr>
              <w:pStyle w:val="style0"/>
              <w:spacing w:lineRule="auto" w:line="240"/>
              <w:jc w:val="left"/>
              <w:rPr>
                <w:color w:val="000000"/>
                <w:lang w:val="en-IN"/>
              </w:rPr>
            </w:pP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0.21</w:t>
            </w: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0.38</w:t>
            </w:r>
          </w:p>
        </w:tc>
        <w:tc>
          <w:tcPr>
            <w:tcW w:w="424"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0.40</w:t>
            </w:r>
          </w:p>
        </w:tc>
        <w:tc>
          <w:tcPr>
            <w:tcW w:w="470"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0.31</w:t>
            </w:r>
          </w:p>
        </w:tc>
        <w:tc>
          <w:tcPr>
            <w:tcW w:w="470" w:type="pct"/>
            <w:tcBorders>
              <w:top w:val="nil"/>
              <w:left w:val="nil"/>
              <w:bottom w:val="double" w:sz="6" w:space="0" w:color="auto"/>
              <w:right w:val="nil"/>
            </w:tcBorders>
            <w:noWrap/>
            <w:vAlign w:val="bottom"/>
            <w:hideMark/>
          </w:tcPr>
          <w:p>
            <w:pPr>
              <w:pStyle w:val="style0"/>
              <w:spacing w:lineRule="auto" w:line="240"/>
              <w:jc w:val="right"/>
              <w:rPr>
                <w:b/>
                <w:bCs/>
                <w:i/>
                <w:iCs/>
                <w:color w:val="000000"/>
                <w:u w:val="single"/>
                <w:lang w:val="en-IN"/>
              </w:rPr>
            </w:pPr>
            <w:r>
              <w:rPr>
                <w:b/>
                <w:bCs/>
                <w:i/>
                <w:iCs/>
                <w:color w:val="000000"/>
                <w:u w:val="single"/>
                <w:lang w:val="en-IN"/>
              </w:rPr>
              <w:t>0.31</w:t>
            </w:r>
          </w:p>
        </w:tc>
      </w:tr>
    </w:tbl>
    <w:p>
      <w:pPr>
        <w:pStyle w:val="style0"/>
        <w:rPr>
          <w:b/>
          <w:bCs/>
        </w:rPr>
      </w:pPr>
    </w:p>
    <w:p>
      <w:pPr>
        <w:pStyle w:val="style0"/>
        <w:rPr>
          <w:b/>
          <w:bCs/>
        </w:rPr>
      </w:pPr>
      <w:r>
        <w:rPr>
          <w:b/>
          <w:bCs/>
        </w:rPr>
        <w:br w:type="page"/>
      </w:r>
    </w:p>
    <w:p>
      <w:pPr>
        <w:pStyle w:val="style0"/>
        <w:rPr>
          <w:b/>
          <w:bCs/>
        </w:rPr>
      </w:pPr>
      <w:r>
        <w:rPr>
          <w:b/>
          <w:bCs/>
        </w:rPr>
        <w:t>Appendix 2:</w:t>
      </w:r>
      <w:r>
        <w:rPr>
          <w:b/>
          <w:bCs/>
        </w:rPr>
        <w:t xml:space="preserve"> Investment Appraisal</w:t>
      </w:r>
    </w:p>
    <w:tbl>
      <w:tblPr>
        <w:tblW w:w="5000" w:type="pct"/>
        <w:tblLook w:val="04A0" w:firstRow="1" w:lastRow="0" w:firstColumn="1" w:lastColumn="0" w:noHBand="0" w:noVBand="1"/>
      </w:tblPr>
      <w:tblGrid>
        <w:gridCol w:w="1152"/>
        <w:gridCol w:w="1786"/>
        <w:gridCol w:w="3919"/>
        <w:gridCol w:w="2483"/>
      </w:tblGrid>
      <w:tr>
        <w:trPr>
          <w:trHeight w:val="276" w:hRule="atLeast"/>
        </w:trPr>
        <w:tc>
          <w:tcPr>
            <w:tcW w:w="5000" w:type="pct"/>
            <w:gridSpan w:val="4"/>
            <w:tcBorders>
              <w:top w:val="single" w:sz="8" w:space="0" w:color="auto"/>
              <w:left w:val="single" w:sz="8" w:space="0" w:color="auto"/>
              <w:bottom w:val="single" w:sz="4" w:space="0" w:color="auto"/>
              <w:right w:val="single" w:sz="8"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Project A Net Present Value (In million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Discounting Factor</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Present Value</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0.91</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9.09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12.00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0.83</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9.92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14.00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0.75</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10.52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0.68</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6.83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8.00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0.62</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4.97 </w:t>
            </w:r>
          </w:p>
        </w:tc>
      </w:tr>
      <w:tr>
        <w:tblPrEx/>
        <w:trPr>
          <w:trHeight w:val="276" w:hRule="atLeast"/>
        </w:trPr>
        <w:tc>
          <w:tcPr>
            <w:tcW w:w="3670"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Net Present Value</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          8.68 </w:t>
            </w:r>
          </w:p>
        </w:tc>
      </w:tr>
      <w:tr>
        <w:tblPrEx/>
        <w:trPr>
          <w:trHeight w:val="276" w:hRule="atLeast"/>
        </w:trPr>
        <w:tc>
          <w:tcPr>
            <w:tcW w:w="3670"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Profitability Index</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          0.17 </w:t>
            </w:r>
          </w:p>
        </w:tc>
      </w:tr>
      <w:tr>
        <w:tblPrEx/>
        <w:trPr>
          <w:trHeight w:val="276" w:hRule="atLeast"/>
        </w:trPr>
        <w:tc>
          <w:tcPr>
            <w:tcW w:w="3670"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ARR</w:t>
            </w:r>
          </w:p>
        </w:tc>
        <w:tc>
          <w:tcPr>
            <w:tcW w:w="1330" w:type="pct"/>
            <w:tcBorders>
              <w:top w:val="nil"/>
              <w:left w:val="nil"/>
              <w:bottom w:val="single" w:sz="4" w:space="0" w:color="auto"/>
              <w:right w:val="single" w:sz="8"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22%</w:t>
            </w:r>
          </w:p>
        </w:tc>
      </w:tr>
      <w:tr>
        <w:tblPrEx/>
        <w:trPr>
          <w:trHeight w:val="276" w:hRule="atLeast"/>
        </w:trPr>
        <w:tc>
          <w:tcPr>
            <w:tcW w:w="617" w:type="pct"/>
            <w:tcBorders>
              <w:top w:val="nil"/>
              <w:left w:val="single" w:sz="8" w:space="0" w:color="auto"/>
              <w:bottom w:val="nil"/>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956"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2098"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3670"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Project A Payback Period</w:t>
            </w:r>
          </w:p>
        </w:tc>
        <w:tc>
          <w:tcPr>
            <w:tcW w:w="1330" w:type="pct"/>
            <w:tcBorders>
              <w:top w:val="nil"/>
              <w:left w:val="nil"/>
              <w:bottom w:val="nil"/>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Cumulative Cash flow</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40.00 </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12.00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28.00 </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14.00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14.00 </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4.00 </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8.00 </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4.00 </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1572" w:type="pct"/>
            <w:gridSpan w:val="2"/>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Payback Period</w:t>
            </w:r>
          </w:p>
        </w:tc>
        <w:tc>
          <w:tcPr>
            <w:tcW w:w="2098" w:type="pct"/>
            <w:tcBorders>
              <w:top w:val="nil"/>
              <w:left w:val="nil"/>
              <w:bottom w:val="single" w:sz="4" w:space="0" w:color="auto"/>
              <w:right w:val="single" w:sz="4"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4.5</w:t>
            </w: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nil"/>
              <w:right w:val="nil"/>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w:t>
            </w:r>
          </w:p>
        </w:tc>
        <w:tc>
          <w:tcPr>
            <w:tcW w:w="956" w:type="pct"/>
            <w:tcBorders>
              <w:top w:val="nil"/>
              <w:left w:val="nil"/>
              <w:bottom w:val="nil"/>
              <w:right w:val="nil"/>
            </w:tcBorders>
            <w:noWrap/>
            <w:vAlign w:val="bottom"/>
            <w:hideMark/>
          </w:tcPr>
          <w:p>
            <w:pPr>
              <w:pStyle w:val="style0"/>
              <w:spacing w:lineRule="auto" w:line="240"/>
              <w:jc w:val="left"/>
              <w:rPr>
                <w:b/>
                <w:bCs/>
                <w:color w:val="000000"/>
                <w:sz w:val="22"/>
                <w:szCs w:val="22"/>
                <w:lang w:val="en-IN"/>
              </w:rPr>
            </w:pPr>
          </w:p>
        </w:tc>
        <w:tc>
          <w:tcPr>
            <w:tcW w:w="2098"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1572" w:type="pct"/>
            <w:gridSpan w:val="2"/>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IRR</w:t>
            </w:r>
          </w:p>
        </w:tc>
        <w:tc>
          <w:tcPr>
            <w:tcW w:w="2098" w:type="pct"/>
            <w:tcBorders>
              <w:top w:val="nil"/>
              <w:left w:val="nil"/>
              <w:bottom w:val="nil"/>
              <w:right w:val="nil"/>
            </w:tcBorders>
            <w:noWrap/>
            <w:vAlign w:val="bottom"/>
            <w:hideMark/>
          </w:tcPr>
          <w:p>
            <w:pPr>
              <w:pStyle w:val="style0"/>
              <w:spacing w:lineRule="auto" w:line="240"/>
              <w:jc w:val="center"/>
              <w:rPr>
                <w:b/>
                <w:bCs/>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098" w:type="pct"/>
            <w:tcBorders>
              <w:top w:val="nil"/>
              <w:left w:val="nil"/>
              <w:bottom w:val="nil"/>
              <w:right w:val="nil"/>
            </w:tcBorders>
            <w:noWrap/>
            <w:vAlign w:val="bottom"/>
            <w:hideMark/>
          </w:tcPr>
          <w:p>
            <w:pPr>
              <w:pStyle w:val="style0"/>
              <w:spacing w:lineRule="auto" w:line="240"/>
              <w:jc w:val="left"/>
              <w:rPr>
                <w:b/>
                <w:bCs/>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098"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098"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12.00 </w:t>
            </w:r>
          </w:p>
        </w:tc>
        <w:tc>
          <w:tcPr>
            <w:tcW w:w="2098"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14.00 </w:t>
            </w:r>
          </w:p>
        </w:tc>
        <w:tc>
          <w:tcPr>
            <w:tcW w:w="2098"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098"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7"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6"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8.00 </w:t>
            </w:r>
          </w:p>
        </w:tc>
        <w:tc>
          <w:tcPr>
            <w:tcW w:w="2098"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0"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88" w:hRule="atLeast"/>
        </w:trPr>
        <w:tc>
          <w:tcPr>
            <w:tcW w:w="617" w:type="pct"/>
            <w:tcBorders>
              <w:top w:val="nil"/>
              <w:left w:val="single" w:sz="8" w:space="0" w:color="auto"/>
              <w:bottom w:val="single" w:sz="8"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IRR</w:t>
            </w:r>
          </w:p>
        </w:tc>
        <w:tc>
          <w:tcPr>
            <w:tcW w:w="956" w:type="pct"/>
            <w:tcBorders>
              <w:top w:val="nil"/>
              <w:left w:val="nil"/>
              <w:bottom w:val="single" w:sz="8" w:space="0" w:color="auto"/>
              <w:right w:val="single" w:sz="4"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2.7%</w:t>
            </w:r>
          </w:p>
        </w:tc>
        <w:tc>
          <w:tcPr>
            <w:tcW w:w="2098" w:type="pct"/>
            <w:tcBorders>
              <w:top w:val="nil"/>
              <w:left w:val="nil"/>
              <w:bottom w:val="single" w:sz="8" w:space="0" w:color="auto"/>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1330" w:type="pct"/>
            <w:tcBorders>
              <w:top w:val="nil"/>
              <w:left w:val="nil"/>
              <w:bottom w:val="single" w:sz="8"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bl>
    <w:p>
      <w:pPr>
        <w:pStyle w:val="style0"/>
        <w:rPr>
          <w:b/>
          <w:bCs/>
        </w:rPr>
      </w:pPr>
    </w:p>
    <w:tbl>
      <w:tblPr>
        <w:tblW w:w="5000" w:type="pct"/>
        <w:tblLook w:val="04A0" w:firstRow="1" w:lastRow="0" w:firstColumn="1" w:lastColumn="0" w:noHBand="0" w:noVBand="1"/>
      </w:tblPr>
      <w:tblGrid>
        <w:gridCol w:w="1137"/>
        <w:gridCol w:w="1788"/>
        <w:gridCol w:w="3927"/>
        <w:gridCol w:w="2488"/>
      </w:tblGrid>
      <w:tr>
        <w:trPr>
          <w:trHeight w:val="276" w:hRule="atLeast"/>
        </w:trPr>
        <w:tc>
          <w:tcPr>
            <w:tcW w:w="5000" w:type="pct"/>
            <w:gridSpan w:val="4"/>
            <w:tcBorders>
              <w:top w:val="single" w:sz="8" w:space="0" w:color="auto"/>
              <w:left w:val="single" w:sz="8" w:space="0" w:color="auto"/>
              <w:bottom w:val="single" w:sz="4" w:space="0" w:color="auto"/>
              <w:right w:val="single" w:sz="8"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Project B Net Present Value (In million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Discounting Factor</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Present Value</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0.91</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0.83</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9.09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0.75</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8.26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0.68</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7.51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0.62</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6.83 </w:t>
            </w:r>
          </w:p>
        </w:tc>
      </w:tr>
      <w:tr>
        <w:tblPrEx/>
        <w:trPr>
          <w:trHeight w:val="276" w:hRule="atLeast"/>
        </w:trPr>
        <w:tc>
          <w:tcPr>
            <w:tcW w:w="3668" w:type="pct"/>
            <w:gridSpan w:val="3"/>
            <w:tcBorders>
              <w:top w:val="single" w:sz="4" w:space="0" w:color="auto"/>
              <w:left w:val="single" w:sz="8" w:space="0" w:color="auto"/>
              <w:bottom w:val="single" w:sz="4" w:space="0" w:color="auto"/>
              <w:right w:val="single" w:sz="4"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Net Present Value</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          8.30 </w:t>
            </w:r>
          </w:p>
        </w:tc>
      </w:tr>
      <w:tr>
        <w:tblPrEx/>
        <w:trPr>
          <w:trHeight w:val="276" w:hRule="atLeast"/>
        </w:trPr>
        <w:tc>
          <w:tcPr>
            <w:tcW w:w="3668" w:type="pct"/>
            <w:gridSpan w:val="3"/>
            <w:tcBorders>
              <w:top w:val="single" w:sz="4" w:space="0" w:color="auto"/>
              <w:left w:val="single" w:sz="8" w:space="0" w:color="auto"/>
              <w:bottom w:val="single" w:sz="4" w:space="0" w:color="auto"/>
              <w:right w:val="single" w:sz="4"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Profitability Index</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          0.17 </w:t>
            </w:r>
          </w:p>
        </w:tc>
      </w:tr>
      <w:tr>
        <w:tblPrEx/>
        <w:trPr>
          <w:trHeight w:val="276" w:hRule="atLeast"/>
        </w:trPr>
        <w:tc>
          <w:tcPr>
            <w:tcW w:w="3668" w:type="pct"/>
            <w:gridSpan w:val="3"/>
            <w:tcBorders>
              <w:top w:val="single" w:sz="4" w:space="0" w:color="auto"/>
              <w:left w:val="single" w:sz="8" w:space="0" w:color="auto"/>
              <w:bottom w:val="single" w:sz="4" w:space="0" w:color="auto"/>
              <w:right w:val="single" w:sz="4"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ARR</w:t>
            </w:r>
          </w:p>
        </w:tc>
        <w:tc>
          <w:tcPr>
            <w:tcW w:w="1332" w:type="pct"/>
            <w:tcBorders>
              <w:top w:val="nil"/>
              <w:left w:val="nil"/>
              <w:bottom w:val="single" w:sz="4" w:space="0" w:color="auto"/>
              <w:right w:val="single" w:sz="8"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22%</w:t>
            </w:r>
          </w:p>
        </w:tc>
      </w:tr>
      <w:tr>
        <w:tblPrEx/>
        <w:trPr>
          <w:trHeight w:val="276" w:hRule="atLeast"/>
        </w:trPr>
        <w:tc>
          <w:tcPr>
            <w:tcW w:w="609" w:type="pct"/>
            <w:tcBorders>
              <w:top w:val="nil"/>
              <w:left w:val="single" w:sz="8" w:space="0" w:color="auto"/>
              <w:bottom w:val="nil"/>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957"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2102"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3668" w:type="pct"/>
            <w:gridSpan w:val="3"/>
            <w:tcBorders>
              <w:top w:val="single" w:sz="4" w:space="0" w:color="auto"/>
              <w:left w:val="single" w:sz="8" w:space="0" w:color="auto"/>
              <w:bottom w:val="single" w:sz="4" w:space="0" w:color="auto"/>
              <w:right w:val="single" w:sz="4"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Project A Payback Period</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Cumulative Cash flow</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39.00 </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28.00 </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17.00 </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6.00 </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1566" w:type="pct"/>
            <w:gridSpan w:val="2"/>
            <w:tcBorders>
              <w:top w:val="single" w:sz="4" w:space="0" w:color="auto"/>
              <w:left w:val="single" w:sz="8" w:space="0" w:color="auto"/>
              <w:bottom w:val="single" w:sz="4" w:space="0" w:color="auto"/>
              <w:right w:val="single" w:sz="4"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Payback Period</w:t>
            </w:r>
          </w:p>
        </w:tc>
        <w:tc>
          <w:tcPr>
            <w:tcW w:w="2102" w:type="pct"/>
            <w:tcBorders>
              <w:top w:val="nil"/>
              <w:left w:val="nil"/>
              <w:bottom w:val="single" w:sz="4" w:space="0" w:color="auto"/>
              <w:right w:val="single" w:sz="4"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4.5</w:t>
            </w: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nil"/>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957"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2102"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1566" w:type="pct"/>
            <w:gridSpan w:val="2"/>
            <w:tcBorders>
              <w:top w:val="single" w:sz="4" w:space="0" w:color="auto"/>
              <w:left w:val="single" w:sz="8" w:space="0" w:color="auto"/>
              <w:bottom w:val="single" w:sz="4" w:space="0" w:color="auto"/>
              <w:right w:val="single" w:sz="4"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IRR</w:t>
            </w:r>
          </w:p>
        </w:tc>
        <w:tc>
          <w:tcPr>
            <w:tcW w:w="2102" w:type="pct"/>
            <w:tcBorders>
              <w:top w:val="nil"/>
              <w:left w:val="nil"/>
              <w:bottom w:val="nil"/>
              <w:right w:val="nil"/>
            </w:tcBorders>
            <w:noWrap/>
            <w:vAlign w:val="bottom"/>
            <w:hideMark/>
          </w:tcPr>
          <w:p>
            <w:pPr>
              <w:pStyle w:val="style0"/>
              <w:spacing w:lineRule="auto" w:line="240"/>
              <w:jc w:val="center"/>
              <w:rPr>
                <w:b/>
                <w:bCs/>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102" w:type="pct"/>
            <w:tcBorders>
              <w:top w:val="nil"/>
              <w:left w:val="nil"/>
              <w:bottom w:val="nil"/>
              <w:right w:val="nil"/>
            </w:tcBorders>
            <w:noWrap/>
            <w:vAlign w:val="bottom"/>
            <w:hideMark/>
          </w:tcPr>
          <w:p>
            <w:pPr>
              <w:pStyle w:val="style0"/>
              <w:spacing w:lineRule="auto" w:line="240"/>
              <w:jc w:val="left"/>
              <w:rPr>
                <w:b/>
                <w:bCs/>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102"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09"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11.00 </w:t>
            </w:r>
          </w:p>
        </w:tc>
        <w:tc>
          <w:tcPr>
            <w:tcW w:w="2102"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2"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88" w:hRule="atLeast"/>
        </w:trPr>
        <w:tc>
          <w:tcPr>
            <w:tcW w:w="609" w:type="pct"/>
            <w:tcBorders>
              <w:top w:val="nil"/>
              <w:left w:val="single" w:sz="8" w:space="0" w:color="auto"/>
              <w:bottom w:val="single" w:sz="8"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IRR</w:t>
            </w:r>
          </w:p>
        </w:tc>
        <w:tc>
          <w:tcPr>
            <w:tcW w:w="957" w:type="pct"/>
            <w:tcBorders>
              <w:top w:val="nil"/>
              <w:left w:val="nil"/>
              <w:bottom w:val="single" w:sz="8" w:space="0" w:color="auto"/>
              <w:right w:val="single" w:sz="4"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3.3%</w:t>
            </w:r>
          </w:p>
        </w:tc>
        <w:tc>
          <w:tcPr>
            <w:tcW w:w="2102" w:type="pct"/>
            <w:tcBorders>
              <w:top w:val="nil"/>
              <w:left w:val="nil"/>
              <w:bottom w:val="single" w:sz="8" w:space="0" w:color="auto"/>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1332" w:type="pct"/>
            <w:tcBorders>
              <w:top w:val="nil"/>
              <w:left w:val="nil"/>
              <w:bottom w:val="single" w:sz="8"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bl>
    <w:p>
      <w:pPr>
        <w:pStyle w:val="style0"/>
        <w:rPr>
          <w:b/>
          <w:bCs/>
        </w:rPr>
      </w:pPr>
    </w:p>
    <w:tbl>
      <w:tblPr>
        <w:tblW w:w="5000" w:type="pct"/>
        <w:tblLook w:val="04A0" w:firstRow="1" w:lastRow="0" w:firstColumn="1" w:lastColumn="0" w:noHBand="0" w:noVBand="1"/>
      </w:tblPr>
      <w:tblGrid>
        <w:gridCol w:w="1141"/>
        <w:gridCol w:w="1788"/>
        <w:gridCol w:w="3925"/>
        <w:gridCol w:w="2486"/>
      </w:tblGrid>
      <w:tr>
        <w:trPr>
          <w:trHeight w:val="276" w:hRule="atLeast"/>
        </w:trPr>
        <w:tc>
          <w:tcPr>
            <w:tcW w:w="5000" w:type="pct"/>
            <w:gridSpan w:val="4"/>
            <w:tcBorders>
              <w:top w:val="single" w:sz="8" w:space="0" w:color="auto"/>
              <w:left w:val="single" w:sz="8" w:space="0" w:color="auto"/>
              <w:bottom w:val="single" w:sz="4" w:space="0" w:color="auto"/>
              <w:right w:val="single" w:sz="8" w:space="0" w:color="000000"/>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Project C Net Present Value (In million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Discounting Factor</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Present Value</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0.91</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4.55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0.83</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8.26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20.00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0.75</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15.03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25.00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0.68</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17.08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0.62</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3.10 </w:t>
            </w:r>
          </w:p>
        </w:tc>
      </w:tr>
      <w:tr>
        <w:tblPrEx/>
        <w:trPr>
          <w:trHeight w:val="276" w:hRule="atLeast"/>
        </w:trPr>
        <w:tc>
          <w:tcPr>
            <w:tcW w:w="3669"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Net Present Value</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          1.98 </w:t>
            </w:r>
          </w:p>
        </w:tc>
      </w:tr>
      <w:tr>
        <w:tblPrEx/>
        <w:trPr>
          <w:trHeight w:val="276" w:hRule="atLeast"/>
        </w:trPr>
        <w:tc>
          <w:tcPr>
            <w:tcW w:w="3669"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Profitability Index</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          0.04 </w:t>
            </w:r>
          </w:p>
        </w:tc>
      </w:tr>
      <w:tr>
        <w:tblPrEx/>
        <w:trPr>
          <w:trHeight w:val="276" w:hRule="atLeast"/>
        </w:trPr>
        <w:tc>
          <w:tcPr>
            <w:tcW w:w="3669"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ARR</w:t>
            </w:r>
          </w:p>
        </w:tc>
        <w:tc>
          <w:tcPr>
            <w:tcW w:w="1331" w:type="pct"/>
            <w:tcBorders>
              <w:top w:val="nil"/>
              <w:left w:val="nil"/>
              <w:bottom w:val="single" w:sz="4" w:space="0" w:color="auto"/>
              <w:right w:val="single" w:sz="8"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26%</w:t>
            </w:r>
          </w:p>
        </w:tc>
      </w:tr>
      <w:tr>
        <w:tblPrEx/>
        <w:trPr>
          <w:trHeight w:val="276" w:hRule="atLeast"/>
        </w:trPr>
        <w:tc>
          <w:tcPr>
            <w:tcW w:w="611" w:type="pct"/>
            <w:tcBorders>
              <w:top w:val="nil"/>
              <w:left w:val="single" w:sz="8" w:space="0" w:color="auto"/>
              <w:bottom w:val="nil"/>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957"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2101"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3669" w:type="pct"/>
            <w:gridSpan w:val="3"/>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Project A Payback Period</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Cumulative Cash flow</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45.00 </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35.00 </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20.00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15.00 </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25.00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15.00 </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1568" w:type="pct"/>
            <w:gridSpan w:val="2"/>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Payback Period</w:t>
            </w:r>
          </w:p>
        </w:tc>
        <w:tc>
          <w:tcPr>
            <w:tcW w:w="2101" w:type="pct"/>
            <w:tcBorders>
              <w:top w:val="nil"/>
              <w:left w:val="nil"/>
              <w:bottom w:val="single" w:sz="4" w:space="0" w:color="auto"/>
              <w:right w:val="single" w:sz="4"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3.6</w:t>
            </w: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nil"/>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957"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2101" w:type="pct"/>
            <w:tcBorders>
              <w:top w:val="nil"/>
              <w:left w:val="nil"/>
              <w:bottom w:val="nil"/>
              <w:right w:val="nil"/>
            </w:tcBorders>
            <w:noWrap/>
            <w:vAlign w:val="bottom"/>
            <w:hideMark/>
          </w:tcPr>
          <w:p>
            <w:pPr>
              <w:pStyle w:val="style0"/>
              <w:spacing w:lineRule="auto" w:line="240"/>
              <w:jc w:val="left"/>
              <w:rPr>
                <w:sz w:val="20"/>
                <w:szCs w:val="20"/>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1568" w:type="pct"/>
            <w:gridSpan w:val="2"/>
            <w:tcBorders>
              <w:top w:val="single" w:sz="4" w:space="0" w:color="auto"/>
              <w:left w:val="single" w:sz="8" w:space="0" w:color="auto"/>
              <w:bottom w:val="single" w:sz="4" w:space="0" w:color="auto"/>
              <w:right w:val="single" w:sz="4" w:space="0" w:color="auto"/>
            </w:tcBorders>
            <w:noWrap/>
            <w:vAlign w:val="bottom"/>
            <w:hideMark/>
          </w:tcPr>
          <w:p>
            <w:pPr>
              <w:pStyle w:val="style0"/>
              <w:spacing w:lineRule="auto" w:line="240"/>
              <w:jc w:val="center"/>
              <w:rPr>
                <w:b/>
                <w:bCs/>
                <w:color w:val="000000"/>
                <w:sz w:val="22"/>
                <w:szCs w:val="22"/>
                <w:lang w:val="en-IN"/>
              </w:rPr>
            </w:pPr>
            <w:r>
              <w:rPr>
                <w:b/>
                <w:bCs/>
                <w:color w:val="000000"/>
                <w:sz w:val="22"/>
                <w:szCs w:val="22"/>
                <w:lang w:val="en-IN"/>
              </w:rPr>
              <w:t>IRR</w:t>
            </w:r>
          </w:p>
        </w:tc>
        <w:tc>
          <w:tcPr>
            <w:tcW w:w="2101" w:type="pct"/>
            <w:tcBorders>
              <w:top w:val="nil"/>
              <w:left w:val="nil"/>
              <w:bottom w:val="nil"/>
              <w:right w:val="nil"/>
            </w:tcBorders>
            <w:noWrap/>
            <w:vAlign w:val="bottom"/>
            <w:hideMark/>
          </w:tcPr>
          <w:p>
            <w:pPr>
              <w:pStyle w:val="style0"/>
              <w:spacing w:lineRule="auto" w:line="240"/>
              <w:jc w:val="center"/>
              <w:rPr>
                <w:b/>
                <w:bCs/>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Year</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 xml:space="preserve">Cash flow </w:t>
            </w:r>
          </w:p>
        </w:tc>
        <w:tc>
          <w:tcPr>
            <w:tcW w:w="2101" w:type="pct"/>
            <w:tcBorders>
              <w:top w:val="nil"/>
              <w:left w:val="nil"/>
              <w:bottom w:val="nil"/>
              <w:right w:val="nil"/>
            </w:tcBorders>
            <w:noWrap/>
            <w:vAlign w:val="bottom"/>
            <w:hideMark/>
          </w:tcPr>
          <w:p>
            <w:pPr>
              <w:pStyle w:val="style0"/>
              <w:spacing w:lineRule="auto" w:line="240"/>
              <w:jc w:val="left"/>
              <w:rPr>
                <w:b/>
                <w:bCs/>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0</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50.00 </w:t>
            </w:r>
          </w:p>
        </w:tc>
        <w:tc>
          <w:tcPr>
            <w:tcW w:w="2101"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1</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2101"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2</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10.00 </w:t>
            </w:r>
          </w:p>
        </w:tc>
        <w:tc>
          <w:tcPr>
            <w:tcW w:w="2101"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3</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20.00 </w:t>
            </w:r>
          </w:p>
        </w:tc>
        <w:tc>
          <w:tcPr>
            <w:tcW w:w="2101"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4</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25.00 </w:t>
            </w:r>
          </w:p>
        </w:tc>
        <w:tc>
          <w:tcPr>
            <w:tcW w:w="2101"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76" w:hRule="atLeast"/>
        </w:trPr>
        <w:tc>
          <w:tcPr>
            <w:tcW w:w="611" w:type="pct"/>
            <w:tcBorders>
              <w:top w:val="nil"/>
              <w:left w:val="single" w:sz="8" w:space="0" w:color="auto"/>
              <w:bottom w:val="single" w:sz="4" w:space="0" w:color="auto"/>
              <w:right w:val="single" w:sz="4" w:space="0" w:color="auto"/>
            </w:tcBorders>
            <w:noWrap/>
            <w:vAlign w:val="bottom"/>
            <w:hideMark/>
          </w:tcPr>
          <w:p>
            <w:pPr>
              <w:pStyle w:val="style0"/>
              <w:spacing w:lineRule="auto" w:line="240"/>
              <w:jc w:val="right"/>
              <w:rPr>
                <w:color w:val="000000"/>
                <w:sz w:val="22"/>
                <w:szCs w:val="22"/>
                <w:lang w:val="en-IN"/>
              </w:rPr>
            </w:pPr>
            <w:r>
              <w:rPr>
                <w:color w:val="000000"/>
                <w:sz w:val="22"/>
                <w:szCs w:val="22"/>
                <w:lang w:val="en-IN"/>
              </w:rPr>
              <w:t>5</w:t>
            </w:r>
          </w:p>
        </w:tc>
        <w:tc>
          <w:tcPr>
            <w:tcW w:w="957" w:type="pct"/>
            <w:tcBorders>
              <w:top w:val="nil"/>
              <w:left w:val="nil"/>
              <w:bottom w:val="single" w:sz="4" w:space="0" w:color="auto"/>
              <w:right w:val="single" w:sz="4"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xml:space="preserve"> £     5.00 </w:t>
            </w:r>
          </w:p>
        </w:tc>
        <w:tc>
          <w:tcPr>
            <w:tcW w:w="2101" w:type="pct"/>
            <w:tcBorders>
              <w:top w:val="nil"/>
              <w:left w:val="nil"/>
              <w:bottom w:val="nil"/>
              <w:right w:val="nil"/>
            </w:tcBorders>
            <w:noWrap/>
            <w:vAlign w:val="bottom"/>
            <w:hideMark/>
          </w:tcPr>
          <w:p>
            <w:pPr>
              <w:pStyle w:val="style0"/>
              <w:spacing w:lineRule="auto" w:line="240"/>
              <w:jc w:val="left"/>
              <w:rPr>
                <w:color w:val="000000"/>
                <w:sz w:val="22"/>
                <w:szCs w:val="22"/>
                <w:lang w:val="en-IN"/>
              </w:rPr>
            </w:pPr>
          </w:p>
        </w:tc>
        <w:tc>
          <w:tcPr>
            <w:tcW w:w="1331" w:type="pct"/>
            <w:tcBorders>
              <w:top w:val="nil"/>
              <w:left w:val="nil"/>
              <w:bottom w:val="nil"/>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r>
        <w:tblPrEx/>
        <w:trPr>
          <w:trHeight w:val="288" w:hRule="atLeast"/>
        </w:trPr>
        <w:tc>
          <w:tcPr>
            <w:tcW w:w="611" w:type="pct"/>
            <w:tcBorders>
              <w:top w:val="nil"/>
              <w:left w:val="single" w:sz="8" w:space="0" w:color="auto"/>
              <w:bottom w:val="single" w:sz="8" w:space="0" w:color="auto"/>
              <w:right w:val="single" w:sz="4" w:space="0" w:color="auto"/>
            </w:tcBorders>
            <w:noWrap/>
            <w:vAlign w:val="bottom"/>
            <w:hideMark/>
          </w:tcPr>
          <w:p>
            <w:pPr>
              <w:pStyle w:val="style0"/>
              <w:spacing w:lineRule="auto" w:line="240"/>
              <w:jc w:val="left"/>
              <w:rPr>
                <w:b/>
                <w:bCs/>
                <w:color w:val="000000"/>
                <w:sz w:val="22"/>
                <w:szCs w:val="22"/>
                <w:lang w:val="en-IN"/>
              </w:rPr>
            </w:pPr>
            <w:r>
              <w:rPr>
                <w:b/>
                <w:bCs/>
                <w:color w:val="000000"/>
                <w:sz w:val="22"/>
                <w:szCs w:val="22"/>
                <w:lang w:val="en-IN"/>
              </w:rPr>
              <w:t>IRR</w:t>
            </w:r>
          </w:p>
        </w:tc>
        <w:tc>
          <w:tcPr>
            <w:tcW w:w="957" w:type="pct"/>
            <w:tcBorders>
              <w:top w:val="nil"/>
              <w:left w:val="nil"/>
              <w:bottom w:val="single" w:sz="8" w:space="0" w:color="auto"/>
              <w:right w:val="single" w:sz="4" w:space="0" w:color="auto"/>
            </w:tcBorders>
            <w:noWrap/>
            <w:vAlign w:val="bottom"/>
            <w:hideMark/>
          </w:tcPr>
          <w:p>
            <w:pPr>
              <w:pStyle w:val="style0"/>
              <w:spacing w:lineRule="auto" w:line="240"/>
              <w:jc w:val="right"/>
              <w:rPr>
                <w:b/>
                <w:bCs/>
                <w:color w:val="000000"/>
                <w:sz w:val="22"/>
                <w:szCs w:val="22"/>
                <w:lang w:val="en-IN"/>
              </w:rPr>
            </w:pPr>
            <w:r>
              <w:rPr>
                <w:b/>
                <w:bCs/>
                <w:color w:val="000000"/>
                <w:sz w:val="22"/>
                <w:szCs w:val="22"/>
                <w:lang w:val="en-IN"/>
              </w:rPr>
              <w:t>9%</w:t>
            </w:r>
          </w:p>
        </w:tc>
        <w:tc>
          <w:tcPr>
            <w:tcW w:w="2101" w:type="pct"/>
            <w:tcBorders>
              <w:top w:val="nil"/>
              <w:left w:val="nil"/>
              <w:bottom w:val="single" w:sz="8" w:space="0" w:color="auto"/>
              <w:right w:val="nil"/>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c>
          <w:tcPr>
            <w:tcW w:w="1331" w:type="pct"/>
            <w:tcBorders>
              <w:top w:val="nil"/>
              <w:left w:val="nil"/>
              <w:bottom w:val="single" w:sz="8" w:space="0" w:color="auto"/>
              <w:right w:val="single" w:sz="8" w:space="0" w:color="auto"/>
            </w:tcBorders>
            <w:noWrap/>
            <w:vAlign w:val="bottom"/>
            <w:hideMark/>
          </w:tcPr>
          <w:p>
            <w:pPr>
              <w:pStyle w:val="style0"/>
              <w:spacing w:lineRule="auto" w:line="240"/>
              <w:jc w:val="left"/>
              <w:rPr>
                <w:color w:val="000000"/>
                <w:sz w:val="22"/>
                <w:szCs w:val="22"/>
                <w:lang w:val="en-IN"/>
              </w:rPr>
            </w:pPr>
            <w:r>
              <w:rPr>
                <w:color w:val="000000"/>
                <w:sz w:val="22"/>
                <w:szCs w:val="22"/>
                <w:lang w:val="en-IN"/>
              </w:rPr>
              <w:t> </w:t>
            </w:r>
          </w:p>
        </w:tc>
      </w:tr>
    </w:tbl>
    <w:p>
      <w:pPr>
        <w:pStyle w:val="style0"/>
        <w:rPr/>
      </w:pPr>
    </w:p>
    <w:sectPr>
      <w:footerReference w:type="default" r:id="rId12"/>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sz w:val="28"/>
      <w:szCs w:val="28"/>
    </w:rPr>
  </w:style>
  <w:style w:type="paragraph" w:styleId="style2">
    <w:name w:val="heading 2"/>
    <w:basedOn w:val="style0"/>
    <w:next w:val="style0"/>
    <w:qFormat/>
    <w:uiPriority w:val="9"/>
    <w:pPr>
      <w:keepNext/>
      <w:keepLines/>
      <w:outlineLvl w:val="1"/>
    </w:pPr>
    <w:rPr>
      <w:b/>
      <w:bCs/>
      <w:sz w:val="26"/>
      <w:szCs w:val="26"/>
    </w:rPr>
  </w:style>
  <w:style w:type="paragraph" w:styleId="style3">
    <w:name w:val="heading 3"/>
    <w:basedOn w:val="style0"/>
    <w:next w:val="style0"/>
    <w:qFormat/>
    <w:uiPriority w:val="9"/>
    <w:pPr>
      <w:keepNext/>
      <w:keepLines/>
      <w:outlineLvl w:val="2"/>
    </w:pPr>
    <w:rPr>
      <w:b/>
      <w:bCs/>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3f5532cd-9b2e-483e-8e58-c64cf2e0adad"/>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dfc53317-20fa-456b-8bea-af171cc84f56"/>
    <w:basedOn w:val="style65"/>
    <w:next w:val="style4099"/>
    <w:link w:val="style32"/>
    <w:uiPriority w:val="99"/>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bCs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styles" Target="styles.xml"/><Relationship Id="rId12"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settings" Target="settings.xml"/><Relationship Id="rId14"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89CE9-1135-4597-B6A5-11BE05A6A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7095</Words>
  <Pages>28</Pages>
  <Characters>38276</Characters>
  <Application>WPS Office</Application>
  <DocSecurity>0</DocSecurity>
  <Paragraphs>998</Paragraphs>
  <ScaleCrop>false</ScaleCrop>
  <LinksUpToDate>false</LinksUpToDate>
  <CharactersWithSpaces>45647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2026-04-22T17:49:00Z</dcterms:created>
  <dc:creator>WPS Office</dc:creator>
  <lastModifiedBy>CPH2649</lastModifiedBy>
  <dcterms:modified xsi:type="dcterms:W3CDTF">2026-04-24T05:30:35Z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f901fa431ff4428e954ce65fea358c6f</vt:lpwstr>
  </property>
</Properties>
</file>