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A6203"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441EE7D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0B0889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3F748A6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4EF70C1" w14:textId="77777777" w:rsidR="0050578C" w:rsidRDefault="0050578C" w:rsidP="0050578C">
      <w:pPr>
        <w:spacing w:line="360" w:lineRule="auto"/>
        <w:jc w:val="center"/>
        <w:rPr>
          <w:rFonts w:ascii="Arial" w:eastAsia="Calibri" w:hAnsi="Arial" w:cs="Arial"/>
          <w:kern w:val="0"/>
          <w:sz w:val="28"/>
          <w:szCs w:val="28"/>
          <w14:ligatures w14:val="none"/>
        </w:rPr>
      </w:pPr>
    </w:p>
    <w:p w14:paraId="452658AB" w14:textId="77777777" w:rsidR="00792625" w:rsidRPr="0050578C" w:rsidRDefault="00792625" w:rsidP="0050578C">
      <w:pPr>
        <w:spacing w:line="360" w:lineRule="auto"/>
        <w:jc w:val="center"/>
        <w:rPr>
          <w:rFonts w:ascii="Arial" w:eastAsia="Calibri" w:hAnsi="Arial" w:cs="Arial"/>
          <w:kern w:val="0"/>
          <w:sz w:val="28"/>
          <w:szCs w:val="28"/>
          <w14:ligatures w14:val="none"/>
        </w:rPr>
      </w:pPr>
    </w:p>
    <w:p w14:paraId="20C5914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1471445" w14:textId="6C1AF0D5" w:rsidR="00AC55CA" w:rsidRPr="00AC55CA" w:rsidRDefault="00DA6D3B" w:rsidP="00AC55CA">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 xml:space="preserve">Adhering </w:t>
      </w:r>
      <w:r w:rsidR="00E71B1C">
        <w:rPr>
          <w:rFonts w:ascii="Arial" w:eastAsia="Calibri" w:hAnsi="Arial" w:cs="Arial"/>
          <w:kern w:val="0"/>
          <w:sz w:val="28"/>
          <w:szCs w:val="28"/>
          <w14:ligatures w14:val="none"/>
        </w:rPr>
        <w:t>Green Key in</w:t>
      </w:r>
    </w:p>
    <w:p w14:paraId="5664141C" w14:textId="4EE1A1DD" w:rsidR="0050578C" w:rsidRPr="0050578C" w:rsidRDefault="00AC55CA" w:rsidP="00AC55CA">
      <w:pPr>
        <w:spacing w:line="360" w:lineRule="auto"/>
        <w:jc w:val="center"/>
        <w:rPr>
          <w:rFonts w:ascii="Arial" w:eastAsia="Calibri" w:hAnsi="Arial" w:cs="Arial"/>
          <w:kern w:val="0"/>
          <w:sz w:val="28"/>
          <w:szCs w:val="28"/>
          <w14:ligatures w14:val="none"/>
        </w:rPr>
      </w:pPr>
      <w:r w:rsidRPr="00AC55CA">
        <w:rPr>
          <w:rFonts w:ascii="Arial" w:eastAsia="Calibri" w:hAnsi="Arial" w:cs="Arial"/>
          <w:kern w:val="0"/>
          <w:sz w:val="28"/>
          <w:szCs w:val="28"/>
          <w14:ligatures w14:val="none"/>
        </w:rPr>
        <w:t>hospitality industry</w:t>
      </w:r>
    </w:p>
    <w:p w14:paraId="1A198361" w14:textId="1F51A2C2" w:rsidR="0050578C" w:rsidRPr="0050578C" w:rsidRDefault="00574011"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Sustainable Hospitality &amp;</w:t>
      </w:r>
      <w:r w:rsidR="004D42F1">
        <w:rPr>
          <w:rFonts w:ascii="Arial" w:eastAsia="Calibri" w:hAnsi="Arial" w:cs="Arial"/>
          <w:kern w:val="0"/>
          <w:sz w:val="28"/>
          <w:szCs w:val="28"/>
          <w14:ligatures w14:val="none"/>
        </w:rPr>
        <w:t xml:space="preserve"> </w:t>
      </w:r>
      <w:r w:rsidR="00604648">
        <w:rPr>
          <w:rFonts w:ascii="Arial" w:eastAsia="Calibri" w:hAnsi="Arial" w:cs="Arial"/>
          <w:kern w:val="0"/>
          <w:sz w:val="28"/>
          <w:szCs w:val="28"/>
          <w14:ligatures w14:val="none"/>
        </w:rPr>
        <w:t>T</w:t>
      </w:r>
      <w:r w:rsidR="004D42F1">
        <w:rPr>
          <w:rFonts w:ascii="Arial" w:eastAsia="Calibri" w:hAnsi="Arial" w:cs="Arial"/>
          <w:kern w:val="0"/>
          <w:sz w:val="28"/>
          <w:szCs w:val="28"/>
          <w14:ligatures w14:val="none"/>
        </w:rPr>
        <w:t>ourism Management</w:t>
      </w:r>
      <w:r w:rsidR="00D4180F">
        <w:rPr>
          <w:rFonts w:ascii="Arial" w:eastAsia="Calibri" w:hAnsi="Arial" w:cs="Arial"/>
          <w:kern w:val="0"/>
          <w:sz w:val="28"/>
          <w:szCs w:val="28"/>
          <w14:ligatures w14:val="none"/>
        </w:rPr>
        <w:t xml:space="preserve"> </w:t>
      </w:r>
      <w:r w:rsidR="0050578C" w:rsidRPr="0050578C">
        <w:rPr>
          <w:rFonts w:ascii="Arial" w:eastAsia="Calibri" w:hAnsi="Arial" w:cs="Arial"/>
          <w:kern w:val="0"/>
          <w:sz w:val="28"/>
          <w:szCs w:val="28"/>
          <w14:ligatures w14:val="none"/>
        </w:rPr>
        <w:t>BMIH50</w:t>
      </w:r>
      <w:r w:rsidR="004D42F1">
        <w:rPr>
          <w:rFonts w:ascii="Arial" w:eastAsia="Calibri" w:hAnsi="Arial" w:cs="Arial"/>
          <w:kern w:val="0"/>
          <w:sz w:val="28"/>
          <w:szCs w:val="28"/>
          <w14:ligatures w14:val="none"/>
        </w:rPr>
        <w:t>06</w:t>
      </w:r>
    </w:p>
    <w:p w14:paraId="612B492E" w14:textId="77777777" w:rsidR="00604648" w:rsidRDefault="008C7C9B" w:rsidP="0050578C">
      <w:pPr>
        <w:spacing w:line="360" w:lineRule="auto"/>
        <w:jc w:val="center"/>
        <w:rPr>
          <w:rFonts w:ascii="Arial" w:eastAsia="Calibri" w:hAnsi="Arial" w:cs="Arial"/>
          <w:kern w:val="0"/>
          <w:sz w:val="28"/>
          <w:szCs w:val="28"/>
          <w14:ligatures w14:val="none"/>
        </w:rPr>
      </w:pPr>
      <w:r w:rsidRPr="008C7C9B">
        <w:rPr>
          <w:rFonts w:ascii="Arial" w:eastAsia="Calibri" w:hAnsi="Arial" w:cs="Arial"/>
          <w:kern w:val="0"/>
          <w:sz w:val="28"/>
          <w:szCs w:val="28"/>
          <w14:ligatures w14:val="none"/>
        </w:rPr>
        <w:t>Ruth Taylor-Davies</w:t>
      </w:r>
    </w:p>
    <w:p w14:paraId="106EBCC0" w14:textId="03C96B70"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Gabriela Catalina Dumitru</w:t>
      </w:r>
    </w:p>
    <w:p w14:paraId="034BC574"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2209716</w:t>
      </w:r>
    </w:p>
    <w:p w14:paraId="0CE2B35C" w14:textId="78689BFA" w:rsidR="0050578C" w:rsidRPr="0050578C" w:rsidRDefault="00E71B1C"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30</w:t>
      </w:r>
      <w:r w:rsidR="0050578C" w:rsidRPr="0050578C">
        <w:rPr>
          <w:rFonts w:ascii="Arial" w:eastAsia="Calibri" w:hAnsi="Arial" w:cs="Arial"/>
          <w:kern w:val="0"/>
          <w:sz w:val="28"/>
          <w:szCs w:val="28"/>
          <w14:ligatures w14:val="none"/>
        </w:rPr>
        <w:t>/05/2024</w:t>
      </w:r>
    </w:p>
    <w:p w14:paraId="70077716" w14:textId="0EBE6374"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w:t>
      </w:r>
      <w:r w:rsidR="00465B7E">
        <w:rPr>
          <w:rFonts w:ascii="Arial" w:eastAsia="Calibri" w:hAnsi="Arial" w:cs="Arial"/>
          <w:kern w:val="0"/>
          <w:sz w:val="28"/>
          <w:szCs w:val="28"/>
          <w14:ligatures w14:val="none"/>
        </w:rPr>
        <w:t>1</w:t>
      </w:r>
      <w:r w:rsidR="00E71B1C">
        <w:rPr>
          <w:rFonts w:ascii="Arial" w:eastAsia="Calibri" w:hAnsi="Arial" w:cs="Arial"/>
          <w:kern w:val="0"/>
          <w:sz w:val="28"/>
          <w:szCs w:val="28"/>
          <w14:ligatures w14:val="none"/>
        </w:rPr>
        <w:t>85</w:t>
      </w:r>
      <w:r w:rsidRPr="0050578C">
        <w:rPr>
          <w:rFonts w:ascii="Arial" w:eastAsia="Calibri" w:hAnsi="Arial" w:cs="Arial"/>
          <w:kern w:val="0"/>
          <w:sz w:val="28"/>
          <w:szCs w:val="28"/>
          <w14:ligatures w14:val="none"/>
        </w:rPr>
        <w:t xml:space="preserve"> words</w:t>
      </w:r>
    </w:p>
    <w:p w14:paraId="69706D55"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191F4B9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0A3C76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0625BBAC"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09D759F"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3B6412E"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1EF7B9E" w14:textId="77777777" w:rsidR="0050578C" w:rsidRDefault="0050578C" w:rsidP="0050578C">
      <w:pPr>
        <w:spacing w:line="360" w:lineRule="auto"/>
        <w:jc w:val="both"/>
        <w:rPr>
          <w:rFonts w:ascii="Arial" w:eastAsia="Calibri" w:hAnsi="Arial" w:cs="Arial"/>
          <w:kern w:val="0"/>
          <w:sz w:val="24"/>
          <w:szCs w:val="24"/>
          <w14:ligatures w14:val="none"/>
        </w:rPr>
      </w:pPr>
    </w:p>
    <w:p w14:paraId="093B25F4" w14:textId="77777777" w:rsidR="008A5630" w:rsidRDefault="008A5630" w:rsidP="0050578C">
      <w:pPr>
        <w:spacing w:line="360" w:lineRule="auto"/>
        <w:jc w:val="both"/>
        <w:rPr>
          <w:rFonts w:ascii="Arial" w:eastAsia="Calibri" w:hAnsi="Arial" w:cs="Arial"/>
          <w:kern w:val="0"/>
          <w:sz w:val="24"/>
          <w:szCs w:val="24"/>
          <w14:ligatures w14:val="none"/>
        </w:rPr>
      </w:pPr>
    </w:p>
    <w:p w14:paraId="0566D86F" w14:textId="77777777" w:rsidR="00F5543D" w:rsidRDefault="00F5543D" w:rsidP="00F5543D">
      <w:pPr>
        <w:spacing w:line="360" w:lineRule="auto"/>
        <w:jc w:val="both"/>
        <w:rPr>
          <w:rFonts w:ascii="Arial" w:eastAsia="Aptos" w:hAnsi="Arial" w:cs="Arial"/>
          <w:sz w:val="24"/>
          <w:szCs w:val="24"/>
        </w:rPr>
      </w:pPr>
    </w:p>
    <w:p w14:paraId="69D00A58" w14:textId="77777777" w:rsidR="00EA7D6A" w:rsidRDefault="00EA7D6A" w:rsidP="00F5543D">
      <w:pPr>
        <w:spacing w:line="360" w:lineRule="auto"/>
        <w:jc w:val="both"/>
        <w:rPr>
          <w:rFonts w:ascii="Arial" w:eastAsia="Aptos" w:hAnsi="Arial" w:cs="Arial"/>
          <w:sz w:val="24"/>
          <w:szCs w:val="24"/>
        </w:rPr>
      </w:pPr>
    </w:p>
    <w:p w14:paraId="78BE5029" w14:textId="77777777" w:rsidR="00EA7D6A" w:rsidRPr="00F5543D" w:rsidRDefault="00EA7D6A" w:rsidP="00F5543D">
      <w:pPr>
        <w:spacing w:line="360" w:lineRule="auto"/>
        <w:jc w:val="both"/>
        <w:rPr>
          <w:rFonts w:ascii="Arial" w:eastAsia="Aptos" w:hAnsi="Arial" w:cs="Arial"/>
          <w:sz w:val="24"/>
          <w:szCs w:val="24"/>
        </w:rPr>
      </w:pPr>
    </w:p>
    <w:p w14:paraId="5589D751"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Executive Summary</w:t>
      </w:r>
    </w:p>
    <w:p w14:paraId="6A6BD063" w14:textId="77777777" w:rsidR="00EA7D6A" w:rsidRDefault="00EA7D6A" w:rsidP="00F5543D">
      <w:pPr>
        <w:spacing w:line="360" w:lineRule="auto"/>
        <w:jc w:val="both"/>
        <w:rPr>
          <w:rFonts w:ascii="Arial" w:eastAsia="Aptos" w:hAnsi="Arial" w:cs="Arial"/>
          <w:b/>
          <w:bCs/>
          <w:sz w:val="24"/>
          <w:szCs w:val="24"/>
        </w:rPr>
      </w:pPr>
    </w:p>
    <w:p w14:paraId="6D9A6C3F" w14:textId="77777777" w:rsidR="00EA7D6A" w:rsidRPr="00F5543D" w:rsidRDefault="00EA7D6A" w:rsidP="00F5543D">
      <w:pPr>
        <w:spacing w:line="360" w:lineRule="auto"/>
        <w:jc w:val="both"/>
        <w:rPr>
          <w:rFonts w:ascii="Arial" w:eastAsia="Aptos" w:hAnsi="Arial" w:cs="Arial"/>
          <w:b/>
          <w:bCs/>
          <w:sz w:val="24"/>
          <w:szCs w:val="24"/>
        </w:rPr>
      </w:pPr>
    </w:p>
    <w:p w14:paraId="241612B9" w14:textId="13EB9CE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hospitality industry is increasingly addressing green issues, focusing on sustainability to reduce environmental impact, conserve resources, and improve operational efficiency. Key strategies include water recycling, chemical-free cleaning, smart resource management, and innovative waste reduction. Making hotels more eco-friendly brings extensive benefits including resource conservation, reduced pollution, and improved operational efficiency</w:t>
      </w:r>
      <w:r w:rsidR="00044873">
        <w:rPr>
          <w:rFonts w:ascii="Arial" w:eastAsia="Aptos" w:hAnsi="Arial" w:cs="Arial"/>
          <w:sz w:val="24"/>
          <w:szCs w:val="24"/>
        </w:rPr>
        <w:t xml:space="preserve"> (Wood</w:t>
      </w:r>
      <w:r w:rsidR="00371D98">
        <w:rPr>
          <w:rFonts w:ascii="Arial" w:eastAsia="Aptos" w:hAnsi="Arial" w:cs="Arial"/>
          <w:sz w:val="24"/>
          <w:szCs w:val="24"/>
        </w:rPr>
        <w:t>, 2015)</w:t>
      </w:r>
      <w:r w:rsidRPr="00F5543D">
        <w:rPr>
          <w:rFonts w:ascii="Arial" w:eastAsia="Aptos" w:hAnsi="Arial" w:cs="Arial"/>
          <w:sz w:val="24"/>
          <w:szCs w:val="24"/>
        </w:rPr>
        <w:t>. By adopting advanced water recycling systems, chemical-free cleaning methods, smart resource management, and digital operations, hotels can significantly minimize their environmental impact while enhancing guest satisfaction and reducing costs. Additionally, promoting eco-friendly transportation, innovative waste reduction, biodiversity conservation, and wellness programs further underscores the commitment to sustainability, ensuring a positive impact on both the environment and the hospitality industry.</w:t>
      </w:r>
    </w:p>
    <w:p w14:paraId="7DD903F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Additional directions also could include sustainable food practices, green transportation, smart technology integration, community engagement, sustainable event management, and biodiversity conservation. Hotels are also pursuing eco-certifications like Green Key, requiring comprehensive steps such as environmental audits, goal setting, stakeholder engagement, staff training, and continuous monitoring. These efforts result in significant benefits, including cost savings, enhanced brand reputation, regulatory compliance, and a positive environmental impact. By adopting a structured approach to sustainability, hotels can achieve certification, promote long-term viability, and contribute to global sustainability goals.</w:t>
      </w:r>
    </w:p>
    <w:p w14:paraId="0979325C" w14:textId="77777777" w:rsidR="00F5543D" w:rsidRDefault="00F5543D" w:rsidP="00F5543D">
      <w:pPr>
        <w:spacing w:line="360" w:lineRule="auto"/>
        <w:jc w:val="both"/>
        <w:rPr>
          <w:rFonts w:ascii="Arial" w:eastAsia="Aptos" w:hAnsi="Arial" w:cs="Arial"/>
          <w:sz w:val="24"/>
          <w:szCs w:val="24"/>
        </w:rPr>
      </w:pPr>
    </w:p>
    <w:p w14:paraId="47840BE1" w14:textId="77777777" w:rsidR="00EA7D6A" w:rsidRDefault="00EA7D6A" w:rsidP="00F5543D">
      <w:pPr>
        <w:spacing w:line="360" w:lineRule="auto"/>
        <w:jc w:val="both"/>
        <w:rPr>
          <w:rFonts w:ascii="Arial" w:eastAsia="Aptos" w:hAnsi="Arial" w:cs="Arial"/>
          <w:sz w:val="24"/>
          <w:szCs w:val="24"/>
        </w:rPr>
      </w:pPr>
    </w:p>
    <w:p w14:paraId="3DAFA04F" w14:textId="77777777" w:rsidR="00EA7D6A" w:rsidRDefault="00EA7D6A" w:rsidP="00F5543D">
      <w:pPr>
        <w:spacing w:line="360" w:lineRule="auto"/>
        <w:jc w:val="both"/>
        <w:rPr>
          <w:rFonts w:ascii="Arial" w:eastAsia="Aptos" w:hAnsi="Arial" w:cs="Arial"/>
          <w:sz w:val="24"/>
          <w:szCs w:val="24"/>
        </w:rPr>
      </w:pPr>
    </w:p>
    <w:p w14:paraId="11E85638" w14:textId="77777777" w:rsidR="00EA7D6A" w:rsidRDefault="00EA7D6A" w:rsidP="00F5543D">
      <w:pPr>
        <w:spacing w:line="360" w:lineRule="auto"/>
        <w:jc w:val="both"/>
        <w:rPr>
          <w:rFonts w:ascii="Arial" w:eastAsia="Aptos" w:hAnsi="Arial" w:cs="Arial"/>
          <w:sz w:val="24"/>
          <w:szCs w:val="24"/>
        </w:rPr>
      </w:pPr>
    </w:p>
    <w:p w14:paraId="324A12BB" w14:textId="77777777" w:rsidR="00A3096D" w:rsidRDefault="00A3096D" w:rsidP="00F5543D">
      <w:pPr>
        <w:spacing w:line="360" w:lineRule="auto"/>
        <w:jc w:val="both"/>
        <w:rPr>
          <w:rFonts w:ascii="Arial" w:eastAsia="Aptos" w:hAnsi="Arial" w:cs="Arial"/>
          <w:sz w:val="24"/>
          <w:szCs w:val="24"/>
        </w:rPr>
      </w:pPr>
    </w:p>
    <w:p w14:paraId="22BAEC2C" w14:textId="77777777" w:rsidR="00A3096D" w:rsidRDefault="00A3096D" w:rsidP="00F5543D">
      <w:pPr>
        <w:spacing w:line="360" w:lineRule="auto"/>
        <w:jc w:val="both"/>
        <w:rPr>
          <w:rFonts w:ascii="Arial" w:eastAsia="Aptos" w:hAnsi="Arial" w:cs="Arial"/>
          <w:sz w:val="24"/>
          <w:szCs w:val="24"/>
        </w:rPr>
      </w:pPr>
    </w:p>
    <w:p w14:paraId="2CA5CD77" w14:textId="77777777" w:rsidR="00A3096D" w:rsidRDefault="00A3096D" w:rsidP="00F5543D">
      <w:pPr>
        <w:spacing w:line="360" w:lineRule="auto"/>
        <w:jc w:val="both"/>
        <w:rPr>
          <w:rFonts w:ascii="Arial" w:eastAsia="Aptos" w:hAnsi="Arial" w:cs="Arial"/>
          <w:sz w:val="24"/>
          <w:szCs w:val="24"/>
        </w:rPr>
      </w:pPr>
    </w:p>
    <w:p w14:paraId="538B1213" w14:textId="77777777" w:rsidR="00EA7D6A" w:rsidRDefault="00EA7D6A" w:rsidP="00F5543D">
      <w:pPr>
        <w:spacing w:line="360" w:lineRule="auto"/>
        <w:jc w:val="both"/>
        <w:rPr>
          <w:rFonts w:ascii="Arial" w:eastAsia="Aptos" w:hAnsi="Arial" w:cs="Arial"/>
          <w:sz w:val="24"/>
          <w:szCs w:val="24"/>
        </w:rPr>
      </w:pPr>
    </w:p>
    <w:p w14:paraId="762BBD8C" w14:textId="4C68761B" w:rsidR="00EA7D6A" w:rsidRDefault="00EA7D6A" w:rsidP="00F5543D">
      <w:pPr>
        <w:spacing w:line="360" w:lineRule="auto"/>
        <w:jc w:val="both"/>
        <w:rPr>
          <w:rFonts w:ascii="Arial" w:eastAsia="Aptos" w:hAnsi="Arial" w:cs="Arial"/>
          <w:sz w:val="24"/>
          <w:szCs w:val="24"/>
        </w:rPr>
      </w:pPr>
      <w:r>
        <w:rPr>
          <w:rFonts w:ascii="Arial" w:eastAsia="Aptos" w:hAnsi="Arial" w:cs="Arial"/>
          <w:sz w:val="24"/>
          <w:szCs w:val="24"/>
        </w:rPr>
        <w:t>Table of content</w:t>
      </w:r>
    </w:p>
    <w:p w14:paraId="0CFBB8BD" w14:textId="77777777" w:rsidR="00D45DC9" w:rsidRDefault="00D45DC9" w:rsidP="00F5543D">
      <w:pPr>
        <w:spacing w:line="360" w:lineRule="auto"/>
        <w:jc w:val="both"/>
        <w:rPr>
          <w:rFonts w:ascii="Arial" w:eastAsia="Aptos" w:hAnsi="Arial" w:cs="Arial"/>
          <w:sz w:val="24"/>
          <w:szCs w:val="24"/>
        </w:rPr>
      </w:pPr>
    </w:p>
    <w:p w14:paraId="17AFEAED" w14:textId="77777777" w:rsidR="00A3096D" w:rsidRDefault="00A3096D" w:rsidP="00F5543D">
      <w:pPr>
        <w:spacing w:line="360" w:lineRule="auto"/>
        <w:jc w:val="both"/>
        <w:rPr>
          <w:rFonts w:ascii="Arial" w:eastAsia="Aptos" w:hAnsi="Arial" w:cs="Arial"/>
          <w:sz w:val="24"/>
          <w:szCs w:val="24"/>
        </w:rPr>
      </w:pPr>
    </w:p>
    <w:p w14:paraId="5F83FFF5" w14:textId="3ACEEA67" w:rsidR="00D45DC9" w:rsidRDefault="00D45DC9" w:rsidP="00F5543D">
      <w:pPr>
        <w:spacing w:line="360" w:lineRule="auto"/>
        <w:jc w:val="both"/>
        <w:rPr>
          <w:rFonts w:ascii="Arial" w:eastAsia="Aptos" w:hAnsi="Arial" w:cs="Arial"/>
          <w:sz w:val="24"/>
          <w:szCs w:val="24"/>
        </w:rPr>
      </w:pPr>
      <w:r>
        <w:rPr>
          <w:rFonts w:ascii="Arial" w:eastAsia="Aptos" w:hAnsi="Arial" w:cs="Arial"/>
          <w:sz w:val="24"/>
          <w:szCs w:val="24"/>
        </w:rPr>
        <w:t>Introduction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4</w:t>
      </w:r>
    </w:p>
    <w:p w14:paraId="1CEB2BEF" w14:textId="126458E1" w:rsidR="00D45DC9" w:rsidRDefault="00D45DC9" w:rsidP="00F5543D">
      <w:pPr>
        <w:spacing w:line="360" w:lineRule="auto"/>
        <w:jc w:val="both"/>
        <w:rPr>
          <w:rFonts w:ascii="Arial" w:eastAsia="Aptos" w:hAnsi="Arial" w:cs="Arial"/>
          <w:sz w:val="24"/>
          <w:szCs w:val="24"/>
        </w:rPr>
      </w:pPr>
      <w:r>
        <w:rPr>
          <w:rFonts w:ascii="Arial" w:eastAsia="Aptos" w:hAnsi="Arial" w:cs="Arial"/>
          <w:sz w:val="24"/>
          <w:szCs w:val="24"/>
        </w:rPr>
        <w:t>Green Issues</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4</w:t>
      </w:r>
    </w:p>
    <w:p w14:paraId="4A174F3E" w14:textId="3E7926FE" w:rsidR="00D45DC9" w:rsidRDefault="005064C3" w:rsidP="00F5543D">
      <w:pPr>
        <w:spacing w:line="360" w:lineRule="auto"/>
        <w:jc w:val="both"/>
        <w:rPr>
          <w:rFonts w:ascii="Arial" w:eastAsia="Aptos" w:hAnsi="Arial" w:cs="Arial"/>
          <w:sz w:val="24"/>
          <w:szCs w:val="24"/>
        </w:rPr>
      </w:pPr>
      <w:r>
        <w:rPr>
          <w:rFonts w:ascii="Arial" w:eastAsia="Aptos" w:hAnsi="Arial" w:cs="Arial"/>
          <w:sz w:val="24"/>
          <w:szCs w:val="24"/>
        </w:rPr>
        <w:t>Green Key Accreditation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6</w:t>
      </w:r>
    </w:p>
    <w:p w14:paraId="7EF89865" w14:textId="48D9BE1B" w:rsidR="005064C3"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Benefits of Making Hotels More Eco-Friendly</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8</w:t>
      </w:r>
    </w:p>
    <w:p w14:paraId="79532926" w14:textId="2A579BE6" w:rsidR="00B7458B"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Additional Green Solutions</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10</w:t>
      </w:r>
    </w:p>
    <w:p w14:paraId="06BC996C" w14:textId="0F8A96E6" w:rsidR="00B7458B"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Management Steps for Achieving Eco-Certification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11</w:t>
      </w:r>
    </w:p>
    <w:p w14:paraId="21CC2B54" w14:textId="683D7F4D" w:rsidR="00B7458B" w:rsidRDefault="00B7458B" w:rsidP="00F5543D">
      <w:pPr>
        <w:spacing w:line="360" w:lineRule="auto"/>
        <w:jc w:val="both"/>
        <w:rPr>
          <w:rFonts w:ascii="Arial" w:eastAsia="Aptos" w:hAnsi="Arial" w:cs="Arial"/>
          <w:sz w:val="24"/>
          <w:szCs w:val="24"/>
        </w:rPr>
      </w:pPr>
      <w:r>
        <w:rPr>
          <w:rFonts w:ascii="Arial" w:eastAsia="Aptos" w:hAnsi="Arial" w:cs="Arial"/>
          <w:sz w:val="24"/>
          <w:szCs w:val="24"/>
        </w:rPr>
        <w:t>Co</w:t>
      </w:r>
      <w:r w:rsidR="00784096">
        <w:rPr>
          <w:rFonts w:ascii="Arial" w:eastAsia="Aptos" w:hAnsi="Arial" w:cs="Arial"/>
          <w:sz w:val="24"/>
          <w:szCs w:val="24"/>
        </w:rPr>
        <w:t>nclusion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13</w:t>
      </w:r>
    </w:p>
    <w:p w14:paraId="27B79AE3" w14:textId="17B926B2" w:rsidR="00784096" w:rsidRDefault="00784096" w:rsidP="00F5543D">
      <w:pPr>
        <w:spacing w:line="360" w:lineRule="auto"/>
        <w:jc w:val="both"/>
        <w:rPr>
          <w:rFonts w:ascii="Arial" w:eastAsia="Aptos" w:hAnsi="Arial" w:cs="Arial"/>
          <w:sz w:val="24"/>
          <w:szCs w:val="24"/>
        </w:rPr>
      </w:pPr>
      <w:r>
        <w:rPr>
          <w:rFonts w:ascii="Arial" w:eastAsia="Aptos" w:hAnsi="Arial" w:cs="Arial"/>
          <w:sz w:val="24"/>
          <w:szCs w:val="24"/>
        </w:rPr>
        <w:t xml:space="preserve">References </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14</w:t>
      </w:r>
    </w:p>
    <w:p w14:paraId="15B54091" w14:textId="77777777" w:rsidR="00EA7D6A" w:rsidRDefault="00EA7D6A" w:rsidP="00F5543D">
      <w:pPr>
        <w:spacing w:line="360" w:lineRule="auto"/>
        <w:jc w:val="both"/>
        <w:rPr>
          <w:rFonts w:ascii="Arial" w:eastAsia="Aptos" w:hAnsi="Arial" w:cs="Arial"/>
          <w:sz w:val="24"/>
          <w:szCs w:val="24"/>
        </w:rPr>
      </w:pPr>
    </w:p>
    <w:p w14:paraId="3154DEDD" w14:textId="77777777" w:rsidR="00EA7D6A" w:rsidRDefault="00EA7D6A" w:rsidP="00F5543D">
      <w:pPr>
        <w:spacing w:line="360" w:lineRule="auto"/>
        <w:jc w:val="both"/>
        <w:rPr>
          <w:rFonts w:ascii="Arial" w:eastAsia="Aptos" w:hAnsi="Arial" w:cs="Arial"/>
          <w:sz w:val="24"/>
          <w:szCs w:val="24"/>
        </w:rPr>
      </w:pPr>
    </w:p>
    <w:p w14:paraId="0AB180CA" w14:textId="77777777" w:rsidR="00784096" w:rsidRDefault="00784096" w:rsidP="00F5543D">
      <w:pPr>
        <w:spacing w:line="360" w:lineRule="auto"/>
        <w:jc w:val="both"/>
        <w:rPr>
          <w:rFonts w:ascii="Arial" w:eastAsia="Aptos" w:hAnsi="Arial" w:cs="Arial"/>
          <w:sz w:val="24"/>
          <w:szCs w:val="24"/>
        </w:rPr>
      </w:pPr>
    </w:p>
    <w:p w14:paraId="696EB1F9" w14:textId="77777777" w:rsidR="00A3096D" w:rsidRDefault="00A3096D" w:rsidP="00F5543D">
      <w:pPr>
        <w:spacing w:line="360" w:lineRule="auto"/>
        <w:jc w:val="both"/>
        <w:rPr>
          <w:rFonts w:ascii="Arial" w:eastAsia="Aptos" w:hAnsi="Arial" w:cs="Arial"/>
          <w:sz w:val="24"/>
          <w:szCs w:val="24"/>
        </w:rPr>
      </w:pPr>
    </w:p>
    <w:p w14:paraId="0034587D" w14:textId="77777777" w:rsidR="00A3096D" w:rsidRDefault="00A3096D" w:rsidP="00F5543D">
      <w:pPr>
        <w:spacing w:line="360" w:lineRule="auto"/>
        <w:jc w:val="both"/>
        <w:rPr>
          <w:rFonts w:ascii="Arial" w:eastAsia="Aptos" w:hAnsi="Arial" w:cs="Arial"/>
          <w:sz w:val="24"/>
          <w:szCs w:val="24"/>
        </w:rPr>
      </w:pPr>
    </w:p>
    <w:p w14:paraId="17469566" w14:textId="77777777" w:rsidR="00A3096D" w:rsidRDefault="00A3096D" w:rsidP="00F5543D">
      <w:pPr>
        <w:spacing w:line="360" w:lineRule="auto"/>
        <w:jc w:val="both"/>
        <w:rPr>
          <w:rFonts w:ascii="Arial" w:eastAsia="Aptos" w:hAnsi="Arial" w:cs="Arial"/>
          <w:sz w:val="24"/>
          <w:szCs w:val="24"/>
        </w:rPr>
      </w:pPr>
    </w:p>
    <w:p w14:paraId="29CC3452" w14:textId="77777777" w:rsidR="00A3096D" w:rsidRDefault="00A3096D" w:rsidP="00F5543D">
      <w:pPr>
        <w:spacing w:line="360" w:lineRule="auto"/>
        <w:jc w:val="both"/>
        <w:rPr>
          <w:rFonts w:ascii="Arial" w:eastAsia="Aptos" w:hAnsi="Arial" w:cs="Arial"/>
          <w:sz w:val="24"/>
          <w:szCs w:val="24"/>
        </w:rPr>
      </w:pPr>
    </w:p>
    <w:p w14:paraId="0B90DB6D" w14:textId="77777777" w:rsidR="00A3096D" w:rsidRDefault="00A3096D" w:rsidP="00F5543D">
      <w:pPr>
        <w:spacing w:line="360" w:lineRule="auto"/>
        <w:jc w:val="both"/>
        <w:rPr>
          <w:rFonts w:ascii="Arial" w:eastAsia="Aptos" w:hAnsi="Arial" w:cs="Arial"/>
          <w:sz w:val="24"/>
          <w:szCs w:val="24"/>
        </w:rPr>
      </w:pPr>
    </w:p>
    <w:p w14:paraId="00F65EDA" w14:textId="77777777" w:rsidR="00784096" w:rsidRPr="00F5543D" w:rsidRDefault="00784096" w:rsidP="00F5543D">
      <w:pPr>
        <w:spacing w:line="360" w:lineRule="auto"/>
        <w:jc w:val="both"/>
        <w:rPr>
          <w:rFonts w:ascii="Arial" w:eastAsia="Aptos" w:hAnsi="Arial" w:cs="Arial"/>
          <w:sz w:val="24"/>
          <w:szCs w:val="24"/>
        </w:rPr>
      </w:pPr>
    </w:p>
    <w:p w14:paraId="098DA601"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lastRenderedPageBreak/>
        <w:t>Introduction</w:t>
      </w:r>
    </w:p>
    <w:p w14:paraId="34674A21" w14:textId="77777777" w:rsidR="004D3512" w:rsidRPr="00F5543D" w:rsidRDefault="004D3512" w:rsidP="00F5543D">
      <w:pPr>
        <w:spacing w:line="360" w:lineRule="auto"/>
        <w:jc w:val="both"/>
        <w:rPr>
          <w:rFonts w:ascii="Arial" w:eastAsia="Aptos" w:hAnsi="Arial" w:cs="Arial"/>
          <w:b/>
          <w:bCs/>
          <w:sz w:val="24"/>
          <w:szCs w:val="24"/>
        </w:rPr>
      </w:pPr>
    </w:p>
    <w:p w14:paraId="1A2618C8" w14:textId="1A0C29B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issues in hospitality refer to the overlimit environmental challenges and impacts associated with the operations of hotels, resorts, and other hospitality establishments</w:t>
      </w:r>
      <w:r w:rsidR="004D3512">
        <w:rPr>
          <w:rFonts w:ascii="Arial" w:eastAsia="Aptos" w:hAnsi="Arial" w:cs="Arial"/>
          <w:sz w:val="24"/>
          <w:szCs w:val="24"/>
        </w:rPr>
        <w:t xml:space="preserve"> (Edgell, 2020)</w:t>
      </w:r>
      <w:r w:rsidRPr="00F5543D">
        <w:rPr>
          <w:rFonts w:ascii="Arial" w:eastAsia="Aptos" w:hAnsi="Arial" w:cs="Arial"/>
          <w:sz w:val="24"/>
          <w:szCs w:val="24"/>
        </w:rPr>
        <w:t>. These issues encompass a range of sustainability concerns, including resource consumption, waste management, carbon emissions and the overall ecological footprint of hospitality operations. Addressing green issues in hospitality is essential for the industry's sustainability and long-term success. By implementing energy-efficient technologies, conserving water, reducing waste, and engaging guests and staff in sustainable practices, hospitality establishments can significantly reduce their environmental impact</w:t>
      </w:r>
      <w:r w:rsidR="00CA056A">
        <w:rPr>
          <w:rFonts w:ascii="Arial" w:eastAsia="Aptos" w:hAnsi="Arial" w:cs="Arial"/>
          <w:sz w:val="24"/>
          <w:szCs w:val="24"/>
        </w:rPr>
        <w:t xml:space="preserve"> (</w:t>
      </w:r>
      <w:r w:rsidR="004D3512">
        <w:rPr>
          <w:rFonts w:ascii="Arial" w:eastAsia="Aptos" w:hAnsi="Arial" w:cs="Arial"/>
          <w:sz w:val="24"/>
          <w:szCs w:val="24"/>
        </w:rPr>
        <w:t>Inkson</w:t>
      </w:r>
      <w:r w:rsidR="00CA056A">
        <w:rPr>
          <w:rFonts w:ascii="Arial" w:eastAsia="Aptos" w:hAnsi="Arial" w:cs="Arial"/>
          <w:sz w:val="24"/>
          <w:szCs w:val="24"/>
        </w:rPr>
        <w:t>, 2022)</w:t>
      </w:r>
      <w:r w:rsidRPr="00F5543D">
        <w:rPr>
          <w:rFonts w:ascii="Arial" w:eastAsia="Aptos" w:hAnsi="Arial" w:cs="Arial"/>
          <w:sz w:val="24"/>
          <w:szCs w:val="24"/>
        </w:rPr>
        <w:t>. These efforts not only contribute to global sustainability goals but also offer economic benefits, enhance brand reputation, and promote social responsibility. Adopting comprehensive and proactive approaches to sustainability is crucial for the future of the hospitality industry.</w:t>
      </w:r>
    </w:p>
    <w:p w14:paraId="42916EC6" w14:textId="77777777" w:rsidR="00F5543D" w:rsidRPr="00F5543D" w:rsidRDefault="00F5543D" w:rsidP="00F5543D">
      <w:pPr>
        <w:spacing w:line="360" w:lineRule="auto"/>
        <w:jc w:val="both"/>
        <w:rPr>
          <w:rFonts w:ascii="Arial" w:eastAsia="Aptos" w:hAnsi="Arial" w:cs="Arial"/>
          <w:sz w:val="24"/>
          <w:szCs w:val="24"/>
        </w:rPr>
      </w:pPr>
    </w:p>
    <w:p w14:paraId="60536BA8" w14:textId="77777777"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Green Issues</w:t>
      </w:r>
    </w:p>
    <w:p w14:paraId="7B56020A"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Types of Green Issues in Hospitality</w:t>
      </w:r>
    </w:p>
    <w:p w14:paraId="6AC83300" w14:textId="0AD01FE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Energy Consumption and Water Usage:</w:t>
      </w:r>
      <w:r w:rsidR="00634855">
        <w:rPr>
          <w:rFonts w:ascii="Arial" w:eastAsia="Aptos" w:hAnsi="Arial" w:cs="Arial"/>
          <w:sz w:val="24"/>
          <w:szCs w:val="24"/>
        </w:rPr>
        <w:t xml:space="preserve"> </w:t>
      </w:r>
      <w:r w:rsidRPr="00F5543D">
        <w:rPr>
          <w:rFonts w:ascii="Arial" w:eastAsia="Aptos" w:hAnsi="Arial" w:cs="Arial"/>
          <w:sz w:val="24"/>
          <w:szCs w:val="24"/>
        </w:rPr>
        <w:t>High energy usage for heating, cooling and appliances, excessive water usage for guest services, landscaping and maintenance</w:t>
      </w:r>
      <w:r w:rsidR="004D3512">
        <w:rPr>
          <w:rFonts w:ascii="Arial" w:eastAsia="Aptos" w:hAnsi="Arial" w:cs="Arial"/>
          <w:sz w:val="24"/>
          <w:szCs w:val="24"/>
        </w:rPr>
        <w:t xml:space="preserve"> (Fennell, 2020)</w:t>
      </w:r>
      <w:r w:rsidRPr="00F5543D">
        <w:rPr>
          <w:rFonts w:ascii="Arial" w:eastAsia="Aptos" w:hAnsi="Arial" w:cs="Arial"/>
          <w:sz w:val="24"/>
          <w:szCs w:val="24"/>
        </w:rPr>
        <w:t>.</w:t>
      </w:r>
    </w:p>
    <w:p w14:paraId="0D1AD96F" w14:textId="586BAA96"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 Management:</w:t>
      </w:r>
      <w:r w:rsidR="00DD4F97">
        <w:rPr>
          <w:rFonts w:ascii="Arial" w:eastAsia="Aptos" w:hAnsi="Arial" w:cs="Arial"/>
          <w:sz w:val="24"/>
          <w:szCs w:val="24"/>
        </w:rPr>
        <w:t xml:space="preserve"> </w:t>
      </w:r>
      <w:r w:rsidRPr="00F5543D">
        <w:rPr>
          <w:rFonts w:ascii="Arial" w:eastAsia="Aptos" w:hAnsi="Arial" w:cs="Arial"/>
          <w:sz w:val="24"/>
          <w:szCs w:val="24"/>
        </w:rPr>
        <w:t>High levels of waste generation, including food waste, single-use plastics and hazardous materials.</w:t>
      </w:r>
    </w:p>
    <w:p w14:paraId="531F679E" w14:textId="730A255D"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Carbon Emissions:</w:t>
      </w:r>
      <w:r w:rsidR="00DD4F97">
        <w:rPr>
          <w:rFonts w:ascii="Arial" w:eastAsia="Aptos" w:hAnsi="Arial" w:cs="Arial"/>
          <w:sz w:val="24"/>
          <w:szCs w:val="24"/>
        </w:rPr>
        <w:t xml:space="preserve"> </w:t>
      </w:r>
      <w:r w:rsidRPr="00F5543D">
        <w:rPr>
          <w:rFonts w:ascii="Arial" w:eastAsia="Aptos" w:hAnsi="Arial" w:cs="Arial"/>
          <w:sz w:val="24"/>
          <w:szCs w:val="24"/>
        </w:rPr>
        <w:t>Greenhouse gas emissions from energy consumption, transportation and operations.</w:t>
      </w:r>
    </w:p>
    <w:p w14:paraId="306830B4" w14:textId="2E45F82E"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Resource Depletion:</w:t>
      </w:r>
      <w:r w:rsidR="00DD4F97">
        <w:rPr>
          <w:rFonts w:ascii="Arial" w:eastAsia="Aptos" w:hAnsi="Arial" w:cs="Arial"/>
          <w:sz w:val="24"/>
          <w:szCs w:val="24"/>
        </w:rPr>
        <w:t xml:space="preserve"> </w:t>
      </w:r>
      <w:r w:rsidRPr="00F5543D">
        <w:rPr>
          <w:rFonts w:ascii="Arial" w:eastAsia="Aptos" w:hAnsi="Arial" w:cs="Arial"/>
          <w:sz w:val="24"/>
          <w:szCs w:val="24"/>
        </w:rPr>
        <w:t>Use of non-renewable resources and unsustainable sourcing practices.</w:t>
      </w:r>
    </w:p>
    <w:p w14:paraId="1BCA2663" w14:textId="22C475C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Pollution:</w:t>
      </w:r>
      <w:r w:rsidR="00DD4F97">
        <w:rPr>
          <w:rFonts w:ascii="Arial" w:eastAsia="Aptos" w:hAnsi="Arial" w:cs="Arial"/>
          <w:sz w:val="24"/>
          <w:szCs w:val="24"/>
        </w:rPr>
        <w:t xml:space="preserve"> </w:t>
      </w:r>
      <w:r w:rsidRPr="00F5543D">
        <w:rPr>
          <w:rFonts w:ascii="Arial" w:eastAsia="Aptos" w:hAnsi="Arial" w:cs="Arial"/>
          <w:sz w:val="24"/>
          <w:szCs w:val="24"/>
        </w:rPr>
        <w:t>Air, water, and soil pollution resulting from hotel operations and maintenance activities.</w:t>
      </w:r>
    </w:p>
    <w:p w14:paraId="78BDE7BB" w14:textId="2A89085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Biodiversity Impact:</w:t>
      </w:r>
      <w:r w:rsidR="00DD4F97">
        <w:rPr>
          <w:rFonts w:ascii="Arial" w:eastAsia="Aptos" w:hAnsi="Arial" w:cs="Arial"/>
          <w:sz w:val="24"/>
          <w:szCs w:val="24"/>
        </w:rPr>
        <w:t xml:space="preserve"> </w:t>
      </w:r>
      <w:r w:rsidRPr="00F5543D">
        <w:rPr>
          <w:rFonts w:ascii="Arial" w:eastAsia="Aptos" w:hAnsi="Arial" w:cs="Arial"/>
          <w:sz w:val="24"/>
          <w:szCs w:val="24"/>
        </w:rPr>
        <w:t>Negative effects on local ecosystems and wildlife due to construction and operational activities.</w:t>
      </w:r>
    </w:p>
    <w:p w14:paraId="286FE9A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Sample from Recent History</w:t>
      </w:r>
    </w:p>
    <w:p w14:paraId="68632A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 recent example of addressing green issues in hospitality is the initiative by Marriott International to reduce its environmental footprint. Marriott implemented several measures, such as installing energy-efficient lighting, reducing water usage through low-flow fixtures, and minimizing waste by eliminating single-use plastics. These efforts are part of their broader sustainability goals aimed at reducing carbon emissions and promoting responsible resource use.</w:t>
      </w:r>
    </w:p>
    <w:p w14:paraId="3F5E3B29"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How Green Issues Could Be Avoided</w:t>
      </w:r>
    </w:p>
    <w:p w14:paraId="1D105EE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Using energy high efficiency technologies and renewable energy sources.</w:t>
      </w:r>
    </w:p>
    <w:p w14:paraId="1815709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Water Conservation: Installing water less-use devices and recycling greywater.</w:t>
      </w:r>
    </w:p>
    <w:p w14:paraId="098C9B2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 Reduction: Enhancing recycling programs and reducing single-use items.</w:t>
      </w:r>
    </w:p>
    <w:p w14:paraId="7228381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Sourcing: Procuring eco-friendly and locally sourced products.</w:t>
      </w:r>
    </w:p>
    <w:p w14:paraId="0BFDF620" w14:textId="48A66D9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Building Practices: Designing and constructing buildings with sustainable materials and technologies</w:t>
      </w:r>
      <w:r w:rsidR="00CA056A">
        <w:rPr>
          <w:rFonts w:ascii="Arial" w:eastAsia="Aptos" w:hAnsi="Arial" w:cs="Arial"/>
          <w:sz w:val="24"/>
          <w:szCs w:val="24"/>
        </w:rPr>
        <w:t xml:space="preserve"> (Inkson, 2022)</w:t>
      </w:r>
      <w:r w:rsidRPr="00F5543D">
        <w:rPr>
          <w:rFonts w:ascii="Arial" w:eastAsia="Aptos" w:hAnsi="Arial" w:cs="Arial"/>
          <w:sz w:val="24"/>
          <w:szCs w:val="24"/>
        </w:rPr>
        <w:t>.</w:t>
      </w:r>
    </w:p>
    <w:p w14:paraId="28D7DCA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Engagement: Educating guests on sustainable practices and encouraging participation in green programs.</w:t>
      </w:r>
    </w:p>
    <w:p w14:paraId="7C38C0E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Staff Training: Training staff on sustainability practices and incorporating green policies into daily operations.</w:t>
      </w:r>
    </w:p>
    <w:p w14:paraId="284CDCF2"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Implications</w:t>
      </w:r>
    </w:p>
    <w:p w14:paraId="27C4FBF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Environmental Benefits: Reducing the ecological footprint and conserving natural resources.</w:t>
      </w:r>
    </w:p>
    <w:p w14:paraId="4B031A9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Economic Advantages: Lowering operational costs through energy and water savings.</w:t>
      </w:r>
    </w:p>
    <w:p w14:paraId="511F968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Enhanced Reputation: Improving brand image and attracting eco-conscious travellers.</w:t>
      </w:r>
    </w:p>
    <w:p w14:paraId="43DE8F1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Regulatory Compliance: Meeting legal requirements and avoiding potential fines.</w:t>
      </w:r>
    </w:p>
    <w:p w14:paraId="4C23205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Social Responsibility: Contributing to the well-being of local communities and promoting social equity.</w:t>
      </w:r>
    </w:p>
    <w:p w14:paraId="7A9DA1E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Long-term Viability: Ensuring the sustainability and resilience of the hospitality business in the face of environmental challenges.</w:t>
      </w:r>
    </w:p>
    <w:p w14:paraId="41583F76"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lastRenderedPageBreak/>
        <w:t>Green Key Accreditation</w:t>
      </w:r>
    </w:p>
    <w:p w14:paraId="13E51B40" w14:textId="77777777" w:rsidR="000D773B" w:rsidRPr="00F5543D" w:rsidRDefault="000D773B" w:rsidP="00F5543D">
      <w:pPr>
        <w:spacing w:line="360" w:lineRule="auto"/>
        <w:jc w:val="both"/>
        <w:rPr>
          <w:rFonts w:ascii="Arial" w:eastAsia="Aptos" w:hAnsi="Arial" w:cs="Arial"/>
          <w:b/>
          <w:bCs/>
          <w:sz w:val="24"/>
          <w:szCs w:val="24"/>
        </w:rPr>
      </w:pPr>
    </w:p>
    <w:p w14:paraId="718773DF" w14:textId="3D19260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GREEN Key in hospitality refers to an eco-label or certification that is awarded to hotels and other tourism establishments that meet a set of environmental management standards</w:t>
      </w:r>
      <w:r w:rsidR="004D3512">
        <w:rPr>
          <w:rFonts w:ascii="Arial" w:eastAsia="Aptos" w:hAnsi="Arial" w:cs="Arial"/>
          <w:sz w:val="24"/>
          <w:szCs w:val="24"/>
        </w:rPr>
        <w:t xml:space="preserve"> (Dodds, 2016)</w:t>
      </w:r>
      <w:r w:rsidRPr="00F5543D">
        <w:rPr>
          <w:rFonts w:ascii="Arial" w:eastAsia="Aptos" w:hAnsi="Arial" w:cs="Arial"/>
          <w:sz w:val="24"/>
          <w:szCs w:val="24"/>
        </w:rPr>
        <w:t xml:space="preserve">. The purpose of the GREEN Key certification is to promote sustainable practices within the hospitality industry, reducing the environmental impact of tourism and encouraging responsible </w:t>
      </w:r>
      <w:r w:rsidR="005E52F2" w:rsidRPr="00F5543D">
        <w:rPr>
          <w:rFonts w:ascii="Arial" w:eastAsia="Aptos" w:hAnsi="Arial" w:cs="Arial"/>
          <w:sz w:val="24"/>
          <w:szCs w:val="24"/>
        </w:rPr>
        <w:t>behaviour</w:t>
      </w:r>
      <w:r w:rsidRPr="00F5543D">
        <w:rPr>
          <w:rFonts w:ascii="Arial" w:eastAsia="Aptos" w:hAnsi="Arial" w:cs="Arial"/>
          <w:sz w:val="24"/>
          <w:szCs w:val="24"/>
        </w:rPr>
        <w:t xml:space="preserve"> among guests and staff.</w:t>
      </w:r>
    </w:p>
    <w:p w14:paraId="74752254" w14:textId="6E3E5235"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Achieving the GREEN Key certification is a significant step for hospitality establishments aiming to demonstrate their commitment to environmental sustainability. It involves a comprehensive approach to managing environmental impact, engaging guests and staff, and continuously improving sustainability practices. The benefits extend beyond environmental conservation, contributing to economic savings, enhanced reputation, and a positive social impact</w:t>
      </w:r>
      <w:r w:rsidR="008D0D08">
        <w:rPr>
          <w:rFonts w:ascii="Arial" w:eastAsia="Aptos" w:hAnsi="Arial" w:cs="Arial"/>
          <w:sz w:val="24"/>
          <w:szCs w:val="24"/>
        </w:rPr>
        <w:t xml:space="preserve"> (Buckley, 2012)</w:t>
      </w:r>
      <w:r w:rsidRPr="00F5543D">
        <w:rPr>
          <w:rFonts w:ascii="Arial" w:eastAsia="Aptos" w:hAnsi="Arial" w:cs="Arial"/>
          <w:sz w:val="24"/>
          <w:szCs w:val="24"/>
        </w:rPr>
        <w:t>.</w:t>
      </w:r>
    </w:p>
    <w:p w14:paraId="4CB2D525" w14:textId="69E39765"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As hotel and hospitality providers become increasingly aware of green issues, several additional directions of change are emerging</w:t>
      </w:r>
      <w:r w:rsidR="00910016">
        <w:rPr>
          <w:rFonts w:ascii="Arial" w:eastAsia="Aptos" w:hAnsi="Arial" w:cs="Arial"/>
          <w:sz w:val="24"/>
          <w:szCs w:val="24"/>
        </w:rPr>
        <w:t xml:space="preserve"> (</w:t>
      </w:r>
      <w:r w:rsidR="000D773B">
        <w:rPr>
          <w:rFonts w:ascii="Arial" w:eastAsia="Aptos" w:hAnsi="Arial" w:cs="Arial"/>
          <w:sz w:val="24"/>
          <w:szCs w:val="24"/>
        </w:rPr>
        <w:t>Akeel, 2022)</w:t>
      </w:r>
      <w:r w:rsidRPr="00F5543D">
        <w:rPr>
          <w:rFonts w:ascii="Arial" w:eastAsia="Aptos" w:hAnsi="Arial" w:cs="Arial"/>
          <w:sz w:val="24"/>
          <w:szCs w:val="24"/>
        </w:rPr>
        <w:t>. Here are a few more directions that complement the previously mentioned efforts:</w:t>
      </w:r>
    </w:p>
    <w:p w14:paraId="03A7C43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Sustainable Food and Beverage Practices:</w:t>
      </w:r>
    </w:p>
    <w:p w14:paraId="561E0D7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Farm-to-Table Initiatives: Partnering with local farmers and suppliers to provide fresh, organic, and locally sourced food, reducing the carbon footprint associated with transportation.</w:t>
      </w:r>
    </w:p>
    <w:p w14:paraId="59F6CE77" w14:textId="6EBCFEF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Food Waste Reduction Programs</w:t>
      </w:r>
      <w:r w:rsidR="008D0D08">
        <w:rPr>
          <w:rFonts w:ascii="Arial" w:eastAsia="Aptos" w:hAnsi="Arial" w:cs="Arial"/>
          <w:sz w:val="24"/>
          <w:szCs w:val="24"/>
        </w:rPr>
        <w:t xml:space="preserve"> (Cooper, 2022)</w:t>
      </w:r>
      <w:r w:rsidRPr="00F5543D">
        <w:rPr>
          <w:rFonts w:ascii="Arial" w:eastAsia="Aptos" w:hAnsi="Arial" w:cs="Arial"/>
          <w:sz w:val="24"/>
          <w:szCs w:val="24"/>
        </w:rPr>
        <w:t>: Implementing strategies to minimize food waste through portion control, surplus food donation, and composting initiatives.</w:t>
      </w:r>
    </w:p>
    <w:p w14:paraId="6C5B955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Seafood: Sourcing seafood from certified sustainable fisheries to protect marine ecosystems.</w:t>
      </w:r>
    </w:p>
    <w:p w14:paraId="107C992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2. Green Certification and Awards:</w:t>
      </w:r>
    </w:p>
    <w:p w14:paraId="170C145C" w14:textId="7164905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Eco-labels and Certifications</w:t>
      </w:r>
      <w:r w:rsidR="007F0406">
        <w:rPr>
          <w:rFonts w:ascii="Arial" w:eastAsia="Aptos" w:hAnsi="Arial" w:cs="Arial"/>
          <w:sz w:val="24"/>
          <w:szCs w:val="24"/>
        </w:rPr>
        <w:t xml:space="preserve"> (Dodds, 2016)</w:t>
      </w:r>
      <w:r w:rsidRPr="00F5543D">
        <w:rPr>
          <w:rFonts w:ascii="Arial" w:eastAsia="Aptos" w:hAnsi="Arial" w:cs="Arial"/>
          <w:sz w:val="24"/>
          <w:szCs w:val="24"/>
        </w:rPr>
        <w:t>: Pursuing additional certifications such as LEED (Leadership in Energy and Environmental Design), BREEAM (Building Research Establishment Environmental Assessment Method), and EarthCheck, which validate the sustainability efforts of hospitality providers</w:t>
      </w:r>
      <w:r w:rsidR="00CA056A">
        <w:rPr>
          <w:rFonts w:ascii="Arial" w:eastAsia="Aptos" w:hAnsi="Arial" w:cs="Arial"/>
          <w:sz w:val="24"/>
          <w:szCs w:val="24"/>
        </w:rPr>
        <w:t xml:space="preserve"> (Ilina, 2019)</w:t>
      </w:r>
      <w:r w:rsidRPr="00F5543D">
        <w:rPr>
          <w:rFonts w:ascii="Arial" w:eastAsia="Aptos" w:hAnsi="Arial" w:cs="Arial"/>
          <w:sz w:val="24"/>
          <w:szCs w:val="24"/>
        </w:rPr>
        <w:t>.</w:t>
      </w:r>
    </w:p>
    <w:p w14:paraId="4575C0D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Sustainability Awards: Participating in sustainability award programs to gain recognition and promote best practices within the industry.</w:t>
      </w:r>
    </w:p>
    <w:p w14:paraId="5173295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3. Green Transportation and Mobility:</w:t>
      </w:r>
    </w:p>
    <w:p w14:paraId="4A066592" w14:textId="4AA11EB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Electric Vehicle (EV) Charging Stations: Installing EV charging stations to encourage guests to use electric cars, thus reducing carbon emissions</w:t>
      </w:r>
      <w:r w:rsidR="00371D98">
        <w:rPr>
          <w:rFonts w:ascii="Arial" w:eastAsia="Aptos" w:hAnsi="Arial" w:cs="Arial"/>
          <w:sz w:val="24"/>
          <w:szCs w:val="24"/>
        </w:rPr>
        <w:t xml:space="preserve"> (Kahn, 2016</w:t>
      </w:r>
      <w:r w:rsidR="00FC2A02">
        <w:rPr>
          <w:rFonts w:ascii="Arial" w:eastAsia="Aptos" w:hAnsi="Arial" w:cs="Arial"/>
          <w:sz w:val="24"/>
          <w:szCs w:val="24"/>
        </w:rPr>
        <w:t xml:space="preserve"> </w:t>
      </w:r>
      <w:r w:rsidR="00371D98">
        <w:rPr>
          <w:rFonts w:ascii="Arial" w:eastAsia="Aptos" w:hAnsi="Arial" w:cs="Arial"/>
          <w:sz w:val="24"/>
          <w:szCs w:val="24"/>
        </w:rPr>
        <w:t>)</w:t>
      </w:r>
      <w:r w:rsidRPr="00F5543D">
        <w:rPr>
          <w:rFonts w:ascii="Arial" w:eastAsia="Aptos" w:hAnsi="Arial" w:cs="Arial"/>
          <w:sz w:val="24"/>
          <w:szCs w:val="24"/>
        </w:rPr>
        <w:t>.</w:t>
      </w:r>
    </w:p>
    <w:p w14:paraId="72735FE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Transportation Options: Offering eco-friendly transportation options such as bicycles, electric shuttles, and partnerships with green taxi services.</w:t>
      </w:r>
    </w:p>
    <w:p w14:paraId="4F327D1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4. Innovative Building and Design:</w:t>
      </w:r>
    </w:p>
    <w:p w14:paraId="5EF62F2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Biophilic Design: Incorporating natural elements into the architecture and interior design to enhance the well-being of guests and reduce energy consumption.</w:t>
      </w:r>
    </w:p>
    <w:p w14:paraId="257CBE4C"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Passive Solar Design: Utilizing building orientation, materials, and design to maximize natural light and heating, reducing the need for artificial lighting and heating.</w:t>
      </w:r>
    </w:p>
    <w:p w14:paraId="3D9D212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5. Smart Technology Integration:</w:t>
      </w:r>
    </w:p>
    <w:p w14:paraId="500CDFA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Smart Energy Management Systems: Using advanced technology to monitor and control energy usage more efficiently, such as smart thermostats, motion sensors, and automated lighting systems.</w:t>
      </w:r>
    </w:p>
    <w:p w14:paraId="18EDF73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Guest-Controlled Room Settings: Allowing guests to control room settings (e.g., lighting, temperature) via mobile apps, promoting energy conservation.</w:t>
      </w:r>
    </w:p>
    <w:p w14:paraId="7C32E7FA" w14:textId="20DD0D7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6. Community Engagement and Education</w:t>
      </w:r>
      <w:r w:rsidR="00CA056A">
        <w:rPr>
          <w:rFonts w:ascii="Arial" w:eastAsia="Aptos" w:hAnsi="Arial" w:cs="Arial"/>
          <w:sz w:val="24"/>
          <w:szCs w:val="24"/>
        </w:rPr>
        <w:t xml:space="preserve"> (Ilina, 2019)</w:t>
      </w:r>
      <w:r w:rsidRPr="00F5543D">
        <w:rPr>
          <w:rFonts w:ascii="Arial" w:eastAsia="Aptos" w:hAnsi="Arial" w:cs="Arial"/>
          <w:sz w:val="24"/>
          <w:szCs w:val="24"/>
        </w:rPr>
        <w:t>:</w:t>
      </w:r>
    </w:p>
    <w:p w14:paraId="47FA559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Local Community Projects: Participating in or supporting local environmental and community projects, fostering a stronger connection with the community and promoting sustainability.</w:t>
      </w:r>
    </w:p>
    <w:p w14:paraId="69B227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Education Programs: Offering educational programs and materials to inform guests about local ecosystems, conservation efforts, and how they can contribute during their stay.</w:t>
      </w:r>
    </w:p>
    <w:p w14:paraId="729E279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7. Sustainable Event Management:</w:t>
      </w:r>
    </w:p>
    <w:p w14:paraId="38623DF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Meetings and Events: Providing sustainable options for meetings and events, such as zero-waste catering, digital event materials, and eco-friendly venues.</w:t>
      </w:r>
    </w:p>
    <w:p w14:paraId="2BEF689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Sustainable Conferences: Hosting or participating in conferences focused on sustainability, sharing knowledge and best practices within the industry.</w:t>
      </w:r>
    </w:p>
    <w:p w14:paraId="1A8D715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8. Biodiversity and Habitat Preservation:</w:t>
      </w:r>
    </w:p>
    <w:p w14:paraId="3F418DF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Wildlife Conservation Programs: Supporting local wildlife conservation initiatives and creating habitats for local flora and fauna within the hotel grounds.</w:t>
      </w:r>
    </w:p>
    <w:p w14:paraId="50F1010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Roofs and Walls: Implementing green roofs and living walls to enhance biodiversity, improve air quality, and provide insulation.</w:t>
      </w:r>
    </w:p>
    <w:p w14:paraId="2E925365" w14:textId="6BF6F93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hospitality industry is moving towards comprehensive sustainability by adopting innovative practices beyond traditional energy and water conservation measures</w:t>
      </w:r>
      <w:r w:rsidR="008D0D08">
        <w:rPr>
          <w:rFonts w:ascii="Arial" w:eastAsia="Aptos" w:hAnsi="Arial" w:cs="Arial"/>
          <w:sz w:val="24"/>
          <w:szCs w:val="24"/>
        </w:rPr>
        <w:t xml:space="preserve"> </w:t>
      </w:r>
      <w:r w:rsidR="008D0D08">
        <w:rPr>
          <w:rFonts w:ascii="Arial" w:eastAsia="Aptos" w:hAnsi="Arial" w:cs="Arial"/>
          <w:sz w:val="24"/>
          <w:szCs w:val="24"/>
        </w:rPr>
        <w:t>(Cooper, 2022)</w:t>
      </w:r>
      <w:r w:rsidRPr="00F5543D">
        <w:rPr>
          <w:rFonts w:ascii="Arial" w:eastAsia="Aptos" w:hAnsi="Arial" w:cs="Arial"/>
          <w:sz w:val="24"/>
          <w:szCs w:val="24"/>
        </w:rPr>
        <w:t>. By focusing on sustainable food practices, green transportation, innovative building designs, smart technology, community engagement, sustainable events, and biodiversity preservation, hotels can further minimize their environmental impact</w:t>
      </w:r>
      <w:r w:rsidR="00591BFC">
        <w:rPr>
          <w:rFonts w:ascii="Arial" w:eastAsia="Aptos" w:hAnsi="Arial" w:cs="Arial"/>
          <w:sz w:val="24"/>
          <w:szCs w:val="24"/>
        </w:rPr>
        <w:t xml:space="preserve"> (Edgell, 2020)</w:t>
      </w:r>
      <w:r w:rsidRPr="00F5543D">
        <w:rPr>
          <w:rFonts w:ascii="Arial" w:eastAsia="Aptos" w:hAnsi="Arial" w:cs="Arial"/>
          <w:sz w:val="24"/>
          <w:szCs w:val="24"/>
        </w:rPr>
        <w:t>. These efforts not only address green issues but also align with broader sustainability goals, contributing to a healthier planet and creating a more responsible and attractive hospitality sector.</w:t>
      </w:r>
    </w:p>
    <w:p w14:paraId="3E9606E9" w14:textId="77777777" w:rsidR="00F5543D" w:rsidRPr="00F5543D" w:rsidRDefault="00F5543D" w:rsidP="00F5543D">
      <w:pPr>
        <w:spacing w:line="360" w:lineRule="auto"/>
        <w:jc w:val="both"/>
        <w:rPr>
          <w:rFonts w:ascii="Arial" w:eastAsia="Aptos" w:hAnsi="Arial" w:cs="Arial"/>
          <w:sz w:val="24"/>
          <w:szCs w:val="24"/>
        </w:rPr>
      </w:pPr>
    </w:p>
    <w:p w14:paraId="1C93DB7C"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Benefits of Making Hotels More Eco-Friendly</w:t>
      </w:r>
    </w:p>
    <w:p w14:paraId="295C99C3" w14:textId="77777777" w:rsidR="000D773B" w:rsidRPr="00F5543D" w:rsidRDefault="000D773B" w:rsidP="00F5543D">
      <w:pPr>
        <w:spacing w:line="360" w:lineRule="auto"/>
        <w:jc w:val="both"/>
        <w:rPr>
          <w:rFonts w:ascii="Arial" w:eastAsia="Aptos" w:hAnsi="Arial" w:cs="Arial"/>
          <w:b/>
          <w:bCs/>
          <w:sz w:val="24"/>
          <w:szCs w:val="24"/>
        </w:rPr>
      </w:pPr>
    </w:p>
    <w:p w14:paraId="6F57D86B" w14:textId="01CC3251"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Conservation of Resources</w:t>
      </w:r>
      <w:r w:rsidR="00910016">
        <w:rPr>
          <w:rFonts w:ascii="Arial" w:eastAsia="Aptos" w:hAnsi="Arial" w:cs="Arial"/>
          <w:sz w:val="24"/>
          <w:szCs w:val="24"/>
        </w:rPr>
        <w:t xml:space="preserve"> (Batabyal, 2018)</w:t>
      </w:r>
      <w:r w:rsidRPr="00F5543D">
        <w:rPr>
          <w:rFonts w:ascii="Arial" w:eastAsia="Aptos" w:hAnsi="Arial" w:cs="Arial"/>
          <w:sz w:val="24"/>
          <w:szCs w:val="24"/>
        </w:rPr>
        <w:t>:</w:t>
      </w:r>
    </w:p>
    <w:p w14:paraId="18167FC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Water Recycling Systems:</w:t>
      </w:r>
    </w:p>
    <w:p w14:paraId="3231A9EC"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Greywater Systems: Reusing water from sinks, showers, and laundry for irrigation and toilet flushing.</w:t>
      </w:r>
    </w:p>
    <w:p w14:paraId="3650A36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Rainwater Harvesting: Collecting and storing rainwater for landscaping and non-potable uses.</w:t>
      </w:r>
    </w:p>
    <w:p w14:paraId="4E99194E" w14:textId="4DF26C3E"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Energy-Efficient Laundry Practices</w:t>
      </w:r>
      <w:r w:rsidR="00371D98">
        <w:rPr>
          <w:rFonts w:ascii="Arial" w:eastAsia="Aptos" w:hAnsi="Arial" w:cs="Arial"/>
          <w:sz w:val="24"/>
          <w:szCs w:val="24"/>
        </w:rPr>
        <w:t xml:space="preserve"> (Kahn, 2016)</w:t>
      </w:r>
      <w:r w:rsidRPr="00F5543D">
        <w:rPr>
          <w:rFonts w:ascii="Arial" w:eastAsia="Aptos" w:hAnsi="Arial" w:cs="Arial"/>
          <w:sz w:val="24"/>
          <w:szCs w:val="24"/>
        </w:rPr>
        <w:t>:</w:t>
      </w:r>
    </w:p>
    <w:p w14:paraId="626CA75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Ozone Laundry Systems: Using ozone technology to clean laundry in cold water, reducing energy consumption and water usage.</w:t>
      </w:r>
    </w:p>
    <w:p w14:paraId="7D5CA4E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Low-Temperature Detergents: Utilizing detergents that work effectively at lower temperatures, saving energy.</w:t>
      </w:r>
    </w:p>
    <w:p w14:paraId="662FD649" w14:textId="2CC6261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2. Reduced Pollution and Environmental Impact</w:t>
      </w:r>
      <w:r w:rsidR="00371D98">
        <w:rPr>
          <w:rFonts w:ascii="Arial" w:eastAsia="Aptos" w:hAnsi="Arial" w:cs="Arial"/>
          <w:sz w:val="24"/>
          <w:szCs w:val="24"/>
        </w:rPr>
        <w:t xml:space="preserve"> (Kuo, 2022)</w:t>
      </w:r>
      <w:r w:rsidRPr="00F5543D">
        <w:rPr>
          <w:rFonts w:ascii="Arial" w:eastAsia="Aptos" w:hAnsi="Arial" w:cs="Arial"/>
          <w:sz w:val="24"/>
          <w:szCs w:val="24"/>
        </w:rPr>
        <w:t>:</w:t>
      </w:r>
    </w:p>
    <w:p w14:paraId="543CA5B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Chemical-Free Cleaning:</w:t>
      </w:r>
    </w:p>
    <w:p w14:paraId="35AED06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Electrolyzed Water Systems: Using electrolyzed water as a cleaning and disinfecting agent, eliminating the need for chemical cleaners.</w:t>
      </w:r>
    </w:p>
    <w:p w14:paraId="0E7DAE4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Microfiber Cleaning Products: Implementing microfiber cloths and mops that require fewer cleaning agents and water.</w:t>
      </w:r>
    </w:p>
    <w:p w14:paraId="069294E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Landscaping:</w:t>
      </w:r>
    </w:p>
    <w:p w14:paraId="40666E7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Native Plant Landscaping: Planting native species that require less water, fertilizers, and pesticides.</w:t>
      </w:r>
    </w:p>
    <w:p w14:paraId="34A8358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Organic Fertilizers: Using organic or natural fertilizers to reduce chemical runoff and soil contamination.</w:t>
      </w:r>
    </w:p>
    <w:p w14:paraId="341955C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Building Materials:</w:t>
      </w:r>
    </w:p>
    <w:p w14:paraId="4AFC8AC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Recycled Materials: Incorporating recycled materials in construction and renovation projects, such as reclaimed wood and recycled metal.</w:t>
      </w:r>
    </w:p>
    <w:p w14:paraId="5566070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Low-VOC Paints and Finishes: Using paints and finishes with low volatile organic compounds (VOCs) to improve indoor air quality.</w:t>
      </w:r>
    </w:p>
    <w:p w14:paraId="4628A3F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3. Improved Operational Efficiency:</w:t>
      </w:r>
    </w:p>
    <w:p w14:paraId="2026D6F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Smart Resource Management:</w:t>
      </w:r>
    </w:p>
    <w:p w14:paraId="0D12210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Advanced HVAC Systems: Installing heating, ventilation, and air conditioning systems with smart controls for optimized energy use.</w:t>
      </w:r>
    </w:p>
    <w:p w14:paraId="0B897B6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Building Automation Systems (BAS): Implementing BAS to monitor and control lighting, heating, and cooling in real-time, enhancing energy efficiency.</w:t>
      </w:r>
    </w:p>
    <w:p w14:paraId="344F2BC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Waste-to-Energy Initiatives:</w:t>
      </w:r>
    </w:p>
    <w:p w14:paraId="5C4F4E9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On-site Composting: Creating compost from organic waste to be used in landscaping or sold, reducing waste disposal costs.</w:t>
      </w:r>
    </w:p>
    <w:p w14:paraId="6986631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Biogas Production: Converting organic waste into biogas for energy production, reducing dependency on fossil fuels.</w:t>
      </w:r>
    </w:p>
    <w:p w14:paraId="6393AB8A" w14:textId="72DB167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Digitalization and Paperless Operations</w:t>
      </w:r>
      <w:r w:rsidR="00CA056A">
        <w:rPr>
          <w:rFonts w:ascii="Arial" w:eastAsia="Aptos" w:hAnsi="Arial" w:cs="Arial"/>
          <w:sz w:val="24"/>
          <w:szCs w:val="24"/>
        </w:rPr>
        <w:t xml:space="preserve"> (Inkson, 2022)</w:t>
      </w:r>
      <w:r w:rsidRPr="00F5543D">
        <w:rPr>
          <w:rFonts w:ascii="Arial" w:eastAsia="Aptos" w:hAnsi="Arial" w:cs="Arial"/>
          <w:sz w:val="24"/>
          <w:szCs w:val="24"/>
        </w:rPr>
        <w:t>:</w:t>
      </w:r>
    </w:p>
    <w:p w14:paraId="3328AC9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E-Check-in/Check-out: Implementing digital check-in and check-out processes to reduce paper use.</w:t>
      </w:r>
    </w:p>
    <w:p w14:paraId="3A72066E" w14:textId="77777777" w:rsid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Mobile Keys: Using mobile key technology, allowing guests to access their rooms via smartphones, reducing plastic key card waste.</w:t>
      </w:r>
    </w:p>
    <w:p w14:paraId="35EFADF2" w14:textId="77777777" w:rsidR="000D773B" w:rsidRPr="00F5543D" w:rsidRDefault="000D773B" w:rsidP="00F5543D">
      <w:pPr>
        <w:spacing w:line="360" w:lineRule="auto"/>
        <w:jc w:val="both"/>
        <w:rPr>
          <w:rFonts w:ascii="Arial" w:eastAsia="Aptos" w:hAnsi="Arial" w:cs="Arial"/>
          <w:sz w:val="24"/>
          <w:szCs w:val="24"/>
        </w:rPr>
      </w:pPr>
    </w:p>
    <w:p w14:paraId="436D812D" w14:textId="77777777" w:rsidR="00F5543D" w:rsidRPr="00F5543D" w:rsidRDefault="00F5543D" w:rsidP="00F5543D">
      <w:pPr>
        <w:spacing w:line="360" w:lineRule="auto"/>
        <w:jc w:val="both"/>
        <w:rPr>
          <w:rFonts w:ascii="Arial" w:eastAsia="Aptos" w:hAnsi="Arial" w:cs="Arial"/>
          <w:b/>
          <w:bCs/>
          <w:sz w:val="24"/>
          <w:szCs w:val="24"/>
        </w:rPr>
      </w:pPr>
      <w:bookmarkStart w:id="0" w:name="_Hlk168338905"/>
      <w:r w:rsidRPr="00F5543D">
        <w:rPr>
          <w:rFonts w:ascii="Arial" w:eastAsia="Aptos" w:hAnsi="Arial" w:cs="Arial"/>
          <w:b/>
          <w:bCs/>
          <w:sz w:val="24"/>
          <w:szCs w:val="24"/>
        </w:rPr>
        <w:t>Additional Green Solutions</w:t>
      </w:r>
    </w:p>
    <w:bookmarkEnd w:id="0"/>
    <w:p w14:paraId="5B0185A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Eco-Friendly Transportation:</w:t>
      </w:r>
    </w:p>
    <w:p w14:paraId="6471E7A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Shuttle Services: Providing shuttle services with electric or hybrid vehicles to reduce guests' carbon footprint.</w:t>
      </w:r>
    </w:p>
    <w:p w14:paraId="00D0FF8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Car-Free Zones: Creating car-free zones within the hotel premises to encourage walking and reduce emissions.</w:t>
      </w:r>
    </w:p>
    <w:p w14:paraId="6CE6F22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Innovative Waste Reduction:</w:t>
      </w:r>
    </w:p>
    <w:p w14:paraId="72E4601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Food Waste Digesters: Installing food waste digesters to break down organic waste on-site, reducing the volume sent to landfills.</w:t>
      </w:r>
    </w:p>
    <w:p w14:paraId="3E463D79" w14:textId="09731A6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Upcycling Initiatives: Partnering with organizations to upcycle old furniture, linens, and other items instead of discarding them</w:t>
      </w:r>
      <w:r w:rsidR="00371D98">
        <w:rPr>
          <w:rFonts w:ascii="Arial" w:eastAsia="Aptos" w:hAnsi="Arial" w:cs="Arial"/>
          <w:sz w:val="24"/>
          <w:szCs w:val="24"/>
        </w:rPr>
        <w:t xml:space="preserve"> (Korstanje, 2020)</w:t>
      </w:r>
      <w:r w:rsidRPr="00F5543D">
        <w:rPr>
          <w:rFonts w:ascii="Arial" w:eastAsia="Aptos" w:hAnsi="Arial" w:cs="Arial"/>
          <w:sz w:val="24"/>
          <w:szCs w:val="24"/>
        </w:rPr>
        <w:t>.</w:t>
      </w:r>
    </w:p>
    <w:p w14:paraId="27B127F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Biodiversity Conservation:</w:t>
      </w:r>
    </w:p>
    <w:p w14:paraId="52563259"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Pollinator Gardens: Establishing gardens that attract and support local pollinators like bees and butterflies.</w:t>
      </w:r>
    </w:p>
    <w:p w14:paraId="4FD66C7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Habitat Restoration: Participating in or funding local habitat restoration projects to enhance biodiversity.</w:t>
      </w:r>
    </w:p>
    <w:p w14:paraId="700B7C19" w14:textId="3A3FA1AD"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Health and Wellness Programs</w:t>
      </w:r>
      <w:r w:rsidR="00EC40FA">
        <w:rPr>
          <w:rFonts w:ascii="Arial" w:eastAsia="Aptos" w:hAnsi="Arial" w:cs="Arial"/>
          <w:sz w:val="24"/>
          <w:szCs w:val="24"/>
        </w:rPr>
        <w:t xml:space="preserve"> (Hall, 2019</w:t>
      </w:r>
      <w:r w:rsidR="00966F83">
        <w:rPr>
          <w:rFonts w:ascii="Arial" w:eastAsia="Aptos" w:hAnsi="Arial" w:cs="Arial"/>
          <w:sz w:val="24"/>
          <w:szCs w:val="24"/>
        </w:rPr>
        <w:t>)</w:t>
      </w:r>
      <w:r w:rsidRPr="00F5543D">
        <w:rPr>
          <w:rFonts w:ascii="Arial" w:eastAsia="Aptos" w:hAnsi="Arial" w:cs="Arial"/>
          <w:sz w:val="24"/>
          <w:szCs w:val="24"/>
        </w:rPr>
        <w:t>:</w:t>
      </w:r>
    </w:p>
    <w:p w14:paraId="03A4C2B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Wellness Amenities: Providing wellness amenities like air purifiers, organic bedding, and in-room fitness options to enhance guest well-being.</w:t>
      </w:r>
    </w:p>
    <w:p w14:paraId="62CFD00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Healthy Menus: Offering menus with organic, locally-sourced, and plant-based options to promote health and reduce environmental impact.</w:t>
      </w:r>
    </w:p>
    <w:p w14:paraId="596BC686" w14:textId="77777777" w:rsidR="00F5543D" w:rsidRDefault="00F5543D" w:rsidP="00F5543D">
      <w:pPr>
        <w:spacing w:line="360" w:lineRule="auto"/>
        <w:jc w:val="both"/>
        <w:rPr>
          <w:rFonts w:ascii="Arial" w:eastAsia="Aptos" w:hAnsi="Arial" w:cs="Arial"/>
          <w:sz w:val="24"/>
          <w:szCs w:val="24"/>
        </w:rPr>
      </w:pPr>
    </w:p>
    <w:p w14:paraId="22A24BCB" w14:textId="77777777" w:rsidR="00FA64C8" w:rsidRPr="00F5543D" w:rsidRDefault="00FA64C8" w:rsidP="00F5543D">
      <w:pPr>
        <w:spacing w:line="360" w:lineRule="auto"/>
        <w:jc w:val="both"/>
        <w:rPr>
          <w:rFonts w:ascii="Arial" w:eastAsia="Aptos" w:hAnsi="Arial" w:cs="Arial"/>
          <w:sz w:val="24"/>
          <w:szCs w:val="24"/>
        </w:rPr>
      </w:pPr>
    </w:p>
    <w:p w14:paraId="16ABEECE" w14:textId="77777777" w:rsidR="00F5543D" w:rsidRPr="00F5543D" w:rsidRDefault="00F5543D" w:rsidP="00F5543D">
      <w:pPr>
        <w:spacing w:line="360" w:lineRule="auto"/>
        <w:jc w:val="both"/>
        <w:rPr>
          <w:rFonts w:ascii="Arial" w:eastAsia="Aptos" w:hAnsi="Arial" w:cs="Arial"/>
          <w:sz w:val="24"/>
          <w:szCs w:val="24"/>
        </w:rPr>
      </w:pPr>
      <w:bookmarkStart w:id="1" w:name="_Hlk168338934"/>
      <w:r w:rsidRPr="00F5543D">
        <w:rPr>
          <w:rFonts w:ascii="Arial" w:eastAsia="Aptos" w:hAnsi="Arial" w:cs="Arial"/>
          <w:b/>
          <w:bCs/>
          <w:sz w:val="24"/>
          <w:szCs w:val="24"/>
        </w:rPr>
        <w:lastRenderedPageBreak/>
        <w:t>Management Steps for Achieving Eco-Certification</w:t>
      </w:r>
      <w:r w:rsidRPr="00F5543D">
        <w:rPr>
          <w:rFonts w:ascii="Arial" w:eastAsia="Aptos" w:hAnsi="Arial" w:cs="Arial"/>
          <w:sz w:val="24"/>
          <w:szCs w:val="24"/>
        </w:rPr>
        <w:t xml:space="preserve"> </w:t>
      </w:r>
      <w:bookmarkEnd w:id="1"/>
      <w:r w:rsidRPr="00F5543D">
        <w:rPr>
          <w:rFonts w:ascii="Arial" w:eastAsia="Aptos" w:hAnsi="Arial" w:cs="Arial"/>
          <w:sz w:val="24"/>
          <w:szCs w:val="24"/>
        </w:rPr>
        <w:t>(like Green Key)</w:t>
      </w:r>
    </w:p>
    <w:p w14:paraId="5CF50C6E" w14:textId="010F443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Achieving an eco-certified label such as the Green Key certification requires strategic planning, commitment, and a systematic approach.</w:t>
      </w:r>
      <w:r w:rsidR="006A0515">
        <w:rPr>
          <w:rFonts w:ascii="Arial" w:eastAsia="Aptos" w:hAnsi="Arial" w:cs="Arial"/>
          <w:sz w:val="24"/>
          <w:szCs w:val="24"/>
        </w:rPr>
        <w:t xml:space="preserve"> </w:t>
      </w:r>
      <w:r w:rsidRPr="00F5543D">
        <w:rPr>
          <w:rFonts w:ascii="Arial" w:eastAsia="Aptos" w:hAnsi="Arial" w:cs="Arial"/>
          <w:sz w:val="24"/>
          <w:szCs w:val="24"/>
        </w:rPr>
        <w:t>Here are additional steps management can take to prepare for and achieve certification:</w:t>
      </w:r>
    </w:p>
    <w:p w14:paraId="3FEACF9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Initial Assessment and Benchmarking:</w:t>
      </w:r>
    </w:p>
    <w:p w14:paraId="64CA2050" w14:textId="3E7EECB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Conduct an Environmental Audit:</w:t>
      </w:r>
      <w:r w:rsidR="00981A16">
        <w:rPr>
          <w:rFonts w:ascii="Arial" w:eastAsia="Aptos" w:hAnsi="Arial" w:cs="Arial"/>
          <w:sz w:val="24"/>
          <w:szCs w:val="24"/>
        </w:rPr>
        <w:t xml:space="preserve"> </w:t>
      </w:r>
      <w:r w:rsidRPr="00F5543D">
        <w:rPr>
          <w:rFonts w:ascii="Arial" w:eastAsia="Aptos" w:hAnsi="Arial" w:cs="Arial"/>
          <w:sz w:val="24"/>
          <w:szCs w:val="24"/>
        </w:rPr>
        <w:t>Perform a comprehensive audit of the hotel's current environmental impact, including energy use, water consumption, waste management, and sustainability practices.</w:t>
      </w:r>
    </w:p>
    <w:p w14:paraId="62A7C6EB" w14:textId="2575E71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Benchmarking:</w:t>
      </w:r>
      <w:r w:rsidR="00981A16">
        <w:rPr>
          <w:rFonts w:ascii="Arial" w:eastAsia="Aptos" w:hAnsi="Arial" w:cs="Arial"/>
          <w:sz w:val="24"/>
          <w:szCs w:val="24"/>
        </w:rPr>
        <w:t xml:space="preserve"> </w:t>
      </w:r>
      <w:r w:rsidRPr="00F5543D">
        <w:rPr>
          <w:rFonts w:ascii="Arial" w:eastAsia="Aptos" w:hAnsi="Arial" w:cs="Arial"/>
          <w:sz w:val="24"/>
          <w:szCs w:val="24"/>
        </w:rPr>
        <w:t>Compare the hotel's performance against industry standards and best practices to identify gaps and areas for improvement.</w:t>
      </w:r>
    </w:p>
    <w:p w14:paraId="5987208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2. Develop a Sustainability Action Plan:</w:t>
      </w:r>
    </w:p>
    <w:p w14:paraId="72EDDD9D" w14:textId="1C7A156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Set Clear Goals:</w:t>
      </w:r>
      <w:r w:rsidR="00981A16">
        <w:rPr>
          <w:rFonts w:ascii="Arial" w:eastAsia="Aptos" w:hAnsi="Arial" w:cs="Arial"/>
          <w:sz w:val="24"/>
          <w:szCs w:val="24"/>
        </w:rPr>
        <w:t xml:space="preserve"> </w:t>
      </w:r>
      <w:r w:rsidRPr="00F5543D">
        <w:rPr>
          <w:rFonts w:ascii="Arial" w:eastAsia="Aptos" w:hAnsi="Arial" w:cs="Arial"/>
          <w:sz w:val="24"/>
          <w:szCs w:val="24"/>
        </w:rPr>
        <w:t>Establish specific, measurable, achievable, relevant, and time-bound (SMART) sustainability goals aligned with Green Key criteria.</w:t>
      </w:r>
    </w:p>
    <w:p w14:paraId="1F8FC310" w14:textId="3D42B9E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Formulate Strategies:</w:t>
      </w:r>
      <w:r w:rsidR="00981A16">
        <w:rPr>
          <w:rFonts w:ascii="Arial" w:eastAsia="Aptos" w:hAnsi="Arial" w:cs="Arial"/>
          <w:sz w:val="24"/>
          <w:szCs w:val="24"/>
        </w:rPr>
        <w:t xml:space="preserve"> </w:t>
      </w:r>
      <w:r w:rsidRPr="00F5543D">
        <w:rPr>
          <w:rFonts w:ascii="Arial" w:eastAsia="Aptos" w:hAnsi="Arial" w:cs="Arial"/>
          <w:sz w:val="24"/>
          <w:szCs w:val="24"/>
        </w:rPr>
        <w:t>Develop detailed strategies</w:t>
      </w:r>
      <w:r w:rsidR="008D0D08">
        <w:rPr>
          <w:rFonts w:ascii="Arial" w:eastAsia="Aptos" w:hAnsi="Arial" w:cs="Arial"/>
          <w:sz w:val="24"/>
          <w:szCs w:val="24"/>
        </w:rPr>
        <w:t xml:space="preserve"> (Buckley, 2012)</w:t>
      </w:r>
      <w:r w:rsidRPr="00F5543D">
        <w:rPr>
          <w:rFonts w:ascii="Arial" w:eastAsia="Aptos" w:hAnsi="Arial" w:cs="Arial"/>
          <w:sz w:val="24"/>
          <w:szCs w:val="24"/>
        </w:rPr>
        <w:t xml:space="preserve"> and action plans for achieving these goals, covering all aspects of operations, from energy efficiency to waste reduction and staff training.</w:t>
      </w:r>
    </w:p>
    <w:p w14:paraId="693B0F3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3. Engage Stakeholders:</w:t>
      </w:r>
    </w:p>
    <w:p w14:paraId="1950ADD2" w14:textId="19311D18"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Internal Communication:</w:t>
      </w:r>
      <w:r w:rsidR="00981A16">
        <w:rPr>
          <w:rFonts w:ascii="Arial" w:eastAsia="Aptos" w:hAnsi="Arial" w:cs="Arial"/>
          <w:sz w:val="24"/>
          <w:szCs w:val="24"/>
        </w:rPr>
        <w:t xml:space="preserve"> </w:t>
      </w:r>
      <w:r w:rsidRPr="00F5543D">
        <w:rPr>
          <w:rFonts w:ascii="Arial" w:eastAsia="Aptos" w:hAnsi="Arial" w:cs="Arial"/>
          <w:sz w:val="24"/>
          <w:szCs w:val="24"/>
        </w:rPr>
        <w:t>Ensure that all levels of staff understand the sustainability goals and their role in achieving them</w:t>
      </w:r>
      <w:r w:rsidR="00371D98">
        <w:rPr>
          <w:rFonts w:ascii="Arial" w:eastAsia="Aptos" w:hAnsi="Arial" w:cs="Arial"/>
          <w:sz w:val="24"/>
          <w:szCs w:val="24"/>
        </w:rPr>
        <w:t xml:space="preserve"> (Nistor, 2020)</w:t>
      </w:r>
      <w:r w:rsidRPr="00F5543D">
        <w:rPr>
          <w:rFonts w:ascii="Arial" w:eastAsia="Aptos" w:hAnsi="Arial" w:cs="Arial"/>
          <w:sz w:val="24"/>
          <w:szCs w:val="24"/>
        </w:rPr>
        <w:t>. Regularly communicate progress and updates.</w:t>
      </w:r>
    </w:p>
    <w:p w14:paraId="0FDBB483" w14:textId="520AA3E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External Collaboration:</w:t>
      </w:r>
      <w:r w:rsidR="00981A16">
        <w:rPr>
          <w:rFonts w:ascii="Arial" w:eastAsia="Aptos" w:hAnsi="Arial" w:cs="Arial"/>
          <w:sz w:val="24"/>
          <w:szCs w:val="24"/>
        </w:rPr>
        <w:t xml:space="preserve"> </w:t>
      </w:r>
      <w:r w:rsidRPr="00F5543D">
        <w:rPr>
          <w:rFonts w:ascii="Arial" w:eastAsia="Aptos" w:hAnsi="Arial" w:cs="Arial"/>
          <w:sz w:val="24"/>
          <w:szCs w:val="24"/>
        </w:rPr>
        <w:t>Engage with suppliers, contractors, and other stakeholders to ensure they align with the hotel’s sustainability goals</w:t>
      </w:r>
      <w:r w:rsidR="000D773B">
        <w:rPr>
          <w:rFonts w:ascii="Arial" w:eastAsia="Aptos" w:hAnsi="Arial" w:cs="Arial"/>
          <w:sz w:val="24"/>
          <w:szCs w:val="24"/>
        </w:rPr>
        <w:t xml:space="preserve"> (Akeel, 2022)</w:t>
      </w:r>
      <w:r w:rsidRPr="00F5543D">
        <w:rPr>
          <w:rFonts w:ascii="Arial" w:eastAsia="Aptos" w:hAnsi="Arial" w:cs="Arial"/>
          <w:sz w:val="24"/>
          <w:szCs w:val="24"/>
        </w:rPr>
        <w:t>. This could involve sourcing eco-friendly products and services.</w:t>
      </w:r>
    </w:p>
    <w:p w14:paraId="7AA8B1D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4. Implement Sustainable Practices:</w:t>
      </w:r>
    </w:p>
    <w:p w14:paraId="4336B2DE" w14:textId="269B674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Upgrade Infrastructure</w:t>
      </w:r>
      <w:r w:rsidR="008D0D08">
        <w:rPr>
          <w:rFonts w:ascii="Arial" w:eastAsia="Aptos" w:hAnsi="Arial" w:cs="Arial"/>
          <w:sz w:val="24"/>
          <w:szCs w:val="24"/>
        </w:rPr>
        <w:t xml:space="preserve"> (Dixit, 2020)</w:t>
      </w:r>
      <w:r w:rsidRPr="00F5543D">
        <w:rPr>
          <w:rFonts w:ascii="Arial" w:eastAsia="Aptos" w:hAnsi="Arial" w:cs="Arial"/>
          <w:sz w:val="24"/>
          <w:szCs w:val="24"/>
        </w:rPr>
        <w:t>:</w:t>
      </w:r>
      <w:r w:rsidR="00981A16">
        <w:rPr>
          <w:rFonts w:ascii="Arial" w:eastAsia="Aptos" w:hAnsi="Arial" w:cs="Arial"/>
          <w:sz w:val="24"/>
          <w:szCs w:val="24"/>
        </w:rPr>
        <w:t xml:space="preserve"> </w:t>
      </w:r>
      <w:r w:rsidRPr="00F5543D">
        <w:rPr>
          <w:rFonts w:ascii="Arial" w:eastAsia="Aptos" w:hAnsi="Arial" w:cs="Arial"/>
          <w:sz w:val="24"/>
          <w:szCs w:val="24"/>
        </w:rPr>
        <w:t>Invest in energy-efficient technologies, water-saving devices, and sustainable materials for construction and renovation.</w:t>
      </w:r>
    </w:p>
    <w:p w14:paraId="49654CEF" w14:textId="6F888C3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Operational Changes:</w:t>
      </w:r>
      <w:r w:rsidR="00981A16">
        <w:rPr>
          <w:rFonts w:ascii="Arial" w:eastAsia="Aptos" w:hAnsi="Arial" w:cs="Arial"/>
          <w:sz w:val="24"/>
          <w:szCs w:val="24"/>
        </w:rPr>
        <w:t xml:space="preserve"> </w:t>
      </w:r>
      <w:r w:rsidRPr="00F5543D">
        <w:rPr>
          <w:rFonts w:ascii="Arial" w:eastAsia="Aptos" w:hAnsi="Arial" w:cs="Arial"/>
          <w:sz w:val="24"/>
          <w:szCs w:val="24"/>
        </w:rPr>
        <w:t>Adjust daily operations to include sustainable practices such as waste segregation, reduced plastic usage, and efficient resource management.</w:t>
      </w:r>
    </w:p>
    <w:p w14:paraId="4E454F2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5. Training and Education:</w:t>
      </w:r>
    </w:p>
    <w:p w14:paraId="274F47FF" w14:textId="25CB6751"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Staff Training Programs:</w:t>
      </w:r>
      <w:r w:rsidR="00981A16">
        <w:rPr>
          <w:rFonts w:ascii="Arial" w:eastAsia="Aptos" w:hAnsi="Arial" w:cs="Arial"/>
          <w:sz w:val="24"/>
          <w:szCs w:val="24"/>
        </w:rPr>
        <w:t xml:space="preserve"> </w:t>
      </w:r>
      <w:r w:rsidRPr="00F5543D">
        <w:rPr>
          <w:rFonts w:ascii="Arial" w:eastAsia="Aptos" w:hAnsi="Arial" w:cs="Arial"/>
          <w:sz w:val="24"/>
          <w:szCs w:val="24"/>
        </w:rPr>
        <w:t>Develop and conduct training programs to educate staff</w:t>
      </w:r>
      <w:r w:rsidR="00371D98">
        <w:rPr>
          <w:rFonts w:ascii="Arial" w:eastAsia="Aptos" w:hAnsi="Arial" w:cs="Arial"/>
          <w:sz w:val="24"/>
          <w:szCs w:val="24"/>
        </w:rPr>
        <w:t xml:space="preserve"> (Sloan, 2009)</w:t>
      </w:r>
      <w:r w:rsidRPr="00F5543D">
        <w:rPr>
          <w:rFonts w:ascii="Arial" w:eastAsia="Aptos" w:hAnsi="Arial" w:cs="Arial"/>
          <w:sz w:val="24"/>
          <w:szCs w:val="24"/>
        </w:rPr>
        <w:t xml:space="preserve"> on sustainable practices, environmental policies, and their roles in achieving certification.</w:t>
      </w:r>
    </w:p>
    <w:p w14:paraId="6D90762E" w14:textId="4EDA1EB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Awareness:</w:t>
      </w:r>
      <w:r w:rsidR="00981A16">
        <w:rPr>
          <w:rFonts w:ascii="Arial" w:eastAsia="Aptos" w:hAnsi="Arial" w:cs="Arial"/>
          <w:sz w:val="24"/>
          <w:szCs w:val="24"/>
        </w:rPr>
        <w:t xml:space="preserve"> </w:t>
      </w:r>
      <w:r w:rsidRPr="00F5543D">
        <w:rPr>
          <w:rFonts w:ascii="Arial" w:eastAsia="Aptos" w:hAnsi="Arial" w:cs="Arial"/>
          <w:sz w:val="24"/>
          <w:szCs w:val="24"/>
        </w:rPr>
        <w:t>Educate guests on the hotel’s sustainability initiatives</w:t>
      </w:r>
      <w:r w:rsidR="00591BFC">
        <w:rPr>
          <w:rFonts w:ascii="Arial" w:eastAsia="Aptos" w:hAnsi="Arial" w:cs="Arial"/>
          <w:sz w:val="24"/>
          <w:szCs w:val="24"/>
        </w:rPr>
        <w:t xml:space="preserve"> (Fennell, 2020)</w:t>
      </w:r>
      <w:r w:rsidRPr="00F5543D">
        <w:rPr>
          <w:rFonts w:ascii="Arial" w:eastAsia="Aptos" w:hAnsi="Arial" w:cs="Arial"/>
          <w:sz w:val="24"/>
          <w:szCs w:val="24"/>
        </w:rPr>
        <w:t xml:space="preserve"> through in-room materials, digital communication, and interactive programs.</w:t>
      </w:r>
    </w:p>
    <w:p w14:paraId="5A12C0D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6. Monitor and Evaluate:</w:t>
      </w:r>
    </w:p>
    <w:p w14:paraId="575BA388" w14:textId="45DD111C"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Regular Monitoring:</w:t>
      </w:r>
      <w:r w:rsidR="00981A16">
        <w:rPr>
          <w:rFonts w:ascii="Arial" w:eastAsia="Aptos" w:hAnsi="Arial" w:cs="Arial"/>
          <w:sz w:val="24"/>
          <w:szCs w:val="24"/>
        </w:rPr>
        <w:t xml:space="preserve"> </w:t>
      </w:r>
      <w:r w:rsidRPr="00F5543D">
        <w:rPr>
          <w:rFonts w:ascii="Arial" w:eastAsia="Aptos" w:hAnsi="Arial" w:cs="Arial"/>
          <w:sz w:val="24"/>
          <w:szCs w:val="24"/>
        </w:rPr>
        <w:t>Implement systems to continuously monitor energy usage, water consumption, and waste generation. Use this data to track progress against set goals.</w:t>
      </w:r>
    </w:p>
    <w:p w14:paraId="4206579C" w14:textId="6C01E71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Periodic Reviews:</w:t>
      </w:r>
      <w:r w:rsidR="00981A16">
        <w:rPr>
          <w:rFonts w:ascii="Arial" w:eastAsia="Aptos" w:hAnsi="Arial" w:cs="Arial"/>
          <w:sz w:val="24"/>
          <w:szCs w:val="24"/>
        </w:rPr>
        <w:t xml:space="preserve"> </w:t>
      </w:r>
      <w:r w:rsidRPr="00F5543D">
        <w:rPr>
          <w:rFonts w:ascii="Arial" w:eastAsia="Aptos" w:hAnsi="Arial" w:cs="Arial"/>
          <w:sz w:val="24"/>
          <w:szCs w:val="24"/>
        </w:rPr>
        <w:t>Conduct regular reviews and audits to ensure ongoing compliance with Green Key criteria</w:t>
      </w:r>
      <w:r w:rsidR="00371D98">
        <w:rPr>
          <w:rFonts w:ascii="Arial" w:eastAsia="Aptos" w:hAnsi="Arial" w:cs="Arial"/>
          <w:sz w:val="24"/>
          <w:szCs w:val="24"/>
        </w:rPr>
        <w:t xml:space="preserve"> (Merli, 2019)</w:t>
      </w:r>
      <w:r w:rsidRPr="00F5543D">
        <w:rPr>
          <w:rFonts w:ascii="Arial" w:eastAsia="Aptos" w:hAnsi="Arial" w:cs="Arial"/>
          <w:sz w:val="24"/>
          <w:szCs w:val="24"/>
        </w:rPr>
        <w:t xml:space="preserve"> and identify areas for further improvement.</w:t>
      </w:r>
    </w:p>
    <w:p w14:paraId="085BC5A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7. Documentation and Reporting:</w:t>
      </w:r>
    </w:p>
    <w:p w14:paraId="3BFE36E9" w14:textId="530220D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Maintain Records:</w:t>
      </w:r>
      <w:r w:rsidR="00981A16">
        <w:rPr>
          <w:rFonts w:ascii="Arial" w:eastAsia="Aptos" w:hAnsi="Arial" w:cs="Arial"/>
          <w:sz w:val="24"/>
          <w:szCs w:val="24"/>
        </w:rPr>
        <w:t xml:space="preserve"> </w:t>
      </w:r>
      <w:r w:rsidRPr="00F5543D">
        <w:rPr>
          <w:rFonts w:ascii="Arial" w:eastAsia="Aptos" w:hAnsi="Arial" w:cs="Arial"/>
          <w:sz w:val="24"/>
          <w:szCs w:val="24"/>
        </w:rPr>
        <w:t>Keep detailed records of all sustainability initiatives, including energy audits, waste management logs, and staff training programs.</w:t>
      </w:r>
    </w:p>
    <w:p w14:paraId="22E2F96C" w14:textId="682DA3D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Report Progress:</w:t>
      </w:r>
      <w:r w:rsidR="00981A16">
        <w:rPr>
          <w:rFonts w:ascii="Arial" w:eastAsia="Aptos" w:hAnsi="Arial" w:cs="Arial"/>
          <w:sz w:val="24"/>
          <w:szCs w:val="24"/>
        </w:rPr>
        <w:t xml:space="preserve"> </w:t>
      </w:r>
      <w:r w:rsidRPr="00F5543D">
        <w:rPr>
          <w:rFonts w:ascii="Arial" w:eastAsia="Aptos" w:hAnsi="Arial" w:cs="Arial"/>
          <w:sz w:val="24"/>
          <w:szCs w:val="24"/>
        </w:rPr>
        <w:t>Prepare regular sustainability reports to document progress, challenges, and achievements</w:t>
      </w:r>
      <w:r w:rsidR="00EC40FA">
        <w:rPr>
          <w:rFonts w:ascii="Arial" w:eastAsia="Aptos" w:hAnsi="Arial" w:cs="Arial"/>
          <w:sz w:val="24"/>
          <w:szCs w:val="24"/>
        </w:rPr>
        <w:t xml:space="preserve"> (Hall, 2019)</w:t>
      </w:r>
      <w:r w:rsidRPr="00F5543D">
        <w:rPr>
          <w:rFonts w:ascii="Arial" w:eastAsia="Aptos" w:hAnsi="Arial" w:cs="Arial"/>
          <w:sz w:val="24"/>
          <w:szCs w:val="24"/>
        </w:rPr>
        <w:t>. These reports can be used for internal reviews and external certification processes.</w:t>
      </w:r>
    </w:p>
    <w:p w14:paraId="78876B1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8. Certification Application Process:</w:t>
      </w:r>
    </w:p>
    <w:p w14:paraId="73E0EA87" w14:textId="1C1CD42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Prepare Documentation:</w:t>
      </w:r>
      <w:r w:rsidR="00981A16">
        <w:rPr>
          <w:rFonts w:ascii="Arial" w:eastAsia="Aptos" w:hAnsi="Arial" w:cs="Arial"/>
          <w:sz w:val="24"/>
          <w:szCs w:val="24"/>
        </w:rPr>
        <w:t xml:space="preserve"> </w:t>
      </w:r>
      <w:r w:rsidRPr="00F5543D">
        <w:rPr>
          <w:rFonts w:ascii="Arial" w:eastAsia="Aptos" w:hAnsi="Arial" w:cs="Arial"/>
          <w:sz w:val="24"/>
          <w:szCs w:val="24"/>
        </w:rPr>
        <w:t>Compile all necessary documentation, including environmental policies, action plans, monitoring data, and progress reports, to support the certification application</w:t>
      </w:r>
      <w:r w:rsidR="00966F83">
        <w:rPr>
          <w:rFonts w:ascii="Arial" w:eastAsia="Aptos" w:hAnsi="Arial" w:cs="Arial"/>
          <w:sz w:val="24"/>
          <w:szCs w:val="24"/>
        </w:rPr>
        <w:t xml:space="preserve"> (Fukey, 2014)</w:t>
      </w:r>
      <w:r w:rsidRPr="00F5543D">
        <w:rPr>
          <w:rFonts w:ascii="Arial" w:eastAsia="Aptos" w:hAnsi="Arial" w:cs="Arial"/>
          <w:sz w:val="24"/>
          <w:szCs w:val="24"/>
        </w:rPr>
        <w:t>.</w:t>
      </w:r>
    </w:p>
    <w:p w14:paraId="7FE052B0" w14:textId="339D041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Third-Party Assessment:</w:t>
      </w:r>
      <w:r w:rsidR="00981A16">
        <w:rPr>
          <w:rFonts w:ascii="Arial" w:eastAsia="Aptos" w:hAnsi="Arial" w:cs="Arial"/>
          <w:sz w:val="24"/>
          <w:szCs w:val="24"/>
        </w:rPr>
        <w:t xml:space="preserve"> </w:t>
      </w:r>
      <w:r w:rsidRPr="00F5543D">
        <w:rPr>
          <w:rFonts w:ascii="Arial" w:eastAsia="Aptos" w:hAnsi="Arial" w:cs="Arial"/>
          <w:sz w:val="24"/>
          <w:szCs w:val="24"/>
        </w:rPr>
        <w:t>Engage an accredited third-party assessor to evaluate the hotel’s compliance with Green Key criteria. Prepare for on-site inspections and audits.</w:t>
      </w:r>
    </w:p>
    <w:p w14:paraId="5BD11B3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Submit Application:</w:t>
      </w:r>
    </w:p>
    <w:p w14:paraId="000E727D" w14:textId="285DA50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Complete the application process, providing all required information and documentation to the certifying body</w:t>
      </w:r>
      <w:r w:rsidR="00371D98">
        <w:rPr>
          <w:rFonts w:ascii="Arial" w:eastAsia="Aptos" w:hAnsi="Arial" w:cs="Arial"/>
          <w:sz w:val="24"/>
          <w:szCs w:val="24"/>
        </w:rPr>
        <w:t xml:space="preserve"> (Kuo, 2022)</w:t>
      </w:r>
      <w:r w:rsidRPr="00F5543D">
        <w:rPr>
          <w:rFonts w:ascii="Arial" w:eastAsia="Aptos" w:hAnsi="Arial" w:cs="Arial"/>
          <w:sz w:val="24"/>
          <w:szCs w:val="24"/>
        </w:rPr>
        <w:t>.</w:t>
      </w:r>
    </w:p>
    <w:p w14:paraId="454AE6E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9. Continuous Improvement:</w:t>
      </w:r>
    </w:p>
    <w:p w14:paraId="4D84D54B" w14:textId="51120AE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Feedback and Adaptation:</w:t>
      </w:r>
      <w:r w:rsidR="00981A16">
        <w:rPr>
          <w:rFonts w:ascii="Arial" w:eastAsia="Aptos" w:hAnsi="Arial" w:cs="Arial"/>
          <w:sz w:val="24"/>
          <w:szCs w:val="24"/>
        </w:rPr>
        <w:t xml:space="preserve"> </w:t>
      </w:r>
      <w:r w:rsidRPr="00F5543D">
        <w:rPr>
          <w:rFonts w:ascii="Arial" w:eastAsia="Aptos" w:hAnsi="Arial" w:cs="Arial"/>
          <w:sz w:val="24"/>
          <w:szCs w:val="24"/>
        </w:rPr>
        <w:t>Use feedback from the certification process to make necessary adjustments and improvements</w:t>
      </w:r>
      <w:r w:rsidR="00966F83">
        <w:rPr>
          <w:rFonts w:ascii="Arial" w:eastAsia="Aptos" w:hAnsi="Arial" w:cs="Arial"/>
          <w:sz w:val="24"/>
          <w:szCs w:val="24"/>
        </w:rPr>
        <w:t xml:space="preserve"> (Fennell, 2020)</w:t>
      </w:r>
      <w:r w:rsidRPr="00F5543D">
        <w:rPr>
          <w:rFonts w:ascii="Arial" w:eastAsia="Aptos" w:hAnsi="Arial" w:cs="Arial"/>
          <w:sz w:val="24"/>
          <w:szCs w:val="24"/>
        </w:rPr>
        <w:t>. Stay updated with evolving sustainability standards and best practices.</w:t>
      </w:r>
    </w:p>
    <w:p w14:paraId="631F4F20" w14:textId="206946C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Ongoing Commitment:</w:t>
      </w:r>
      <w:r w:rsidR="00981A16">
        <w:rPr>
          <w:rFonts w:ascii="Arial" w:eastAsia="Aptos" w:hAnsi="Arial" w:cs="Arial"/>
          <w:sz w:val="24"/>
          <w:szCs w:val="24"/>
        </w:rPr>
        <w:t xml:space="preserve"> </w:t>
      </w:r>
      <w:r w:rsidRPr="00F5543D">
        <w:rPr>
          <w:rFonts w:ascii="Arial" w:eastAsia="Aptos" w:hAnsi="Arial" w:cs="Arial"/>
          <w:sz w:val="24"/>
          <w:szCs w:val="24"/>
        </w:rPr>
        <w:t>Foster a culture of continuous improvement in sustainability. Regularly update goals and strategies to enhance environmental performance.</w:t>
      </w:r>
    </w:p>
    <w:p w14:paraId="432B5791" w14:textId="77777777" w:rsidR="00F5543D" w:rsidRPr="00F5543D" w:rsidRDefault="00F5543D" w:rsidP="00F5543D">
      <w:pPr>
        <w:spacing w:line="360" w:lineRule="auto"/>
        <w:jc w:val="both"/>
        <w:rPr>
          <w:rFonts w:ascii="Arial" w:eastAsia="Aptos" w:hAnsi="Arial" w:cs="Arial"/>
          <w:sz w:val="24"/>
          <w:szCs w:val="24"/>
        </w:rPr>
      </w:pPr>
    </w:p>
    <w:p w14:paraId="70CB2074" w14:textId="77777777"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Conclusion</w:t>
      </w:r>
    </w:p>
    <w:p w14:paraId="3BA8E69F" w14:textId="4EA696D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Achieving an eco-certified label like the Green Key certification involves more than implementing green practices; it requires a structured approach and commitment at all levels of the organization</w:t>
      </w:r>
      <w:r w:rsidR="00371D98">
        <w:rPr>
          <w:rFonts w:ascii="Arial" w:eastAsia="Aptos" w:hAnsi="Arial" w:cs="Arial"/>
          <w:sz w:val="24"/>
          <w:szCs w:val="24"/>
        </w:rPr>
        <w:t xml:space="preserve"> (Walker, 2014)</w:t>
      </w:r>
      <w:r w:rsidRPr="00F5543D">
        <w:rPr>
          <w:rFonts w:ascii="Arial" w:eastAsia="Aptos" w:hAnsi="Arial" w:cs="Arial"/>
          <w:sz w:val="24"/>
          <w:szCs w:val="24"/>
        </w:rPr>
        <w:t>. By conducting thorough assessments, setting clear goals, engaging stakeholders, implementing sustainable practices, and continuously monitoring and improving, hotels can successfully achieve and maintain eco-certification. This comprehensive approach not only ensures compliance with certification criteria but also promotes long-term sustainability and operational efficiency, ultimately benefiting the environment, the business, and the community.</w:t>
      </w:r>
    </w:p>
    <w:p w14:paraId="59A42B91" w14:textId="720BA4F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Embracing sustainability in the hospitality industry goes beyond environmental conservation—it also drives innovation and enhances guest experience. Implementing green practices encourages the adoption of cutting-edge technologies, such as smart energy management systems and eco-friendly construction materials, fostering a culture of continuous improvement and technological advancement</w:t>
      </w:r>
      <w:r w:rsidR="00371D98">
        <w:rPr>
          <w:rFonts w:ascii="Arial" w:eastAsia="Aptos" w:hAnsi="Arial" w:cs="Arial"/>
          <w:sz w:val="24"/>
          <w:szCs w:val="24"/>
        </w:rPr>
        <w:t xml:space="preserve"> (Paskins, 2021)</w:t>
      </w:r>
      <w:r w:rsidRPr="00F5543D">
        <w:rPr>
          <w:rFonts w:ascii="Arial" w:eastAsia="Aptos" w:hAnsi="Arial" w:cs="Arial"/>
          <w:sz w:val="24"/>
          <w:szCs w:val="24"/>
        </w:rPr>
        <w:t>. Furthermore, sustainable initiatives can differentiate a hotel in a crowded market</w:t>
      </w:r>
      <w:r w:rsidR="00417CB7">
        <w:rPr>
          <w:rFonts w:ascii="Arial" w:eastAsia="Aptos" w:hAnsi="Arial" w:cs="Arial"/>
          <w:sz w:val="24"/>
          <w:szCs w:val="24"/>
        </w:rPr>
        <w:t xml:space="preserve"> (Bramwell, 2017)</w:t>
      </w:r>
      <w:r w:rsidRPr="00F5543D">
        <w:rPr>
          <w:rFonts w:ascii="Arial" w:eastAsia="Aptos" w:hAnsi="Arial" w:cs="Arial"/>
          <w:sz w:val="24"/>
          <w:szCs w:val="24"/>
        </w:rPr>
        <w:t>, attracting a growing segment of eco-conscious travellers who seek responsible and authentic experiences. By prioritizing sustainability, hotels not only reduce their environmental footprint but also create a unique value proposition that resonates with modern consumers. This proactive approach positions hotels as leaders in the industry, setting a standard for others to follow and contributing to a more sustainable and resilient future for the hospitality sector and the planet.</w:t>
      </w:r>
    </w:p>
    <w:p w14:paraId="0A28304C" w14:textId="77777777" w:rsidR="00F5543D" w:rsidRDefault="00F5543D" w:rsidP="00F5543D">
      <w:pPr>
        <w:spacing w:line="360" w:lineRule="auto"/>
        <w:jc w:val="both"/>
        <w:rPr>
          <w:rFonts w:ascii="Arial" w:eastAsia="Aptos" w:hAnsi="Arial" w:cs="Arial"/>
          <w:sz w:val="24"/>
          <w:szCs w:val="24"/>
        </w:rPr>
      </w:pPr>
    </w:p>
    <w:p w14:paraId="43E3AA12" w14:textId="77777777" w:rsidR="00981A16" w:rsidRDefault="00981A16" w:rsidP="00F5543D">
      <w:pPr>
        <w:spacing w:line="360" w:lineRule="auto"/>
        <w:jc w:val="both"/>
        <w:rPr>
          <w:rFonts w:ascii="Arial" w:eastAsia="Aptos" w:hAnsi="Arial" w:cs="Arial"/>
          <w:sz w:val="24"/>
          <w:szCs w:val="24"/>
        </w:rPr>
      </w:pPr>
    </w:p>
    <w:p w14:paraId="77CE7C45" w14:textId="77777777" w:rsidR="00981A16" w:rsidRDefault="00981A16" w:rsidP="00F5543D">
      <w:pPr>
        <w:spacing w:line="360" w:lineRule="auto"/>
        <w:jc w:val="both"/>
        <w:rPr>
          <w:rFonts w:ascii="Arial" w:eastAsia="Aptos" w:hAnsi="Arial" w:cs="Arial"/>
          <w:sz w:val="24"/>
          <w:szCs w:val="24"/>
        </w:rPr>
      </w:pPr>
    </w:p>
    <w:p w14:paraId="7F07BD8A" w14:textId="77777777" w:rsidR="00FA64C8" w:rsidRDefault="00FA64C8" w:rsidP="00F5543D">
      <w:pPr>
        <w:spacing w:line="360" w:lineRule="auto"/>
        <w:jc w:val="both"/>
        <w:rPr>
          <w:rFonts w:ascii="Arial" w:eastAsia="Aptos" w:hAnsi="Arial" w:cs="Arial"/>
          <w:sz w:val="24"/>
          <w:szCs w:val="24"/>
        </w:rPr>
      </w:pPr>
    </w:p>
    <w:p w14:paraId="5C0EF6DE" w14:textId="77777777" w:rsidR="00FA64C8" w:rsidRDefault="00FA64C8" w:rsidP="00F5543D">
      <w:pPr>
        <w:spacing w:line="360" w:lineRule="auto"/>
        <w:jc w:val="both"/>
        <w:rPr>
          <w:rFonts w:ascii="Arial" w:eastAsia="Aptos" w:hAnsi="Arial" w:cs="Arial"/>
          <w:sz w:val="24"/>
          <w:szCs w:val="24"/>
        </w:rPr>
      </w:pPr>
    </w:p>
    <w:p w14:paraId="3160F132" w14:textId="77777777" w:rsidR="00FA64C8" w:rsidRPr="00F5543D" w:rsidRDefault="00FA64C8" w:rsidP="00F5543D">
      <w:pPr>
        <w:spacing w:line="360" w:lineRule="auto"/>
        <w:jc w:val="both"/>
        <w:rPr>
          <w:rFonts w:ascii="Arial" w:eastAsia="Aptos" w:hAnsi="Arial" w:cs="Arial"/>
          <w:sz w:val="24"/>
          <w:szCs w:val="24"/>
        </w:rPr>
      </w:pPr>
    </w:p>
    <w:p w14:paraId="42D18630" w14:textId="279D7BE2"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lastRenderedPageBreak/>
        <w:t xml:space="preserve">References </w:t>
      </w:r>
    </w:p>
    <w:p w14:paraId="7B15AA3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Akeel, A. A., et al. (2022). ‘Hotel green implementation for future’. </w:t>
      </w:r>
      <w:r w:rsidRPr="00F5543D">
        <w:rPr>
          <w:rFonts w:ascii="Arial" w:eastAsia="Aptos" w:hAnsi="Arial" w:cs="Arial"/>
          <w:i/>
          <w:iCs/>
          <w:sz w:val="24"/>
          <w:szCs w:val="24"/>
        </w:rPr>
        <w:t>International Journal Of Engineering And Management Research,</w:t>
      </w:r>
      <w:r w:rsidRPr="00F5543D">
        <w:rPr>
          <w:rFonts w:ascii="Arial" w:eastAsia="Aptos" w:hAnsi="Arial" w:cs="Arial"/>
          <w:sz w:val="24"/>
          <w:szCs w:val="24"/>
        </w:rPr>
        <w:t xml:space="preserve"> 12(5), 11-26.</w:t>
      </w:r>
    </w:p>
    <w:p w14:paraId="092FE47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Batabyal, D. (ed.) (2018) </w:t>
      </w:r>
      <w:r w:rsidRPr="00F5543D">
        <w:rPr>
          <w:rFonts w:ascii="Arial" w:eastAsia="Aptos" w:hAnsi="Arial" w:cs="Arial"/>
          <w:i/>
          <w:iCs/>
          <w:sz w:val="24"/>
          <w:szCs w:val="24"/>
        </w:rPr>
        <w:t>Managing sustainable tourism resources</w:t>
      </w:r>
      <w:r w:rsidRPr="00F5543D">
        <w:rPr>
          <w:rFonts w:ascii="Arial" w:eastAsia="Aptos" w:hAnsi="Arial" w:cs="Arial"/>
          <w:sz w:val="24"/>
          <w:szCs w:val="24"/>
        </w:rPr>
        <w:t>. Hershey, Pennsylvania: IGI Global, Business Science Reference</w:t>
      </w:r>
    </w:p>
    <w:p w14:paraId="0D5C4CA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Bramwell, B. et al. (2017) ‘Twenty-five years of sustainable tourism and the Journal of Sustainable Tourism: looking back and moving forward’, </w:t>
      </w:r>
      <w:r w:rsidRPr="00F5543D">
        <w:rPr>
          <w:rFonts w:ascii="Arial" w:eastAsia="Aptos" w:hAnsi="Arial" w:cs="Arial"/>
          <w:i/>
          <w:iCs/>
          <w:sz w:val="24"/>
          <w:szCs w:val="24"/>
        </w:rPr>
        <w:t>Journal of sustainable tourism</w:t>
      </w:r>
      <w:r w:rsidRPr="00F5543D">
        <w:rPr>
          <w:rFonts w:ascii="Arial" w:eastAsia="Aptos" w:hAnsi="Arial" w:cs="Arial"/>
          <w:sz w:val="24"/>
          <w:szCs w:val="24"/>
        </w:rPr>
        <w:t>, 25(1), pp. 1–9.</w:t>
      </w:r>
    </w:p>
    <w:p w14:paraId="28F6391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Buckley, R. (2012) ‘Sustainable tourism: Research and reality’, </w:t>
      </w:r>
      <w:r w:rsidRPr="00F5543D">
        <w:rPr>
          <w:rFonts w:ascii="Arial" w:eastAsia="Aptos" w:hAnsi="Arial" w:cs="Arial"/>
          <w:i/>
          <w:iCs/>
          <w:sz w:val="24"/>
          <w:szCs w:val="24"/>
        </w:rPr>
        <w:t>Annals of tourism research</w:t>
      </w:r>
      <w:r w:rsidRPr="00F5543D">
        <w:rPr>
          <w:rFonts w:ascii="Arial" w:eastAsia="Aptos" w:hAnsi="Arial" w:cs="Arial"/>
          <w:sz w:val="24"/>
          <w:szCs w:val="24"/>
        </w:rPr>
        <w:t>, 39(2), pp. 528–546</w:t>
      </w:r>
    </w:p>
    <w:p w14:paraId="08F973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Cembruch-Nowakowski, M. (2020). ‘Labels and Certificates for Green Hotels’. </w:t>
      </w:r>
      <w:r w:rsidRPr="00F5543D">
        <w:rPr>
          <w:rFonts w:ascii="Arial" w:eastAsia="Aptos" w:hAnsi="Arial" w:cs="Arial"/>
          <w:i/>
          <w:iCs/>
          <w:sz w:val="24"/>
          <w:szCs w:val="24"/>
        </w:rPr>
        <w:t>Rocznik Ochrona Środowiska,</w:t>
      </w:r>
      <w:r w:rsidRPr="00F5543D">
        <w:rPr>
          <w:rFonts w:ascii="Arial" w:eastAsia="Aptos" w:hAnsi="Arial" w:cs="Arial"/>
          <w:sz w:val="24"/>
          <w:szCs w:val="24"/>
        </w:rPr>
        <w:t xml:space="preserve"> 22.</w:t>
      </w:r>
    </w:p>
    <w:p w14:paraId="64CC67B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Cooper, C. (2022) </w:t>
      </w:r>
      <w:r w:rsidRPr="00F5543D">
        <w:rPr>
          <w:rFonts w:ascii="Arial" w:eastAsia="Aptos" w:hAnsi="Arial" w:cs="Arial"/>
          <w:i/>
          <w:iCs/>
          <w:sz w:val="24"/>
          <w:szCs w:val="24"/>
        </w:rPr>
        <w:t>Essentials of tourism</w:t>
      </w:r>
      <w:r w:rsidRPr="00F5543D">
        <w:rPr>
          <w:rFonts w:ascii="Arial" w:eastAsia="Aptos" w:hAnsi="Arial" w:cs="Arial"/>
          <w:sz w:val="24"/>
          <w:szCs w:val="24"/>
        </w:rPr>
        <w:t>. Fourth edition. Los Angeles: SAGE.</w:t>
      </w:r>
    </w:p>
    <w:p w14:paraId="10B4C88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Dixit, S.K. (2020) </w:t>
      </w:r>
      <w:r w:rsidRPr="00F5543D">
        <w:rPr>
          <w:rFonts w:ascii="Arial" w:eastAsia="Aptos" w:hAnsi="Arial" w:cs="Arial"/>
          <w:i/>
          <w:iCs/>
          <w:sz w:val="24"/>
          <w:szCs w:val="24"/>
        </w:rPr>
        <w:t>The Routledge handbook of tourism experience management and marketing.</w:t>
      </w:r>
      <w:r w:rsidRPr="00F5543D">
        <w:rPr>
          <w:rFonts w:ascii="Arial" w:eastAsia="Aptos" w:hAnsi="Arial" w:cs="Arial"/>
          <w:sz w:val="24"/>
          <w:szCs w:val="24"/>
        </w:rPr>
        <w:t xml:space="preserve"> London: Routledge.</w:t>
      </w:r>
    </w:p>
    <w:p w14:paraId="027CC699"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Dodds, R., &amp; Holmes, M. (2016). ‘Is there a Benefit from being Green’. </w:t>
      </w:r>
      <w:r w:rsidRPr="00F5543D">
        <w:rPr>
          <w:rFonts w:ascii="Arial" w:eastAsia="Aptos" w:hAnsi="Arial" w:cs="Arial"/>
          <w:i/>
          <w:iCs/>
          <w:sz w:val="24"/>
          <w:szCs w:val="24"/>
        </w:rPr>
        <w:t>Assessing Benefits from Marketing Sustainability by North American Hotels. J Hotel Bus Manage</w:t>
      </w:r>
      <w:r w:rsidRPr="00F5543D">
        <w:rPr>
          <w:rFonts w:ascii="Arial" w:eastAsia="Aptos" w:hAnsi="Arial" w:cs="Arial"/>
          <w:sz w:val="24"/>
          <w:szCs w:val="24"/>
        </w:rPr>
        <w:t>, 5(145), 2169-0286.</w:t>
      </w:r>
    </w:p>
    <w:p w14:paraId="07DB84D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Edgell, D.L. (2020) </w:t>
      </w:r>
      <w:r w:rsidRPr="00F5543D">
        <w:rPr>
          <w:rFonts w:ascii="Arial" w:eastAsia="Aptos" w:hAnsi="Arial" w:cs="Arial"/>
          <w:i/>
          <w:iCs/>
          <w:sz w:val="24"/>
          <w:szCs w:val="24"/>
        </w:rPr>
        <w:t>Managing sustainable tourism : a legacy for the future</w:t>
      </w:r>
      <w:r w:rsidRPr="00F5543D">
        <w:rPr>
          <w:rFonts w:ascii="Arial" w:eastAsia="Aptos" w:hAnsi="Arial" w:cs="Arial"/>
          <w:sz w:val="24"/>
          <w:szCs w:val="24"/>
        </w:rPr>
        <w:t>. Third edition. New York: Routledge.</w:t>
      </w:r>
    </w:p>
    <w:p w14:paraId="0B8515B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Fennell, D.A. and Cooper, C. (2020) </w:t>
      </w:r>
      <w:r w:rsidRPr="00F5543D">
        <w:rPr>
          <w:rFonts w:ascii="Arial" w:eastAsia="Aptos" w:hAnsi="Arial" w:cs="Arial"/>
          <w:i/>
          <w:iCs/>
          <w:sz w:val="24"/>
          <w:szCs w:val="24"/>
        </w:rPr>
        <w:t>Sustainable tourism : principles, contexts and practices.</w:t>
      </w:r>
      <w:r w:rsidRPr="00F5543D">
        <w:rPr>
          <w:rFonts w:ascii="Arial" w:eastAsia="Aptos" w:hAnsi="Arial" w:cs="Arial"/>
          <w:sz w:val="24"/>
          <w:szCs w:val="24"/>
        </w:rPr>
        <w:t xml:space="preserve"> Bristol ; Channel View Publications.</w:t>
      </w:r>
    </w:p>
    <w:p w14:paraId="0B9EC88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Fukey, L. N., &amp; Issac, S. S. (2014). ‘Connect among green, sustainability and hotel industry: a prospective simulation study’. </w:t>
      </w:r>
      <w:r w:rsidRPr="00F5543D">
        <w:rPr>
          <w:rFonts w:ascii="Arial" w:eastAsia="Aptos" w:hAnsi="Arial" w:cs="Arial"/>
          <w:i/>
          <w:iCs/>
          <w:sz w:val="24"/>
          <w:szCs w:val="24"/>
        </w:rPr>
        <w:t>Energy conservation</w:t>
      </w:r>
      <w:r w:rsidRPr="00F5543D">
        <w:rPr>
          <w:rFonts w:ascii="Arial" w:eastAsia="Aptos" w:hAnsi="Arial" w:cs="Arial"/>
          <w:sz w:val="24"/>
          <w:szCs w:val="24"/>
        </w:rPr>
        <w:t>, 6(8).</w:t>
      </w:r>
    </w:p>
    <w:p w14:paraId="657F3FA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Hall, C.M. (2019) ‘Constructing sustainable tourism development: The 2030 agenda and the managerial ecology of sustainable tourism’, </w:t>
      </w:r>
      <w:r w:rsidRPr="00F5543D">
        <w:rPr>
          <w:rFonts w:ascii="Arial" w:eastAsia="Aptos" w:hAnsi="Arial" w:cs="Arial"/>
          <w:i/>
          <w:iCs/>
          <w:sz w:val="24"/>
          <w:szCs w:val="24"/>
        </w:rPr>
        <w:t>Journal of sustainable tourism</w:t>
      </w:r>
      <w:r w:rsidRPr="00F5543D">
        <w:rPr>
          <w:rFonts w:ascii="Arial" w:eastAsia="Aptos" w:hAnsi="Arial" w:cs="Arial"/>
          <w:sz w:val="24"/>
          <w:szCs w:val="24"/>
        </w:rPr>
        <w:t>, 27(7), pp. 1044–1060.</w:t>
      </w:r>
    </w:p>
    <w:p w14:paraId="5DB8E7F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Ilina, E. L., Miloradov, K. A., &amp; Kovaltchuk, A. P. (2019). ‘“Green Hotel”: Concepts and Implementation’. </w:t>
      </w:r>
      <w:r w:rsidRPr="00F5543D">
        <w:rPr>
          <w:rFonts w:ascii="Arial" w:eastAsia="Aptos" w:hAnsi="Arial" w:cs="Arial"/>
          <w:i/>
          <w:iCs/>
          <w:sz w:val="24"/>
          <w:szCs w:val="24"/>
        </w:rPr>
        <w:t>Journal of Environmental Management and Tourism</w:t>
      </w:r>
      <w:r w:rsidRPr="00F5543D">
        <w:rPr>
          <w:rFonts w:ascii="Arial" w:eastAsia="Aptos" w:hAnsi="Arial" w:cs="Arial"/>
          <w:sz w:val="24"/>
          <w:szCs w:val="24"/>
        </w:rPr>
        <w:t>, 10(2), 300-306.</w:t>
      </w:r>
    </w:p>
    <w:p w14:paraId="19A782D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 xml:space="preserve">Inkson, C. and Minnaert, L. (2022) </w:t>
      </w:r>
      <w:r w:rsidRPr="00F5543D">
        <w:rPr>
          <w:rFonts w:ascii="Arial" w:eastAsia="Aptos" w:hAnsi="Arial" w:cs="Arial"/>
          <w:i/>
          <w:iCs/>
          <w:sz w:val="24"/>
          <w:szCs w:val="24"/>
        </w:rPr>
        <w:t>Tourism management : an introduction.</w:t>
      </w:r>
      <w:r w:rsidRPr="00F5543D">
        <w:rPr>
          <w:rFonts w:ascii="Arial" w:eastAsia="Aptos" w:hAnsi="Arial" w:cs="Arial"/>
          <w:sz w:val="24"/>
          <w:szCs w:val="24"/>
        </w:rPr>
        <w:t xml:space="preserve"> 3rd edition. London: SAGE.</w:t>
      </w:r>
    </w:p>
    <w:p w14:paraId="4A52331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Kahn, M.E. and Liu, P. (Peng) (2016) ‘Utilizing “Big Data” to Improve the Hotel Sector’s Energy Efficiency: Lessons from Recent Economics Research’, </w:t>
      </w:r>
      <w:r w:rsidRPr="00F5543D">
        <w:rPr>
          <w:rFonts w:ascii="Arial" w:eastAsia="Aptos" w:hAnsi="Arial" w:cs="Arial"/>
          <w:i/>
          <w:iCs/>
          <w:sz w:val="24"/>
          <w:szCs w:val="24"/>
        </w:rPr>
        <w:t>Cornell hospitality quarterly,</w:t>
      </w:r>
      <w:r w:rsidRPr="00F5543D">
        <w:rPr>
          <w:rFonts w:ascii="Arial" w:eastAsia="Aptos" w:hAnsi="Arial" w:cs="Arial"/>
          <w:sz w:val="24"/>
          <w:szCs w:val="24"/>
        </w:rPr>
        <w:t xml:space="preserve"> 57(2), pp. 202–210.</w:t>
      </w:r>
    </w:p>
    <w:p w14:paraId="4E7FB94C"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Korstanje, M.E. (2020) </w:t>
      </w:r>
      <w:r w:rsidRPr="00F5543D">
        <w:rPr>
          <w:rFonts w:ascii="Arial" w:eastAsia="Aptos" w:hAnsi="Arial" w:cs="Arial"/>
          <w:i/>
          <w:iCs/>
          <w:sz w:val="24"/>
          <w:szCs w:val="24"/>
        </w:rPr>
        <w:t>Strategies for promoting sustainable hospitality and tourism services</w:t>
      </w:r>
      <w:r w:rsidRPr="00F5543D">
        <w:rPr>
          <w:rFonts w:ascii="Arial" w:eastAsia="Aptos" w:hAnsi="Arial" w:cs="Arial"/>
          <w:sz w:val="24"/>
          <w:szCs w:val="24"/>
        </w:rPr>
        <w:t>. Edited by M.E. Korstanje, B.P. George, and A. Nedelea. Hershey, PA: IGI Global.</w:t>
      </w:r>
    </w:p>
    <w:p w14:paraId="14F489A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Kuo, F. I., Fang, W. T., &amp; LePage, B. A. (2022). ‘Proactive environmental strategies in the hotel industry: Eco-innovation, green competitive advantage, and green core competence’</w:t>
      </w:r>
      <w:r w:rsidRPr="00F5543D">
        <w:rPr>
          <w:rFonts w:ascii="Arial" w:eastAsia="Aptos" w:hAnsi="Arial" w:cs="Arial"/>
          <w:i/>
          <w:iCs/>
          <w:sz w:val="24"/>
          <w:szCs w:val="24"/>
        </w:rPr>
        <w:t>. Journal of Sustainable Tourism</w:t>
      </w:r>
      <w:r w:rsidRPr="00F5543D">
        <w:rPr>
          <w:rFonts w:ascii="Arial" w:eastAsia="Aptos" w:hAnsi="Arial" w:cs="Arial"/>
          <w:sz w:val="24"/>
          <w:szCs w:val="24"/>
        </w:rPr>
        <w:t>, 30(6), 1240-1261.</w:t>
      </w:r>
    </w:p>
    <w:p w14:paraId="04528F5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Merli, R., Preziosi, M., Acampora, A., &amp; Ali, F. (2019). ’Why should hotels go green? Insights from guests experience in green hotels’</w:t>
      </w:r>
      <w:r w:rsidRPr="00F5543D">
        <w:rPr>
          <w:rFonts w:ascii="Arial" w:eastAsia="Aptos" w:hAnsi="Arial" w:cs="Arial"/>
          <w:i/>
          <w:iCs/>
          <w:sz w:val="24"/>
          <w:szCs w:val="24"/>
        </w:rPr>
        <w:t>. International Journal of Hospitality Management,</w:t>
      </w:r>
      <w:r w:rsidRPr="00F5543D">
        <w:rPr>
          <w:rFonts w:ascii="Arial" w:eastAsia="Aptos" w:hAnsi="Arial" w:cs="Arial"/>
          <w:sz w:val="24"/>
          <w:szCs w:val="24"/>
        </w:rPr>
        <w:t xml:space="preserve"> 81, 169-179.</w:t>
      </w:r>
    </w:p>
    <w:p w14:paraId="6E528A4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Nistor, C. and Herman, R. (2020) ‘Sustainable tourism as an essential factor of economic growth and local development in the sustainable economy’, </w:t>
      </w:r>
      <w:r w:rsidRPr="00F5543D">
        <w:rPr>
          <w:rFonts w:ascii="Arial" w:eastAsia="Aptos" w:hAnsi="Arial" w:cs="Arial"/>
          <w:i/>
          <w:iCs/>
          <w:sz w:val="24"/>
          <w:szCs w:val="24"/>
        </w:rPr>
        <w:t>Manager (Bucureşti)</w:t>
      </w:r>
      <w:r w:rsidRPr="00F5543D">
        <w:rPr>
          <w:rFonts w:ascii="Arial" w:eastAsia="Aptos" w:hAnsi="Arial" w:cs="Arial"/>
          <w:sz w:val="24"/>
          <w:szCs w:val="24"/>
        </w:rPr>
        <w:t>, (32), pp. 60–77.</w:t>
      </w:r>
    </w:p>
    <w:p w14:paraId="6F8F6EB4" w14:textId="77777777" w:rsidR="00F5543D" w:rsidRPr="00F5543D" w:rsidRDefault="00F5543D" w:rsidP="00F5543D">
      <w:pPr>
        <w:spacing w:line="360" w:lineRule="auto"/>
        <w:jc w:val="both"/>
        <w:rPr>
          <w:rFonts w:ascii="Arial" w:eastAsia="Aptos" w:hAnsi="Arial" w:cs="Arial"/>
          <w:i/>
          <w:iCs/>
          <w:sz w:val="24"/>
          <w:szCs w:val="24"/>
        </w:rPr>
      </w:pPr>
      <w:r w:rsidRPr="00F5543D">
        <w:rPr>
          <w:rFonts w:ascii="Arial" w:eastAsia="Aptos" w:hAnsi="Arial" w:cs="Arial"/>
          <w:sz w:val="24"/>
          <w:szCs w:val="24"/>
        </w:rPr>
        <w:t>Paskins, P., Pennington, A. and Macaninch, D.F. (2021)</w:t>
      </w:r>
      <w:r w:rsidRPr="00F5543D">
        <w:rPr>
          <w:rFonts w:ascii="Arial" w:eastAsia="Aptos" w:hAnsi="Arial" w:cs="Arial"/>
          <w:i/>
          <w:iCs/>
          <w:sz w:val="24"/>
          <w:szCs w:val="24"/>
        </w:rPr>
        <w:t xml:space="preserve"> The Theory of Hospitality and Catering, </w:t>
      </w:r>
      <w:r w:rsidRPr="00F5543D">
        <w:rPr>
          <w:rFonts w:ascii="Arial" w:eastAsia="Aptos" w:hAnsi="Arial" w:cs="Arial"/>
          <w:sz w:val="24"/>
          <w:szCs w:val="24"/>
        </w:rPr>
        <w:t>14th Edition. London: Hodder Education Group.</w:t>
      </w:r>
    </w:p>
    <w:p w14:paraId="6C96D01F" w14:textId="0A421C99" w:rsidR="00F5543D" w:rsidRPr="00F5543D" w:rsidRDefault="00F5543D" w:rsidP="00F5543D">
      <w:pPr>
        <w:spacing w:line="360" w:lineRule="auto"/>
        <w:jc w:val="both"/>
        <w:rPr>
          <w:rFonts w:ascii="Arial" w:eastAsia="Aptos" w:hAnsi="Arial" w:cs="Arial"/>
          <w:sz w:val="24"/>
          <w:szCs w:val="24"/>
        </w:rPr>
      </w:pPr>
      <w:r>
        <w:rPr>
          <w:rFonts w:ascii="Arial" w:eastAsia="Aptos" w:hAnsi="Arial" w:cs="Arial"/>
          <w:i/>
          <w:iCs/>
          <w:sz w:val="24"/>
          <w:szCs w:val="24"/>
        </w:rPr>
        <w:t>‘</w:t>
      </w:r>
      <w:r w:rsidRPr="00F5543D">
        <w:rPr>
          <w:rFonts w:ascii="Arial" w:eastAsia="Aptos" w:hAnsi="Arial" w:cs="Arial"/>
          <w:i/>
          <w:iCs/>
          <w:sz w:val="24"/>
          <w:szCs w:val="24"/>
        </w:rPr>
        <w:t>Research anthology on clean energy management and solutions</w:t>
      </w:r>
      <w:r>
        <w:rPr>
          <w:rFonts w:ascii="Arial" w:eastAsia="Aptos" w:hAnsi="Arial" w:cs="Arial"/>
          <w:i/>
          <w:iCs/>
          <w:sz w:val="24"/>
          <w:szCs w:val="24"/>
        </w:rPr>
        <w:t>’</w:t>
      </w:r>
      <w:r w:rsidRPr="00F5543D">
        <w:rPr>
          <w:rFonts w:ascii="Arial" w:eastAsia="Aptos" w:hAnsi="Arial" w:cs="Arial"/>
          <w:sz w:val="24"/>
          <w:szCs w:val="24"/>
        </w:rPr>
        <w:t xml:space="preserve"> (2021). Hershey,</w:t>
      </w:r>
    </w:p>
    <w:p w14:paraId="70BB224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Sloan, P., Legrand, W. and Chen, J.S. (2009) </w:t>
      </w:r>
      <w:r w:rsidRPr="00F5543D">
        <w:rPr>
          <w:rFonts w:ascii="Arial" w:eastAsia="Aptos" w:hAnsi="Arial" w:cs="Arial"/>
          <w:i/>
          <w:iCs/>
          <w:sz w:val="24"/>
          <w:szCs w:val="24"/>
        </w:rPr>
        <w:t>Sustainability in the hospitality industry : principles of sustainable operations</w:t>
      </w:r>
      <w:r w:rsidRPr="00F5543D">
        <w:rPr>
          <w:rFonts w:ascii="Arial" w:eastAsia="Aptos" w:hAnsi="Arial" w:cs="Arial"/>
          <w:sz w:val="24"/>
          <w:szCs w:val="24"/>
        </w:rPr>
        <w:t>. London: Butterworth-Heinemann.</w:t>
      </w:r>
    </w:p>
    <w:p w14:paraId="561F091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i/>
          <w:iCs/>
          <w:sz w:val="24"/>
          <w:szCs w:val="24"/>
        </w:rPr>
        <w:t xml:space="preserve">Sustainable tourism : breakthroughs in research and practice </w:t>
      </w:r>
      <w:r w:rsidRPr="00F5543D">
        <w:rPr>
          <w:rFonts w:ascii="Arial" w:eastAsia="Aptos" w:hAnsi="Arial" w:cs="Arial"/>
          <w:sz w:val="24"/>
          <w:szCs w:val="24"/>
        </w:rPr>
        <w:t>(2019). Hershey, Pennsylvania: Business Science Reference, an imprint of IGI Global.</w:t>
      </w:r>
    </w:p>
    <w:p w14:paraId="7FAC5E3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Walker, J.R. and Walker, J.T. (2014) </w:t>
      </w:r>
      <w:r w:rsidRPr="00F5543D">
        <w:rPr>
          <w:rFonts w:ascii="Arial" w:eastAsia="Aptos" w:hAnsi="Arial" w:cs="Arial"/>
          <w:i/>
          <w:iCs/>
          <w:sz w:val="24"/>
          <w:szCs w:val="24"/>
        </w:rPr>
        <w:t>Introduction to hospitality management.</w:t>
      </w:r>
      <w:r w:rsidRPr="00F5543D">
        <w:rPr>
          <w:rFonts w:ascii="Arial" w:eastAsia="Aptos" w:hAnsi="Arial" w:cs="Arial"/>
          <w:sz w:val="24"/>
          <w:szCs w:val="24"/>
        </w:rPr>
        <w:t xml:space="preserve"> 4th edition. Harlow, Essex: Pearson.</w:t>
      </w:r>
    </w:p>
    <w:p w14:paraId="12A854C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Wood, R.C. (2015) </w:t>
      </w:r>
      <w:r w:rsidRPr="00F5543D">
        <w:rPr>
          <w:rFonts w:ascii="Arial" w:eastAsia="Aptos" w:hAnsi="Arial" w:cs="Arial"/>
          <w:i/>
          <w:iCs/>
          <w:sz w:val="24"/>
          <w:szCs w:val="24"/>
        </w:rPr>
        <w:t>Hospitality management : a brief introduction</w:t>
      </w:r>
      <w:r w:rsidRPr="00F5543D">
        <w:rPr>
          <w:rFonts w:ascii="Arial" w:eastAsia="Aptos" w:hAnsi="Arial" w:cs="Arial"/>
          <w:sz w:val="24"/>
          <w:szCs w:val="24"/>
        </w:rPr>
        <w:t>. London: SAGE.</w:t>
      </w:r>
    </w:p>
    <w:p w14:paraId="2D869DE4" w14:textId="77777777" w:rsidR="004C5CAF" w:rsidRDefault="004C5CAF" w:rsidP="0050578C">
      <w:pPr>
        <w:spacing w:line="360" w:lineRule="auto"/>
        <w:jc w:val="both"/>
        <w:rPr>
          <w:rFonts w:ascii="Arial" w:eastAsia="Calibri" w:hAnsi="Arial" w:cs="Arial"/>
          <w:kern w:val="0"/>
          <w:sz w:val="24"/>
          <w:szCs w:val="24"/>
          <w14:ligatures w14:val="none"/>
        </w:rPr>
      </w:pPr>
    </w:p>
    <w:sectPr w:rsidR="004C5CAF" w:rsidSect="0050578C">
      <w:footerReference w:type="default" r:id="rId7"/>
      <w:pgSz w:w="11906" w:h="16838"/>
      <w:pgMar w:top="1418" w:right="1134"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AE32D" w14:textId="77777777" w:rsidR="00B7458B" w:rsidRDefault="00B7458B" w:rsidP="00B7458B">
      <w:pPr>
        <w:spacing w:after="0" w:line="240" w:lineRule="auto"/>
      </w:pPr>
      <w:r>
        <w:separator/>
      </w:r>
    </w:p>
  </w:endnote>
  <w:endnote w:type="continuationSeparator" w:id="0">
    <w:p w14:paraId="0DDA0778" w14:textId="77777777" w:rsidR="00B7458B" w:rsidRDefault="00B7458B" w:rsidP="00B74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281938"/>
      <w:docPartObj>
        <w:docPartGallery w:val="Page Numbers (Bottom of Page)"/>
        <w:docPartUnique/>
      </w:docPartObj>
    </w:sdtPr>
    <w:sdtEndPr>
      <w:rPr>
        <w:noProof/>
      </w:rPr>
    </w:sdtEndPr>
    <w:sdtContent>
      <w:p w14:paraId="6AD7EB37" w14:textId="1E3CE151" w:rsidR="00B7458B" w:rsidRDefault="00B745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099A16" w14:textId="77777777" w:rsidR="00B7458B" w:rsidRDefault="00B74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B0ED72" w14:textId="77777777" w:rsidR="00B7458B" w:rsidRDefault="00B7458B" w:rsidP="00B7458B">
      <w:pPr>
        <w:spacing w:after="0" w:line="240" w:lineRule="auto"/>
      </w:pPr>
      <w:r>
        <w:separator/>
      </w:r>
    </w:p>
  </w:footnote>
  <w:footnote w:type="continuationSeparator" w:id="0">
    <w:p w14:paraId="6068AC13" w14:textId="77777777" w:rsidR="00B7458B" w:rsidRDefault="00B7458B" w:rsidP="00B745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9D11B6"/>
    <w:multiLevelType w:val="hybridMultilevel"/>
    <w:tmpl w:val="3FCE12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389720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78C"/>
    <w:rsid w:val="000172FF"/>
    <w:rsid w:val="00044873"/>
    <w:rsid w:val="000538ED"/>
    <w:rsid w:val="0006390E"/>
    <w:rsid w:val="000B2832"/>
    <w:rsid w:val="000C7CEB"/>
    <w:rsid w:val="000D773B"/>
    <w:rsid w:val="00142C2F"/>
    <w:rsid w:val="001455BC"/>
    <w:rsid w:val="00165F4D"/>
    <w:rsid w:val="00171CA5"/>
    <w:rsid w:val="001A4631"/>
    <w:rsid w:val="001A654F"/>
    <w:rsid w:val="001F384A"/>
    <w:rsid w:val="00210119"/>
    <w:rsid w:val="002202D9"/>
    <w:rsid w:val="00220995"/>
    <w:rsid w:val="00223C05"/>
    <w:rsid w:val="002557AA"/>
    <w:rsid w:val="002733C6"/>
    <w:rsid w:val="0028626C"/>
    <w:rsid w:val="002D3BC4"/>
    <w:rsid w:val="00312E2C"/>
    <w:rsid w:val="00336826"/>
    <w:rsid w:val="0036511F"/>
    <w:rsid w:val="00371D98"/>
    <w:rsid w:val="003768F1"/>
    <w:rsid w:val="00392920"/>
    <w:rsid w:val="003D43A9"/>
    <w:rsid w:val="003F06DB"/>
    <w:rsid w:val="00416A03"/>
    <w:rsid w:val="00417CB7"/>
    <w:rsid w:val="00436AD8"/>
    <w:rsid w:val="00465B7E"/>
    <w:rsid w:val="00490CD7"/>
    <w:rsid w:val="004B61E6"/>
    <w:rsid w:val="004C08A0"/>
    <w:rsid w:val="004C5CAF"/>
    <w:rsid w:val="004C6587"/>
    <w:rsid w:val="004D2B85"/>
    <w:rsid w:val="004D3512"/>
    <w:rsid w:val="004D42F1"/>
    <w:rsid w:val="004E7CB9"/>
    <w:rsid w:val="004F5F8A"/>
    <w:rsid w:val="0050578C"/>
    <w:rsid w:val="005064C3"/>
    <w:rsid w:val="00512262"/>
    <w:rsid w:val="00516B40"/>
    <w:rsid w:val="00565FF0"/>
    <w:rsid w:val="00574011"/>
    <w:rsid w:val="005775E9"/>
    <w:rsid w:val="00591BFC"/>
    <w:rsid w:val="005D0C3A"/>
    <w:rsid w:val="005E3BF2"/>
    <w:rsid w:val="005E52F2"/>
    <w:rsid w:val="005F274B"/>
    <w:rsid w:val="005F2A86"/>
    <w:rsid w:val="00600944"/>
    <w:rsid w:val="00604648"/>
    <w:rsid w:val="00622775"/>
    <w:rsid w:val="00634855"/>
    <w:rsid w:val="0063653F"/>
    <w:rsid w:val="006544C3"/>
    <w:rsid w:val="00690E86"/>
    <w:rsid w:val="006A0515"/>
    <w:rsid w:val="006C33D5"/>
    <w:rsid w:val="006C49CD"/>
    <w:rsid w:val="006C4DB7"/>
    <w:rsid w:val="006D1832"/>
    <w:rsid w:val="00700CE4"/>
    <w:rsid w:val="00734943"/>
    <w:rsid w:val="00744CED"/>
    <w:rsid w:val="00772A9E"/>
    <w:rsid w:val="00774C56"/>
    <w:rsid w:val="00780CAA"/>
    <w:rsid w:val="00784096"/>
    <w:rsid w:val="007906A5"/>
    <w:rsid w:val="00792625"/>
    <w:rsid w:val="007B45AA"/>
    <w:rsid w:val="007E19A7"/>
    <w:rsid w:val="007E3E1D"/>
    <w:rsid w:val="007F0406"/>
    <w:rsid w:val="0083300F"/>
    <w:rsid w:val="008369A0"/>
    <w:rsid w:val="00840BB5"/>
    <w:rsid w:val="00864644"/>
    <w:rsid w:val="00886E97"/>
    <w:rsid w:val="008A0A05"/>
    <w:rsid w:val="008A5630"/>
    <w:rsid w:val="008A583D"/>
    <w:rsid w:val="008C7C9B"/>
    <w:rsid w:val="008D0D08"/>
    <w:rsid w:val="008E1268"/>
    <w:rsid w:val="00906D48"/>
    <w:rsid w:val="00910016"/>
    <w:rsid w:val="009131C7"/>
    <w:rsid w:val="00957CA6"/>
    <w:rsid w:val="00962625"/>
    <w:rsid w:val="009656A1"/>
    <w:rsid w:val="00966F83"/>
    <w:rsid w:val="00981356"/>
    <w:rsid w:val="00981A16"/>
    <w:rsid w:val="009D123A"/>
    <w:rsid w:val="009E0C7D"/>
    <w:rsid w:val="00A1130E"/>
    <w:rsid w:val="00A14371"/>
    <w:rsid w:val="00A3096D"/>
    <w:rsid w:val="00A970A4"/>
    <w:rsid w:val="00AA52B0"/>
    <w:rsid w:val="00AC55CA"/>
    <w:rsid w:val="00AF2D1A"/>
    <w:rsid w:val="00B7458B"/>
    <w:rsid w:val="00BB4180"/>
    <w:rsid w:val="00BC04C3"/>
    <w:rsid w:val="00BE256D"/>
    <w:rsid w:val="00BE51A0"/>
    <w:rsid w:val="00C12A8A"/>
    <w:rsid w:val="00C36594"/>
    <w:rsid w:val="00C601CA"/>
    <w:rsid w:val="00CA056A"/>
    <w:rsid w:val="00CA1DAD"/>
    <w:rsid w:val="00CE137B"/>
    <w:rsid w:val="00D4180F"/>
    <w:rsid w:val="00D45DC9"/>
    <w:rsid w:val="00D63704"/>
    <w:rsid w:val="00D721B6"/>
    <w:rsid w:val="00D7457D"/>
    <w:rsid w:val="00D86860"/>
    <w:rsid w:val="00D94CD4"/>
    <w:rsid w:val="00DA6D3B"/>
    <w:rsid w:val="00DB4A21"/>
    <w:rsid w:val="00DD4F97"/>
    <w:rsid w:val="00E00FC5"/>
    <w:rsid w:val="00E03897"/>
    <w:rsid w:val="00E11F85"/>
    <w:rsid w:val="00E22845"/>
    <w:rsid w:val="00E27196"/>
    <w:rsid w:val="00E37D01"/>
    <w:rsid w:val="00E478DC"/>
    <w:rsid w:val="00E71B1C"/>
    <w:rsid w:val="00EA0A76"/>
    <w:rsid w:val="00EA7D6A"/>
    <w:rsid w:val="00EC2BE8"/>
    <w:rsid w:val="00EC40FA"/>
    <w:rsid w:val="00EE5472"/>
    <w:rsid w:val="00EE6CE8"/>
    <w:rsid w:val="00F0760A"/>
    <w:rsid w:val="00F5543D"/>
    <w:rsid w:val="00F675F1"/>
    <w:rsid w:val="00F76816"/>
    <w:rsid w:val="00FA214C"/>
    <w:rsid w:val="00FA64C8"/>
    <w:rsid w:val="00FB004C"/>
    <w:rsid w:val="00FC2537"/>
    <w:rsid w:val="00FC2A02"/>
    <w:rsid w:val="00FE19D1"/>
    <w:rsid w:val="00FF3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43F7"/>
  <w15:chartTrackingRefBased/>
  <w15:docId w15:val="{C09E3193-DC2E-45E3-A836-6DD7A5A69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78C"/>
    <w:rPr>
      <w:rFonts w:eastAsiaTheme="majorEastAsia" w:cstheme="majorBidi"/>
      <w:color w:val="272727" w:themeColor="text1" w:themeTint="D8"/>
    </w:rPr>
  </w:style>
  <w:style w:type="paragraph" w:styleId="Title">
    <w:name w:val="Title"/>
    <w:basedOn w:val="Normal"/>
    <w:next w:val="Normal"/>
    <w:link w:val="TitleChar"/>
    <w:uiPriority w:val="10"/>
    <w:qFormat/>
    <w:rsid w:val="00505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78C"/>
    <w:pPr>
      <w:spacing w:before="160"/>
      <w:jc w:val="center"/>
    </w:pPr>
    <w:rPr>
      <w:i/>
      <w:iCs/>
      <w:color w:val="404040" w:themeColor="text1" w:themeTint="BF"/>
    </w:rPr>
  </w:style>
  <w:style w:type="character" w:customStyle="1" w:styleId="QuoteChar">
    <w:name w:val="Quote Char"/>
    <w:basedOn w:val="DefaultParagraphFont"/>
    <w:link w:val="Quote"/>
    <w:uiPriority w:val="29"/>
    <w:rsid w:val="0050578C"/>
    <w:rPr>
      <w:i/>
      <w:iCs/>
      <w:color w:val="404040" w:themeColor="text1" w:themeTint="BF"/>
    </w:rPr>
  </w:style>
  <w:style w:type="paragraph" w:styleId="ListParagraph">
    <w:name w:val="List Paragraph"/>
    <w:basedOn w:val="Normal"/>
    <w:uiPriority w:val="34"/>
    <w:qFormat/>
    <w:rsid w:val="0050578C"/>
    <w:pPr>
      <w:ind w:left="720"/>
      <w:contextualSpacing/>
    </w:pPr>
  </w:style>
  <w:style w:type="character" w:styleId="IntenseEmphasis">
    <w:name w:val="Intense Emphasis"/>
    <w:basedOn w:val="DefaultParagraphFont"/>
    <w:uiPriority w:val="21"/>
    <w:qFormat/>
    <w:rsid w:val="0050578C"/>
    <w:rPr>
      <w:i/>
      <w:iCs/>
      <w:color w:val="0F4761" w:themeColor="accent1" w:themeShade="BF"/>
    </w:rPr>
  </w:style>
  <w:style w:type="paragraph" w:styleId="IntenseQuote">
    <w:name w:val="Intense Quote"/>
    <w:basedOn w:val="Normal"/>
    <w:next w:val="Normal"/>
    <w:link w:val="IntenseQuoteChar"/>
    <w:uiPriority w:val="30"/>
    <w:qFormat/>
    <w:rsid w:val="00505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78C"/>
    <w:rPr>
      <w:i/>
      <w:iCs/>
      <w:color w:val="0F4761" w:themeColor="accent1" w:themeShade="BF"/>
    </w:rPr>
  </w:style>
  <w:style w:type="character" w:styleId="IntenseReference">
    <w:name w:val="Intense Reference"/>
    <w:basedOn w:val="DefaultParagraphFont"/>
    <w:uiPriority w:val="32"/>
    <w:qFormat/>
    <w:rsid w:val="0050578C"/>
    <w:rPr>
      <w:b/>
      <w:bCs/>
      <w:smallCaps/>
      <w:color w:val="0F4761" w:themeColor="accent1" w:themeShade="BF"/>
      <w:spacing w:val="5"/>
    </w:rPr>
  </w:style>
  <w:style w:type="paragraph" w:styleId="Header">
    <w:name w:val="header"/>
    <w:basedOn w:val="Normal"/>
    <w:link w:val="HeaderChar"/>
    <w:uiPriority w:val="99"/>
    <w:unhideWhenUsed/>
    <w:rsid w:val="00B74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58B"/>
  </w:style>
  <w:style w:type="paragraph" w:styleId="Footer">
    <w:name w:val="footer"/>
    <w:basedOn w:val="Normal"/>
    <w:link w:val="FooterChar"/>
    <w:uiPriority w:val="99"/>
    <w:unhideWhenUsed/>
    <w:rsid w:val="00B74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5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289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3497</Words>
  <Characters>19938</Characters>
  <Application>Microsoft Office Word</Application>
  <DocSecurity>0</DocSecurity>
  <Lines>166</Lines>
  <Paragraphs>46</Paragraphs>
  <ScaleCrop>false</ScaleCrop>
  <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34</cp:revision>
  <dcterms:created xsi:type="dcterms:W3CDTF">2024-06-03T19:20:00Z</dcterms:created>
  <dcterms:modified xsi:type="dcterms:W3CDTF">2024-06-03T20:07:00Z</dcterms:modified>
</cp:coreProperties>
</file>