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FD990" w14:textId="77777777" w:rsidR="00446BDA" w:rsidRDefault="00AD435C">
      <w:pPr>
        <w:spacing w:after="0" w:line="404" w:lineRule="auto"/>
        <w:ind w:left="0" w:right="7674" w:firstLine="180"/>
      </w:pPr>
      <w:r>
        <w:rPr>
          <w:noProof/>
        </w:rPr>
        <w:drawing>
          <wp:inline distT="0" distB="0" distL="0" distR="0" wp14:anchorId="1AEBB29D" wp14:editId="5F2FFAEA">
            <wp:extent cx="1955800" cy="685800"/>
            <wp:effectExtent l="0" t="0" r="0" b="0"/>
            <wp:docPr id="962" name="Picture 962"/>
            <wp:cNvGraphicFramePr/>
            <a:graphic xmlns:a="http://schemas.openxmlformats.org/drawingml/2006/main">
              <a:graphicData uri="http://schemas.openxmlformats.org/drawingml/2006/picture">
                <pic:pic xmlns:pic="http://schemas.openxmlformats.org/drawingml/2006/picture">
                  <pic:nvPicPr>
                    <pic:cNvPr id="962" name="Picture 962"/>
                    <pic:cNvPicPr/>
                  </pic:nvPicPr>
                  <pic:blipFill>
                    <a:blip r:embed="rId6"/>
                    <a:stretch>
                      <a:fillRect/>
                    </a:stretch>
                  </pic:blipFill>
                  <pic:spPr>
                    <a:xfrm>
                      <a:off x="0" y="0"/>
                      <a:ext cx="1955800" cy="685800"/>
                    </a:xfrm>
                    <a:prstGeom prst="rect">
                      <a:avLst/>
                    </a:prstGeom>
                  </pic:spPr>
                </pic:pic>
              </a:graphicData>
            </a:graphic>
          </wp:inline>
        </w:drawing>
      </w:r>
      <w:r>
        <w:t xml:space="preserve"> </w:t>
      </w:r>
      <w:r>
        <w:rPr>
          <w:rFonts w:ascii="Georgia" w:eastAsia="Georgia" w:hAnsi="Georgia" w:cs="Georgia"/>
          <w:sz w:val="21"/>
        </w:rPr>
        <w:t xml:space="preserve"> </w:t>
      </w:r>
    </w:p>
    <w:p w14:paraId="448A6159" w14:textId="77777777" w:rsidR="00446BDA" w:rsidRDefault="00AD435C">
      <w:pPr>
        <w:spacing w:after="28" w:line="259" w:lineRule="auto"/>
        <w:ind w:left="327" w:firstLine="0"/>
        <w:jc w:val="center"/>
      </w:pPr>
      <w:r>
        <w:rPr>
          <w:rFonts w:ascii="Arial" w:eastAsia="Arial" w:hAnsi="Arial" w:cs="Arial"/>
          <w:b/>
          <w:sz w:val="28"/>
        </w:rPr>
        <w:t xml:space="preserve">Postgraduate/Distance Learning </w:t>
      </w:r>
      <w:r>
        <w:rPr>
          <w:rFonts w:ascii="Arial" w:eastAsia="Arial" w:hAnsi="Arial" w:cs="Arial"/>
          <w:sz w:val="28"/>
        </w:rPr>
        <w:t xml:space="preserve"> </w:t>
      </w:r>
    </w:p>
    <w:p w14:paraId="0BC56CBA" w14:textId="77777777" w:rsidR="00446BDA" w:rsidRDefault="00AD435C">
      <w:pPr>
        <w:spacing w:after="95" w:line="280" w:lineRule="auto"/>
        <w:ind w:left="181" w:right="2529" w:firstLine="2761"/>
      </w:pPr>
      <w:r>
        <w:rPr>
          <w:rFonts w:ascii="Arial" w:eastAsia="Arial" w:hAnsi="Arial" w:cs="Arial"/>
          <w:b/>
          <w:sz w:val="28"/>
        </w:rPr>
        <w:t>Assignment coversheet &amp; feedback form</w:t>
      </w:r>
      <w:r>
        <w:rPr>
          <w:rFonts w:ascii="Arial" w:eastAsia="Arial" w:hAnsi="Arial" w:cs="Arial"/>
          <w:sz w:val="28"/>
        </w:rPr>
        <w:t xml:space="preserve">  </w:t>
      </w:r>
    </w:p>
    <w:p w14:paraId="2FE8C36F" w14:textId="77777777" w:rsidR="00446BDA" w:rsidRDefault="00AD435C">
      <w:pPr>
        <w:spacing w:after="70" w:line="276" w:lineRule="auto"/>
        <w:ind w:left="4858" w:hanging="3947"/>
      </w:pPr>
      <w:r>
        <w:rPr>
          <w:rFonts w:ascii="Tahoma" w:eastAsia="Tahoma" w:hAnsi="Tahoma" w:cs="Tahoma"/>
          <w:b/>
          <w:color w:val="0F4761"/>
          <w:sz w:val="20"/>
        </w:rPr>
        <w:t xml:space="preserve">THIS SHEET MUST BE THE FIRST PAGE OF THE ASSIGNMENT YOU ARE SUBMITTING  (DO NOT SEND AS A SEPARATE FILE) </w:t>
      </w:r>
    </w:p>
    <w:p w14:paraId="0F9E4514" w14:textId="77777777" w:rsidR="00446BDA" w:rsidRDefault="00AD435C">
      <w:pPr>
        <w:spacing w:after="0" w:line="259" w:lineRule="auto"/>
        <w:ind w:left="961" w:firstLine="0"/>
        <w:jc w:val="center"/>
      </w:pPr>
      <w:r>
        <w:rPr>
          <w:rFonts w:ascii="Trebuchet MS" w:eastAsia="Trebuchet MS" w:hAnsi="Trebuchet MS" w:cs="Trebuchet MS"/>
          <w:b/>
          <w:sz w:val="20"/>
        </w:rPr>
        <w:t xml:space="preserve"> </w:t>
      </w:r>
    </w:p>
    <w:tbl>
      <w:tblPr>
        <w:tblStyle w:val="TableGrid"/>
        <w:tblW w:w="9362" w:type="dxa"/>
        <w:tblInd w:w="75" w:type="dxa"/>
        <w:tblCellMar>
          <w:top w:w="17" w:type="dxa"/>
          <w:left w:w="106" w:type="dxa"/>
          <w:right w:w="83" w:type="dxa"/>
        </w:tblCellMar>
        <w:tblLook w:val="04A0" w:firstRow="1" w:lastRow="0" w:firstColumn="1" w:lastColumn="0" w:noHBand="0" w:noVBand="1"/>
      </w:tblPr>
      <w:tblGrid>
        <w:gridCol w:w="1869"/>
        <w:gridCol w:w="5623"/>
        <w:gridCol w:w="1870"/>
      </w:tblGrid>
      <w:tr w:rsidR="00446BDA" w14:paraId="5F2A1767" w14:textId="77777777">
        <w:trPr>
          <w:trHeight w:val="615"/>
        </w:trPr>
        <w:tc>
          <w:tcPr>
            <w:tcW w:w="9362" w:type="dxa"/>
            <w:gridSpan w:val="3"/>
            <w:tcBorders>
              <w:top w:val="single" w:sz="6" w:space="0" w:color="000000"/>
              <w:left w:val="single" w:sz="6" w:space="0" w:color="000000"/>
              <w:bottom w:val="single" w:sz="6" w:space="0" w:color="000000"/>
              <w:right w:val="single" w:sz="6" w:space="0" w:color="000000"/>
            </w:tcBorders>
            <w:vAlign w:val="center"/>
          </w:tcPr>
          <w:p w14:paraId="45CCDC3E" w14:textId="77777777" w:rsidR="00446BDA" w:rsidRDefault="00AD435C">
            <w:pPr>
              <w:spacing w:after="0" w:line="259" w:lineRule="auto"/>
              <w:ind w:left="0" w:firstLine="0"/>
            </w:pPr>
            <w:r>
              <w:rPr>
                <w:rFonts w:ascii="Arial" w:eastAsia="Arial" w:hAnsi="Arial" w:cs="Arial"/>
                <w:b/>
                <w:sz w:val="22"/>
              </w:rPr>
              <w:t>For completion by the student</w:t>
            </w:r>
            <w:r>
              <w:rPr>
                <w:rFonts w:ascii="Arial" w:eastAsia="Arial" w:hAnsi="Arial" w:cs="Arial"/>
                <w:sz w:val="22"/>
              </w:rPr>
              <w:t xml:space="preserve">: </w:t>
            </w:r>
          </w:p>
        </w:tc>
      </w:tr>
      <w:tr w:rsidR="00446BDA" w14:paraId="1B5A6233" w14:textId="77777777">
        <w:trPr>
          <w:trHeight w:val="1190"/>
        </w:trPr>
        <w:tc>
          <w:tcPr>
            <w:tcW w:w="9362" w:type="dxa"/>
            <w:gridSpan w:val="3"/>
            <w:tcBorders>
              <w:top w:val="single" w:sz="6" w:space="0" w:color="000000"/>
              <w:left w:val="single" w:sz="6" w:space="0" w:color="000000"/>
              <w:bottom w:val="single" w:sz="6" w:space="0" w:color="000000"/>
              <w:right w:val="single" w:sz="6" w:space="0" w:color="000000"/>
            </w:tcBorders>
          </w:tcPr>
          <w:p w14:paraId="6CD0C54C" w14:textId="77777777" w:rsidR="00446BDA" w:rsidRDefault="00AD435C">
            <w:pPr>
              <w:spacing w:after="22" w:line="259" w:lineRule="auto"/>
              <w:ind w:left="0" w:firstLine="0"/>
            </w:pPr>
            <w:r>
              <w:rPr>
                <w:rFonts w:ascii="Arial" w:eastAsia="Arial" w:hAnsi="Arial" w:cs="Arial"/>
                <w:sz w:val="22"/>
              </w:rPr>
              <w:t xml:space="preserve">Student Name: </w:t>
            </w:r>
            <w:r>
              <w:rPr>
                <w:rFonts w:ascii="Arial" w:eastAsia="Arial" w:hAnsi="Arial" w:cs="Arial"/>
                <w:b/>
                <w:sz w:val="22"/>
              </w:rPr>
              <w:t>ISABELLE WAINE</w:t>
            </w:r>
            <w:r>
              <w:rPr>
                <w:rFonts w:ascii="Arial" w:eastAsia="Arial" w:hAnsi="Arial" w:cs="Arial"/>
                <w:sz w:val="22"/>
              </w:rPr>
              <w:t xml:space="preserve"> </w:t>
            </w:r>
          </w:p>
          <w:p w14:paraId="202DF09E" w14:textId="77777777" w:rsidR="00446BDA" w:rsidRDefault="00AD435C">
            <w:pPr>
              <w:spacing w:after="22" w:line="259" w:lineRule="auto"/>
              <w:ind w:left="0" w:firstLine="0"/>
            </w:pPr>
            <w:r>
              <w:rPr>
                <w:rFonts w:ascii="Arial" w:eastAsia="Arial" w:hAnsi="Arial" w:cs="Arial"/>
                <w:sz w:val="22"/>
              </w:rPr>
              <w:t xml:space="preserve"> </w:t>
            </w:r>
          </w:p>
          <w:p w14:paraId="1D74A88E" w14:textId="77777777" w:rsidR="00446BDA" w:rsidRDefault="00AD435C">
            <w:pPr>
              <w:spacing w:after="22" w:line="259" w:lineRule="auto"/>
              <w:ind w:left="0" w:firstLine="0"/>
            </w:pPr>
            <w:r>
              <w:rPr>
                <w:rFonts w:ascii="Arial" w:eastAsia="Arial" w:hAnsi="Arial" w:cs="Arial"/>
                <w:sz w:val="22"/>
              </w:rPr>
              <w:t xml:space="preserve">Student </w:t>
            </w:r>
            <w:r>
              <w:rPr>
                <w:rFonts w:ascii="Arial" w:eastAsia="Arial" w:hAnsi="Arial" w:cs="Arial"/>
                <w:b/>
                <w:sz w:val="22"/>
                <w:u w:val="single" w:color="000000"/>
              </w:rPr>
              <w:t>University</w:t>
            </w:r>
            <w:r>
              <w:rPr>
                <w:rFonts w:ascii="Arial" w:eastAsia="Arial" w:hAnsi="Arial" w:cs="Arial"/>
                <w:sz w:val="22"/>
                <w:u w:val="single" w:color="000000"/>
              </w:rPr>
              <w:t xml:space="preserve"> </w:t>
            </w:r>
            <w:r>
              <w:rPr>
                <w:rFonts w:ascii="Arial" w:eastAsia="Arial" w:hAnsi="Arial" w:cs="Arial"/>
                <w:sz w:val="22"/>
              </w:rPr>
              <w:t xml:space="preserve">Email: </w:t>
            </w:r>
            <w:r>
              <w:rPr>
                <w:rFonts w:ascii="Arial" w:eastAsia="Arial" w:hAnsi="Arial" w:cs="Arial"/>
                <w:b/>
                <w:color w:val="467886"/>
                <w:sz w:val="22"/>
                <w:u w:val="single" w:color="467886"/>
              </w:rPr>
              <w:t>2417718@student.uwtsd.ac.uk</w:t>
            </w:r>
            <w:r>
              <w:rPr>
                <w:rFonts w:ascii="Arial" w:eastAsia="Arial" w:hAnsi="Arial" w:cs="Arial"/>
                <w:sz w:val="22"/>
              </w:rPr>
              <w:t xml:space="preserve"> </w:t>
            </w:r>
          </w:p>
          <w:p w14:paraId="1F730A2F" w14:textId="77777777" w:rsidR="00446BDA" w:rsidRDefault="00AD435C">
            <w:pPr>
              <w:spacing w:after="0" w:line="259" w:lineRule="auto"/>
              <w:ind w:left="0" w:firstLine="0"/>
            </w:pPr>
            <w:r>
              <w:rPr>
                <w:rFonts w:ascii="Arial" w:eastAsia="Arial" w:hAnsi="Arial" w:cs="Arial"/>
                <w:sz w:val="22"/>
              </w:rPr>
              <w:t xml:space="preserve"> </w:t>
            </w:r>
          </w:p>
        </w:tc>
      </w:tr>
      <w:tr w:rsidR="00446BDA" w14:paraId="2DDE54F3" w14:textId="77777777">
        <w:trPr>
          <w:trHeight w:val="2961"/>
        </w:trPr>
        <w:tc>
          <w:tcPr>
            <w:tcW w:w="1869" w:type="dxa"/>
            <w:tcBorders>
              <w:top w:val="single" w:sz="6" w:space="0" w:color="000000"/>
              <w:left w:val="single" w:sz="6" w:space="0" w:color="000000"/>
              <w:bottom w:val="single" w:sz="6" w:space="0" w:color="000000"/>
              <w:right w:val="single" w:sz="6" w:space="0" w:color="000000"/>
            </w:tcBorders>
          </w:tcPr>
          <w:p w14:paraId="7576100C" w14:textId="77777777" w:rsidR="00446BDA" w:rsidRDefault="00AD435C">
            <w:pPr>
              <w:spacing w:after="22" w:line="259" w:lineRule="auto"/>
              <w:ind w:left="0" w:firstLine="0"/>
            </w:pPr>
            <w:r>
              <w:rPr>
                <w:rFonts w:ascii="Arial" w:eastAsia="Arial" w:hAnsi="Arial" w:cs="Arial"/>
                <w:sz w:val="22"/>
              </w:rPr>
              <w:t>Module code:</w:t>
            </w:r>
            <w:r>
              <w:rPr>
                <w:rFonts w:ascii="Georgia" w:eastAsia="Georgia" w:hAnsi="Georgia" w:cs="Georgia"/>
                <w:sz w:val="21"/>
              </w:rPr>
              <w:t xml:space="preserve"> </w:t>
            </w:r>
          </w:p>
          <w:p w14:paraId="4D528E2D" w14:textId="1525BBA8" w:rsidR="00446BDA" w:rsidRDefault="00AD435C">
            <w:pPr>
              <w:spacing w:after="22" w:line="259" w:lineRule="auto"/>
              <w:ind w:left="0" w:firstLine="0"/>
            </w:pPr>
            <w:r>
              <w:rPr>
                <w:rFonts w:ascii="Arial" w:eastAsia="Arial" w:hAnsi="Arial" w:cs="Arial"/>
                <w:b/>
                <w:sz w:val="22"/>
              </w:rPr>
              <w:t>HPCA70</w:t>
            </w:r>
            <w:r w:rsidR="00F718B7">
              <w:rPr>
                <w:rFonts w:ascii="Arial" w:eastAsia="Arial" w:hAnsi="Arial" w:cs="Arial"/>
                <w:b/>
                <w:sz w:val="22"/>
              </w:rPr>
              <w:t>27</w:t>
            </w:r>
            <w:r>
              <w:rPr>
                <w:rFonts w:ascii="Arial" w:eastAsia="Arial" w:hAnsi="Arial" w:cs="Arial"/>
                <w:sz w:val="22"/>
              </w:rPr>
              <w:t xml:space="preserve"> </w:t>
            </w:r>
          </w:p>
          <w:p w14:paraId="73252AE3" w14:textId="77777777" w:rsidR="00446BDA" w:rsidRDefault="00AD435C">
            <w:pPr>
              <w:spacing w:after="22" w:line="259" w:lineRule="auto"/>
              <w:ind w:left="0" w:firstLine="0"/>
            </w:pPr>
            <w:r>
              <w:rPr>
                <w:rFonts w:ascii="Arial" w:eastAsia="Arial" w:hAnsi="Arial" w:cs="Arial"/>
                <w:sz w:val="22"/>
              </w:rPr>
              <w:t xml:space="preserve"> </w:t>
            </w:r>
          </w:p>
          <w:p w14:paraId="73EB3ECC" w14:textId="77777777" w:rsidR="00446BDA" w:rsidRDefault="00AD435C">
            <w:pPr>
              <w:spacing w:after="22" w:line="259" w:lineRule="auto"/>
              <w:ind w:left="0" w:firstLine="0"/>
            </w:pPr>
            <w:r>
              <w:rPr>
                <w:rFonts w:ascii="Arial" w:eastAsia="Arial" w:hAnsi="Arial" w:cs="Arial"/>
                <w:sz w:val="22"/>
              </w:rPr>
              <w:t xml:space="preserve">Module title: </w:t>
            </w:r>
          </w:p>
          <w:p w14:paraId="22D50D60" w14:textId="77777777" w:rsidR="00446BDA" w:rsidRDefault="00AD435C">
            <w:pPr>
              <w:spacing w:after="17" w:line="259" w:lineRule="auto"/>
              <w:ind w:left="0" w:firstLine="0"/>
            </w:pPr>
            <w:r>
              <w:rPr>
                <w:rFonts w:ascii="Arial" w:eastAsia="Arial" w:hAnsi="Arial" w:cs="Arial"/>
                <w:sz w:val="22"/>
              </w:rPr>
              <w:t xml:space="preserve"> </w:t>
            </w:r>
          </w:p>
          <w:p w14:paraId="3AA6D457" w14:textId="0CFBDBB3" w:rsidR="00446BDA" w:rsidRDefault="00A46E29">
            <w:pPr>
              <w:spacing w:after="22" w:line="259" w:lineRule="auto"/>
              <w:ind w:left="0" w:firstLine="0"/>
            </w:pPr>
            <w:r>
              <w:rPr>
                <w:rFonts w:ascii="Arial" w:eastAsia="Arial" w:hAnsi="Arial" w:cs="Arial"/>
                <w:b/>
                <w:sz w:val="22"/>
              </w:rPr>
              <w:t>Cosmology, Magic and Divination</w:t>
            </w:r>
          </w:p>
          <w:p w14:paraId="2D2CE619" w14:textId="77777777" w:rsidR="00446BDA" w:rsidRDefault="00AD435C">
            <w:pPr>
              <w:spacing w:after="0" w:line="259" w:lineRule="auto"/>
              <w:ind w:left="0" w:firstLine="0"/>
            </w:pPr>
            <w:r>
              <w:rPr>
                <w:rFonts w:ascii="Arial" w:eastAsia="Arial" w:hAnsi="Arial" w:cs="Arial"/>
                <w:sz w:val="22"/>
              </w:rPr>
              <w:t xml:space="preserve"> </w:t>
            </w:r>
          </w:p>
        </w:tc>
        <w:tc>
          <w:tcPr>
            <w:tcW w:w="5623" w:type="dxa"/>
            <w:tcBorders>
              <w:top w:val="single" w:sz="6" w:space="0" w:color="000000"/>
              <w:left w:val="single" w:sz="6" w:space="0" w:color="000000"/>
              <w:bottom w:val="single" w:sz="6" w:space="0" w:color="000000"/>
              <w:right w:val="single" w:sz="6" w:space="0" w:color="000000"/>
            </w:tcBorders>
            <w:vAlign w:val="center"/>
          </w:tcPr>
          <w:p w14:paraId="2E84146A" w14:textId="77777777" w:rsidR="00446BDA" w:rsidRDefault="00AD435C">
            <w:pPr>
              <w:spacing w:after="22" w:line="259" w:lineRule="auto"/>
              <w:ind w:left="2" w:firstLine="0"/>
            </w:pPr>
            <w:r>
              <w:rPr>
                <w:rFonts w:ascii="Arial" w:eastAsia="Arial" w:hAnsi="Arial" w:cs="Arial"/>
                <w:sz w:val="22"/>
              </w:rPr>
              <w:t xml:space="preserve">Student ID number: </w:t>
            </w:r>
          </w:p>
          <w:p w14:paraId="1C0FFD5A" w14:textId="77777777" w:rsidR="00446BDA" w:rsidRDefault="00AD435C">
            <w:pPr>
              <w:spacing w:after="22" w:line="259" w:lineRule="auto"/>
              <w:ind w:left="2" w:firstLine="0"/>
            </w:pPr>
            <w:r>
              <w:rPr>
                <w:rFonts w:ascii="Arial" w:eastAsia="Arial" w:hAnsi="Arial" w:cs="Arial"/>
                <w:sz w:val="22"/>
              </w:rPr>
              <w:t xml:space="preserve"> </w:t>
            </w:r>
          </w:p>
          <w:p w14:paraId="2C772D2E" w14:textId="77777777" w:rsidR="00446BDA" w:rsidRDefault="00AD435C">
            <w:pPr>
              <w:spacing w:after="22" w:line="259" w:lineRule="auto"/>
              <w:ind w:left="2" w:firstLine="0"/>
            </w:pPr>
            <w:r>
              <w:rPr>
                <w:rFonts w:ascii="Arial" w:eastAsia="Arial" w:hAnsi="Arial" w:cs="Arial"/>
                <w:sz w:val="22"/>
              </w:rPr>
              <w:t xml:space="preserve"> </w:t>
            </w:r>
          </w:p>
          <w:p w14:paraId="730CFC20" w14:textId="77777777" w:rsidR="00446BDA" w:rsidRDefault="00AD435C">
            <w:pPr>
              <w:spacing w:after="22" w:line="259" w:lineRule="auto"/>
              <w:ind w:left="2" w:firstLine="0"/>
            </w:pPr>
            <w:r>
              <w:rPr>
                <w:rFonts w:ascii="Arial" w:eastAsia="Arial" w:hAnsi="Arial" w:cs="Arial"/>
                <w:sz w:val="22"/>
              </w:rPr>
              <w:t xml:space="preserve"> </w:t>
            </w:r>
          </w:p>
          <w:p w14:paraId="54313D3A" w14:textId="77777777" w:rsidR="00446BDA" w:rsidRDefault="00AD435C">
            <w:pPr>
              <w:spacing w:after="0" w:line="259" w:lineRule="auto"/>
              <w:ind w:left="2" w:firstLine="0"/>
            </w:pPr>
            <w:r>
              <w:rPr>
                <w:rFonts w:ascii="Arial" w:eastAsia="Arial" w:hAnsi="Arial" w:cs="Arial"/>
                <w:b/>
                <w:sz w:val="22"/>
              </w:rPr>
              <w:t>2417718</w:t>
            </w:r>
            <w:r>
              <w:rPr>
                <w:rFonts w:ascii="Arial" w:eastAsia="Arial" w:hAnsi="Arial" w:cs="Arial"/>
                <w:sz w:val="22"/>
              </w:rPr>
              <w:t xml:space="preserve"> </w:t>
            </w:r>
          </w:p>
        </w:tc>
        <w:tc>
          <w:tcPr>
            <w:tcW w:w="1870" w:type="dxa"/>
            <w:tcBorders>
              <w:top w:val="single" w:sz="6" w:space="0" w:color="000000"/>
              <w:left w:val="single" w:sz="6" w:space="0" w:color="000000"/>
              <w:bottom w:val="single" w:sz="6" w:space="0" w:color="000000"/>
              <w:right w:val="single" w:sz="6" w:space="0" w:color="000000"/>
            </w:tcBorders>
            <w:vAlign w:val="center"/>
          </w:tcPr>
          <w:p w14:paraId="0006BF9A" w14:textId="77777777" w:rsidR="00446BDA" w:rsidRDefault="00AD435C">
            <w:pPr>
              <w:spacing w:after="0" w:line="280" w:lineRule="auto"/>
              <w:ind w:left="2" w:firstLine="0"/>
            </w:pPr>
            <w:r>
              <w:rPr>
                <w:rFonts w:ascii="Arial" w:eastAsia="Arial" w:hAnsi="Arial" w:cs="Arial"/>
                <w:sz w:val="22"/>
              </w:rPr>
              <w:t xml:space="preserve">Educational support needs: </w:t>
            </w:r>
          </w:p>
          <w:p w14:paraId="1DF12F25" w14:textId="77777777" w:rsidR="00446BDA" w:rsidRDefault="00AD435C">
            <w:pPr>
              <w:spacing w:after="22" w:line="259" w:lineRule="auto"/>
              <w:ind w:left="2" w:firstLine="0"/>
            </w:pPr>
            <w:r>
              <w:rPr>
                <w:rFonts w:ascii="Arial" w:eastAsia="Arial" w:hAnsi="Arial" w:cs="Arial"/>
                <w:sz w:val="22"/>
              </w:rPr>
              <w:t xml:space="preserve"> </w:t>
            </w:r>
          </w:p>
          <w:p w14:paraId="48AA5AC3" w14:textId="77777777" w:rsidR="00446BDA" w:rsidRDefault="00AD435C">
            <w:pPr>
              <w:spacing w:after="22" w:line="259" w:lineRule="auto"/>
              <w:ind w:left="2" w:firstLine="0"/>
            </w:pPr>
            <w:r>
              <w:rPr>
                <w:rFonts w:ascii="Arial" w:eastAsia="Arial" w:hAnsi="Arial" w:cs="Arial"/>
                <w:sz w:val="22"/>
              </w:rPr>
              <w:t xml:space="preserve"> </w:t>
            </w:r>
          </w:p>
          <w:p w14:paraId="4A68B46B" w14:textId="77777777" w:rsidR="00446BDA" w:rsidRDefault="00AD435C">
            <w:pPr>
              <w:spacing w:after="0" w:line="259" w:lineRule="auto"/>
              <w:ind w:left="2" w:firstLine="0"/>
            </w:pPr>
            <w:r>
              <w:rPr>
                <w:rFonts w:ascii="Arial" w:eastAsia="Arial" w:hAnsi="Arial" w:cs="Arial"/>
                <w:b/>
                <w:sz w:val="22"/>
              </w:rPr>
              <w:t>No</w:t>
            </w:r>
            <w:r>
              <w:rPr>
                <w:rFonts w:ascii="Arial" w:eastAsia="Arial" w:hAnsi="Arial" w:cs="Arial"/>
                <w:sz w:val="22"/>
              </w:rPr>
              <w:t xml:space="preserve"> </w:t>
            </w:r>
          </w:p>
        </w:tc>
      </w:tr>
      <w:tr w:rsidR="00446BDA" w14:paraId="2E5F1B65" w14:textId="77777777">
        <w:trPr>
          <w:trHeight w:val="1140"/>
        </w:trPr>
        <w:tc>
          <w:tcPr>
            <w:tcW w:w="9362" w:type="dxa"/>
            <w:gridSpan w:val="3"/>
            <w:tcBorders>
              <w:top w:val="single" w:sz="6" w:space="0" w:color="000000"/>
              <w:left w:val="single" w:sz="6" w:space="0" w:color="000000"/>
              <w:bottom w:val="single" w:sz="6" w:space="0" w:color="000000"/>
              <w:right w:val="single" w:sz="6" w:space="0" w:color="000000"/>
            </w:tcBorders>
            <w:vAlign w:val="center"/>
          </w:tcPr>
          <w:p w14:paraId="456DAD38" w14:textId="150E1CB4" w:rsidR="00446BDA" w:rsidRDefault="00AD435C">
            <w:pPr>
              <w:spacing w:after="22" w:line="259" w:lineRule="auto"/>
              <w:ind w:left="0" w:firstLine="0"/>
            </w:pPr>
            <w:r>
              <w:rPr>
                <w:rFonts w:ascii="Arial" w:eastAsia="Arial" w:hAnsi="Arial" w:cs="Arial"/>
                <w:sz w:val="22"/>
              </w:rPr>
              <w:t xml:space="preserve">Assignment title:    </w:t>
            </w:r>
            <w:r w:rsidR="0046490B" w:rsidRPr="0018408F">
              <w:rPr>
                <w:rFonts w:ascii="Arial" w:eastAsia="Arial" w:hAnsi="Arial" w:cs="Arial"/>
                <w:b/>
                <w:bCs/>
                <w:sz w:val="22"/>
              </w:rPr>
              <w:t>Critical Review of Cicero against Divination</w:t>
            </w:r>
          </w:p>
          <w:p w14:paraId="1B9B0700" w14:textId="77777777" w:rsidR="00446BDA" w:rsidRDefault="00AD435C">
            <w:pPr>
              <w:spacing w:after="9" w:line="259" w:lineRule="auto"/>
              <w:ind w:left="0" w:firstLine="0"/>
            </w:pPr>
            <w:r>
              <w:rPr>
                <w:rFonts w:ascii="Arial" w:eastAsia="Arial" w:hAnsi="Arial" w:cs="Arial"/>
                <w:sz w:val="22"/>
              </w:rPr>
              <w:t xml:space="preserve"> </w:t>
            </w:r>
          </w:p>
          <w:p w14:paraId="256853AF" w14:textId="322B2A1D" w:rsidR="00446BDA" w:rsidRDefault="00AD435C">
            <w:pPr>
              <w:spacing w:after="0" w:line="259" w:lineRule="auto"/>
              <w:ind w:left="0" w:firstLine="0"/>
            </w:pPr>
            <w:r>
              <w:rPr>
                <w:rFonts w:ascii="Arial" w:eastAsia="Arial" w:hAnsi="Arial" w:cs="Arial"/>
                <w:sz w:val="22"/>
              </w:rPr>
              <w:t xml:space="preserve">Assignment due date: </w:t>
            </w:r>
            <w:r w:rsidR="003578BF">
              <w:rPr>
                <w:rFonts w:ascii="Arial" w:eastAsia="Arial" w:hAnsi="Arial" w:cs="Arial"/>
                <w:sz w:val="22"/>
              </w:rPr>
              <w:t>10</w:t>
            </w:r>
            <w:r w:rsidR="003578BF" w:rsidRPr="003578BF">
              <w:rPr>
                <w:rFonts w:ascii="Arial" w:eastAsia="Arial" w:hAnsi="Arial" w:cs="Arial"/>
                <w:sz w:val="22"/>
                <w:vertAlign w:val="superscript"/>
              </w:rPr>
              <w:t>th</w:t>
            </w:r>
            <w:r w:rsidR="003578BF">
              <w:rPr>
                <w:rFonts w:ascii="Arial" w:eastAsia="Arial" w:hAnsi="Arial" w:cs="Arial"/>
                <w:sz w:val="22"/>
              </w:rPr>
              <w:t xml:space="preserve"> March 2025</w:t>
            </w:r>
          </w:p>
        </w:tc>
      </w:tr>
      <w:tr w:rsidR="00446BDA" w14:paraId="5DF06D5D" w14:textId="77777777">
        <w:trPr>
          <w:trHeight w:val="992"/>
        </w:trPr>
        <w:tc>
          <w:tcPr>
            <w:tcW w:w="9362" w:type="dxa"/>
            <w:gridSpan w:val="3"/>
            <w:tcBorders>
              <w:top w:val="single" w:sz="6" w:space="0" w:color="000000"/>
              <w:left w:val="single" w:sz="6" w:space="0" w:color="000000"/>
              <w:bottom w:val="single" w:sz="6" w:space="0" w:color="000000"/>
              <w:right w:val="single" w:sz="6" w:space="0" w:color="000000"/>
            </w:tcBorders>
          </w:tcPr>
          <w:p w14:paraId="11AABBB9" w14:textId="29B15720" w:rsidR="00446BDA" w:rsidRDefault="00AD435C">
            <w:pPr>
              <w:spacing w:after="0" w:line="259" w:lineRule="auto"/>
              <w:ind w:left="0" w:firstLine="0"/>
            </w:pPr>
            <w:r>
              <w:rPr>
                <w:rFonts w:ascii="Arial" w:eastAsia="Arial" w:hAnsi="Arial" w:cs="Arial"/>
                <w:sz w:val="22"/>
              </w:rPr>
              <w:t>This assignment is for the       1</w:t>
            </w:r>
            <w:r>
              <w:rPr>
                <w:rFonts w:ascii="Arial" w:eastAsia="Arial" w:hAnsi="Arial" w:cs="Arial"/>
                <w:sz w:val="22"/>
                <w:vertAlign w:val="superscript"/>
              </w:rPr>
              <w:t xml:space="preserve">st </w:t>
            </w:r>
            <w:r w:rsidR="003578BF">
              <w:rPr>
                <w:rFonts w:ascii="Arial" w:eastAsia="Arial" w:hAnsi="Arial" w:cs="Arial"/>
                <w:sz w:val="22"/>
                <w:vertAlign w:val="superscript"/>
              </w:rPr>
              <w:t xml:space="preserve"> </w:t>
            </w:r>
            <w:r w:rsidR="003578BF">
              <w:rPr>
                <w:rFonts w:ascii="Arial" w:eastAsia="Arial" w:hAnsi="Arial" w:cs="Arial"/>
                <w:sz w:val="22"/>
              </w:rPr>
              <w:t xml:space="preserve">    </w:t>
            </w:r>
            <w:r>
              <w:rPr>
                <w:rFonts w:ascii="Arial" w:eastAsia="Arial" w:hAnsi="Arial" w:cs="Arial"/>
                <w:sz w:val="22"/>
              </w:rPr>
              <w:t xml:space="preserve">  2</w:t>
            </w:r>
            <w:r>
              <w:rPr>
                <w:rFonts w:ascii="Arial" w:eastAsia="Arial" w:hAnsi="Arial" w:cs="Arial"/>
                <w:sz w:val="22"/>
                <w:vertAlign w:val="superscript"/>
              </w:rPr>
              <w:t>nd</w:t>
            </w:r>
            <w:r w:rsidR="003578BF">
              <w:rPr>
                <w:rFonts w:ascii="Arial" w:eastAsia="Arial" w:hAnsi="Arial" w:cs="Arial"/>
                <w:sz w:val="22"/>
                <w:vertAlign w:val="superscript"/>
              </w:rPr>
              <w:t xml:space="preserve"> </w:t>
            </w:r>
            <w:r w:rsidR="003578BF" w:rsidRPr="00743807">
              <w:rPr>
                <w:rFonts w:ascii="Arial" w:eastAsia="Arial" w:hAnsi="Arial" w:cs="Arial"/>
                <w:b/>
                <w:bCs/>
                <w:sz w:val="32"/>
                <w:szCs w:val="32"/>
                <w:vertAlign w:val="superscript"/>
              </w:rPr>
              <w:t>X</w:t>
            </w:r>
            <w:r>
              <w:rPr>
                <w:rFonts w:ascii="Arial" w:eastAsia="Arial" w:hAnsi="Arial" w:cs="Arial"/>
                <w:sz w:val="22"/>
              </w:rPr>
              <w:t xml:space="preserve">     3</w:t>
            </w:r>
            <w:r>
              <w:rPr>
                <w:rFonts w:ascii="Arial" w:eastAsia="Arial" w:hAnsi="Arial" w:cs="Arial"/>
                <w:sz w:val="22"/>
                <w:vertAlign w:val="superscript"/>
              </w:rPr>
              <w:t>rd</w:t>
            </w:r>
            <w:r>
              <w:rPr>
                <w:rFonts w:ascii="Arial" w:eastAsia="Arial" w:hAnsi="Arial" w:cs="Arial"/>
                <w:sz w:val="22"/>
              </w:rPr>
              <w:t xml:space="preserve">        4</w:t>
            </w:r>
            <w:r>
              <w:rPr>
                <w:rFonts w:ascii="Arial" w:eastAsia="Arial" w:hAnsi="Arial" w:cs="Arial"/>
                <w:sz w:val="22"/>
                <w:vertAlign w:val="superscript"/>
              </w:rPr>
              <w:t>th</w:t>
            </w:r>
            <w:r>
              <w:rPr>
                <w:rFonts w:ascii="Arial" w:eastAsia="Arial" w:hAnsi="Arial" w:cs="Arial"/>
                <w:sz w:val="22"/>
              </w:rPr>
              <w:t xml:space="preserve">       5</w:t>
            </w:r>
            <w:r>
              <w:rPr>
                <w:rFonts w:ascii="Arial" w:eastAsia="Arial" w:hAnsi="Arial" w:cs="Arial"/>
                <w:sz w:val="22"/>
                <w:vertAlign w:val="superscript"/>
              </w:rPr>
              <w:t>th</w:t>
            </w:r>
            <w:r>
              <w:rPr>
                <w:rFonts w:ascii="Arial" w:eastAsia="Arial" w:hAnsi="Arial" w:cs="Arial"/>
                <w:sz w:val="22"/>
              </w:rPr>
              <w:t xml:space="preserve">       6</w:t>
            </w:r>
            <w:r>
              <w:rPr>
                <w:rFonts w:ascii="Arial" w:eastAsia="Arial" w:hAnsi="Arial" w:cs="Arial"/>
                <w:sz w:val="22"/>
                <w:vertAlign w:val="superscript"/>
              </w:rPr>
              <w:t>th</w:t>
            </w:r>
            <w:r>
              <w:rPr>
                <w:rFonts w:ascii="Arial" w:eastAsia="Arial" w:hAnsi="Arial" w:cs="Arial"/>
                <w:sz w:val="22"/>
              </w:rPr>
              <w:t xml:space="preserve"> </w:t>
            </w:r>
            <w:r>
              <w:rPr>
                <w:rFonts w:ascii="Arial" w:eastAsia="Arial" w:hAnsi="Arial" w:cs="Arial"/>
                <w:b/>
                <w:sz w:val="22"/>
              </w:rPr>
              <w:t xml:space="preserve">   </w:t>
            </w:r>
            <w:r>
              <w:rPr>
                <w:rFonts w:ascii="Arial" w:eastAsia="Arial" w:hAnsi="Arial" w:cs="Arial"/>
                <w:sz w:val="22"/>
              </w:rPr>
              <w:t xml:space="preserve">module of the degree </w:t>
            </w:r>
          </w:p>
        </w:tc>
      </w:tr>
      <w:tr w:rsidR="00446BDA" w14:paraId="44B371D4" w14:textId="77777777">
        <w:trPr>
          <w:trHeight w:val="1607"/>
        </w:trPr>
        <w:tc>
          <w:tcPr>
            <w:tcW w:w="9362" w:type="dxa"/>
            <w:gridSpan w:val="3"/>
            <w:tcBorders>
              <w:top w:val="single" w:sz="6" w:space="0" w:color="000000"/>
              <w:left w:val="single" w:sz="6" w:space="0" w:color="000000"/>
              <w:bottom w:val="single" w:sz="6" w:space="0" w:color="000000"/>
              <w:right w:val="single" w:sz="6" w:space="0" w:color="000000"/>
            </w:tcBorders>
            <w:shd w:val="clear" w:color="auto" w:fill="D9D9D9"/>
          </w:tcPr>
          <w:p w14:paraId="6BA07BB9" w14:textId="77777777" w:rsidR="00446BDA" w:rsidRDefault="00AD435C">
            <w:pPr>
              <w:spacing w:after="44" w:line="275" w:lineRule="auto"/>
              <w:ind w:left="0" w:firstLine="0"/>
            </w:pPr>
            <w:r>
              <w:rPr>
                <w:rFonts w:ascii="Arial" w:eastAsia="Arial" w:hAnsi="Arial" w:cs="Arial"/>
                <w:sz w:val="22"/>
              </w:rPr>
              <w:t xml:space="preserve">I confirm that this is my original work and that I have adhered to the University policy on plagiarism. </w:t>
            </w:r>
          </w:p>
          <w:p w14:paraId="06B75A7A" w14:textId="77777777" w:rsidR="00446BDA" w:rsidRDefault="00AD435C">
            <w:pPr>
              <w:spacing w:after="72" w:line="259" w:lineRule="auto"/>
              <w:ind w:left="0" w:firstLine="0"/>
            </w:pPr>
            <w:r>
              <w:rPr>
                <w:rFonts w:ascii="Arial" w:eastAsia="Arial" w:hAnsi="Arial" w:cs="Arial"/>
                <w:sz w:val="22"/>
              </w:rPr>
              <w:t xml:space="preserve">Signed …………………………………………………………… </w:t>
            </w:r>
          </w:p>
          <w:p w14:paraId="4316ADF2" w14:textId="77777777" w:rsidR="00446BDA" w:rsidRDefault="00AD435C">
            <w:pPr>
              <w:spacing w:after="0" w:line="259" w:lineRule="auto"/>
              <w:ind w:left="0" w:firstLine="0"/>
            </w:pPr>
            <w:r>
              <w:rPr>
                <w:rFonts w:ascii="Calibri" w:eastAsia="Calibri" w:hAnsi="Calibri" w:cs="Calibri"/>
                <w:b/>
              </w:rPr>
              <w:t xml:space="preserve">Email submission:if you are submitting this form via email, please tick this box </w:t>
            </w:r>
            <w:r>
              <w:rPr>
                <w:rFonts w:ascii="Segoe UI Symbol" w:eastAsia="Segoe UI Symbol" w:hAnsi="Segoe UI Symbol" w:cs="Segoe UI Symbol"/>
              </w:rPr>
              <w:t>☑</w:t>
            </w:r>
            <w:r>
              <w:rPr>
                <w:rFonts w:ascii="Calibri" w:eastAsia="Calibri" w:hAnsi="Calibri" w:cs="Calibri"/>
              </w:rPr>
              <w:t xml:space="preserve"> </w:t>
            </w:r>
          </w:p>
          <w:p w14:paraId="581BFC85" w14:textId="77777777" w:rsidR="00446BDA" w:rsidRDefault="00AD435C">
            <w:pPr>
              <w:spacing w:after="0" w:line="259" w:lineRule="auto"/>
              <w:ind w:left="0" w:firstLine="0"/>
            </w:pPr>
            <w:r>
              <w:rPr>
                <w:rFonts w:ascii="Calibri" w:eastAsia="Calibri" w:hAnsi="Calibri" w:cs="Calibri"/>
                <w:b/>
              </w:rPr>
              <w:t>(as a substitute for your signature) to confirm that you agree to the above declaration.</w:t>
            </w:r>
            <w:r>
              <w:rPr>
                <w:rFonts w:ascii="Calibri" w:eastAsia="Calibri" w:hAnsi="Calibri" w:cs="Calibri"/>
              </w:rPr>
              <w:t xml:space="preserve"> </w:t>
            </w:r>
          </w:p>
        </w:tc>
      </w:tr>
    </w:tbl>
    <w:p w14:paraId="3322A0FE" w14:textId="77777777" w:rsidR="00446BDA" w:rsidRDefault="00446BDA">
      <w:pPr>
        <w:spacing w:after="0" w:line="259" w:lineRule="auto"/>
        <w:ind w:left="-540" w:right="1548" w:firstLine="0"/>
      </w:pPr>
    </w:p>
    <w:tbl>
      <w:tblPr>
        <w:tblStyle w:val="TableGrid"/>
        <w:tblW w:w="9364" w:type="dxa"/>
        <w:tblInd w:w="73" w:type="dxa"/>
        <w:tblCellMar>
          <w:top w:w="15" w:type="dxa"/>
          <w:left w:w="108" w:type="dxa"/>
          <w:right w:w="115" w:type="dxa"/>
        </w:tblCellMar>
        <w:tblLook w:val="04A0" w:firstRow="1" w:lastRow="0" w:firstColumn="1" w:lastColumn="0" w:noHBand="0" w:noVBand="1"/>
      </w:tblPr>
      <w:tblGrid>
        <w:gridCol w:w="4104"/>
        <w:gridCol w:w="1520"/>
        <w:gridCol w:w="3758"/>
      </w:tblGrid>
      <w:tr w:rsidR="00446BDA" w14:paraId="0A2A4DEE" w14:textId="77777777">
        <w:trPr>
          <w:trHeight w:val="8107"/>
        </w:trPr>
        <w:tc>
          <w:tcPr>
            <w:tcW w:w="9364" w:type="dxa"/>
            <w:gridSpan w:val="3"/>
            <w:tcBorders>
              <w:top w:val="single" w:sz="6" w:space="0" w:color="000000"/>
              <w:left w:val="single" w:sz="6" w:space="0" w:color="000000"/>
              <w:bottom w:val="single" w:sz="6" w:space="0" w:color="000000"/>
              <w:right w:val="single" w:sz="6" w:space="0" w:color="000000"/>
            </w:tcBorders>
          </w:tcPr>
          <w:p w14:paraId="5286F4FB" w14:textId="77777777" w:rsidR="00446BDA" w:rsidRDefault="00AD435C">
            <w:pPr>
              <w:spacing w:after="182" w:line="259" w:lineRule="auto"/>
              <w:ind w:left="5" w:firstLine="0"/>
            </w:pPr>
            <w:r>
              <w:rPr>
                <w:rFonts w:ascii="Arial" w:eastAsia="Arial" w:hAnsi="Arial" w:cs="Arial"/>
              </w:rPr>
              <w:lastRenderedPageBreak/>
              <w:t xml:space="preserve"> </w:t>
            </w:r>
          </w:p>
          <w:p w14:paraId="1E7130AE" w14:textId="77777777" w:rsidR="00446BDA" w:rsidRDefault="00AD435C">
            <w:pPr>
              <w:spacing w:after="0" w:line="259" w:lineRule="auto"/>
              <w:ind w:left="5" w:firstLine="0"/>
            </w:pPr>
            <w:r>
              <w:rPr>
                <w:rFonts w:ascii="Arial" w:eastAsia="Arial" w:hAnsi="Arial" w:cs="Arial"/>
                <w:b/>
              </w:rPr>
              <w:t>Assignment Mark</w:t>
            </w:r>
            <w:r>
              <w:rPr>
                <w:rFonts w:ascii="Arial" w:eastAsia="Arial" w:hAnsi="Arial" w:cs="Arial"/>
              </w:rPr>
              <w:t xml:space="preserve"> </w:t>
            </w:r>
          </w:p>
          <w:tbl>
            <w:tblPr>
              <w:tblStyle w:val="TableGrid"/>
              <w:tblW w:w="9124" w:type="dxa"/>
              <w:tblInd w:w="18" w:type="dxa"/>
              <w:tblCellMar>
                <w:top w:w="17" w:type="dxa"/>
                <w:left w:w="98" w:type="dxa"/>
                <w:right w:w="115" w:type="dxa"/>
              </w:tblCellMar>
              <w:tblLook w:val="04A0" w:firstRow="1" w:lastRow="0" w:firstColumn="1" w:lastColumn="0" w:noHBand="0" w:noVBand="1"/>
            </w:tblPr>
            <w:tblGrid>
              <w:gridCol w:w="7194"/>
              <w:gridCol w:w="1930"/>
            </w:tblGrid>
            <w:tr w:rsidR="00446BDA" w14:paraId="6BDDEA3C" w14:textId="77777777">
              <w:trPr>
                <w:trHeight w:val="870"/>
              </w:trPr>
              <w:tc>
                <w:tcPr>
                  <w:tcW w:w="7193" w:type="dxa"/>
                  <w:tcBorders>
                    <w:top w:val="single" w:sz="6" w:space="0" w:color="000000"/>
                    <w:left w:val="single" w:sz="6" w:space="0" w:color="000000"/>
                    <w:bottom w:val="single" w:sz="6" w:space="0" w:color="000000"/>
                    <w:right w:val="single" w:sz="6" w:space="0" w:color="000000"/>
                  </w:tcBorders>
                </w:tcPr>
                <w:p w14:paraId="77654179" w14:textId="77777777" w:rsidR="00446BDA" w:rsidRDefault="00AD435C">
                  <w:pPr>
                    <w:spacing w:after="196" w:line="259" w:lineRule="auto"/>
                    <w:ind w:left="0" w:firstLine="0"/>
                  </w:pPr>
                  <w:r>
                    <w:rPr>
                      <w:rFonts w:ascii="Arial" w:eastAsia="Arial" w:hAnsi="Arial" w:cs="Arial"/>
                      <w:sz w:val="20"/>
                    </w:rPr>
                    <w:t xml:space="preserve"> </w:t>
                  </w:r>
                </w:p>
                <w:p w14:paraId="028DBCFE" w14:textId="77777777" w:rsidR="00446BDA" w:rsidRDefault="00AD435C">
                  <w:pPr>
                    <w:spacing w:after="0" w:line="259" w:lineRule="auto"/>
                    <w:ind w:left="0" w:firstLine="0"/>
                  </w:pPr>
                  <w:r>
                    <w:rPr>
                      <w:rFonts w:ascii="Arial" w:eastAsia="Arial" w:hAnsi="Arial" w:cs="Arial"/>
                      <w:sz w:val="20"/>
                    </w:rPr>
                    <w:t>1</w:t>
                  </w:r>
                  <w:r>
                    <w:rPr>
                      <w:rFonts w:ascii="Arial" w:eastAsia="Arial" w:hAnsi="Arial" w:cs="Arial"/>
                      <w:sz w:val="20"/>
                      <w:vertAlign w:val="superscript"/>
                    </w:rPr>
                    <w:t>st</w:t>
                  </w:r>
                  <w:r>
                    <w:rPr>
                      <w:rFonts w:ascii="Arial" w:eastAsia="Arial" w:hAnsi="Arial" w:cs="Arial"/>
                      <w:sz w:val="20"/>
                    </w:rPr>
                    <w:t xml:space="preserve"> Marker’s Provisional mark </w:t>
                  </w:r>
                </w:p>
              </w:tc>
              <w:tc>
                <w:tcPr>
                  <w:tcW w:w="1930" w:type="dxa"/>
                  <w:tcBorders>
                    <w:top w:val="single" w:sz="6" w:space="0" w:color="000000"/>
                    <w:left w:val="single" w:sz="6" w:space="0" w:color="000000"/>
                    <w:bottom w:val="single" w:sz="6" w:space="0" w:color="000000"/>
                    <w:right w:val="single" w:sz="6" w:space="0" w:color="000000"/>
                  </w:tcBorders>
                </w:tcPr>
                <w:p w14:paraId="1297FD52" w14:textId="77777777" w:rsidR="00446BDA" w:rsidRDefault="00AD435C">
                  <w:pPr>
                    <w:spacing w:after="0" w:line="259" w:lineRule="auto"/>
                    <w:ind w:left="10" w:firstLine="0"/>
                  </w:pPr>
                  <w:r>
                    <w:rPr>
                      <w:rFonts w:ascii="Arial" w:eastAsia="Arial" w:hAnsi="Arial" w:cs="Arial"/>
                      <w:sz w:val="20"/>
                    </w:rPr>
                    <w:t xml:space="preserve"> </w:t>
                  </w:r>
                </w:p>
              </w:tc>
            </w:tr>
            <w:tr w:rsidR="00446BDA" w14:paraId="16736D06" w14:textId="77777777">
              <w:trPr>
                <w:trHeight w:val="866"/>
              </w:trPr>
              <w:tc>
                <w:tcPr>
                  <w:tcW w:w="7193" w:type="dxa"/>
                  <w:tcBorders>
                    <w:top w:val="single" w:sz="6" w:space="0" w:color="000000"/>
                    <w:left w:val="single" w:sz="6" w:space="0" w:color="000000"/>
                    <w:bottom w:val="single" w:sz="6" w:space="0" w:color="000000"/>
                    <w:right w:val="single" w:sz="6" w:space="0" w:color="000000"/>
                  </w:tcBorders>
                </w:tcPr>
                <w:p w14:paraId="3B700086" w14:textId="77777777" w:rsidR="00446BDA" w:rsidRDefault="00AD435C">
                  <w:pPr>
                    <w:spacing w:after="197" w:line="259" w:lineRule="auto"/>
                    <w:ind w:left="0" w:firstLine="0"/>
                  </w:pPr>
                  <w:r>
                    <w:rPr>
                      <w:rFonts w:ascii="Arial" w:eastAsia="Arial" w:hAnsi="Arial" w:cs="Arial"/>
                      <w:sz w:val="20"/>
                    </w:rPr>
                    <w:t xml:space="preserve"> </w:t>
                  </w:r>
                </w:p>
                <w:p w14:paraId="52D0F0C4" w14:textId="77777777" w:rsidR="00446BDA" w:rsidRDefault="00AD435C">
                  <w:pPr>
                    <w:spacing w:after="0" w:line="259" w:lineRule="auto"/>
                    <w:ind w:left="0" w:firstLine="0"/>
                  </w:pPr>
                  <w:r>
                    <w:rPr>
                      <w:rFonts w:ascii="Arial" w:eastAsia="Arial" w:hAnsi="Arial" w:cs="Arial"/>
                      <w:sz w:val="20"/>
                    </w:rPr>
                    <w:t>2</w:t>
                  </w:r>
                  <w:r>
                    <w:rPr>
                      <w:rFonts w:ascii="Arial" w:eastAsia="Arial" w:hAnsi="Arial" w:cs="Arial"/>
                      <w:sz w:val="20"/>
                      <w:vertAlign w:val="superscript"/>
                    </w:rPr>
                    <w:t>nd</w:t>
                  </w:r>
                  <w:r>
                    <w:rPr>
                      <w:rFonts w:ascii="Arial" w:eastAsia="Arial" w:hAnsi="Arial" w:cs="Arial"/>
                      <w:sz w:val="20"/>
                    </w:rPr>
                    <w:t xml:space="preserve"> Marker’s/Moderator’s provisional mark </w:t>
                  </w:r>
                </w:p>
              </w:tc>
              <w:tc>
                <w:tcPr>
                  <w:tcW w:w="1930" w:type="dxa"/>
                  <w:tcBorders>
                    <w:top w:val="single" w:sz="6" w:space="0" w:color="000000"/>
                    <w:left w:val="single" w:sz="6" w:space="0" w:color="000000"/>
                    <w:bottom w:val="single" w:sz="6" w:space="0" w:color="000000"/>
                    <w:right w:val="single" w:sz="6" w:space="0" w:color="000000"/>
                  </w:tcBorders>
                </w:tcPr>
                <w:p w14:paraId="34B1721C" w14:textId="77777777" w:rsidR="00446BDA" w:rsidRDefault="00AD435C">
                  <w:pPr>
                    <w:spacing w:after="0" w:line="259" w:lineRule="auto"/>
                    <w:ind w:left="10" w:firstLine="0"/>
                  </w:pPr>
                  <w:r>
                    <w:rPr>
                      <w:rFonts w:ascii="Arial" w:eastAsia="Arial" w:hAnsi="Arial" w:cs="Arial"/>
                      <w:sz w:val="20"/>
                    </w:rPr>
                    <w:t xml:space="preserve"> </w:t>
                  </w:r>
                </w:p>
              </w:tc>
            </w:tr>
            <w:tr w:rsidR="00446BDA" w14:paraId="578DE7DE" w14:textId="77777777">
              <w:trPr>
                <w:trHeight w:val="870"/>
              </w:trPr>
              <w:tc>
                <w:tcPr>
                  <w:tcW w:w="7193" w:type="dxa"/>
                  <w:tcBorders>
                    <w:top w:val="single" w:sz="6" w:space="0" w:color="000000"/>
                    <w:left w:val="single" w:sz="6" w:space="0" w:color="000000"/>
                    <w:bottom w:val="single" w:sz="6" w:space="0" w:color="000000"/>
                    <w:right w:val="single" w:sz="6" w:space="0" w:color="000000"/>
                  </w:tcBorders>
                </w:tcPr>
                <w:p w14:paraId="652A3247" w14:textId="77777777" w:rsidR="00446BDA" w:rsidRDefault="00AD435C">
                  <w:pPr>
                    <w:spacing w:after="216" w:line="259" w:lineRule="auto"/>
                    <w:ind w:left="0" w:firstLine="0"/>
                  </w:pPr>
                  <w:r>
                    <w:rPr>
                      <w:rFonts w:ascii="Arial" w:eastAsia="Arial" w:hAnsi="Arial" w:cs="Arial"/>
                      <w:sz w:val="20"/>
                    </w:rPr>
                    <w:t xml:space="preserve"> </w:t>
                  </w:r>
                </w:p>
                <w:p w14:paraId="1ED7C95A" w14:textId="77777777" w:rsidR="00446BDA" w:rsidRDefault="00AD435C">
                  <w:pPr>
                    <w:spacing w:after="0" w:line="259" w:lineRule="auto"/>
                    <w:ind w:left="0" w:firstLine="0"/>
                  </w:pPr>
                  <w:r>
                    <w:rPr>
                      <w:rFonts w:ascii="Arial" w:eastAsia="Arial" w:hAnsi="Arial" w:cs="Arial"/>
                      <w:sz w:val="20"/>
                    </w:rPr>
                    <w:t xml:space="preserve">External Examiner’s mark (if relevant) </w:t>
                  </w:r>
                </w:p>
              </w:tc>
              <w:tc>
                <w:tcPr>
                  <w:tcW w:w="1930" w:type="dxa"/>
                  <w:tcBorders>
                    <w:top w:val="single" w:sz="6" w:space="0" w:color="000000"/>
                    <w:left w:val="single" w:sz="6" w:space="0" w:color="000000"/>
                    <w:bottom w:val="single" w:sz="6" w:space="0" w:color="000000"/>
                    <w:right w:val="single" w:sz="6" w:space="0" w:color="000000"/>
                  </w:tcBorders>
                </w:tcPr>
                <w:p w14:paraId="57544953" w14:textId="77777777" w:rsidR="00446BDA" w:rsidRDefault="00AD435C">
                  <w:pPr>
                    <w:spacing w:after="0" w:line="259" w:lineRule="auto"/>
                    <w:ind w:left="10" w:firstLine="0"/>
                  </w:pPr>
                  <w:r>
                    <w:rPr>
                      <w:rFonts w:ascii="Arial" w:eastAsia="Arial" w:hAnsi="Arial" w:cs="Arial"/>
                      <w:sz w:val="20"/>
                    </w:rPr>
                    <w:t xml:space="preserve"> </w:t>
                  </w:r>
                </w:p>
              </w:tc>
            </w:tr>
            <w:tr w:rsidR="00446BDA" w14:paraId="11304CFC" w14:textId="77777777">
              <w:trPr>
                <w:trHeight w:val="1300"/>
              </w:trPr>
              <w:tc>
                <w:tcPr>
                  <w:tcW w:w="7193" w:type="dxa"/>
                  <w:tcBorders>
                    <w:top w:val="single" w:sz="6" w:space="0" w:color="000000"/>
                    <w:left w:val="single" w:sz="6" w:space="0" w:color="000000"/>
                    <w:bottom w:val="single" w:sz="6" w:space="0" w:color="000000"/>
                    <w:right w:val="single" w:sz="6" w:space="0" w:color="000000"/>
                  </w:tcBorders>
                </w:tcPr>
                <w:p w14:paraId="7A050D02" w14:textId="77777777" w:rsidR="00446BDA" w:rsidRDefault="00AD435C">
                  <w:pPr>
                    <w:spacing w:after="182" w:line="259" w:lineRule="auto"/>
                    <w:ind w:left="0" w:firstLine="0"/>
                  </w:pPr>
                  <w:r>
                    <w:rPr>
                      <w:rFonts w:ascii="Arial" w:eastAsia="Arial" w:hAnsi="Arial" w:cs="Arial"/>
                      <w:sz w:val="20"/>
                    </w:rPr>
                    <w:t xml:space="preserve"> </w:t>
                  </w:r>
                </w:p>
                <w:p w14:paraId="2ED0EC01" w14:textId="77777777" w:rsidR="00446BDA" w:rsidRDefault="00AD435C">
                  <w:pPr>
                    <w:spacing w:after="177" w:line="259" w:lineRule="auto"/>
                    <w:ind w:left="0" w:firstLine="0"/>
                  </w:pPr>
                  <w:r>
                    <w:rPr>
                      <w:rFonts w:ascii="Arial" w:eastAsia="Arial" w:hAnsi="Arial" w:cs="Arial"/>
                      <w:b/>
                      <w:sz w:val="20"/>
                    </w:rPr>
                    <w:t>Final Mark</w:t>
                  </w:r>
                  <w:r>
                    <w:rPr>
                      <w:rFonts w:ascii="Arial" w:eastAsia="Arial" w:hAnsi="Arial" w:cs="Arial"/>
                      <w:sz w:val="20"/>
                    </w:rPr>
                    <w:t xml:space="preserve"> </w:t>
                  </w:r>
                </w:p>
                <w:p w14:paraId="1FFAB9F5" w14:textId="77777777" w:rsidR="00446BDA" w:rsidRDefault="00AD435C">
                  <w:pPr>
                    <w:spacing w:after="0" w:line="259" w:lineRule="auto"/>
                    <w:ind w:left="0" w:firstLine="0"/>
                  </w:pPr>
                  <w:r>
                    <w:rPr>
                      <w:rFonts w:ascii="Arial" w:eastAsia="Arial" w:hAnsi="Arial" w:cs="Arial"/>
                      <w:sz w:val="20"/>
                    </w:rPr>
                    <w:t xml:space="preserve"> </w:t>
                  </w:r>
                </w:p>
              </w:tc>
              <w:tc>
                <w:tcPr>
                  <w:tcW w:w="1930" w:type="dxa"/>
                  <w:tcBorders>
                    <w:top w:val="single" w:sz="6" w:space="0" w:color="000000"/>
                    <w:left w:val="single" w:sz="6" w:space="0" w:color="000000"/>
                    <w:bottom w:val="single" w:sz="6" w:space="0" w:color="000000"/>
                    <w:right w:val="single" w:sz="6" w:space="0" w:color="000000"/>
                  </w:tcBorders>
                </w:tcPr>
                <w:p w14:paraId="70BCAC71" w14:textId="77777777" w:rsidR="00446BDA" w:rsidRDefault="00AD435C">
                  <w:pPr>
                    <w:spacing w:after="0" w:line="259" w:lineRule="auto"/>
                    <w:ind w:left="10" w:firstLine="0"/>
                  </w:pPr>
                  <w:r>
                    <w:rPr>
                      <w:rFonts w:ascii="Arial" w:eastAsia="Arial" w:hAnsi="Arial" w:cs="Arial"/>
                      <w:sz w:val="20"/>
                    </w:rPr>
                    <w:t xml:space="preserve"> </w:t>
                  </w:r>
                </w:p>
              </w:tc>
            </w:tr>
          </w:tbl>
          <w:p w14:paraId="0506229D" w14:textId="77777777" w:rsidR="00446BDA" w:rsidRDefault="00AD435C">
            <w:pPr>
              <w:spacing w:after="22" w:line="259" w:lineRule="auto"/>
              <w:ind w:left="145" w:firstLine="0"/>
            </w:pPr>
            <w:r>
              <w:rPr>
                <w:rFonts w:ascii="Arial" w:eastAsia="Arial" w:hAnsi="Arial" w:cs="Arial"/>
                <w:sz w:val="22"/>
              </w:rPr>
              <w:t xml:space="preserve"> </w:t>
            </w:r>
          </w:p>
          <w:p w14:paraId="576A83F3" w14:textId="77777777" w:rsidR="00446BDA" w:rsidRDefault="00AD435C">
            <w:pPr>
              <w:spacing w:after="17" w:line="259" w:lineRule="auto"/>
              <w:ind w:left="145" w:firstLine="0"/>
            </w:pPr>
            <w:r>
              <w:rPr>
                <w:rFonts w:ascii="Arial" w:eastAsia="Arial" w:hAnsi="Arial" w:cs="Arial"/>
                <w:b/>
                <w:sz w:val="22"/>
              </w:rPr>
              <w:t>NB.</w:t>
            </w:r>
            <w:r>
              <w:rPr>
                <w:rFonts w:ascii="Arial" w:eastAsia="Arial" w:hAnsi="Arial" w:cs="Arial"/>
                <w:sz w:val="22"/>
              </w:rPr>
              <w:t xml:space="preserve">  All marks are provisional until confirmed by the Final Examination Board. </w:t>
            </w:r>
          </w:p>
          <w:p w14:paraId="2C54F3D8" w14:textId="77777777" w:rsidR="00446BDA" w:rsidRDefault="00AD435C">
            <w:pPr>
              <w:spacing w:after="22" w:line="259" w:lineRule="auto"/>
              <w:ind w:left="5" w:firstLine="0"/>
            </w:pPr>
            <w:r>
              <w:rPr>
                <w:rFonts w:ascii="Arial" w:eastAsia="Arial" w:hAnsi="Arial" w:cs="Arial"/>
                <w:sz w:val="22"/>
              </w:rPr>
              <w:t xml:space="preserve"> </w:t>
            </w:r>
          </w:p>
          <w:p w14:paraId="521B74E4" w14:textId="77777777" w:rsidR="00446BDA" w:rsidRDefault="00AD435C">
            <w:pPr>
              <w:spacing w:after="22" w:line="259" w:lineRule="auto"/>
              <w:ind w:left="5" w:firstLine="0"/>
            </w:pPr>
            <w:r>
              <w:rPr>
                <w:rFonts w:ascii="Arial" w:eastAsia="Arial" w:hAnsi="Arial" w:cs="Arial"/>
                <w:sz w:val="22"/>
              </w:rPr>
              <w:t xml:space="preserve"> </w:t>
            </w:r>
          </w:p>
          <w:p w14:paraId="02603D5A" w14:textId="77777777" w:rsidR="00446BDA" w:rsidRDefault="00AD435C">
            <w:pPr>
              <w:spacing w:after="22" w:line="259" w:lineRule="auto"/>
              <w:ind w:left="5" w:firstLine="0"/>
            </w:pPr>
            <w:r>
              <w:rPr>
                <w:rFonts w:ascii="Arial" w:eastAsia="Arial" w:hAnsi="Arial" w:cs="Arial"/>
                <w:sz w:val="22"/>
              </w:rPr>
              <w:t xml:space="preserve"> </w:t>
            </w:r>
          </w:p>
          <w:p w14:paraId="411E5619" w14:textId="77777777" w:rsidR="00446BDA" w:rsidRDefault="00AD435C">
            <w:pPr>
              <w:spacing w:after="22" w:line="259" w:lineRule="auto"/>
              <w:ind w:left="5" w:firstLine="0"/>
            </w:pPr>
            <w:r>
              <w:rPr>
                <w:rFonts w:ascii="Arial" w:eastAsia="Arial" w:hAnsi="Arial" w:cs="Arial"/>
                <w:sz w:val="22"/>
              </w:rPr>
              <w:t xml:space="preserve"> </w:t>
            </w:r>
          </w:p>
          <w:p w14:paraId="43D9E3F6" w14:textId="77777777" w:rsidR="00446BDA" w:rsidRDefault="00AD435C">
            <w:pPr>
              <w:spacing w:after="302" w:line="259" w:lineRule="auto"/>
              <w:ind w:left="5" w:firstLine="0"/>
            </w:pPr>
            <w:r>
              <w:rPr>
                <w:rFonts w:ascii="Arial" w:eastAsia="Arial" w:hAnsi="Arial" w:cs="Arial"/>
                <w:b/>
                <w:sz w:val="22"/>
              </w:rPr>
              <w:t>For completion by Marker 1 :</w:t>
            </w:r>
            <w:r>
              <w:rPr>
                <w:rFonts w:ascii="Arial" w:eastAsia="Arial" w:hAnsi="Arial" w:cs="Arial"/>
                <w:sz w:val="22"/>
              </w:rPr>
              <w:t xml:space="preserve"> </w:t>
            </w:r>
          </w:p>
          <w:p w14:paraId="190B2DE9" w14:textId="77777777" w:rsidR="00446BDA" w:rsidRDefault="00AD435C">
            <w:pPr>
              <w:spacing w:after="297" w:line="259" w:lineRule="auto"/>
              <w:ind w:left="5" w:firstLine="0"/>
            </w:pPr>
            <w:r>
              <w:rPr>
                <w:rFonts w:ascii="Arial" w:eastAsia="Arial" w:hAnsi="Arial" w:cs="Arial"/>
                <w:sz w:val="22"/>
              </w:rPr>
              <w:t xml:space="preserve">Comments: </w:t>
            </w:r>
          </w:p>
          <w:p w14:paraId="5CECF971" w14:textId="77777777" w:rsidR="00446BDA" w:rsidRDefault="00AD435C">
            <w:pPr>
              <w:spacing w:after="0" w:line="259" w:lineRule="auto"/>
              <w:ind w:left="5" w:firstLine="0"/>
            </w:pPr>
            <w:r>
              <w:rPr>
                <w:rFonts w:ascii="Arial" w:eastAsia="Arial" w:hAnsi="Arial" w:cs="Arial"/>
                <w:sz w:val="22"/>
              </w:rPr>
              <w:t xml:space="preserve"> </w:t>
            </w:r>
          </w:p>
        </w:tc>
      </w:tr>
      <w:tr w:rsidR="00446BDA" w14:paraId="7E119C71" w14:textId="77777777">
        <w:trPr>
          <w:trHeight w:val="495"/>
        </w:trPr>
        <w:tc>
          <w:tcPr>
            <w:tcW w:w="5617" w:type="dxa"/>
            <w:gridSpan w:val="2"/>
            <w:tcBorders>
              <w:top w:val="single" w:sz="6" w:space="0" w:color="000000"/>
              <w:left w:val="single" w:sz="6" w:space="0" w:color="000000"/>
              <w:bottom w:val="single" w:sz="6" w:space="0" w:color="000000"/>
              <w:right w:val="single" w:sz="6" w:space="0" w:color="000000"/>
            </w:tcBorders>
            <w:vAlign w:val="center"/>
          </w:tcPr>
          <w:p w14:paraId="13FC49D4" w14:textId="77777777" w:rsidR="00446BDA" w:rsidRDefault="00AD435C">
            <w:pPr>
              <w:spacing w:after="0" w:line="259" w:lineRule="auto"/>
              <w:ind w:left="140" w:firstLine="0"/>
            </w:pPr>
            <w:r>
              <w:rPr>
                <w:rFonts w:ascii="Arial" w:eastAsia="Arial" w:hAnsi="Arial" w:cs="Arial"/>
                <w:sz w:val="22"/>
              </w:rPr>
              <w:t xml:space="preserve">Marker’s signature: </w:t>
            </w:r>
          </w:p>
        </w:tc>
        <w:tc>
          <w:tcPr>
            <w:tcW w:w="3746" w:type="dxa"/>
            <w:tcBorders>
              <w:top w:val="single" w:sz="6" w:space="0" w:color="000000"/>
              <w:left w:val="single" w:sz="6" w:space="0" w:color="000000"/>
              <w:bottom w:val="single" w:sz="6" w:space="0" w:color="000000"/>
              <w:right w:val="single" w:sz="6" w:space="0" w:color="000000"/>
            </w:tcBorders>
            <w:vAlign w:val="center"/>
          </w:tcPr>
          <w:p w14:paraId="50A8FD7E" w14:textId="77777777" w:rsidR="00446BDA" w:rsidRDefault="00AD435C">
            <w:pPr>
              <w:spacing w:after="0" w:line="259" w:lineRule="auto"/>
              <w:ind w:left="140" w:firstLine="0"/>
            </w:pPr>
            <w:r>
              <w:rPr>
                <w:rFonts w:ascii="Arial" w:eastAsia="Arial" w:hAnsi="Arial" w:cs="Arial"/>
                <w:sz w:val="22"/>
              </w:rPr>
              <w:t xml:space="preserve">Date: </w:t>
            </w:r>
          </w:p>
        </w:tc>
      </w:tr>
      <w:tr w:rsidR="00446BDA" w14:paraId="4B0A31D3" w14:textId="77777777">
        <w:trPr>
          <w:trHeight w:val="4426"/>
        </w:trPr>
        <w:tc>
          <w:tcPr>
            <w:tcW w:w="9364" w:type="dxa"/>
            <w:gridSpan w:val="3"/>
            <w:tcBorders>
              <w:top w:val="single" w:sz="6" w:space="0" w:color="000000"/>
              <w:left w:val="single" w:sz="6" w:space="0" w:color="000000"/>
              <w:bottom w:val="single" w:sz="6" w:space="0" w:color="000000"/>
              <w:right w:val="single" w:sz="6" w:space="0" w:color="000000"/>
            </w:tcBorders>
          </w:tcPr>
          <w:p w14:paraId="04AB9ACF" w14:textId="77777777" w:rsidR="00446BDA" w:rsidRDefault="00AD435C">
            <w:pPr>
              <w:spacing w:after="22" w:line="259" w:lineRule="auto"/>
              <w:ind w:left="0" w:firstLine="0"/>
            </w:pPr>
            <w:r>
              <w:rPr>
                <w:rFonts w:ascii="Arial" w:eastAsia="Arial" w:hAnsi="Arial" w:cs="Arial"/>
                <w:sz w:val="22"/>
              </w:rPr>
              <w:lastRenderedPageBreak/>
              <w:t xml:space="preserve"> </w:t>
            </w:r>
          </w:p>
          <w:p w14:paraId="465E9F23" w14:textId="77777777" w:rsidR="00446BDA" w:rsidRDefault="00AD435C">
            <w:pPr>
              <w:spacing w:after="22" w:line="259" w:lineRule="auto"/>
              <w:ind w:left="0" w:firstLine="0"/>
            </w:pPr>
            <w:r>
              <w:rPr>
                <w:rFonts w:ascii="Arial" w:eastAsia="Arial" w:hAnsi="Arial" w:cs="Arial"/>
                <w:b/>
                <w:sz w:val="22"/>
              </w:rPr>
              <w:t>For completion by Marker 2/Moderator:</w:t>
            </w:r>
            <w:r>
              <w:rPr>
                <w:rFonts w:ascii="Arial" w:eastAsia="Arial" w:hAnsi="Arial" w:cs="Arial"/>
                <w:sz w:val="22"/>
              </w:rPr>
              <w:t xml:space="preserve"> </w:t>
            </w:r>
          </w:p>
          <w:p w14:paraId="370BD470" w14:textId="77777777" w:rsidR="00446BDA" w:rsidRDefault="00AD435C">
            <w:pPr>
              <w:spacing w:after="22" w:line="259" w:lineRule="auto"/>
              <w:ind w:left="0" w:firstLine="0"/>
            </w:pPr>
            <w:r>
              <w:rPr>
                <w:rFonts w:ascii="Arial" w:eastAsia="Arial" w:hAnsi="Arial" w:cs="Arial"/>
                <w:sz w:val="22"/>
              </w:rPr>
              <w:t xml:space="preserve"> </w:t>
            </w:r>
          </w:p>
          <w:p w14:paraId="5BE1948B" w14:textId="77777777" w:rsidR="00446BDA" w:rsidRDefault="00AD435C">
            <w:pPr>
              <w:spacing w:after="17" w:line="259" w:lineRule="auto"/>
              <w:ind w:left="0" w:firstLine="0"/>
            </w:pPr>
            <w:r>
              <w:rPr>
                <w:rFonts w:ascii="Arial" w:eastAsia="Arial" w:hAnsi="Arial" w:cs="Arial"/>
                <w:sz w:val="22"/>
              </w:rPr>
              <w:t xml:space="preserve">Comments: </w:t>
            </w:r>
          </w:p>
          <w:p w14:paraId="780C79C0" w14:textId="77777777" w:rsidR="00446BDA" w:rsidRDefault="00AD435C">
            <w:pPr>
              <w:spacing w:after="22" w:line="259" w:lineRule="auto"/>
              <w:ind w:left="0" w:firstLine="0"/>
            </w:pPr>
            <w:r>
              <w:rPr>
                <w:rFonts w:ascii="Arial" w:eastAsia="Arial" w:hAnsi="Arial" w:cs="Arial"/>
                <w:sz w:val="22"/>
              </w:rPr>
              <w:t xml:space="preserve"> </w:t>
            </w:r>
          </w:p>
          <w:p w14:paraId="11A7B21D" w14:textId="77777777" w:rsidR="00446BDA" w:rsidRDefault="00AD435C">
            <w:pPr>
              <w:spacing w:after="22" w:line="259" w:lineRule="auto"/>
              <w:ind w:left="0" w:firstLine="0"/>
            </w:pPr>
            <w:r>
              <w:rPr>
                <w:rFonts w:ascii="Arial" w:eastAsia="Arial" w:hAnsi="Arial" w:cs="Arial"/>
                <w:sz w:val="22"/>
              </w:rPr>
              <w:t xml:space="preserve"> </w:t>
            </w:r>
          </w:p>
          <w:p w14:paraId="6968C3A5" w14:textId="77777777" w:rsidR="00446BDA" w:rsidRDefault="00AD435C">
            <w:pPr>
              <w:spacing w:after="22" w:line="259" w:lineRule="auto"/>
              <w:ind w:left="0" w:firstLine="0"/>
            </w:pPr>
            <w:r>
              <w:rPr>
                <w:rFonts w:ascii="Arial" w:eastAsia="Arial" w:hAnsi="Arial" w:cs="Arial"/>
                <w:sz w:val="22"/>
              </w:rPr>
              <w:t xml:space="preserve"> </w:t>
            </w:r>
          </w:p>
          <w:p w14:paraId="73268B39" w14:textId="77777777" w:rsidR="00446BDA" w:rsidRDefault="00AD435C">
            <w:pPr>
              <w:spacing w:after="22" w:line="259" w:lineRule="auto"/>
              <w:ind w:left="0" w:firstLine="0"/>
            </w:pPr>
            <w:r>
              <w:rPr>
                <w:rFonts w:ascii="Arial" w:eastAsia="Arial" w:hAnsi="Arial" w:cs="Arial"/>
                <w:sz w:val="22"/>
              </w:rPr>
              <w:t xml:space="preserve"> </w:t>
            </w:r>
          </w:p>
          <w:p w14:paraId="28B7F455" w14:textId="77777777" w:rsidR="00446BDA" w:rsidRDefault="00AD435C">
            <w:pPr>
              <w:spacing w:after="22" w:line="259" w:lineRule="auto"/>
              <w:ind w:left="0" w:firstLine="0"/>
            </w:pPr>
            <w:r>
              <w:rPr>
                <w:rFonts w:ascii="Arial" w:eastAsia="Arial" w:hAnsi="Arial" w:cs="Arial"/>
                <w:sz w:val="22"/>
              </w:rPr>
              <w:t xml:space="preserve"> </w:t>
            </w:r>
          </w:p>
          <w:p w14:paraId="342526A3" w14:textId="77777777" w:rsidR="00446BDA" w:rsidRDefault="00AD435C">
            <w:pPr>
              <w:spacing w:after="17" w:line="259" w:lineRule="auto"/>
              <w:ind w:left="0" w:firstLine="0"/>
            </w:pPr>
            <w:r>
              <w:rPr>
                <w:rFonts w:ascii="Arial" w:eastAsia="Arial" w:hAnsi="Arial" w:cs="Arial"/>
                <w:sz w:val="22"/>
              </w:rPr>
              <w:t xml:space="preserve"> </w:t>
            </w:r>
          </w:p>
          <w:p w14:paraId="1048192E" w14:textId="77777777" w:rsidR="00446BDA" w:rsidRDefault="00AD435C">
            <w:pPr>
              <w:spacing w:after="22" w:line="259" w:lineRule="auto"/>
              <w:ind w:left="0" w:firstLine="0"/>
            </w:pPr>
            <w:r>
              <w:rPr>
                <w:rFonts w:ascii="Arial" w:eastAsia="Arial" w:hAnsi="Arial" w:cs="Arial"/>
                <w:sz w:val="22"/>
              </w:rPr>
              <w:t xml:space="preserve"> </w:t>
            </w:r>
          </w:p>
          <w:p w14:paraId="38FAA4A5" w14:textId="77777777" w:rsidR="00446BDA" w:rsidRDefault="00AD435C">
            <w:pPr>
              <w:spacing w:after="22" w:line="259" w:lineRule="auto"/>
              <w:ind w:left="0" w:firstLine="0"/>
            </w:pPr>
            <w:r>
              <w:rPr>
                <w:rFonts w:ascii="Arial" w:eastAsia="Arial" w:hAnsi="Arial" w:cs="Arial"/>
                <w:sz w:val="22"/>
              </w:rPr>
              <w:t xml:space="preserve"> </w:t>
            </w:r>
          </w:p>
          <w:p w14:paraId="028B2ADB" w14:textId="77777777" w:rsidR="00446BDA" w:rsidRDefault="00AD435C">
            <w:pPr>
              <w:spacing w:after="22" w:line="259" w:lineRule="auto"/>
              <w:ind w:left="0" w:firstLine="0"/>
            </w:pPr>
            <w:r>
              <w:rPr>
                <w:rFonts w:ascii="Arial" w:eastAsia="Arial" w:hAnsi="Arial" w:cs="Arial"/>
                <w:sz w:val="22"/>
              </w:rPr>
              <w:t xml:space="preserve"> </w:t>
            </w:r>
          </w:p>
          <w:p w14:paraId="2FF7D007" w14:textId="77777777" w:rsidR="00446BDA" w:rsidRDefault="00AD435C">
            <w:pPr>
              <w:spacing w:after="22" w:line="259" w:lineRule="auto"/>
              <w:ind w:left="0" w:firstLine="0"/>
            </w:pPr>
            <w:r>
              <w:rPr>
                <w:rFonts w:ascii="Arial" w:eastAsia="Arial" w:hAnsi="Arial" w:cs="Arial"/>
                <w:sz w:val="22"/>
              </w:rPr>
              <w:t xml:space="preserve"> </w:t>
            </w:r>
          </w:p>
          <w:p w14:paraId="50F4666D" w14:textId="77777777" w:rsidR="00446BDA" w:rsidRDefault="00AD435C">
            <w:pPr>
              <w:spacing w:after="0" w:line="259" w:lineRule="auto"/>
              <w:ind w:left="0" w:firstLine="0"/>
            </w:pPr>
            <w:r>
              <w:rPr>
                <w:rFonts w:ascii="Arial" w:eastAsia="Arial" w:hAnsi="Arial" w:cs="Arial"/>
                <w:sz w:val="22"/>
              </w:rPr>
              <w:t xml:space="preserve"> </w:t>
            </w:r>
          </w:p>
        </w:tc>
      </w:tr>
      <w:tr w:rsidR="00446BDA" w14:paraId="317B5F5C" w14:textId="77777777">
        <w:trPr>
          <w:trHeight w:val="735"/>
        </w:trPr>
        <w:tc>
          <w:tcPr>
            <w:tcW w:w="3747" w:type="dxa"/>
            <w:tcBorders>
              <w:top w:val="single" w:sz="6" w:space="0" w:color="000000"/>
              <w:left w:val="single" w:sz="6" w:space="0" w:color="000000"/>
              <w:bottom w:val="single" w:sz="6" w:space="0" w:color="000000"/>
              <w:right w:val="single" w:sz="6" w:space="0" w:color="000000"/>
            </w:tcBorders>
            <w:vAlign w:val="center"/>
          </w:tcPr>
          <w:p w14:paraId="61263767" w14:textId="77777777" w:rsidR="00446BDA" w:rsidRDefault="00AD435C">
            <w:pPr>
              <w:spacing w:after="0" w:line="259" w:lineRule="auto"/>
              <w:ind w:left="0" w:firstLine="0"/>
            </w:pPr>
            <w:r>
              <w:rPr>
                <w:rFonts w:ascii="Arial" w:eastAsia="Arial" w:hAnsi="Arial" w:cs="Arial"/>
                <w:sz w:val="22"/>
              </w:rPr>
              <w:t xml:space="preserve">Marker’s Signature: </w:t>
            </w:r>
          </w:p>
        </w:tc>
        <w:tc>
          <w:tcPr>
            <w:tcW w:w="5617" w:type="dxa"/>
            <w:gridSpan w:val="2"/>
            <w:tcBorders>
              <w:top w:val="single" w:sz="6" w:space="0" w:color="000000"/>
              <w:left w:val="single" w:sz="6" w:space="0" w:color="000000"/>
              <w:bottom w:val="single" w:sz="6" w:space="0" w:color="000000"/>
              <w:right w:val="single" w:sz="6" w:space="0" w:color="000000"/>
            </w:tcBorders>
            <w:vAlign w:val="center"/>
          </w:tcPr>
          <w:p w14:paraId="12285CC3" w14:textId="77777777" w:rsidR="00446BDA" w:rsidRDefault="00AD435C">
            <w:pPr>
              <w:spacing w:after="0" w:line="259" w:lineRule="auto"/>
              <w:ind w:left="0" w:firstLine="0"/>
            </w:pPr>
            <w:r>
              <w:rPr>
                <w:rFonts w:ascii="Arial" w:eastAsia="Arial" w:hAnsi="Arial" w:cs="Arial"/>
                <w:sz w:val="22"/>
              </w:rPr>
              <w:t xml:space="preserve">Date: </w:t>
            </w:r>
          </w:p>
        </w:tc>
      </w:tr>
      <w:tr w:rsidR="00446BDA" w14:paraId="0203836F" w14:textId="77777777">
        <w:trPr>
          <w:trHeight w:val="3411"/>
        </w:trPr>
        <w:tc>
          <w:tcPr>
            <w:tcW w:w="9364" w:type="dxa"/>
            <w:gridSpan w:val="3"/>
            <w:tcBorders>
              <w:top w:val="single" w:sz="6" w:space="0" w:color="000000"/>
              <w:left w:val="single" w:sz="6" w:space="0" w:color="000000"/>
              <w:bottom w:val="single" w:sz="6" w:space="0" w:color="000000"/>
              <w:right w:val="single" w:sz="6" w:space="0" w:color="000000"/>
            </w:tcBorders>
          </w:tcPr>
          <w:p w14:paraId="650620F0" w14:textId="77777777" w:rsidR="00446BDA" w:rsidRDefault="00AD435C">
            <w:pPr>
              <w:spacing w:after="182" w:line="259" w:lineRule="auto"/>
              <w:ind w:left="0" w:firstLine="0"/>
            </w:pPr>
            <w:r>
              <w:rPr>
                <w:rFonts w:ascii="Arial" w:eastAsia="Arial" w:hAnsi="Arial" w:cs="Arial"/>
                <w:b/>
                <w:sz w:val="22"/>
              </w:rPr>
              <w:t>External Examiner’s comments (if relevant)</w:t>
            </w:r>
            <w:r>
              <w:rPr>
                <w:rFonts w:ascii="Arial" w:eastAsia="Arial" w:hAnsi="Arial" w:cs="Arial"/>
                <w:sz w:val="22"/>
              </w:rPr>
              <w:t xml:space="preserve"> </w:t>
            </w:r>
          </w:p>
          <w:p w14:paraId="372A9332" w14:textId="77777777" w:rsidR="00446BDA" w:rsidRDefault="00AD435C">
            <w:pPr>
              <w:spacing w:after="22" w:line="259" w:lineRule="auto"/>
              <w:ind w:left="0" w:firstLine="0"/>
            </w:pPr>
            <w:r>
              <w:rPr>
                <w:rFonts w:ascii="Arial" w:eastAsia="Arial" w:hAnsi="Arial" w:cs="Arial"/>
                <w:sz w:val="22"/>
              </w:rPr>
              <w:t xml:space="preserve"> </w:t>
            </w:r>
          </w:p>
          <w:p w14:paraId="775DB03D" w14:textId="77777777" w:rsidR="00446BDA" w:rsidRDefault="00AD435C">
            <w:pPr>
              <w:spacing w:after="22" w:line="259" w:lineRule="auto"/>
              <w:ind w:left="0" w:firstLine="0"/>
            </w:pPr>
            <w:r>
              <w:rPr>
                <w:rFonts w:ascii="Arial" w:eastAsia="Arial" w:hAnsi="Arial" w:cs="Arial"/>
                <w:sz w:val="22"/>
              </w:rPr>
              <w:t xml:space="preserve"> </w:t>
            </w:r>
          </w:p>
          <w:p w14:paraId="603F1483" w14:textId="77777777" w:rsidR="00446BDA" w:rsidRDefault="00AD435C">
            <w:pPr>
              <w:spacing w:after="22" w:line="259" w:lineRule="auto"/>
              <w:ind w:left="0" w:firstLine="0"/>
            </w:pPr>
            <w:r>
              <w:rPr>
                <w:rFonts w:ascii="Arial" w:eastAsia="Arial" w:hAnsi="Arial" w:cs="Arial"/>
                <w:sz w:val="22"/>
              </w:rPr>
              <w:t xml:space="preserve"> </w:t>
            </w:r>
          </w:p>
          <w:p w14:paraId="6F02C545" w14:textId="77777777" w:rsidR="00446BDA" w:rsidRDefault="00AD435C">
            <w:pPr>
              <w:spacing w:after="17" w:line="259" w:lineRule="auto"/>
              <w:ind w:left="0" w:firstLine="0"/>
            </w:pPr>
            <w:r>
              <w:rPr>
                <w:rFonts w:ascii="Arial" w:eastAsia="Arial" w:hAnsi="Arial" w:cs="Arial"/>
                <w:sz w:val="22"/>
              </w:rPr>
              <w:t xml:space="preserve"> </w:t>
            </w:r>
          </w:p>
          <w:p w14:paraId="5856E68B" w14:textId="77777777" w:rsidR="00446BDA" w:rsidRDefault="00AD435C">
            <w:pPr>
              <w:spacing w:after="22" w:line="259" w:lineRule="auto"/>
              <w:ind w:left="0" w:firstLine="0"/>
            </w:pPr>
            <w:r>
              <w:rPr>
                <w:rFonts w:ascii="Arial" w:eastAsia="Arial" w:hAnsi="Arial" w:cs="Arial"/>
                <w:sz w:val="22"/>
              </w:rPr>
              <w:t xml:space="preserve"> </w:t>
            </w:r>
          </w:p>
          <w:p w14:paraId="18D753B7" w14:textId="77777777" w:rsidR="00446BDA" w:rsidRDefault="00AD435C">
            <w:pPr>
              <w:spacing w:after="22" w:line="259" w:lineRule="auto"/>
              <w:ind w:left="0" w:firstLine="0"/>
            </w:pPr>
            <w:r>
              <w:rPr>
                <w:rFonts w:ascii="Arial" w:eastAsia="Arial" w:hAnsi="Arial" w:cs="Arial"/>
                <w:sz w:val="22"/>
              </w:rPr>
              <w:t xml:space="preserve"> </w:t>
            </w:r>
          </w:p>
          <w:p w14:paraId="17B35891" w14:textId="77777777" w:rsidR="00446BDA" w:rsidRDefault="00AD435C">
            <w:pPr>
              <w:spacing w:after="22" w:line="259" w:lineRule="auto"/>
              <w:ind w:left="0" w:firstLine="0"/>
            </w:pPr>
            <w:r>
              <w:rPr>
                <w:rFonts w:ascii="Arial" w:eastAsia="Arial" w:hAnsi="Arial" w:cs="Arial"/>
                <w:sz w:val="22"/>
              </w:rPr>
              <w:t xml:space="preserve"> </w:t>
            </w:r>
          </w:p>
          <w:p w14:paraId="56597848" w14:textId="77777777" w:rsidR="00446BDA" w:rsidRDefault="00AD435C">
            <w:pPr>
              <w:spacing w:after="22" w:line="259" w:lineRule="auto"/>
              <w:ind w:left="0" w:firstLine="0"/>
            </w:pPr>
            <w:r>
              <w:rPr>
                <w:rFonts w:ascii="Arial" w:eastAsia="Arial" w:hAnsi="Arial" w:cs="Arial"/>
                <w:sz w:val="22"/>
              </w:rPr>
              <w:t xml:space="preserve"> </w:t>
            </w:r>
          </w:p>
          <w:p w14:paraId="4168588B" w14:textId="77777777" w:rsidR="00446BDA" w:rsidRDefault="00AD435C">
            <w:pPr>
              <w:spacing w:after="17" w:line="259" w:lineRule="auto"/>
              <w:ind w:left="0" w:firstLine="0"/>
            </w:pPr>
            <w:r>
              <w:rPr>
                <w:rFonts w:ascii="Arial" w:eastAsia="Arial" w:hAnsi="Arial" w:cs="Arial"/>
                <w:sz w:val="22"/>
              </w:rPr>
              <w:t xml:space="preserve"> </w:t>
            </w:r>
          </w:p>
          <w:p w14:paraId="5B19A609" w14:textId="77777777" w:rsidR="00446BDA" w:rsidRDefault="00AD435C">
            <w:pPr>
              <w:spacing w:after="0" w:line="259" w:lineRule="auto"/>
              <w:ind w:left="0" w:firstLine="0"/>
            </w:pPr>
            <w:r>
              <w:rPr>
                <w:rFonts w:ascii="Arial" w:eastAsia="Arial" w:hAnsi="Arial" w:cs="Arial"/>
                <w:sz w:val="22"/>
              </w:rPr>
              <w:t xml:space="preserve"> </w:t>
            </w:r>
          </w:p>
        </w:tc>
      </w:tr>
      <w:tr w:rsidR="00446BDA" w14:paraId="3D6E6E70" w14:textId="77777777">
        <w:trPr>
          <w:trHeight w:val="735"/>
        </w:trPr>
        <w:tc>
          <w:tcPr>
            <w:tcW w:w="3747" w:type="dxa"/>
            <w:tcBorders>
              <w:top w:val="single" w:sz="6" w:space="0" w:color="000000"/>
              <w:left w:val="single" w:sz="6" w:space="0" w:color="000000"/>
              <w:bottom w:val="single" w:sz="6" w:space="0" w:color="000000"/>
              <w:right w:val="single" w:sz="6" w:space="0" w:color="000000"/>
            </w:tcBorders>
          </w:tcPr>
          <w:p w14:paraId="5BD5FCD5" w14:textId="77777777" w:rsidR="00446BDA" w:rsidRDefault="00AD435C">
            <w:pPr>
              <w:spacing w:after="0" w:line="259" w:lineRule="auto"/>
              <w:ind w:left="0" w:firstLine="0"/>
            </w:pPr>
            <w:r>
              <w:rPr>
                <w:rFonts w:ascii="Arial" w:eastAsia="Arial" w:hAnsi="Arial" w:cs="Arial"/>
                <w:sz w:val="22"/>
              </w:rPr>
              <w:t xml:space="preserve">External Examiner’s Signature: </w:t>
            </w:r>
          </w:p>
        </w:tc>
        <w:tc>
          <w:tcPr>
            <w:tcW w:w="5617" w:type="dxa"/>
            <w:gridSpan w:val="2"/>
            <w:tcBorders>
              <w:top w:val="single" w:sz="6" w:space="0" w:color="000000"/>
              <w:left w:val="single" w:sz="6" w:space="0" w:color="000000"/>
              <w:bottom w:val="single" w:sz="6" w:space="0" w:color="000000"/>
              <w:right w:val="single" w:sz="6" w:space="0" w:color="000000"/>
            </w:tcBorders>
          </w:tcPr>
          <w:p w14:paraId="3B516A79" w14:textId="77777777" w:rsidR="00446BDA" w:rsidRDefault="00AD435C">
            <w:pPr>
              <w:spacing w:after="0" w:line="259" w:lineRule="auto"/>
              <w:ind w:left="0" w:firstLine="0"/>
            </w:pPr>
            <w:r>
              <w:rPr>
                <w:rFonts w:ascii="Arial" w:eastAsia="Arial" w:hAnsi="Arial" w:cs="Arial"/>
                <w:sz w:val="22"/>
              </w:rPr>
              <w:t xml:space="preserve">Date: </w:t>
            </w:r>
          </w:p>
        </w:tc>
      </w:tr>
    </w:tbl>
    <w:p w14:paraId="508F874B" w14:textId="77777777" w:rsidR="00446BDA" w:rsidRDefault="00AD435C">
      <w:pPr>
        <w:spacing w:after="22" w:line="259" w:lineRule="auto"/>
        <w:ind w:left="181" w:firstLine="0"/>
      </w:pPr>
      <w:r>
        <w:rPr>
          <w:rFonts w:ascii="Trebuchet MS" w:eastAsia="Trebuchet MS" w:hAnsi="Trebuchet MS" w:cs="Trebuchet MS"/>
        </w:rPr>
        <w:t xml:space="preserve"> </w:t>
      </w:r>
    </w:p>
    <w:p w14:paraId="2D462276" w14:textId="77777777" w:rsidR="00446BDA" w:rsidRDefault="00AD435C">
      <w:pPr>
        <w:spacing w:after="182" w:line="259" w:lineRule="auto"/>
        <w:ind w:left="181" w:firstLine="0"/>
      </w:pPr>
      <w:r>
        <w:rPr>
          <w:rFonts w:ascii="Arial" w:eastAsia="Arial" w:hAnsi="Arial" w:cs="Arial"/>
        </w:rPr>
        <w:t xml:space="preserve"> </w:t>
      </w:r>
    </w:p>
    <w:p w14:paraId="76A4D704" w14:textId="77777777" w:rsidR="00446BDA" w:rsidRDefault="00AD435C">
      <w:pPr>
        <w:spacing w:after="182" w:line="259" w:lineRule="auto"/>
        <w:ind w:left="181" w:firstLine="0"/>
      </w:pPr>
      <w:r>
        <w:rPr>
          <w:rFonts w:ascii="Arial" w:eastAsia="Arial" w:hAnsi="Arial" w:cs="Arial"/>
        </w:rPr>
        <w:t xml:space="preserve"> </w:t>
      </w:r>
    </w:p>
    <w:p w14:paraId="2CD99F9A" w14:textId="77777777" w:rsidR="00446BDA" w:rsidRDefault="00AD435C">
      <w:pPr>
        <w:spacing w:after="189" w:line="259" w:lineRule="auto"/>
        <w:ind w:left="181" w:firstLine="0"/>
      </w:pPr>
      <w:r>
        <w:rPr>
          <w:rFonts w:cs="Aptos"/>
          <w:b/>
        </w:rPr>
        <w:t xml:space="preserve"> </w:t>
      </w:r>
    </w:p>
    <w:p w14:paraId="33CCA70B" w14:textId="77777777" w:rsidR="00446BDA" w:rsidRDefault="00AD435C">
      <w:pPr>
        <w:spacing w:after="184" w:line="259" w:lineRule="auto"/>
        <w:ind w:left="181" w:firstLine="0"/>
      </w:pPr>
      <w:r>
        <w:rPr>
          <w:rFonts w:cs="Aptos"/>
          <w:b/>
        </w:rPr>
        <w:t xml:space="preserve"> </w:t>
      </w:r>
    </w:p>
    <w:p w14:paraId="1C75C1A9" w14:textId="77777777" w:rsidR="001E07B8" w:rsidRPr="001E07B8" w:rsidRDefault="00AD435C" w:rsidP="005F1D3D">
      <w:pPr>
        <w:rPr>
          <w:rFonts w:asciiTheme="minorHAnsi" w:eastAsiaTheme="minorEastAsia" w:hAnsiTheme="minorHAnsi" w:cstheme="minorBidi"/>
          <w:color w:val="auto"/>
          <w:kern w:val="0"/>
          <w:lang w:val="en-GB" w:eastAsia="ja-JP"/>
          <w14:ligatures w14:val="none"/>
        </w:rPr>
      </w:pPr>
      <w:r>
        <w:rPr>
          <w:rFonts w:cs="Aptos"/>
          <w:b/>
        </w:rPr>
        <w:lastRenderedPageBreak/>
        <w:t xml:space="preserve"> </w:t>
      </w:r>
      <w:r w:rsidR="001E07B8" w:rsidRPr="001E07B8">
        <w:rPr>
          <w:rFonts w:asciiTheme="minorHAnsi" w:eastAsiaTheme="minorEastAsia" w:hAnsiTheme="minorHAnsi" w:cstheme="minorBidi"/>
          <w:color w:val="auto"/>
          <w:kern w:val="0"/>
          <w:lang w:val="en-GB" w:eastAsia="ja-JP"/>
          <w14:ligatures w14:val="none"/>
        </w:rPr>
        <w:t xml:space="preserve">This paper will critically review Book II of </w:t>
      </w:r>
      <w:r w:rsidR="001E07B8" w:rsidRPr="001E07B8">
        <w:rPr>
          <w:rFonts w:asciiTheme="minorHAnsi" w:eastAsiaTheme="minorEastAsia" w:hAnsiTheme="minorHAnsi" w:cstheme="minorBidi"/>
          <w:i/>
          <w:iCs/>
          <w:color w:val="auto"/>
          <w:kern w:val="0"/>
          <w:lang w:val="en-GB" w:eastAsia="ja-JP"/>
          <w14:ligatures w14:val="none"/>
        </w:rPr>
        <w:t>De Divinatione</w:t>
      </w:r>
      <w:r w:rsidR="001E07B8" w:rsidRPr="001E07B8">
        <w:rPr>
          <w:rFonts w:asciiTheme="minorHAnsi" w:eastAsiaTheme="minorEastAsia" w:hAnsiTheme="minorHAnsi" w:cstheme="minorBidi"/>
          <w:color w:val="auto"/>
          <w:kern w:val="0"/>
          <w:lang w:val="en-GB" w:eastAsia="ja-JP"/>
          <w14:ligatures w14:val="none"/>
        </w:rPr>
        <w:t xml:space="preserve"> (On Divination) by Marcus Tullius Cicero in the 1923 translation by W. A. Falconer </w:t>
      </w:r>
      <w:r w:rsidR="001E07B8" w:rsidRPr="001E07B8">
        <w:rPr>
          <w:rFonts w:asciiTheme="minorHAnsi" w:eastAsiaTheme="minorEastAsia" w:hAnsiTheme="minorHAnsi" w:cstheme="minorBidi"/>
          <w:color w:val="auto"/>
          <w:kern w:val="0"/>
          <w:vertAlign w:val="superscript"/>
          <w:lang w:val="en-GB" w:eastAsia="ja-JP"/>
          <w14:ligatures w14:val="none"/>
        </w:rPr>
        <w:footnoteReference w:id="1"/>
      </w:r>
      <w:r w:rsidR="001E07B8" w:rsidRPr="001E07B8">
        <w:rPr>
          <w:rFonts w:asciiTheme="minorHAnsi" w:eastAsiaTheme="minorEastAsia" w:hAnsiTheme="minorHAnsi" w:cstheme="minorBidi"/>
          <w:color w:val="auto"/>
          <w:kern w:val="0"/>
          <w:lang w:val="en-GB" w:eastAsia="ja-JP"/>
          <w14:ligatures w14:val="none"/>
        </w:rPr>
        <w:t xml:space="preserve"> </w:t>
      </w:r>
    </w:p>
    <w:p w14:paraId="6C932DAF"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Marcus Tullius Cicero (106 BCE – 43 BCE) Roman Senator, Orator and prominent lawyer lived in the final half century of the Roman Republic. A ‘</w:t>
      </w:r>
      <w:r w:rsidRPr="001E07B8">
        <w:rPr>
          <w:rFonts w:asciiTheme="minorHAnsi" w:eastAsiaTheme="minorEastAsia" w:hAnsiTheme="minorHAnsi" w:cstheme="minorBidi"/>
          <w:i/>
          <w:iCs/>
          <w:color w:val="auto"/>
          <w:kern w:val="0"/>
          <w:lang w:val="en-GB" w:eastAsia="ja-JP"/>
          <w14:ligatures w14:val="none"/>
        </w:rPr>
        <w:t>novus homo</w:t>
      </w:r>
      <w:r w:rsidRPr="001E07B8">
        <w:rPr>
          <w:rFonts w:asciiTheme="minorHAnsi" w:eastAsiaTheme="minorEastAsia" w:hAnsiTheme="minorHAnsi" w:cstheme="minorBidi"/>
          <w:color w:val="auto"/>
          <w:kern w:val="0"/>
          <w:lang w:val="en-GB" w:eastAsia="ja-JP"/>
          <w14:ligatures w14:val="none"/>
        </w:rPr>
        <w:t xml:space="preserve">’ from a wealthy ‘shire’ Equestrian family he received a classical education in Rome and Greece studying the three main philosophical schools:- Epicureanism, Stoicism through Diodotius and Socratic sceptical enquiry with Philo of Larissa.  His political career culminated in his Consulship in 63BCE </w:t>
      </w:r>
      <w:r w:rsidRPr="001E07B8">
        <w:rPr>
          <w:rFonts w:asciiTheme="minorHAnsi" w:eastAsiaTheme="minorEastAsia" w:hAnsiTheme="minorHAnsi" w:cstheme="minorBidi"/>
          <w:color w:val="auto"/>
          <w:kern w:val="0"/>
          <w:vertAlign w:val="superscript"/>
          <w:lang w:val="en-GB" w:eastAsia="ja-JP"/>
          <w14:ligatures w14:val="none"/>
        </w:rPr>
        <w:footnoteReference w:id="2"/>
      </w:r>
      <w:r w:rsidRPr="001E07B8">
        <w:rPr>
          <w:rFonts w:asciiTheme="minorHAnsi" w:eastAsiaTheme="minorEastAsia" w:hAnsiTheme="minorHAnsi" w:cstheme="minorBidi"/>
          <w:color w:val="auto"/>
          <w:kern w:val="0"/>
          <w:lang w:val="en-GB" w:eastAsia="ja-JP"/>
          <w14:ligatures w14:val="none"/>
        </w:rPr>
        <w:t>.   Caught up in the internecine power struggle  between the Pompey and Caesar factions and the subsequent civil wars, apart from  brief returns to the Senate, he spent the last decade of his life in exile or retirement enabling him to compose his numerous works. He was killed on the order of the Second Triumvirate in 43BCE.</w:t>
      </w:r>
    </w:p>
    <w:p w14:paraId="654C82BD"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p>
    <w:p w14:paraId="434089B7" w14:textId="77777777" w:rsidR="001E07B8" w:rsidRPr="001E07B8" w:rsidRDefault="001E07B8" w:rsidP="001E07B8">
      <w:pPr>
        <w:spacing w:after="160" w:line="279" w:lineRule="auto"/>
        <w:ind w:left="0" w:firstLine="0"/>
        <w:rPr>
          <w:rFonts w:asciiTheme="minorHAnsi" w:eastAsiaTheme="minorEastAsia" w:hAnsiTheme="minorHAnsi" w:cstheme="minorBidi"/>
          <w:b/>
          <w:bCs/>
          <w:color w:val="auto"/>
          <w:kern w:val="0"/>
          <w:lang w:val="en-GB" w:eastAsia="ja-JP"/>
          <w14:ligatures w14:val="none"/>
        </w:rPr>
      </w:pPr>
      <w:r w:rsidRPr="001E07B8">
        <w:rPr>
          <w:rFonts w:asciiTheme="minorHAnsi" w:eastAsiaTheme="minorEastAsia" w:hAnsiTheme="minorHAnsi" w:cstheme="minorBidi"/>
          <w:b/>
          <w:bCs/>
          <w:color w:val="auto"/>
          <w:kern w:val="0"/>
          <w:lang w:val="en-GB" w:eastAsia="ja-JP"/>
          <w14:ligatures w14:val="none"/>
        </w:rPr>
        <w:t>The Context of the book</w:t>
      </w:r>
    </w:p>
    <w:p w14:paraId="1DF01164"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The second in a trio of treatise, the first being </w:t>
      </w:r>
      <w:r w:rsidRPr="001E07B8">
        <w:rPr>
          <w:rFonts w:asciiTheme="minorHAnsi" w:eastAsiaTheme="minorEastAsia" w:hAnsiTheme="minorHAnsi" w:cstheme="minorBidi"/>
          <w:i/>
          <w:iCs/>
          <w:color w:val="auto"/>
          <w:kern w:val="0"/>
          <w:lang w:val="en-GB" w:eastAsia="ja-JP"/>
          <w14:ligatures w14:val="none"/>
        </w:rPr>
        <w:t>De Natura Deum</w:t>
      </w:r>
      <w:r w:rsidRPr="001E07B8">
        <w:rPr>
          <w:rFonts w:asciiTheme="minorHAnsi" w:eastAsiaTheme="minorEastAsia" w:hAnsiTheme="minorHAnsi" w:cstheme="minorBidi"/>
          <w:color w:val="auto"/>
          <w:kern w:val="0"/>
          <w:lang w:val="en-GB" w:eastAsia="ja-JP"/>
          <w14:ligatures w14:val="none"/>
        </w:rPr>
        <w:t xml:space="preserve"> (</w:t>
      </w:r>
      <w:r w:rsidRPr="001E07B8">
        <w:rPr>
          <w:rFonts w:asciiTheme="minorHAnsi" w:eastAsiaTheme="minorEastAsia" w:hAnsiTheme="minorHAnsi" w:cstheme="minorBidi"/>
          <w:i/>
          <w:iCs/>
          <w:color w:val="auto"/>
          <w:kern w:val="0"/>
          <w:lang w:val="en-GB" w:eastAsia="ja-JP"/>
          <w14:ligatures w14:val="none"/>
        </w:rPr>
        <w:t>On the Nature of the Gods</w:t>
      </w:r>
      <w:r w:rsidRPr="001E07B8">
        <w:rPr>
          <w:rFonts w:asciiTheme="minorHAnsi" w:eastAsiaTheme="minorEastAsia" w:hAnsiTheme="minorHAnsi" w:cstheme="minorBidi"/>
          <w:color w:val="auto"/>
          <w:kern w:val="0"/>
          <w:lang w:val="en-GB" w:eastAsia="ja-JP"/>
          <w14:ligatures w14:val="none"/>
        </w:rPr>
        <w:t xml:space="preserve">) and the third </w:t>
      </w:r>
      <w:r w:rsidRPr="001E07B8">
        <w:rPr>
          <w:rFonts w:asciiTheme="minorHAnsi" w:eastAsiaTheme="minorEastAsia" w:hAnsiTheme="minorHAnsi" w:cstheme="minorBidi"/>
          <w:i/>
          <w:iCs/>
          <w:color w:val="auto"/>
          <w:kern w:val="0"/>
          <w:lang w:val="en-GB" w:eastAsia="ja-JP"/>
          <w14:ligatures w14:val="none"/>
        </w:rPr>
        <w:t>De Fato</w:t>
      </w:r>
      <w:r w:rsidRPr="001E07B8">
        <w:rPr>
          <w:rFonts w:asciiTheme="minorHAnsi" w:eastAsiaTheme="minorEastAsia" w:hAnsiTheme="minorHAnsi" w:cstheme="minorBidi"/>
          <w:color w:val="auto"/>
          <w:kern w:val="0"/>
          <w:lang w:val="en-GB" w:eastAsia="ja-JP"/>
          <w14:ligatures w14:val="none"/>
        </w:rPr>
        <w:t xml:space="preserve"> (</w:t>
      </w:r>
      <w:r w:rsidRPr="001E07B8">
        <w:rPr>
          <w:rFonts w:asciiTheme="minorHAnsi" w:eastAsiaTheme="minorEastAsia" w:hAnsiTheme="minorHAnsi" w:cstheme="minorBidi"/>
          <w:i/>
          <w:iCs/>
          <w:color w:val="auto"/>
          <w:kern w:val="0"/>
          <w:lang w:val="en-GB" w:eastAsia="ja-JP"/>
          <w14:ligatures w14:val="none"/>
        </w:rPr>
        <w:t>On Fate</w:t>
      </w:r>
      <w:r w:rsidRPr="001E07B8">
        <w:rPr>
          <w:rFonts w:asciiTheme="minorHAnsi" w:eastAsiaTheme="minorEastAsia" w:hAnsiTheme="minorHAnsi" w:cstheme="minorBidi"/>
          <w:color w:val="auto"/>
          <w:kern w:val="0"/>
          <w:lang w:val="en-GB" w:eastAsia="ja-JP"/>
          <w14:ligatures w14:val="none"/>
        </w:rPr>
        <w:t xml:space="preserve">) which examined the concept and belief in the existence of the deities,  whether they cared for humanity and if so, how did man know?  Such questions had existed and been discussed in Ancient Greece and developed the various schools of thought that constituted various Hellenic Philosophical Schools principally Epicureanism, Stoicism,  and Plato’s Academy together with its subsequent iterations </w:t>
      </w:r>
      <w:r w:rsidRPr="001E07B8">
        <w:rPr>
          <w:rFonts w:asciiTheme="minorHAnsi" w:eastAsiaTheme="minorEastAsia" w:hAnsiTheme="minorHAnsi" w:cstheme="minorBidi"/>
          <w:color w:val="auto"/>
          <w:kern w:val="0"/>
          <w:vertAlign w:val="superscript"/>
          <w:lang w:val="en-GB" w:eastAsia="ja-JP"/>
          <w14:ligatures w14:val="none"/>
        </w:rPr>
        <w:footnoteReference w:id="3"/>
      </w:r>
      <w:r w:rsidRPr="001E07B8">
        <w:rPr>
          <w:rFonts w:asciiTheme="minorHAnsi" w:eastAsiaTheme="minorEastAsia" w:hAnsiTheme="minorHAnsi" w:cstheme="minorBidi"/>
          <w:color w:val="auto"/>
          <w:kern w:val="0"/>
          <w:lang w:val="en-GB" w:eastAsia="ja-JP"/>
          <w14:ligatures w14:val="none"/>
        </w:rPr>
        <w:t xml:space="preserve">. The latter years of the Roman Republic, saw active interest and debate on traditional religious practice </w:t>
      </w:r>
      <w:r w:rsidRPr="001E07B8">
        <w:rPr>
          <w:rFonts w:asciiTheme="minorHAnsi" w:eastAsiaTheme="minorEastAsia" w:hAnsiTheme="minorHAnsi" w:cstheme="minorBidi"/>
          <w:color w:val="auto"/>
          <w:kern w:val="0"/>
          <w:vertAlign w:val="superscript"/>
          <w:lang w:val="en-GB" w:eastAsia="ja-JP"/>
          <w14:ligatures w14:val="none"/>
        </w:rPr>
        <w:footnoteReference w:id="4"/>
      </w:r>
      <w:r w:rsidRPr="001E07B8">
        <w:rPr>
          <w:rFonts w:asciiTheme="minorHAnsi" w:eastAsiaTheme="minorEastAsia" w:hAnsiTheme="minorHAnsi" w:cstheme="minorBidi"/>
          <w:color w:val="auto"/>
          <w:kern w:val="0"/>
          <w:lang w:val="en-GB" w:eastAsia="ja-JP"/>
          <w14:ligatures w14:val="none"/>
        </w:rPr>
        <w:t xml:space="preserve">  and its intersections with Roman political and social life </w:t>
      </w:r>
      <w:r w:rsidRPr="001E07B8">
        <w:rPr>
          <w:rFonts w:asciiTheme="minorHAnsi" w:eastAsiaTheme="minorEastAsia" w:hAnsiTheme="minorHAnsi" w:cstheme="minorBidi"/>
          <w:color w:val="auto"/>
          <w:kern w:val="0"/>
          <w:vertAlign w:val="superscript"/>
          <w:lang w:val="en-GB" w:eastAsia="ja-JP"/>
          <w14:ligatures w14:val="none"/>
        </w:rPr>
        <w:footnoteReference w:id="5"/>
      </w:r>
      <w:r w:rsidRPr="001E07B8">
        <w:rPr>
          <w:rFonts w:asciiTheme="minorHAnsi" w:eastAsiaTheme="minorEastAsia" w:hAnsiTheme="minorHAnsi" w:cstheme="minorBidi"/>
          <w:color w:val="auto"/>
          <w:kern w:val="0"/>
          <w:lang w:val="en-GB" w:eastAsia="ja-JP"/>
          <w14:ligatures w14:val="none"/>
        </w:rPr>
        <w:t>.</w:t>
      </w:r>
    </w:p>
    <w:p w14:paraId="1DD7EFFD"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i/>
          <w:iCs/>
          <w:color w:val="auto"/>
          <w:kern w:val="0"/>
          <w:lang w:val="en-GB" w:eastAsia="ja-JP"/>
          <w14:ligatures w14:val="none"/>
        </w:rPr>
        <w:t>The Nature of the Gods</w:t>
      </w:r>
      <w:r w:rsidRPr="001E07B8">
        <w:rPr>
          <w:rFonts w:asciiTheme="minorHAnsi" w:eastAsiaTheme="minorEastAsia" w:hAnsiTheme="minorHAnsi" w:cstheme="minorBidi"/>
          <w:color w:val="auto"/>
          <w:kern w:val="0"/>
          <w:lang w:val="en-GB" w:eastAsia="ja-JP"/>
          <w14:ligatures w14:val="none"/>
        </w:rPr>
        <w:t xml:space="preserve"> explored the existence of Gods, </w:t>
      </w:r>
      <w:r w:rsidRPr="001E07B8">
        <w:rPr>
          <w:rFonts w:asciiTheme="minorHAnsi" w:eastAsiaTheme="minorEastAsia" w:hAnsiTheme="minorHAnsi" w:cstheme="minorBidi"/>
          <w:i/>
          <w:iCs/>
          <w:color w:val="auto"/>
          <w:kern w:val="0"/>
          <w:lang w:val="en-GB" w:eastAsia="ja-JP"/>
          <w14:ligatures w14:val="none"/>
        </w:rPr>
        <w:t>On Divination</w:t>
      </w:r>
      <w:r w:rsidRPr="001E07B8">
        <w:rPr>
          <w:rFonts w:asciiTheme="minorHAnsi" w:eastAsiaTheme="minorEastAsia" w:hAnsiTheme="minorHAnsi" w:cstheme="minorBidi"/>
          <w:color w:val="auto"/>
          <w:kern w:val="0"/>
          <w:lang w:val="en-GB" w:eastAsia="ja-JP"/>
          <w14:ligatures w14:val="none"/>
        </w:rPr>
        <w:t xml:space="preserve"> follows on with a further question –  if gods do exist and care for humanity, how do they express that care and how does humanity interpret that expression. As such it is an exposition of the divinatory practised in the late Roman Republic and their then known world.</w:t>
      </w:r>
    </w:p>
    <w:p w14:paraId="001E7B68"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In the authorial introduction to Book II, Cicero stated that the ostensible reason for the work, as with his other philosophical works, was to be an educational and philosophical teaching tool for the the young men of the Republic, who, he thought, were ‘gone so far astray because of the present moral laxity’ </w:t>
      </w:r>
      <w:r w:rsidRPr="001E07B8">
        <w:rPr>
          <w:rFonts w:asciiTheme="minorHAnsi" w:eastAsiaTheme="minorEastAsia" w:hAnsiTheme="minorHAnsi" w:cstheme="minorBidi"/>
          <w:color w:val="auto"/>
          <w:kern w:val="0"/>
          <w:vertAlign w:val="superscript"/>
          <w:lang w:val="en-GB" w:eastAsia="ja-JP"/>
          <w14:ligatures w14:val="none"/>
        </w:rPr>
        <w:footnoteReference w:id="6"/>
      </w:r>
      <w:r w:rsidRPr="001E07B8">
        <w:rPr>
          <w:rFonts w:asciiTheme="minorHAnsi" w:eastAsiaTheme="minorEastAsia" w:hAnsiTheme="minorHAnsi" w:cstheme="minorBidi"/>
          <w:color w:val="auto"/>
          <w:kern w:val="0"/>
          <w:lang w:val="en-GB" w:eastAsia="ja-JP"/>
          <w14:ligatures w14:val="none"/>
        </w:rPr>
        <w:t>.  Additionally, he knew that a growing number of men ‘advanced in years’ also read his works.</w:t>
      </w:r>
      <w:r w:rsidRPr="001E07B8">
        <w:rPr>
          <w:rFonts w:asciiTheme="minorHAnsi" w:eastAsiaTheme="minorEastAsia" w:hAnsiTheme="minorHAnsi" w:cstheme="minorBidi"/>
          <w:i/>
          <w:iCs/>
          <w:color w:val="auto"/>
          <w:kern w:val="0"/>
          <w:lang w:val="en-GB" w:eastAsia="ja-JP"/>
          <w14:ligatures w14:val="none"/>
        </w:rPr>
        <w:t xml:space="preserve"> On Divination</w:t>
      </w:r>
      <w:r w:rsidRPr="001E07B8">
        <w:rPr>
          <w:rFonts w:asciiTheme="minorHAnsi" w:eastAsiaTheme="minorEastAsia" w:hAnsiTheme="minorHAnsi" w:cstheme="minorBidi"/>
          <w:color w:val="auto"/>
          <w:kern w:val="0"/>
          <w:lang w:val="en-GB" w:eastAsia="ja-JP"/>
          <w14:ligatures w14:val="none"/>
        </w:rPr>
        <w:t xml:space="preserve"> was composed to simplify and extend his previous treatise and this work, together with the third  meant that ‘every phase of this particular branch of philosophy, would be sufficiently discussed’.  </w:t>
      </w:r>
      <w:r w:rsidRPr="001E07B8">
        <w:rPr>
          <w:rFonts w:asciiTheme="minorHAnsi" w:eastAsiaTheme="minorEastAsia" w:hAnsiTheme="minorHAnsi" w:cstheme="minorBidi"/>
          <w:color w:val="auto"/>
          <w:kern w:val="0"/>
          <w:lang w:val="en-GB" w:eastAsia="ja-JP"/>
          <w14:ligatures w14:val="none"/>
        </w:rPr>
        <w:lastRenderedPageBreak/>
        <w:t>‘This particular branch’ was essentially, the nature of Roman religious thought and practice</w:t>
      </w:r>
      <w:r w:rsidRPr="001E07B8">
        <w:rPr>
          <w:rFonts w:asciiTheme="minorHAnsi" w:eastAsiaTheme="minorEastAsia" w:hAnsiTheme="minorHAnsi" w:cstheme="minorBidi"/>
          <w:color w:val="auto"/>
          <w:kern w:val="0"/>
          <w:vertAlign w:val="superscript"/>
          <w:lang w:val="en-GB" w:eastAsia="ja-JP"/>
          <w14:ligatures w14:val="none"/>
        </w:rPr>
        <w:footnoteReference w:id="7"/>
      </w:r>
      <w:r w:rsidRPr="001E07B8">
        <w:rPr>
          <w:rFonts w:asciiTheme="minorHAnsi" w:eastAsiaTheme="minorEastAsia" w:hAnsiTheme="minorHAnsi" w:cstheme="minorBidi"/>
          <w:color w:val="auto"/>
          <w:kern w:val="0"/>
          <w:lang w:val="en-GB" w:eastAsia="ja-JP"/>
          <w14:ligatures w14:val="none"/>
        </w:rPr>
        <w:t>.   Roman State religion was orthopractic and institutional, requiring ‘action’ through sacrifice and prayers.  It did not require a doxology or belief</w:t>
      </w:r>
      <w:r w:rsidRPr="001E07B8">
        <w:rPr>
          <w:rFonts w:asciiTheme="minorHAnsi" w:eastAsiaTheme="minorEastAsia" w:hAnsiTheme="minorHAnsi" w:cstheme="minorBidi"/>
          <w:color w:val="auto"/>
          <w:kern w:val="0"/>
          <w:vertAlign w:val="superscript"/>
          <w:lang w:val="en-GB" w:eastAsia="ja-JP"/>
          <w14:ligatures w14:val="none"/>
        </w:rPr>
        <w:footnoteReference w:id="8"/>
      </w:r>
      <w:r w:rsidRPr="001E07B8">
        <w:rPr>
          <w:rFonts w:asciiTheme="minorHAnsi" w:eastAsiaTheme="minorEastAsia" w:hAnsiTheme="minorHAnsi" w:cstheme="minorBidi"/>
          <w:color w:val="auto"/>
          <w:kern w:val="0"/>
          <w:lang w:val="en-GB" w:eastAsia="ja-JP"/>
          <w14:ligatures w14:val="none"/>
        </w:rPr>
        <w:t xml:space="preserve">. Possibly Cicero considered  (given the chaotic time of the late Republic and the civil wars) that an expanding, increasingly  internationalist Rome had somehow lost its way in understanding how or why they venerated the Gods, or indeed ‘the nature of the gods they worshipped </w:t>
      </w:r>
      <w:r w:rsidRPr="001E07B8">
        <w:rPr>
          <w:rFonts w:asciiTheme="minorHAnsi" w:eastAsiaTheme="minorEastAsia" w:hAnsiTheme="minorHAnsi" w:cstheme="minorBidi"/>
          <w:color w:val="auto"/>
          <w:kern w:val="0"/>
          <w:vertAlign w:val="superscript"/>
          <w:lang w:val="en-GB" w:eastAsia="ja-JP"/>
          <w14:ligatures w14:val="none"/>
        </w:rPr>
        <w:footnoteReference w:id="9"/>
      </w:r>
      <w:r w:rsidRPr="001E07B8">
        <w:rPr>
          <w:rFonts w:asciiTheme="minorHAnsi" w:eastAsiaTheme="minorEastAsia" w:hAnsiTheme="minorHAnsi" w:cstheme="minorBidi"/>
          <w:color w:val="auto"/>
          <w:kern w:val="0"/>
          <w:lang w:val="en-GB" w:eastAsia="ja-JP"/>
          <w14:ligatures w14:val="none"/>
        </w:rPr>
        <w:t>.</w:t>
      </w:r>
    </w:p>
    <w:p w14:paraId="2C70E4A1"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Cicero’s correspondence shows that his books were circulated to a circle of friends and acquaintances amongst the Roman elite, some with similarly philosophical and enquiring natures, others with no truck for things not Roman</w:t>
      </w:r>
      <w:r w:rsidRPr="001E07B8">
        <w:rPr>
          <w:rFonts w:asciiTheme="minorHAnsi" w:eastAsiaTheme="minorEastAsia" w:hAnsiTheme="minorHAnsi" w:cstheme="minorBidi"/>
          <w:color w:val="auto"/>
          <w:kern w:val="0"/>
          <w:vertAlign w:val="superscript"/>
          <w:lang w:val="en-GB" w:eastAsia="ja-JP"/>
          <w14:ligatures w14:val="none"/>
        </w:rPr>
        <w:footnoteReference w:id="10"/>
      </w:r>
      <w:r w:rsidRPr="001E07B8">
        <w:rPr>
          <w:rFonts w:asciiTheme="minorHAnsi" w:eastAsiaTheme="minorEastAsia" w:hAnsiTheme="minorHAnsi" w:cstheme="minorBidi"/>
          <w:color w:val="auto"/>
          <w:kern w:val="0"/>
          <w:lang w:val="en-GB" w:eastAsia="ja-JP"/>
          <w14:ligatures w14:val="none"/>
        </w:rPr>
        <w:t xml:space="preserve"> .  They were written not purely for literary reasons, but also political ones, as dedicatees included intimates and allies of Caesar </w:t>
      </w:r>
      <w:r w:rsidRPr="001E07B8">
        <w:rPr>
          <w:rFonts w:asciiTheme="minorHAnsi" w:eastAsiaTheme="minorEastAsia" w:hAnsiTheme="minorHAnsi" w:cstheme="minorBidi"/>
          <w:color w:val="auto"/>
          <w:kern w:val="0"/>
          <w:vertAlign w:val="superscript"/>
          <w:lang w:val="en-GB" w:eastAsia="ja-JP"/>
          <w14:ligatures w14:val="none"/>
        </w:rPr>
        <w:footnoteReference w:id="11"/>
      </w:r>
      <w:r w:rsidRPr="001E07B8">
        <w:rPr>
          <w:rFonts w:asciiTheme="minorHAnsi" w:eastAsiaTheme="minorEastAsia" w:hAnsiTheme="minorHAnsi" w:cstheme="minorBidi"/>
          <w:color w:val="auto"/>
          <w:kern w:val="0"/>
          <w:lang w:val="en-GB" w:eastAsia="ja-JP"/>
          <w14:ligatures w14:val="none"/>
        </w:rPr>
        <w:t>.</w:t>
      </w:r>
    </w:p>
    <w:p w14:paraId="01FFAF8A" w14:textId="77777777" w:rsidR="001E07B8" w:rsidRPr="001E07B8" w:rsidRDefault="001E07B8" w:rsidP="001E07B8">
      <w:pPr>
        <w:spacing w:after="160" w:line="279" w:lineRule="auto"/>
        <w:ind w:left="0" w:firstLine="0"/>
        <w:rPr>
          <w:rFonts w:asciiTheme="minorHAnsi" w:eastAsiaTheme="minorEastAsia" w:hAnsiTheme="minorHAnsi" w:cstheme="minorBidi"/>
          <w:b/>
          <w:bCs/>
          <w:color w:val="auto"/>
          <w:kern w:val="0"/>
          <w:lang w:val="en-GB" w:eastAsia="ja-JP"/>
          <w14:ligatures w14:val="none"/>
        </w:rPr>
      </w:pPr>
      <w:r w:rsidRPr="001E07B8">
        <w:rPr>
          <w:rFonts w:asciiTheme="minorHAnsi" w:eastAsiaTheme="minorEastAsia" w:hAnsiTheme="minorHAnsi" w:cstheme="minorBidi"/>
          <w:b/>
          <w:bCs/>
          <w:color w:val="auto"/>
          <w:kern w:val="0"/>
          <w:lang w:val="en-GB" w:eastAsia="ja-JP"/>
          <w14:ligatures w14:val="none"/>
        </w:rPr>
        <w:t xml:space="preserve">The format of the Book </w:t>
      </w:r>
    </w:p>
    <w:p w14:paraId="48FDE1BA"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i/>
          <w:iCs/>
          <w:color w:val="auto"/>
          <w:kern w:val="0"/>
          <w:lang w:val="en-GB" w:eastAsia="ja-JP"/>
          <w14:ligatures w14:val="none"/>
        </w:rPr>
        <w:t>On Divination</w:t>
      </w:r>
      <w:r w:rsidRPr="001E07B8">
        <w:rPr>
          <w:rFonts w:asciiTheme="minorHAnsi" w:eastAsiaTheme="minorEastAsia" w:hAnsiTheme="minorHAnsi" w:cstheme="minorBidi"/>
          <w:color w:val="auto"/>
          <w:kern w:val="0"/>
          <w:lang w:val="en-GB" w:eastAsia="ja-JP"/>
          <w14:ligatures w14:val="none"/>
        </w:rPr>
        <w:t xml:space="preserve"> consists of two books, dialogic in form but presented as monologues, which Cicero said were to be  read side by side. Mary Beard argues that the dialogue structure was a’depersonalising device’ which ‘obviated the need for Cicero, as author, to identify with any one expressed opinion’</w:t>
      </w:r>
      <w:r w:rsidRPr="001E07B8">
        <w:rPr>
          <w:rFonts w:asciiTheme="minorHAnsi" w:eastAsiaTheme="minorEastAsia" w:hAnsiTheme="minorHAnsi" w:cstheme="minorBidi"/>
          <w:color w:val="auto"/>
          <w:kern w:val="0"/>
          <w:vertAlign w:val="superscript"/>
          <w:lang w:val="en-GB" w:eastAsia="ja-JP"/>
          <w14:ligatures w14:val="none"/>
        </w:rPr>
        <w:footnoteReference w:id="12"/>
      </w:r>
      <w:r w:rsidRPr="001E07B8">
        <w:rPr>
          <w:rFonts w:asciiTheme="minorHAnsi" w:eastAsiaTheme="minorEastAsia" w:hAnsiTheme="minorHAnsi" w:cstheme="minorBidi"/>
          <w:color w:val="auto"/>
          <w:kern w:val="0"/>
          <w:lang w:val="en-GB" w:eastAsia="ja-JP"/>
          <w14:ligatures w14:val="none"/>
        </w:rPr>
        <w:t xml:space="preserve">.  The two protagonists are Quintus – defending divination from a Stoic perspective, and Marcus, who challenges the notions laid out by Quintus from a ‘New Academy’ perspective .  In real life, Quintus was the younger brother of Cicero. </w:t>
      </w:r>
    </w:p>
    <w:p w14:paraId="4EC976F0"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Book 1 outlines divination practices, together with an </w:t>
      </w:r>
      <w:r w:rsidRPr="001E07B8">
        <w:rPr>
          <w:rFonts w:asciiTheme="minorHAnsi" w:eastAsiaTheme="minorEastAsia" w:hAnsiTheme="minorHAnsi" w:cstheme="minorBidi"/>
          <w:i/>
          <w:iCs/>
          <w:color w:val="auto"/>
          <w:kern w:val="0"/>
          <w:lang w:val="en-GB" w:eastAsia="ja-JP"/>
          <w14:ligatures w14:val="none"/>
        </w:rPr>
        <w:t>apologia</w:t>
      </w:r>
      <w:r w:rsidRPr="001E07B8">
        <w:rPr>
          <w:rFonts w:asciiTheme="minorHAnsi" w:eastAsiaTheme="minorEastAsia" w:hAnsiTheme="minorHAnsi" w:cstheme="minorBidi"/>
          <w:color w:val="auto"/>
          <w:kern w:val="0"/>
          <w:lang w:val="en-GB" w:eastAsia="ja-JP"/>
          <w14:ligatures w14:val="none"/>
        </w:rPr>
        <w:t xml:space="preserve"> that  divination is real, in that it is the ‘foreseeing and foretelling of events considered to happen by chance’ </w:t>
      </w:r>
      <w:r w:rsidRPr="001E07B8">
        <w:rPr>
          <w:rFonts w:asciiTheme="minorHAnsi" w:eastAsiaTheme="minorEastAsia" w:hAnsiTheme="minorHAnsi" w:cstheme="minorBidi"/>
          <w:color w:val="auto"/>
          <w:kern w:val="0"/>
          <w:vertAlign w:val="superscript"/>
          <w:lang w:val="en-GB" w:eastAsia="ja-JP"/>
          <w14:ligatures w14:val="none"/>
        </w:rPr>
        <w:footnoteReference w:id="13"/>
      </w:r>
      <w:r w:rsidRPr="001E07B8">
        <w:rPr>
          <w:rFonts w:asciiTheme="minorHAnsi" w:eastAsiaTheme="minorEastAsia" w:hAnsiTheme="minorHAnsi" w:cstheme="minorBidi"/>
          <w:color w:val="auto"/>
          <w:kern w:val="0"/>
          <w:lang w:val="en-GB" w:eastAsia="ja-JP"/>
          <w14:ligatures w14:val="none"/>
        </w:rPr>
        <w:t xml:space="preserve">,  being communications from the gods, on the principal that as the gods exist, and they care for humanity  such divine communication aids humanity.  His evidence includes numerous examples from Greek and Roman myth and history that such practices are ancient, that they have been carefully studied and notated, that all nations practice them and that the results are self evident of their veracity and efficacy. Quintus states that he does not need to know how or why divination works, but it is evidence that the gods exist, that they love humanity shown by  them sending signs and communications.  Quintus tracks the vital principle of divination to three sources: - firstly God, then Fate and finally Nature thuswise:-  Reason makes us realise that ‘all things happen by fate and in an orderly succession of causes and each cause al link to each cause itself produce an effect and that this is ‘an immortal truth having its source in all eternity’.  Therefore ‘nothing </w:t>
      </w:r>
      <w:r w:rsidRPr="001E07B8">
        <w:rPr>
          <w:rFonts w:asciiTheme="minorHAnsi" w:eastAsiaTheme="minorEastAsia" w:hAnsiTheme="minorHAnsi" w:cstheme="minorBidi"/>
          <w:color w:val="auto"/>
          <w:kern w:val="0"/>
          <w:lang w:val="en-GB" w:eastAsia="ja-JP"/>
          <w14:ligatures w14:val="none"/>
        </w:rPr>
        <w:lastRenderedPageBreak/>
        <w:t>has appended which was bound not to  happen and nothing will happen which ‘does not have efficient cause of its happening, therefore fate is the ‘eternal cause’  of all things past, present and future</w:t>
      </w:r>
      <w:r w:rsidRPr="001E07B8">
        <w:rPr>
          <w:rFonts w:asciiTheme="minorHAnsi" w:eastAsiaTheme="minorEastAsia" w:hAnsiTheme="minorHAnsi" w:cstheme="minorBidi"/>
          <w:color w:val="auto"/>
          <w:kern w:val="0"/>
          <w:vertAlign w:val="superscript"/>
          <w:lang w:val="en-GB" w:eastAsia="ja-JP"/>
          <w14:ligatures w14:val="none"/>
        </w:rPr>
        <w:footnoteReference w:id="14"/>
      </w:r>
      <w:r w:rsidRPr="001E07B8">
        <w:rPr>
          <w:rFonts w:asciiTheme="minorHAnsi" w:eastAsiaTheme="minorEastAsia" w:hAnsiTheme="minorHAnsi" w:cstheme="minorBidi"/>
          <w:color w:val="auto"/>
          <w:kern w:val="0"/>
          <w:lang w:val="en-GB" w:eastAsia="ja-JP"/>
          <w14:ligatures w14:val="none"/>
        </w:rPr>
        <w:t>.</w:t>
      </w:r>
    </w:p>
    <w:p w14:paraId="21E4A1EB"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Book 2 is a rebuttal of the premises of Book 1. Marcus does not deny the existence of the Gods and does not opine whether the Gods care for and/or communicate with man.  His philosophical position, as an Academician, is not to accept or deny anything as ‘truth’ but rather to undertake a thorough examination and then chose a course of action most appropriate to one’s understanding of the issues.  (Div 2.) Marcus’s rebuttals match the  categories outlined by Quintus being,  firstly, under ‘art’ those divinatory practices requiring expertise in interpretation, namely soothsaying, astrology, oracles and lots.  Secondly those Quintus says are ‘natural’ that appear in dreams or in frenzied state.  Marcus argues against divination on two levels, firstly on a philosophical level – challenging the Stoic belief in, and explanation, of divination and their arguments.  Secondly on a practical,  pragmatic level, exploring the provenance of the divinatory art, the causation of the divinatory event rather than the outcome, whether there was a connection between the divination, the cause of the event and, if the ‘divination’ eventuated, whether the outcome could have been by chance or coincidence </w:t>
      </w:r>
      <w:r w:rsidRPr="001E07B8">
        <w:rPr>
          <w:rFonts w:asciiTheme="minorHAnsi" w:eastAsiaTheme="minorEastAsia" w:hAnsiTheme="minorHAnsi" w:cstheme="minorBidi"/>
          <w:color w:val="auto"/>
          <w:kern w:val="0"/>
          <w:vertAlign w:val="superscript"/>
          <w:lang w:val="en-GB" w:eastAsia="ja-JP"/>
          <w14:ligatures w14:val="none"/>
        </w:rPr>
        <w:footnoteReference w:id="15"/>
      </w:r>
      <w:r w:rsidRPr="001E07B8">
        <w:rPr>
          <w:rFonts w:asciiTheme="minorHAnsi" w:eastAsiaTheme="minorEastAsia" w:hAnsiTheme="minorHAnsi" w:cstheme="minorBidi"/>
          <w:color w:val="auto"/>
          <w:kern w:val="0"/>
          <w:lang w:val="en-GB" w:eastAsia="ja-JP"/>
          <w14:ligatures w14:val="none"/>
        </w:rPr>
        <w:t>.</w:t>
      </w:r>
    </w:p>
    <w:p w14:paraId="5B2467D8"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Marcus forensically examines each practice, demonstrating  firstly that such divinatory practices (with the notable exception of Roman State sanctioned Soothsaying) are not proper for the Republic – being fraudulent or foreign and, by inference, superstition and secondly, that the Stoic Philosophers whose arguments Quintus used, were misguided or mistaken in their findings.  </w:t>
      </w:r>
    </w:p>
    <w:p w14:paraId="1EB0C182"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p>
    <w:p w14:paraId="7DFC4B40"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b/>
          <w:bCs/>
          <w:color w:val="auto"/>
          <w:kern w:val="0"/>
          <w:lang w:val="en-GB" w:eastAsia="ja-JP"/>
          <w14:ligatures w14:val="none"/>
        </w:rPr>
        <w:t>Soothsaying</w:t>
      </w:r>
    </w:p>
    <w:p w14:paraId="52DFCAD6"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Etruscan Haruspicy (divination by entrails), Lightnings, portents and  prodigies and  augury/auspices (the study of birds), together with consultation of the Sibylline Books, were the divinatory practices of the Roman Republic. Marcus qualifies his rebuttal by saying that in his ‘deliberate judgement’ such practices were to be used ‘from reasons of political expediency and in order that we may have a state religion’, but as they were in private debate, even these would be examined for veracity </w:t>
      </w:r>
      <w:r w:rsidRPr="001E07B8">
        <w:rPr>
          <w:rFonts w:asciiTheme="minorHAnsi" w:eastAsiaTheme="minorEastAsia" w:hAnsiTheme="minorHAnsi" w:cstheme="minorBidi"/>
          <w:color w:val="auto"/>
          <w:kern w:val="0"/>
          <w:vertAlign w:val="superscript"/>
          <w:lang w:val="en-GB" w:eastAsia="ja-JP"/>
          <w14:ligatures w14:val="none"/>
        </w:rPr>
        <w:footnoteReference w:id="16"/>
      </w:r>
      <w:r w:rsidRPr="001E07B8">
        <w:rPr>
          <w:rFonts w:asciiTheme="minorHAnsi" w:eastAsiaTheme="minorEastAsia" w:hAnsiTheme="minorHAnsi" w:cstheme="minorBidi"/>
          <w:color w:val="auto"/>
          <w:kern w:val="0"/>
          <w:lang w:val="en-GB" w:eastAsia="ja-JP"/>
          <w14:ligatures w14:val="none"/>
        </w:rPr>
        <w:t xml:space="preserve">.  Marcus attacks soothsaying on several grounds.  With haruspicy, he questions the veracity of the duration of the observations, and, as  nations read entrails differently, the lack of agreement and uniformity of practice. Further, Marcus argues that even with the expertise soothsayers had in knowing what signs signify what, it was irrelevant, such signs could not come within the class of divination under ‘immemorial usage’ but were ‘inventions of art’.  In doing this, he brings up  a new line of questioning, what connection do they have to the ‘works of nature’. If the assumption is that such works of nature are a part of the universe, what connection is there between  the Universe and finding treasure?  If the entrails indicate an increase </w:t>
      </w:r>
      <w:r w:rsidRPr="001E07B8">
        <w:rPr>
          <w:rFonts w:asciiTheme="minorHAnsi" w:eastAsiaTheme="minorEastAsia" w:hAnsiTheme="minorHAnsi" w:cstheme="minorBidi"/>
          <w:color w:val="auto"/>
          <w:kern w:val="0"/>
          <w:lang w:val="en-GB" w:eastAsia="ja-JP"/>
          <w14:ligatures w14:val="none"/>
        </w:rPr>
        <w:lastRenderedPageBreak/>
        <w:t xml:space="preserve">in wealth and they do so , in accordance with ‘some law of nature’  there must be a relationship between the entrails and the universe and that financial gain must be regulated by the laws of nature.  While he concedes that connections  between different parts of nature probably exist, citing Stoic methodological research, (how mice livers differ ins size in winter to other seasons, and that shellfish sizes change in different moon phases),  he reiterates that notwithstanding  such findings, they do not gainsay  his point on the liver and treasure connection – because he can’t see one.  </w:t>
      </w:r>
    </w:p>
    <w:p w14:paraId="6E7565DB"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Here another argument is introduced, that of divine guidance versus chance.  Stoics (Chrysippus, Antipater and Posidonius) opined that the choice of the sacrificial victim was directed by  the ‘sentient and divine power which pervades the universe’ and that at the moment of sacrifice changes to the entrails occurred because  ‘all things are obedient to the Divine Will’. Marcus questions this, arguing that the choice of sacrifice as a matter of divine guidance is like drawing lots. Is it the gods or chance that guides the slave to the auspicious sacrificial lamb? He pushes the Stoic argument for divination (if there are gods, there is divination;  there are gods, therefore there is divination) to a  further conclusion.  If there is no divination then there are no gods. That argument is evidence  that divination is destroyed and yet ‘we must hold onto the gods’</w:t>
      </w:r>
      <w:r w:rsidRPr="001E07B8">
        <w:rPr>
          <w:rFonts w:asciiTheme="minorHAnsi" w:eastAsiaTheme="minorEastAsia" w:hAnsiTheme="minorHAnsi" w:cstheme="minorBidi"/>
          <w:color w:val="auto"/>
          <w:kern w:val="0"/>
          <w:vertAlign w:val="superscript"/>
          <w:lang w:val="en-GB" w:eastAsia="ja-JP"/>
          <w14:ligatures w14:val="none"/>
        </w:rPr>
        <w:footnoteReference w:id="17"/>
      </w:r>
      <w:r w:rsidRPr="001E07B8">
        <w:rPr>
          <w:rFonts w:asciiTheme="minorHAnsi" w:eastAsiaTheme="minorEastAsia" w:hAnsiTheme="minorHAnsi" w:cstheme="minorBidi"/>
          <w:color w:val="auto"/>
          <w:kern w:val="0"/>
          <w:lang w:val="en-GB" w:eastAsia="ja-JP"/>
          <w14:ligatures w14:val="none"/>
        </w:rPr>
        <w:t>. By demolishing divination with entrails, the art of the soothsayer is destroyed but not at the loss of proper religious practice.</w:t>
      </w:r>
    </w:p>
    <w:p w14:paraId="28D174E7"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Similarly Marcus dismisses Etruscan divination of Lightning strikes on the basis of their arbitrary occurrences and a lack of causal connection between the divination and what event it predicts.  Firstly, how does pinpointing in the sky where the lightning emanates from, where lightning strikes and what those strikes mean auspiciously if they are interpreted differently by different nations. Secondly, Marcus returns to the argument of argument from nature and  refers to the Stoics theory that thunderbolts are natural phenomena,  arising from mixing out of cold air and wind.  If these are due to natural causes and are irregular and uncertain, then how can we look to them as signs for future events?  If they were an act of Jupiter, why warn with thunderbolts, when he sends so many with no purpose, to useless places (sea, mountain, desert) and lands where they are not believed to be signs. The noting of thunderbolt positions and frequency and sky segment might be  useful, but shows no prophetic value. </w:t>
      </w:r>
    </w:p>
    <w:p w14:paraId="067E7C71" w14:textId="77777777" w:rsidR="001E07B8" w:rsidRPr="001E07B8" w:rsidRDefault="001E07B8" w:rsidP="001E07B8">
      <w:pPr>
        <w:spacing w:after="160" w:line="279" w:lineRule="auto"/>
        <w:ind w:left="0" w:firstLine="0"/>
        <w:rPr>
          <w:rFonts w:asciiTheme="minorHAnsi" w:eastAsiaTheme="minorEastAsia" w:hAnsiTheme="minorHAnsi" w:cstheme="minorBidi"/>
          <w:b/>
          <w:bCs/>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That Quintus quoted Marcus’ own poetry on thunderbolts as proof is waved away, as is any accusation of inconsistency,   Marcus is just after facts.</w:t>
      </w:r>
    </w:p>
    <w:p w14:paraId="3D78A935" w14:textId="77777777" w:rsidR="001E07B8" w:rsidRPr="001E07B8" w:rsidRDefault="001E07B8" w:rsidP="001E07B8">
      <w:pPr>
        <w:spacing w:after="160" w:line="279" w:lineRule="auto"/>
        <w:ind w:left="0" w:firstLine="0"/>
        <w:rPr>
          <w:rFonts w:asciiTheme="minorHAnsi" w:eastAsiaTheme="minorEastAsia" w:hAnsiTheme="minorHAnsi" w:cstheme="minorBidi"/>
          <w:b/>
          <w:bCs/>
          <w:color w:val="auto"/>
          <w:kern w:val="0"/>
          <w:lang w:val="en-GB" w:eastAsia="ja-JP"/>
          <w14:ligatures w14:val="none"/>
        </w:rPr>
      </w:pPr>
      <w:r w:rsidRPr="001E07B8">
        <w:rPr>
          <w:rFonts w:asciiTheme="minorHAnsi" w:eastAsiaTheme="minorEastAsia" w:hAnsiTheme="minorHAnsi" w:cstheme="minorBidi"/>
          <w:b/>
          <w:bCs/>
          <w:color w:val="auto"/>
          <w:kern w:val="0"/>
          <w:lang w:val="en-GB" w:eastAsia="ja-JP"/>
          <w14:ligatures w14:val="none"/>
        </w:rPr>
        <w:t>PORTENTS AND PRODIGIES</w:t>
      </w:r>
    </w:p>
    <w:p w14:paraId="59002BE5"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Prodigies and portents get short shrift. Quintus gives an example of a portent as mule bearing a colt (a rare occurrence). Marcus says firstly, rare events might give rise to wonder, but if it had been an impossibility, then the event would not have occurred. Therefore when something totally new happens it is called a portent, but in contrast,  even with  ignorance of  the cause, frequent events do not excite wonder.  Crowing cocks, sweating statues, rodent destruction of property, what makes one a portent and </w:t>
      </w:r>
      <w:r w:rsidRPr="001E07B8">
        <w:rPr>
          <w:rFonts w:asciiTheme="minorHAnsi" w:eastAsiaTheme="minorEastAsia" w:hAnsiTheme="minorHAnsi" w:cstheme="minorBidi"/>
          <w:color w:val="auto"/>
          <w:kern w:val="0"/>
          <w:lang w:val="en-GB" w:eastAsia="ja-JP"/>
          <w14:ligatures w14:val="none"/>
        </w:rPr>
        <w:lastRenderedPageBreak/>
        <w:t>not the other and why hold the gods as the direct cause, without question. Unexpected events such as earthquakes, shooting stars, lightnings cause alarm  The fact is that all these have a single explanation ‘whatever comes into existence, of whatever kind, must have a cause in nature’.  In following that  dictum and using the Stoic principles of discovery the fear of the novelty of the appearance would be banished. Citing Chrysippus: Nothing can happen without a cause; nothing actually happens that cannot happen; if it has happened, and which could of happened, then it shouldn’t be considered as a portent , ergo there are no such thing as portents</w:t>
      </w:r>
      <w:r w:rsidRPr="001E07B8">
        <w:rPr>
          <w:rFonts w:asciiTheme="minorHAnsi" w:eastAsiaTheme="minorEastAsia" w:hAnsiTheme="minorHAnsi" w:cstheme="minorBidi"/>
          <w:color w:val="auto"/>
          <w:kern w:val="0"/>
          <w:vertAlign w:val="superscript"/>
          <w:lang w:val="en-GB" w:eastAsia="ja-JP"/>
          <w14:ligatures w14:val="none"/>
        </w:rPr>
        <w:footnoteReference w:id="18"/>
      </w:r>
      <w:r w:rsidRPr="001E07B8">
        <w:rPr>
          <w:rFonts w:asciiTheme="minorHAnsi" w:eastAsiaTheme="minorEastAsia" w:hAnsiTheme="minorHAnsi" w:cstheme="minorBidi"/>
          <w:color w:val="auto"/>
          <w:kern w:val="0"/>
          <w:lang w:val="en-GB" w:eastAsia="ja-JP"/>
          <w14:ligatures w14:val="none"/>
        </w:rPr>
        <w:t xml:space="preserve">.  </w:t>
      </w:r>
    </w:p>
    <w:p w14:paraId="76A0E1A1" w14:textId="77777777" w:rsidR="001E07B8" w:rsidRPr="001E07B8" w:rsidRDefault="001E07B8" w:rsidP="001E07B8">
      <w:pPr>
        <w:spacing w:after="160" w:line="279" w:lineRule="auto"/>
        <w:ind w:left="0" w:firstLine="0"/>
        <w:rPr>
          <w:rFonts w:asciiTheme="minorHAnsi" w:eastAsiaTheme="minorEastAsia" w:hAnsiTheme="minorHAnsi" w:cstheme="minorBidi"/>
          <w:b/>
          <w:bCs/>
          <w:color w:val="auto"/>
          <w:kern w:val="0"/>
          <w:lang w:val="en-GB" w:eastAsia="ja-JP"/>
          <w14:ligatures w14:val="none"/>
        </w:rPr>
      </w:pPr>
      <w:r w:rsidRPr="001E07B8">
        <w:rPr>
          <w:rFonts w:asciiTheme="minorHAnsi" w:eastAsiaTheme="minorEastAsia" w:hAnsiTheme="minorHAnsi" w:cstheme="minorBidi"/>
          <w:b/>
          <w:bCs/>
          <w:color w:val="auto"/>
          <w:kern w:val="0"/>
          <w:lang w:val="en-GB" w:eastAsia="ja-JP"/>
          <w14:ligatures w14:val="none"/>
        </w:rPr>
        <w:t>Augury/auspices (particular to Roman State Divination)</w:t>
      </w:r>
    </w:p>
    <w:p w14:paraId="14FCDDD8"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Marcus dismisses the point Quintus raised, that as an augur, it would be hard for Marcus to argue against the divinatory nature of augury.  He doesn’t deny that augury  is an art.  What he argues against is the existence of divination.   Augury may have begun as a belief in divination, but  it is now maintained and preserved for political expediency.  Conversely, foreign augury is not an art but is superstition.  Romans do not use augury except when the duty is ‘imposed by the vote of the people’.   Foreigners use it all the time.  As with haruspicy and lightning strikes, there is no uniformity or consistent agreement between different nations on the auspiciousness or otherwise of interpretations of signs. Consequently it is hard not to think that divination is part part error, part superstition and much fraud.</w:t>
      </w:r>
    </w:p>
    <w:p w14:paraId="43D760CA"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b/>
          <w:bCs/>
          <w:color w:val="auto"/>
          <w:kern w:val="0"/>
          <w:lang w:val="en-GB" w:eastAsia="ja-JP"/>
          <w14:ligatures w14:val="none"/>
        </w:rPr>
        <w:t>Lots and astrology</w:t>
      </w:r>
    </w:p>
    <w:p w14:paraId="38A8FD80"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Lots are dismissed as like a game of dice, a matter of recklessness and luck, rather than using knowledge and judgement.  The Cult of Fortuna Primigena (an old goddess of luck and chance) where lots a chosen by a child, whilst very popular with the masses, are not used by the magistracy, and are summarily dismissed.  </w:t>
      </w:r>
    </w:p>
    <w:p w14:paraId="4611E25A"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Astrology is barely mentioned in Book 1,  other than as a form of divination in other parts of the world.    Marcus says many philosophers and astronomers disapproved of or doubted  Chaldean astrology, from Eudoxus (4</w:t>
      </w:r>
      <w:r w:rsidRPr="001E07B8">
        <w:rPr>
          <w:rFonts w:asciiTheme="minorHAnsi" w:eastAsiaTheme="minorEastAsia" w:hAnsiTheme="minorHAnsi" w:cstheme="minorBidi"/>
          <w:color w:val="auto"/>
          <w:kern w:val="0"/>
          <w:vertAlign w:val="superscript"/>
          <w:lang w:val="en-GB" w:eastAsia="ja-JP"/>
          <w14:ligatures w14:val="none"/>
        </w:rPr>
        <w:t>th</w:t>
      </w:r>
      <w:r w:rsidRPr="001E07B8">
        <w:rPr>
          <w:rFonts w:asciiTheme="minorHAnsi" w:eastAsiaTheme="minorEastAsia" w:hAnsiTheme="minorHAnsi" w:cstheme="minorBidi"/>
          <w:color w:val="auto"/>
          <w:kern w:val="0"/>
          <w:lang w:val="en-GB" w:eastAsia="ja-JP"/>
          <w14:ligatures w14:val="none"/>
        </w:rPr>
        <w:t xml:space="preserve"> century BCE mathematician and astronomer) to the Stoic philosopher Panaetius. He gives a lengthy description of the Zodiac and the precession of the planets and constellations and how the Chaldeans interpreted those movements in astrology and then moves to argue against it on fairly dismissive Grounds:- Chaldeans might ascribe the character and the future of an individual based on the position of stars and planets but that ignores the value of mundane factors such as how place of birth and topography, geographical differences, genetics (parental seed), race and upbringing have effect. Further, if the Chaldeans assert that everyone born under the same horoscope must share the same fate, that is at direct odds with the fact that in war, men of different horoscopes all die in the same battle. As proof of the inconsistency of astrology, he relates how the various horoscopes of Pompey, Crassus and Caesar (that they would all die of old age, at home, and with glory) were all wrong and hence disproved by the facts.  As has been noted by Nicholas Campion,  it is ‘difficult to escape conclusion that </w:t>
      </w:r>
      <w:r w:rsidRPr="001E07B8">
        <w:rPr>
          <w:rFonts w:asciiTheme="minorHAnsi" w:eastAsiaTheme="minorEastAsia" w:hAnsiTheme="minorHAnsi" w:cstheme="minorBidi"/>
          <w:color w:val="auto"/>
          <w:kern w:val="0"/>
          <w:lang w:val="en-GB" w:eastAsia="ja-JP"/>
          <w14:ligatures w14:val="none"/>
        </w:rPr>
        <w:lastRenderedPageBreak/>
        <w:t>C’s objections to astrology while rooted in the platonic scepticism of the New Academy  had an element of Republican snobbery’</w:t>
      </w:r>
      <w:r w:rsidRPr="001E07B8">
        <w:rPr>
          <w:rFonts w:asciiTheme="minorHAnsi" w:eastAsiaTheme="minorEastAsia" w:hAnsiTheme="minorHAnsi" w:cstheme="minorBidi"/>
          <w:color w:val="auto"/>
          <w:kern w:val="0"/>
          <w:vertAlign w:val="superscript"/>
          <w:lang w:val="en-GB" w:eastAsia="ja-JP"/>
          <w14:ligatures w14:val="none"/>
        </w:rPr>
        <w:footnoteReference w:id="19"/>
      </w:r>
      <w:r w:rsidRPr="001E07B8">
        <w:rPr>
          <w:rFonts w:asciiTheme="minorHAnsi" w:eastAsiaTheme="minorEastAsia" w:hAnsiTheme="minorHAnsi" w:cstheme="minorBidi"/>
          <w:color w:val="auto"/>
          <w:kern w:val="0"/>
          <w:lang w:val="en-GB" w:eastAsia="ja-JP"/>
          <w14:ligatures w14:val="none"/>
        </w:rPr>
        <w:t>.</w:t>
      </w:r>
    </w:p>
    <w:p w14:paraId="37258225" w14:textId="77777777" w:rsidR="001E07B8" w:rsidRPr="001E07B8" w:rsidRDefault="001E07B8" w:rsidP="001E07B8">
      <w:pPr>
        <w:spacing w:after="160" w:line="279" w:lineRule="auto"/>
        <w:ind w:left="0" w:firstLine="0"/>
        <w:rPr>
          <w:rFonts w:asciiTheme="minorHAnsi" w:eastAsiaTheme="minorEastAsia" w:hAnsiTheme="minorHAnsi" w:cstheme="minorBidi"/>
          <w:b/>
          <w:bCs/>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 </w:t>
      </w:r>
      <w:r w:rsidRPr="001E07B8">
        <w:rPr>
          <w:rFonts w:asciiTheme="minorHAnsi" w:eastAsiaTheme="minorEastAsia" w:hAnsiTheme="minorHAnsi" w:cstheme="minorBidi"/>
          <w:b/>
          <w:bCs/>
          <w:color w:val="auto"/>
          <w:kern w:val="0"/>
          <w:lang w:val="en-GB" w:eastAsia="ja-JP"/>
          <w14:ligatures w14:val="none"/>
        </w:rPr>
        <w:t>Vaticination (prophecy through Oracle or frenzy) and Dreams</w:t>
      </w:r>
    </w:p>
    <w:p w14:paraId="34FE8B0D"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Significant proportions of Books 1 and 2 are given over to divination in dream and frenzy (including the Oracle at Delphi). Quintus says that the soul has the power of foreknowledge inherently and that frenzy or ‘inspiration’ is a violent stimulation of the should by divine impulse. His examples are drawn largely from myth and also reference the famed Apollonian Oracle at Delphi. With regards to dreams Quintus returns to the Stoic theory that the universe is filled with eternal intelligence and divine mind.  Human souls, freed from the earthly form either in sleep or frenzy, communicate with divine souls. This is natural, not ‘art’. He notes , according to Antiphon’s Theory of Dreams  however, that the interpretation of dreams requires technical skill, and not inspiration and that also applies to the utterances of Oracles, and in frenzy </w:t>
      </w:r>
      <w:r w:rsidRPr="001E07B8">
        <w:rPr>
          <w:rFonts w:asciiTheme="minorHAnsi" w:eastAsiaTheme="minorEastAsia" w:hAnsiTheme="minorHAnsi" w:cstheme="minorBidi"/>
          <w:color w:val="auto"/>
          <w:kern w:val="0"/>
          <w:vertAlign w:val="superscript"/>
          <w:lang w:val="en-GB" w:eastAsia="ja-JP"/>
          <w14:ligatures w14:val="none"/>
        </w:rPr>
        <w:footnoteReference w:id="20"/>
      </w:r>
      <w:r w:rsidRPr="001E07B8">
        <w:rPr>
          <w:rFonts w:asciiTheme="minorHAnsi" w:eastAsiaTheme="minorEastAsia" w:hAnsiTheme="minorHAnsi" w:cstheme="minorBidi"/>
          <w:color w:val="auto"/>
          <w:kern w:val="0"/>
          <w:lang w:val="en-GB" w:eastAsia="ja-JP"/>
          <w14:ligatures w14:val="none"/>
        </w:rPr>
        <w:t>.</w:t>
      </w:r>
    </w:p>
    <w:p w14:paraId="242941C0"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Quintus then appears to capitulate to the arguments Marcus has made on divination by art and announces he has pulled back from the Stoic view of such divination ‘it smacked too much of superstition’ and is leaning towards the Peripatetics notions of the human soul divinely inspired to frenzy and the notion of dreams.</w:t>
      </w:r>
    </w:p>
    <w:p w14:paraId="5DCC15ED"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The arguments Marcus employs against natural divination mirror those used against divination by art.  Firstly, why  place value or reliance on dreams, what practical benefits are there? One wouldn’t wait to dream to learn an art or science rather than learn, for instance how to play music, pilot a boat.  Why would one seek medical relief from a dream interpreter rather than a physician.   Secondly, Marcus reverts to the Stoic argument of the beneficent  divine power or god, sending messages for humanity’s good, and repeats the with the counter arguments he attributed to soothsaying.  Why send messages to a sleeping man that are oblique, difficult to understand or require a specialist diviner or indeed’ fortune telling hags’ to interpret and who probably use conjecture to interpret them.  Further, why message in some dreams and not others? Thirdly, the argument from nature or natural causes that Marcus used to rebut divination with entrails is re-applied to dreams.  </w:t>
      </w:r>
    </w:p>
    <w:p w14:paraId="79720142"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Why did Cicero give such inordinate space given to dreams in both books.  Dreams were not included in the discourse in public religion, albeit that Sulla (138-78BCE) thought that instructions imparted by the gods in dreams were most reliable and, as Div recounts, the dreams of Metella, daughter of Caecilius Metellus Baelaricus were reported to the Senate and were treated as portent</w:t>
      </w:r>
      <w:r w:rsidRPr="001E07B8">
        <w:rPr>
          <w:rFonts w:asciiTheme="minorHAnsi" w:eastAsiaTheme="minorEastAsia" w:hAnsiTheme="minorHAnsi" w:cstheme="minorBidi"/>
          <w:color w:val="auto"/>
          <w:kern w:val="0"/>
          <w:vertAlign w:val="superscript"/>
          <w:lang w:val="en-GB" w:eastAsia="ja-JP"/>
          <w14:ligatures w14:val="none"/>
        </w:rPr>
        <w:footnoteReference w:id="21"/>
      </w:r>
      <w:r w:rsidRPr="001E07B8">
        <w:rPr>
          <w:rFonts w:asciiTheme="minorHAnsi" w:eastAsiaTheme="minorEastAsia" w:hAnsiTheme="minorHAnsi" w:cstheme="minorBidi"/>
          <w:color w:val="auto"/>
          <w:kern w:val="0"/>
          <w:lang w:val="en-GB" w:eastAsia="ja-JP"/>
          <w14:ligatures w14:val="none"/>
        </w:rPr>
        <w:t xml:space="preserve">. One recent scholarly theory is that Cicero wanted to make the ‘Greek tradition on dreams available to his readers’ in a </w:t>
      </w:r>
      <w:r w:rsidRPr="001E07B8">
        <w:rPr>
          <w:rFonts w:asciiTheme="minorHAnsi" w:eastAsiaTheme="minorEastAsia" w:hAnsiTheme="minorHAnsi" w:cstheme="minorBidi"/>
          <w:color w:val="auto"/>
          <w:kern w:val="0"/>
          <w:lang w:val="en-GB" w:eastAsia="ja-JP"/>
          <w14:ligatures w14:val="none"/>
        </w:rPr>
        <w:lastRenderedPageBreak/>
        <w:t xml:space="preserve">comprehensible and understandable way, and in doing so, provide a comprehensive debate on the subject of dreams and that dream divination  and interpretation was of literary interest to Cicero </w:t>
      </w:r>
      <w:r w:rsidRPr="001E07B8">
        <w:rPr>
          <w:rFonts w:asciiTheme="minorHAnsi" w:eastAsiaTheme="minorEastAsia" w:hAnsiTheme="minorHAnsi" w:cstheme="minorBidi"/>
          <w:color w:val="auto"/>
          <w:kern w:val="0"/>
          <w:vertAlign w:val="superscript"/>
          <w:lang w:val="en-GB" w:eastAsia="ja-JP"/>
          <w14:ligatures w14:val="none"/>
        </w:rPr>
        <w:footnoteReference w:id="22"/>
      </w:r>
      <w:r w:rsidRPr="001E07B8">
        <w:rPr>
          <w:rFonts w:asciiTheme="minorHAnsi" w:eastAsiaTheme="minorEastAsia" w:hAnsiTheme="minorHAnsi" w:cstheme="minorBidi"/>
          <w:color w:val="auto"/>
          <w:kern w:val="0"/>
          <w:lang w:val="en-GB" w:eastAsia="ja-JP"/>
          <w14:ligatures w14:val="none"/>
        </w:rPr>
        <w:t>.</w:t>
      </w:r>
    </w:p>
    <w:p w14:paraId="25A72ADA"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Having dispensed with all divination, Marcus discusses a major cause of concern to him, that of superstition, a concern that appears throughout the book and is an echo of his view in ‘On the Nature of the The Gods. Superstition has tainted man’s mind and clouded his relationship with (Rome’s) true religion and needs rooting out. He attaches superstition to every class of divination discussed and attributes it to a troublesome ubiquity.  Uprooting superstition would not destroy religion. It would return man to a rightful respect of the ancestral institutions and rites of his Roman ancestors. Marcus does not refute the existence of Gods or a divine being, given the ‘celestial order and beauty of the universe,’ he believes such a divinity exists and requires  correct (Roman) adherence to religious rites and mans’ respectful homage.  </w:t>
      </w:r>
    </w:p>
    <w:p w14:paraId="1923BA00"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p>
    <w:p w14:paraId="0AA34C73"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 </w:t>
      </w:r>
    </w:p>
    <w:p w14:paraId="35B87EF7"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Word Count: 3107</w:t>
      </w:r>
    </w:p>
    <w:p w14:paraId="01EBA380" w14:textId="77777777" w:rsidR="001E07B8" w:rsidRPr="001E07B8" w:rsidRDefault="001E07B8" w:rsidP="001E07B8">
      <w:pPr>
        <w:spacing w:after="160" w:line="279" w:lineRule="auto"/>
        <w:ind w:left="0" w:firstLine="0"/>
        <w:rPr>
          <w:rFonts w:asciiTheme="minorHAnsi" w:eastAsiaTheme="minorEastAsia" w:hAnsiTheme="minorHAnsi" w:cstheme="minorBidi"/>
          <w:b/>
          <w:bCs/>
          <w:color w:val="auto"/>
          <w:kern w:val="0"/>
          <w:lang w:val="en-GB" w:eastAsia="ja-JP"/>
          <w14:ligatures w14:val="none"/>
        </w:rPr>
      </w:pPr>
      <w:r w:rsidRPr="001E07B8">
        <w:rPr>
          <w:rFonts w:asciiTheme="minorHAnsi" w:eastAsiaTheme="minorEastAsia" w:hAnsiTheme="minorHAnsi" w:cstheme="minorBidi"/>
          <w:b/>
          <w:bCs/>
          <w:color w:val="auto"/>
          <w:kern w:val="0"/>
          <w:lang w:val="en-GB" w:eastAsia="ja-JP"/>
          <w14:ligatures w14:val="none"/>
        </w:rPr>
        <w:t>Bibliography</w:t>
      </w:r>
    </w:p>
    <w:p w14:paraId="47EC09D7" w14:textId="77777777" w:rsidR="001E07B8" w:rsidRPr="001E07B8" w:rsidRDefault="001E07B8" w:rsidP="001E07B8">
      <w:pPr>
        <w:spacing w:after="160" w:line="279" w:lineRule="auto"/>
        <w:ind w:left="0" w:firstLine="0"/>
        <w:rPr>
          <w:rFonts w:asciiTheme="minorHAnsi" w:eastAsiaTheme="minorEastAsia" w:hAnsiTheme="minorHAnsi" w:cstheme="minorBidi"/>
          <w:b/>
          <w:bCs/>
          <w:color w:val="auto"/>
          <w:kern w:val="0"/>
          <w:lang w:val="en-GB" w:eastAsia="ja-JP"/>
          <w14:ligatures w14:val="none"/>
        </w:rPr>
      </w:pPr>
    </w:p>
    <w:p w14:paraId="45425A9E"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Cicero, Marcus Tullius. </w:t>
      </w:r>
      <w:r w:rsidRPr="001E07B8">
        <w:rPr>
          <w:rFonts w:asciiTheme="minorHAnsi" w:eastAsiaTheme="minorEastAsia" w:hAnsiTheme="minorHAnsi" w:cstheme="minorBidi"/>
          <w:i/>
          <w:iCs/>
          <w:color w:val="auto"/>
          <w:kern w:val="0"/>
          <w:lang w:val="en-GB" w:eastAsia="ja-JP"/>
          <w14:ligatures w14:val="none"/>
        </w:rPr>
        <w:t>The Nature of the Gods</w:t>
      </w:r>
      <w:r w:rsidRPr="001E07B8">
        <w:rPr>
          <w:rFonts w:asciiTheme="minorHAnsi" w:eastAsiaTheme="minorEastAsia" w:hAnsiTheme="minorHAnsi" w:cstheme="minorBidi"/>
          <w:color w:val="auto"/>
          <w:kern w:val="0"/>
          <w:lang w:val="en-GB" w:eastAsia="ja-JP"/>
          <w14:ligatures w14:val="none"/>
        </w:rPr>
        <w:t>. London trans McGregor, 1972 g, Penguin 1972,</w:t>
      </w:r>
    </w:p>
    <w:p w14:paraId="1D9B4441"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p>
    <w:p w14:paraId="689637D2"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Cicero. </w:t>
      </w:r>
      <w:r w:rsidRPr="001E07B8">
        <w:rPr>
          <w:rFonts w:asciiTheme="minorHAnsi" w:eastAsiaTheme="minorEastAsia" w:hAnsiTheme="minorHAnsi" w:cstheme="minorBidi"/>
          <w:i/>
          <w:iCs/>
          <w:color w:val="auto"/>
          <w:kern w:val="0"/>
          <w:lang w:val="en-GB" w:eastAsia="ja-JP"/>
          <w14:ligatures w14:val="none"/>
        </w:rPr>
        <w:t>On Old Age. On Friendship. On Divination</w:t>
      </w:r>
      <w:r w:rsidRPr="001E07B8">
        <w:rPr>
          <w:rFonts w:asciiTheme="minorHAnsi" w:eastAsiaTheme="minorEastAsia" w:hAnsiTheme="minorHAnsi" w:cstheme="minorBidi"/>
          <w:color w:val="auto"/>
          <w:kern w:val="0"/>
          <w:lang w:val="en-GB" w:eastAsia="ja-JP"/>
          <w14:ligatures w14:val="none"/>
        </w:rPr>
        <w:t>. Translated by W. A. Falconer. Loeb Classical Library 154. Cambridge, MA: Harvard University Press, 1923.</w:t>
      </w:r>
    </w:p>
    <w:p w14:paraId="65E854B2"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p>
    <w:p w14:paraId="1D060F9A"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Beards N, “Cicero and Divination: The Formation of a Latin Discourse,” </w:t>
      </w:r>
      <w:r w:rsidRPr="001E07B8">
        <w:rPr>
          <w:rFonts w:asciiTheme="minorHAnsi" w:eastAsiaTheme="minorEastAsia" w:hAnsiTheme="minorHAnsi" w:cstheme="minorBidi"/>
          <w:i/>
          <w:iCs/>
          <w:color w:val="auto"/>
          <w:kern w:val="0"/>
          <w:lang w:val="en-GB" w:eastAsia="ja-JP"/>
          <w14:ligatures w14:val="none"/>
        </w:rPr>
        <w:t>Journal of Roman Studies</w:t>
      </w:r>
      <w:r w:rsidRPr="001E07B8">
        <w:rPr>
          <w:rFonts w:asciiTheme="minorHAnsi" w:eastAsiaTheme="minorEastAsia" w:hAnsiTheme="minorHAnsi" w:cstheme="minorBidi"/>
          <w:color w:val="auto"/>
          <w:kern w:val="0"/>
          <w:lang w:val="en-GB" w:eastAsia="ja-JP"/>
          <w14:ligatures w14:val="none"/>
        </w:rPr>
        <w:t>76 (1986), 33-47</w:t>
      </w:r>
    </w:p>
    <w:p w14:paraId="0C913FBF"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p>
    <w:p w14:paraId="3B4729BA"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Begemann, E. (2023). </w:t>
      </w:r>
      <w:r w:rsidRPr="001E07B8">
        <w:rPr>
          <w:rFonts w:asciiTheme="minorHAnsi" w:eastAsiaTheme="minorEastAsia" w:hAnsiTheme="minorHAnsi" w:cstheme="minorBidi"/>
          <w:i/>
          <w:iCs/>
          <w:color w:val="auto"/>
          <w:kern w:val="0"/>
          <w:lang w:val="en-GB" w:eastAsia="ja-JP"/>
          <w14:ligatures w14:val="none"/>
        </w:rPr>
        <w:t>Cicero’s De Divinatione in Religious and Historical Perspective</w:t>
      </w:r>
      <w:r w:rsidRPr="001E07B8">
        <w:rPr>
          <w:rFonts w:asciiTheme="minorHAnsi" w:eastAsiaTheme="minorEastAsia" w:hAnsiTheme="minorHAnsi" w:cstheme="minorBidi"/>
          <w:color w:val="auto"/>
          <w:kern w:val="0"/>
          <w:lang w:val="en-GB" w:eastAsia="ja-JP"/>
          <w14:ligatures w14:val="none"/>
        </w:rPr>
        <w:t>.</w:t>
      </w:r>
    </w:p>
    <w:p w14:paraId="341885E9"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 Ciceroniana On Line, 7(1), 69–93. </w:t>
      </w:r>
      <w:hyperlink r:id="rId7" w:history="1">
        <w:r w:rsidRPr="001E07B8">
          <w:rPr>
            <w:rFonts w:asciiTheme="minorHAnsi" w:eastAsiaTheme="minorEastAsia" w:hAnsiTheme="minorHAnsi" w:cstheme="minorBidi"/>
            <w:color w:val="467886" w:themeColor="hyperlink"/>
            <w:kern w:val="0"/>
            <w:u w:val="single"/>
            <w:lang w:val="en-GB" w:eastAsia="ja-JP"/>
            <w14:ligatures w14:val="none"/>
          </w:rPr>
          <w:t>https://doi.org/10.13135/2532-5353/7737</w:t>
        </w:r>
      </w:hyperlink>
    </w:p>
    <w:p w14:paraId="2BD5FE1C"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p>
    <w:p w14:paraId="4B823011"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Campion, N. </w:t>
      </w:r>
      <w:r w:rsidRPr="001E07B8">
        <w:rPr>
          <w:rFonts w:asciiTheme="minorHAnsi" w:eastAsiaTheme="minorEastAsia" w:hAnsiTheme="minorHAnsi" w:cstheme="minorBidi"/>
          <w:i/>
          <w:iCs/>
          <w:color w:val="auto"/>
          <w:kern w:val="0"/>
          <w:lang w:val="en-GB" w:eastAsia="ja-JP"/>
          <w14:ligatures w14:val="none"/>
        </w:rPr>
        <w:t>A History of Western Astrology Volume 1: The Ancient and Classical Worlds.</w:t>
      </w:r>
      <w:r w:rsidRPr="001E07B8">
        <w:rPr>
          <w:rFonts w:asciiTheme="minorHAnsi" w:eastAsiaTheme="minorEastAsia" w:hAnsiTheme="minorHAnsi" w:cstheme="minorBidi"/>
          <w:color w:val="auto"/>
          <w:kern w:val="0"/>
          <w:lang w:val="en-GB" w:eastAsia="ja-JP"/>
          <w14:ligatures w14:val="none"/>
        </w:rPr>
        <w:t xml:space="preserve"> (Bloomsbury Publishing, London 2009)</w:t>
      </w:r>
    </w:p>
    <w:p w14:paraId="5C7AE958"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p>
    <w:p w14:paraId="7256C7C2"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Murphy, T., ‘Cicero’s First Readers: Epistolary Evidence for the Dissemination of His Works’, </w:t>
      </w:r>
      <w:r w:rsidRPr="001E07B8">
        <w:rPr>
          <w:rFonts w:asciiTheme="minorHAnsi" w:eastAsiaTheme="minorEastAsia" w:hAnsiTheme="minorHAnsi" w:cstheme="minorBidi"/>
          <w:i/>
          <w:iCs/>
          <w:color w:val="auto"/>
          <w:kern w:val="0"/>
          <w:lang w:val="en-GB" w:eastAsia="ja-JP"/>
          <w14:ligatures w14:val="none"/>
        </w:rPr>
        <w:t>The Classical Quarterly</w:t>
      </w:r>
      <w:r w:rsidRPr="001E07B8">
        <w:rPr>
          <w:rFonts w:asciiTheme="minorHAnsi" w:eastAsiaTheme="minorEastAsia" w:hAnsiTheme="minorHAnsi" w:cstheme="minorBidi"/>
          <w:color w:val="auto"/>
          <w:kern w:val="0"/>
          <w:lang w:val="en-GB" w:eastAsia="ja-JP"/>
          <w14:ligatures w14:val="none"/>
        </w:rPr>
        <w:t>, 48 (1998), 492–505 http://dx.doi.org/10.1093/cq/48.2.492</w:t>
      </w:r>
    </w:p>
    <w:p w14:paraId="063A41CF"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p>
    <w:p w14:paraId="03FB5E12"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Schofield, M “Cicero for and against Divination”, </w:t>
      </w:r>
      <w:r w:rsidRPr="001E07B8">
        <w:rPr>
          <w:rFonts w:asciiTheme="minorHAnsi" w:eastAsiaTheme="minorEastAsia" w:hAnsiTheme="minorHAnsi" w:cstheme="minorBidi"/>
          <w:i/>
          <w:iCs/>
          <w:color w:val="auto"/>
          <w:kern w:val="0"/>
          <w:lang w:val="en-GB" w:eastAsia="ja-JP"/>
          <w14:ligatures w14:val="none"/>
        </w:rPr>
        <w:t>Journal of Roman Studies</w:t>
      </w:r>
      <w:r w:rsidRPr="001E07B8">
        <w:rPr>
          <w:rFonts w:asciiTheme="minorHAnsi" w:eastAsiaTheme="minorEastAsia" w:hAnsiTheme="minorHAnsi" w:cstheme="minorBidi"/>
          <w:color w:val="auto"/>
          <w:kern w:val="0"/>
          <w:lang w:val="en-GB" w:eastAsia="ja-JP"/>
          <w14:ligatures w14:val="none"/>
        </w:rPr>
        <w:t>76 (1986), 47-65</w:t>
      </w:r>
    </w:p>
    <w:p w14:paraId="5D549109"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p>
    <w:p w14:paraId="104CDE77"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proofErr w:type="spellStart"/>
      <w:r w:rsidRPr="001E07B8">
        <w:rPr>
          <w:rFonts w:asciiTheme="minorHAnsi" w:eastAsiaTheme="minorEastAsia" w:hAnsiTheme="minorHAnsi" w:cstheme="minorBidi"/>
          <w:color w:val="auto"/>
          <w:kern w:val="0"/>
          <w:lang w:val="en-GB" w:eastAsia="ja-JP"/>
          <w14:ligatures w14:val="none"/>
        </w:rPr>
        <w:t>Santangelo</w:t>
      </w:r>
      <w:proofErr w:type="spellEnd"/>
      <w:r w:rsidRPr="001E07B8">
        <w:rPr>
          <w:rFonts w:asciiTheme="minorHAnsi" w:eastAsiaTheme="minorEastAsia" w:hAnsiTheme="minorHAnsi" w:cstheme="minorBidi"/>
          <w:color w:val="auto"/>
          <w:kern w:val="0"/>
          <w:lang w:val="en-GB" w:eastAsia="ja-JP"/>
          <w14:ligatures w14:val="none"/>
        </w:rPr>
        <w:t xml:space="preserve">, F. </w:t>
      </w:r>
      <w:r w:rsidRPr="001E07B8">
        <w:rPr>
          <w:rFonts w:asciiTheme="minorHAnsi" w:eastAsiaTheme="minorEastAsia" w:hAnsiTheme="minorHAnsi" w:cstheme="minorBidi"/>
          <w:i/>
          <w:iCs/>
          <w:color w:val="auto"/>
          <w:kern w:val="0"/>
          <w:lang w:val="en-GB" w:eastAsia="ja-JP"/>
          <w14:ligatures w14:val="none"/>
        </w:rPr>
        <w:t>Divination and  Prediction and the End of the Roman Republic (</w:t>
      </w:r>
      <w:r w:rsidRPr="001E07B8">
        <w:rPr>
          <w:rFonts w:asciiTheme="minorHAnsi" w:eastAsiaTheme="minorEastAsia" w:hAnsiTheme="minorHAnsi" w:cstheme="minorBidi"/>
          <w:color w:val="auto"/>
          <w:kern w:val="0"/>
          <w:lang w:val="en-GB" w:eastAsia="ja-JP"/>
          <w14:ligatures w14:val="none"/>
        </w:rPr>
        <w:t>Cambridge: Cambridge University Press, 2013)</w:t>
      </w:r>
    </w:p>
    <w:p w14:paraId="6FFF26B0" w14:textId="77777777" w:rsidR="001E07B8" w:rsidRPr="001E07B8" w:rsidRDefault="001E07B8" w:rsidP="001E07B8">
      <w:pPr>
        <w:spacing w:after="160" w:line="279" w:lineRule="auto"/>
        <w:ind w:left="0" w:firstLine="0"/>
        <w:rPr>
          <w:rFonts w:asciiTheme="minorHAnsi" w:eastAsiaTheme="minorEastAsia" w:hAnsiTheme="minorHAnsi" w:cstheme="minorBidi"/>
          <w:i/>
          <w:iCs/>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Tempest, K. ‘Tullius Cicero, Marcus, Life’. </w:t>
      </w:r>
      <w:r w:rsidRPr="001E07B8">
        <w:rPr>
          <w:rFonts w:asciiTheme="minorHAnsi" w:eastAsiaTheme="minorEastAsia" w:hAnsiTheme="minorHAnsi" w:cstheme="minorBidi"/>
          <w:i/>
          <w:iCs/>
          <w:color w:val="auto"/>
          <w:kern w:val="0"/>
          <w:lang w:val="en-GB" w:eastAsia="ja-JP"/>
          <w14:ligatures w14:val="none"/>
        </w:rPr>
        <w:t>Oxford Classical Dictionary</w:t>
      </w:r>
      <w:r w:rsidRPr="001E07B8">
        <w:rPr>
          <w:rFonts w:asciiTheme="minorHAnsi" w:eastAsiaTheme="minorEastAsia" w:hAnsiTheme="minorHAnsi" w:cstheme="minorBidi"/>
          <w:color w:val="auto"/>
          <w:kern w:val="0"/>
          <w:lang w:val="en-GB" w:eastAsia="ja-JP"/>
          <w14:ligatures w14:val="none"/>
        </w:rPr>
        <w:t>, January 28, 2022.  Oxford University Press</w:t>
      </w:r>
    </w:p>
    <w:p w14:paraId="2A7C1544"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ten Berge, B.  </w:t>
      </w:r>
      <w:r w:rsidRPr="001E07B8">
        <w:rPr>
          <w:rFonts w:asciiTheme="minorHAnsi" w:eastAsiaTheme="minorEastAsia" w:hAnsiTheme="minorHAnsi" w:cstheme="minorBidi"/>
          <w:i/>
          <w:iCs/>
          <w:color w:val="auto"/>
          <w:kern w:val="0"/>
          <w:lang w:val="en-GB" w:eastAsia="ja-JP"/>
          <w14:ligatures w14:val="none"/>
        </w:rPr>
        <w:t>Dreams in Cicero’s De divination</w:t>
      </w:r>
      <w:r w:rsidRPr="001E07B8">
        <w:rPr>
          <w:rFonts w:asciiTheme="minorHAnsi" w:eastAsiaTheme="minorEastAsia" w:hAnsiTheme="minorHAnsi" w:cstheme="minorBidi"/>
          <w:color w:val="auto"/>
          <w:kern w:val="0"/>
          <w:lang w:val="en-GB" w:eastAsia="ja-JP"/>
          <w14:ligatures w14:val="none"/>
        </w:rPr>
        <w:t>’ https://www.academia.edu/23966839/Dreams_in_Ciceros_De_Divinatione</w:t>
      </w:r>
    </w:p>
    <w:p w14:paraId="754897C2"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p>
    <w:p w14:paraId="7CF2E74E"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r w:rsidRPr="001E07B8">
        <w:rPr>
          <w:rFonts w:asciiTheme="minorHAnsi" w:eastAsiaTheme="minorEastAsia" w:hAnsiTheme="minorHAnsi" w:cstheme="minorBidi"/>
          <w:color w:val="auto"/>
          <w:kern w:val="0"/>
          <w:lang w:val="en-GB" w:eastAsia="ja-JP"/>
          <w14:ligatures w14:val="none"/>
        </w:rPr>
        <w:t xml:space="preserve">Wynne, J. P. F., </w:t>
      </w:r>
      <w:r w:rsidRPr="001E07B8">
        <w:rPr>
          <w:rFonts w:asciiTheme="minorHAnsi" w:eastAsiaTheme="minorEastAsia" w:hAnsiTheme="minorHAnsi" w:cstheme="minorBidi"/>
          <w:i/>
          <w:iCs/>
          <w:color w:val="auto"/>
          <w:kern w:val="0"/>
          <w:lang w:val="en-GB" w:eastAsia="ja-JP"/>
          <w14:ligatures w14:val="none"/>
        </w:rPr>
        <w:t>Cicero on the Philosophy of Religion: On the Nature of the Gods and On Divination</w:t>
      </w:r>
      <w:r w:rsidRPr="001E07B8">
        <w:rPr>
          <w:rFonts w:asciiTheme="minorHAnsi" w:eastAsiaTheme="minorEastAsia" w:hAnsiTheme="minorHAnsi" w:cstheme="minorBidi"/>
          <w:color w:val="auto"/>
          <w:kern w:val="0"/>
          <w:lang w:val="en-GB" w:eastAsia="ja-JP"/>
          <w14:ligatures w14:val="none"/>
        </w:rPr>
        <w:t xml:space="preserve"> p.13-15. (Cambridge: Cambridge University Press, 2019)</w:t>
      </w:r>
    </w:p>
    <w:p w14:paraId="0DA0A8E1"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lang w:val="en-GB" w:eastAsia="ja-JP"/>
          <w14:ligatures w14:val="none"/>
        </w:rPr>
      </w:pPr>
    </w:p>
    <w:p w14:paraId="677B77DC" w14:textId="77777777" w:rsidR="001E07B8" w:rsidRPr="001E07B8" w:rsidRDefault="001E07B8" w:rsidP="001E07B8">
      <w:pPr>
        <w:spacing w:after="0" w:line="240" w:lineRule="auto"/>
        <w:ind w:left="0" w:firstLine="0"/>
        <w:rPr>
          <w:rFonts w:asciiTheme="minorHAnsi" w:eastAsiaTheme="minorEastAsia" w:hAnsiTheme="minorHAnsi" w:cstheme="minorBidi"/>
          <w:color w:val="auto"/>
          <w:kern w:val="0"/>
          <w:sz w:val="20"/>
          <w:szCs w:val="20"/>
          <w:lang w:val="en-GB" w:eastAsia="ja-JP"/>
          <w14:ligatures w14:val="none"/>
        </w:rPr>
      </w:pPr>
    </w:p>
    <w:p w14:paraId="06B20EA3" w14:textId="77777777" w:rsidR="001E07B8" w:rsidRPr="001E07B8" w:rsidRDefault="001E07B8" w:rsidP="001E07B8">
      <w:pPr>
        <w:spacing w:after="160" w:line="279" w:lineRule="auto"/>
        <w:ind w:left="0" w:firstLine="0"/>
        <w:rPr>
          <w:rFonts w:asciiTheme="minorHAnsi" w:eastAsiaTheme="minorEastAsia" w:hAnsiTheme="minorHAnsi" w:cstheme="minorBidi"/>
          <w:color w:val="auto"/>
          <w:kern w:val="0"/>
          <w:lang w:val="en-GB" w:eastAsia="ja-JP"/>
          <w14:ligatures w14:val="none"/>
        </w:rPr>
      </w:pPr>
    </w:p>
    <w:p w14:paraId="4D313181" w14:textId="77E84347" w:rsidR="00446BDA" w:rsidRDefault="00446BDA">
      <w:pPr>
        <w:spacing w:after="188" w:line="259" w:lineRule="auto"/>
        <w:ind w:left="181" w:firstLine="0"/>
      </w:pPr>
    </w:p>
    <w:p w14:paraId="7344F9E7" w14:textId="77777777" w:rsidR="00446BDA" w:rsidRDefault="00AD435C">
      <w:pPr>
        <w:spacing w:after="0" w:line="259" w:lineRule="auto"/>
        <w:ind w:left="181" w:firstLine="0"/>
        <w:jc w:val="both"/>
      </w:pPr>
      <w:r>
        <w:rPr>
          <w:rFonts w:ascii="Arial" w:eastAsia="Arial" w:hAnsi="Arial" w:cs="Arial"/>
          <w:b/>
        </w:rPr>
        <w:t xml:space="preserve"> </w:t>
      </w:r>
      <w:r>
        <w:rPr>
          <w:rFonts w:ascii="Arial" w:eastAsia="Arial" w:hAnsi="Arial" w:cs="Arial"/>
          <w:b/>
        </w:rPr>
        <w:tab/>
      </w:r>
      <w:r>
        <w:rPr>
          <w:rFonts w:cs="Aptos"/>
          <w:b/>
        </w:rPr>
        <w:t xml:space="preserve"> </w:t>
      </w:r>
    </w:p>
    <w:p w14:paraId="3833FD2B" w14:textId="77777777" w:rsidR="00446BDA" w:rsidRDefault="00AD435C">
      <w:pPr>
        <w:spacing w:after="184" w:line="259" w:lineRule="auto"/>
        <w:ind w:left="181" w:firstLine="0"/>
      </w:pPr>
      <w:r>
        <w:rPr>
          <w:rFonts w:cs="Aptos"/>
          <w:b/>
        </w:rPr>
        <w:t xml:space="preserve"> </w:t>
      </w:r>
    </w:p>
    <w:p w14:paraId="30648269" w14:textId="77777777" w:rsidR="00446BDA" w:rsidRDefault="00AD435C">
      <w:pPr>
        <w:spacing w:after="0" w:line="259" w:lineRule="auto"/>
        <w:ind w:left="0" w:firstLine="0"/>
      </w:pPr>
      <w:r>
        <w:t xml:space="preserve"> </w:t>
      </w:r>
    </w:p>
    <w:sectPr w:rsidR="00446BDA">
      <w:headerReference w:type="even" r:id="rId8"/>
      <w:headerReference w:type="default" r:id="rId9"/>
      <w:headerReference w:type="first" r:id="rId10"/>
      <w:pgSz w:w="12240" w:h="15840"/>
      <w:pgMar w:top="1440" w:right="719" w:bottom="1440" w:left="72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74CC0" w14:textId="77777777" w:rsidR="00AD435C" w:rsidRDefault="00AD435C">
      <w:pPr>
        <w:spacing w:after="0" w:line="240" w:lineRule="auto"/>
      </w:pPr>
      <w:r>
        <w:separator/>
      </w:r>
    </w:p>
  </w:endnote>
  <w:endnote w:type="continuationSeparator" w:id="0">
    <w:p w14:paraId="377279F4" w14:textId="77777777" w:rsidR="00AD435C" w:rsidRDefault="00AD4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46BD9" w14:textId="77777777" w:rsidR="00446BDA" w:rsidRDefault="00AD435C">
      <w:pPr>
        <w:spacing w:after="0" w:line="264" w:lineRule="auto"/>
        <w:ind w:left="181" w:firstLine="0"/>
      </w:pPr>
      <w:r>
        <w:separator/>
      </w:r>
    </w:p>
  </w:footnote>
  <w:footnote w:type="continuationSeparator" w:id="0">
    <w:p w14:paraId="1234EECC" w14:textId="77777777" w:rsidR="00446BDA" w:rsidRDefault="00AD435C">
      <w:pPr>
        <w:spacing w:after="0" w:line="264" w:lineRule="auto"/>
        <w:ind w:left="181" w:firstLine="0"/>
      </w:pPr>
      <w:r>
        <w:continuationSeparator/>
      </w:r>
    </w:p>
  </w:footnote>
  <w:footnote w:id="1">
    <w:p w14:paraId="2469E03F" w14:textId="77777777" w:rsidR="001E07B8" w:rsidRPr="0094612B" w:rsidRDefault="001E07B8" w:rsidP="0094612B">
      <w:pPr>
        <w:rPr>
          <w:sz w:val="18"/>
          <w:szCs w:val="18"/>
        </w:rPr>
      </w:pPr>
      <w:r>
        <w:rPr>
          <w:rStyle w:val="FootnoteReference"/>
        </w:rPr>
        <w:footnoteRef/>
      </w:r>
      <w:r>
        <w:t xml:space="preserve"> </w:t>
      </w:r>
      <w:r w:rsidRPr="00A2110E">
        <w:rPr>
          <w:sz w:val="18"/>
          <w:szCs w:val="18"/>
        </w:rPr>
        <w:t xml:space="preserve">as available on the Loeb Classical Library </w:t>
      </w:r>
      <w:r>
        <w:rPr>
          <w:sz w:val="18"/>
          <w:szCs w:val="18"/>
        </w:rPr>
        <w:t xml:space="preserve"> </w:t>
      </w:r>
      <w:r w:rsidRPr="00A2110E">
        <w:rPr>
          <w:sz w:val="18"/>
          <w:szCs w:val="18"/>
        </w:rPr>
        <w:t>https://penelope.uchicago.edu/Thayer/E/Roman/Texts/Cicero/de_Divinatione/home.html</w:t>
      </w:r>
    </w:p>
  </w:footnote>
  <w:footnote w:id="2">
    <w:p w14:paraId="0CCCA87B" w14:textId="77777777" w:rsidR="001E07B8" w:rsidRPr="000C74D1" w:rsidRDefault="001E07B8">
      <w:pPr>
        <w:pStyle w:val="FootnoteText"/>
        <w:rPr>
          <w:sz w:val="18"/>
          <w:szCs w:val="18"/>
        </w:rPr>
      </w:pPr>
      <w:r>
        <w:rPr>
          <w:rStyle w:val="FootnoteReference"/>
        </w:rPr>
        <w:footnoteRef/>
      </w:r>
      <w:r>
        <w:t xml:space="preserve"> </w:t>
      </w:r>
      <w:r w:rsidRPr="00422720">
        <w:rPr>
          <w:sz w:val="18"/>
          <w:szCs w:val="18"/>
        </w:rPr>
        <w:t xml:space="preserve">Tempest, K. ‘Tullius Cicero, Marcus, Life’. </w:t>
      </w:r>
      <w:r w:rsidRPr="00D7397C">
        <w:rPr>
          <w:i/>
          <w:iCs/>
          <w:sz w:val="18"/>
          <w:szCs w:val="18"/>
        </w:rPr>
        <w:t>Oxford Classical Dictionary</w:t>
      </w:r>
      <w:r w:rsidRPr="00422720">
        <w:rPr>
          <w:sz w:val="18"/>
          <w:szCs w:val="18"/>
        </w:rPr>
        <w:t>, January 28, 2022.  Oxford University Press</w:t>
      </w:r>
    </w:p>
  </w:footnote>
  <w:footnote w:id="3">
    <w:p w14:paraId="22683720" w14:textId="77777777" w:rsidR="001E07B8" w:rsidRPr="000C74D1" w:rsidRDefault="001E07B8">
      <w:pPr>
        <w:pStyle w:val="FootnoteText"/>
        <w:rPr>
          <w:sz w:val="18"/>
          <w:szCs w:val="18"/>
        </w:rPr>
      </w:pPr>
      <w:r w:rsidRPr="000C74D1">
        <w:rPr>
          <w:rStyle w:val="FootnoteReference"/>
          <w:sz w:val="18"/>
          <w:szCs w:val="18"/>
        </w:rPr>
        <w:footnoteRef/>
      </w:r>
      <w:r w:rsidRPr="000C74D1">
        <w:rPr>
          <w:sz w:val="18"/>
          <w:szCs w:val="18"/>
        </w:rPr>
        <w:t xml:space="preserve"> Cicero, Marcus Tullius. </w:t>
      </w:r>
      <w:r w:rsidRPr="000C74D1">
        <w:rPr>
          <w:i/>
          <w:iCs/>
          <w:sz w:val="18"/>
          <w:szCs w:val="18"/>
        </w:rPr>
        <w:t>The Nature of the Gods</w:t>
      </w:r>
      <w:r w:rsidRPr="000C74D1">
        <w:rPr>
          <w:sz w:val="18"/>
          <w:szCs w:val="18"/>
        </w:rPr>
        <w:t>. London trans McGregor, 1972 g, Penguin 1972, p,17.</w:t>
      </w:r>
    </w:p>
  </w:footnote>
  <w:footnote w:id="4">
    <w:p w14:paraId="13178232" w14:textId="77777777" w:rsidR="001E07B8" w:rsidRPr="000C74D1" w:rsidRDefault="001E07B8">
      <w:pPr>
        <w:pStyle w:val="FootnoteText"/>
        <w:rPr>
          <w:sz w:val="18"/>
          <w:szCs w:val="18"/>
        </w:rPr>
      </w:pPr>
      <w:r w:rsidRPr="000C74D1">
        <w:rPr>
          <w:rStyle w:val="FootnoteReference"/>
          <w:sz w:val="18"/>
          <w:szCs w:val="18"/>
        </w:rPr>
        <w:footnoteRef/>
      </w:r>
      <w:r w:rsidRPr="000C74D1">
        <w:rPr>
          <w:sz w:val="18"/>
          <w:szCs w:val="18"/>
        </w:rPr>
        <w:t xml:space="preserve"> Schofield</w:t>
      </w:r>
      <w:r>
        <w:rPr>
          <w:sz w:val="18"/>
          <w:szCs w:val="18"/>
        </w:rPr>
        <w:t xml:space="preserve">, M 2Cicero for and against Divination”, </w:t>
      </w:r>
      <w:r>
        <w:rPr>
          <w:i/>
          <w:iCs/>
          <w:sz w:val="18"/>
          <w:szCs w:val="18"/>
        </w:rPr>
        <w:t>Journal of Roman Studies</w:t>
      </w:r>
      <w:r>
        <w:rPr>
          <w:sz w:val="18"/>
          <w:szCs w:val="18"/>
        </w:rPr>
        <w:t>76 (1986), 47-65</w:t>
      </w:r>
    </w:p>
  </w:footnote>
  <w:footnote w:id="5">
    <w:p w14:paraId="07EA7B27" w14:textId="77777777" w:rsidR="001E07B8" w:rsidRPr="00333B6B" w:rsidRDefault="001E07B8">
      <w:pPr>
        <w:pStyle w:val="FootnoteText"/>
      </w:pPr>
      <w:r w:rsidRPr="000C74D1">
        <w:rPr>
          <w:rStyle w:val="FootnoteReference"/>
          <w:sz w:val="18"/>
          <w:szCs w:val="18"/>
        </w:rPr>
        <w:footnoteRef/>
      </w:r>
      <w:r w:rsidRPr="000C74D1">
        <w:rPr>
          <w:sz w:val="18"/>
          <w:szCs w:val="18"/>
        </w:rPr>
        <w:t xml:space="preserve"> </w:t>
      </w:r>
      <w:r>
        <w:rPr>
          <w:sz w:val="18"/>
          <w:szCs w:val="18"/>
        </w:rPr>
        <w:t xml:space="preserve">Beard, M. “Cicero and Divination: The Formation of a Latin Discourse,” </w:t>
      </w:r>
      <w:r>
        <w:rPr>
          <w:i/>
          <w:iCs/>
          <w:sz w:val="18"/>
          <w:szCs w:val="18"/>
        </w:rPr>
        <w:t>Journal of Roman Studies</w:t>
      </w:r>
      <w:r>
        <w:rPr>
          <w:sz w:val="18"/>
          <w:szCs w:val="18"/>
        </w:rPr>
        <w:t>76 (1986), 33-47</w:t>
      </w:r>
    </w:p>
  </w:footnote>
  <w:footnote w:id="6">
    <w:p w14:paraId="4983497B" w14:textId="77777777" w:rsidR="001E07B8" w:rsidRDefault="001E07B8">
      <w:pPr>
        <w:pStyle w:val="FootnoteText"/>
      </w:pPr>
      <w:r>
        <w:rPr>
          <w:rStyle w:val="FootnoteReference"/>
        </w:rPr>
        <w:footnoteRef/>
      </w:r>
      <w:r>
        <w:t xml:space="preserve"> </w:t>
      </w:r>
      <w:r w:rsidRPr="009C25F6">
        <w:t>Cicero. On Old Age. On Friendship. On Divination</w:t>
      </w:r>
    </w:p>
  </w:footnote>
  <w:footnote w:id="7">
    <w:p w14:paraId="4CA6C402" w14:textId="77777777" w:rsidR="001E07B8" w:rsidRDefault="001E07B8">
      <w:pPr>
        <w:pStyle w:val="FootnoteText"/>
      </w:pPr>
      <w:r>
        <w:rPr>
          <w:rStyle w:val="FootnoteReference"/>
        </w:rPr>
        <w:footnoteRef/>
      </w:r>
      <w:r>
        <w:t xml:space="preserve"> </w:t>
      </w:r>
      <w:r w:rsidRPr="001278A2">
        <w:t>Beard, M. “Cicero and Divination</w:t>
      </w:r>
    </w:p>
  </w:footnote>
  <w:footnote w:id="8">
    <w:p w14:paraId="34BA4FC7" w14:textId="77777777" w:rsidR="001E07B8" w:rsidRDefault="001E07B8">
      <w:pPr>
        <w:pStyle w:val="FootnoteText"/>
      </w:pPr>
      <w:r>
        <w:rPr>
          <w:rStyle w:val="FootnoteReference"/>
        </w:rPr>
        <w:footnoteRef/>
      </w:r>
      <w:r>
        <w:t xml:space="preserve"> Wynne, J. P. F., </w:t>
      </w:r>
      <w:r w:rsidRPr="00230448">
        <w:rPr>
          <w:i/>
          <w:iCs/>
        </w:rPr>
        <w:t>Cicero on the Philosophy of Religion: On the Nature of the Gods and On Divination</w:t>
      </w:r>
      <w:r>
        <w:t xml:space="preserve"> p.13-15. (Cambridge: Cambridge University Press, 2019</w:t>
      </w:r>
    </w:p>
  </w:footnote>
  <w:footnote w:id="9">
    <w:p w14:paraId="6A9350F8" w14:textId="77777777" w:rsidR="001E07B8" w:rsidRDefault="001E07B8">
      <w:pPr>
        <w:pStyle w:val="FootnoteText"/>
      </w:pPr>
      <w:r>
        <w:rPr>
          <w:rStyle w:val="FootnoteReference"/>
        </w:rPr>
        <w:footnoteRef/>
      </w:r>
      <w:r>
        <w:t xml:space="preserve"> Wynne. Ibid, p.1</w:t>
      </w:r>
    </w:p>
  </w:footnote>
  <w:footnote w:id="10">
    <w:p w14:paraId="30962578" w14:textId="77777777" w:rsidR="001E07B8" w:rsidRDefault="001E07B8">
      <w:pPr>
        <w:pStyle w:val="FootnoteText"/>
      </w:pPr>
      <w:r>
        <w:rPr>
          <w:rStyle w:val="FootnoteReference"/>
        </w:rPr>
        <w:footnoteRef/>
      </w:r>
      <w:r>
        <w:t xml:space="preserve"> Begemann, E. (2023). </w:t>
      </w:r>
      <w:r w:rsidRPr="002B0C80">
        <w:rPr>
          <w:i/>
          <w:iCs/>
        </w:rPr>
        <w:t>Cicero’s De Divinatione in Religious and Historical Perspective</w:t>
      </w:r>
      <w:r>
        <w:t>. Ciceroniana On Line, 7(1), 69–93. https://doi.org/10.13135/2532-5353/7737</w:t>
      </w:r>
    </w:p>
  </w:footnote>
  <w:footnote w:id="11">
    <w:p w14:paraId="0B282B3D" w14:textId="77777777" w:rsidR="001E07B8" w:rsidRDefault="001E07B8">
      <w:pPr>
        <w:pStyle w:val="FootnoteText"/>
      </w:pPr>
      <w:r>
        <w:rPr>
          <w:rStyle w:val="FootnoteReference"/>
        </w:rPr>
        <w:footnoteRef/>
      </w:r>
      <w:r>
        <w:t xml:space="preserve"> Murphy, T., ‘Cicero’s First Readers: Epistolary Evidence for the Dissemination of His Works’, </w:t>
      </w:r>
      <w:r w:rsidRPr="00EF6A60">
        <w:rPr>
          <w:i/>
          <w:iCs/>
        </w:rPr>
        <w:t>The Classical Quarterly</w:t>
      </w:r>
      <w:r>
        <w:t>, 48 (1998), 492–505 http://dx.doi.org/10.1093/cq/48.2.492</w:t>
      </w:r>
    </w:p>
  </w:footnote>
  <w:footnote w:id="12">
    <w:p w14:paraId="1F0F70F2" w14:textId="77777777" w:rsidR="001E07B8" w:rsidRDefault="001E07B8">
      <w:pPr>
        <w:pStyle w:val="FootnoteText"/>
      </w:pPr>
      <w:r>
        <w:rPr>
          <w:rStyle w:val="FootnoteReference"/>
        </w:rPr>
        <w:footnoteRef/>
      </w:r>
      <w:r>
        <w:t xml:space="preserve"> </w:t>
      </w:r>
      <w:r>
        <w:rPr>
          <w:sz w:val="18"/>
          <w:szCs w:val="18"/>
        </w:rPr>
        <w:t>Beard, M. “Cicero and Divination</w:t>
      </w:r>
      <w:r>
        <w:t>., p56</w:t>
      </w:r>
    </w:p>
  </w:footnote>
  <w:footnote w:id="13">
    <w:p w14:paraId="2E6CA6B8" w14:textId="77777777" w:rsidR="001E07B8" w:rsidRDefault="001E07B8">
      <w:pPr>
        <w:pStyle w:val="FootnoteText"/>
      </w:pPr>
      <w:r>
        <w:rPr>
          <w:rStyle w:val="FootnoteReference"/>
        </w:rPr>
        <w:footnoteRef/>
      </w:r>
      <w:r>
        <w:t xml:space="preserve"> Div 1.5.9</w:t>
      </w:r>
    </w:p>
  </w:footnote>
  <w:footnote w:id="14">
    <w:p w14:paraId="19449A2B" w14:textId="77777777" w:rsidR="001E07B8" w:rsidRDefault="001E07B8">
      <w:pPr>
        <w:pStyle w:val="FootnoteText"/>
      </w:pPr>
      <w:r>
        <w:rPr>
          <w:rStyle w:val="FootnoteReference"/>
        </w:rPr>
        <w:footnoteRef/>
      </w:r>
      <w:r>
        <w:t xml:space="preserve"> Div 1. 55.126</w:t>
      </w:r>
    </w:p>
  </w:footnote>
  <w:footnote w:id="15">
    <w:p w14:paraId="77DB155F" w14:textId="77777777" w:rsidR="001E07B8" w:rsidRDefault="001E07B8">
      <w:pPr>
        <w:pStyle w:val="FootnoteText"/>
      </w:pPr>
      <w:r>
        <w:rPr>
          <w:rStyle w:val="FootnoteReference"/>
        </w:rPr>
        <w:footnoteRef/>
      </w:r>
      <w:r>
        <w:t xml:space="preserve"> Wynne </w:t>
      </w:r>
      <w:r w:rsidRPr="00931DFC">
        <w:rPr>
          <w:i/>
          <w:iCs/>
        </w:rPr>
        <w:t>Cicero on the philosophy of religion</w:t>
      </w:r>
      <w:r>
        <w:t xml:space="preserve"> p.244</w:t>
      </w:r>
    </w:p>
  </w:footnote>
  <w:footnote w:id="16">
    <w:p w14:paraId="2ACFCEBB" w14:textId="77777777" w:rsidR="001E07B8" w:rsidRDefault="001E07B8">
      <w:pPr>
        <w:pStyle w:val="FootnoteText"/>
      </w:pPr>
      <w:r>
        <w:rPr>
          <w:rStyle w:val="FootnoteReference"/>
        </w:rPr>
        <w:footnoteRef/>
      </w:r>
      <w:r>
        <w:t xml:space="preserve"> Div 2.12.28</w:t>
      </w:r>
    </w:p>
  </w:footnote>
  <w:footnote w:id="17">
    <w:p w14:paraId="013AA119" w14:textId="77777777" w:rsidR="001E07B8" w:rsidRDefault="001E07B8">
      <w:pPr>
        <w:pStyle w:val="FootnoteText"/>
      </w:pPr>
      <w:r>
        <w:rPr>
          <w:rStyle w:val="FootnoteReference"/>
        </w:rPr>
        <w:footnoteRef/>
      </w:r>
      <w:r>
        <w:t xml:space="preserve"> Div2.18.43</w:t>
      </w:r>
    </w:p>
  </w:footnote>
  <w:footnote w:id="18">
    <w:p w14:paraId="4142E24C" w14:textId="77777777" w:rsidR="001E07B8" w:rsidRDefault="001E07B8">
      <w:pPr>
        <w:pStyle w:val="FootnoteText"/>
      </w:pPr>
      <w:r>
        <w:rPr>
          <w:rStyle w:val="FootnoteReference"/>
        </w:rPr>
        <w:footnoteRef/>
      </w:r>
      <w:r>
        <w:t xml:space="preserve"> Div.2.25.53</w:t>
      </w:r>
    </w:p>
  </w:footnote>
  <w:footnote w:id="19">
    <w:p w14:paraId="3DF04983" w14:textId="77777777" w:rsidR="001E07B8" w:rsidRDefault="001E07B8">
      <w:pPr>
        <w:pStyle w:val="FootnoteText"/>
      </w:pPr>
      <w:r>
        <w:rPr>
          <w:rStyle w:val="FootnoteReference"/>
        </w:rPr>
        <w:footnoteRef/>
      </w:r>
      <w:r>
        <w:t xml:space="preserve"> Campion, N. </w:t>
      </w:r>
      <w:r w:rsidRPr="00047219">
        <w:rPr>
          <w:i/>
          <w:iCs/>
        </w:rPr>
        <w:t>A History of Western Astrology</w:t>
      </w:r>
      <w:r>
        <w:rPr>
          <w:i/>
          <w:iCs/>
        </w:rPr>
        <w:t xml:space="preserve"> Volume 1: The Ancient and Classical Worlds.</w:t>
      </w:r>
      <w:r>
        <w:t xml:space="preserve"> (Bloomsbury Publishing, London 2009), p. 196.</w:t>
      </w:r>
    </w:p>
  </w:footnote>
  <w:footnote w:id="20">
    <w:p w14:paraId="46410BF8" w14:textId="77777777" w:rsidR="001E07B8" w:rsidRDefault="001E07B8">
      <w:pPr>
        <w:pStyle w:val="FootnoteText"/>
      </w:pPr>
      <w:r>
        <w:rPr>
          <w:rStyle w:val="FootnoteReference"/>
        </w:rPr>
        <w:footnoteRef/>
      </w:r>
      <w:r>
        <w:t xml:space="preserve"> Div. 1.50.112-116</w:t>
      </w:r>
    </w:p>
  </w:footnote>
  <w:footnote w:id="21">
    <w:p w14:paraId="4874F9B7" w14:textId="77777777" w:rsidR="001E07B8" w:rsidRDefault="001E07B8">
      <w:pPr>
        <w:pStyle w:val="FootnoteText"/>
      </w:pPr>
      <w:r>
        <w:rPr>
          <w:rStyle w:val="FootnoteReference"/>
        </w:rPr>
        <w:footnoteRef/>
      </w:r>
      <w:r>
        <w:t xml:space="preserve"> Frederico Santagelo </w:t>
      </w:r>
      <w:r w:rsidRPr="006F3155">
        <w:rPr>
          <w:i/>
          <w:iCs/>
        </w:rPr>
        <w:t>Divination and  Prediction and the End of the Roman Republic</w:t>
      </w:r>
    </w:p>
  </w:footnote>
  <w:footnote w:id="22">
    <w:p w14:paraId="4A9CCC67" w14:textId="77777777" w:rsidR="001E07B8" w:rsidRDefault="001E07B8">
      <w:pPr>
        <w:pStyle w:val="FootnoteText"/>
      </w:pPr>
      <w:r>
        <w:rPr>
          <w:rStyle w:val="FootnoteReference"/>
        </w:rPr>
        <w:footnoteRef/>
      </w:r>
      <w:r>
        <w:t xml:space="preserve"> Bram ten Berge </w:t>
      </w:r>
      <w:r w:rsidRPr="00AB54F8">
        <w:rPr>
          <w:i/>
          <w:iCs/>
        </w:rPr>
        <w:t>Dreams in Cicero’s De divination</w:t>
      </w:r>
      <w:r>
        <w:t>’ p54.</w:t>
      </w:r>
    </w:p>
    <w:p w14:paraId="7C5A6CF9" w14:textId="77777777" w:rsidR="001E07B8" w:rsidRDefault="001E07B8">
      <w:pPr>
        <w:pStyle w:val="FootnoteText"/>
      </w:pPr>
    </w:p>
    <w:p w14:paraId="34137954" w14:textId="77777777" w:rsidR="001E07B8" w:rsidRDefault="001E07B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87474A" w14:textId="77777777" w:rsidR="00446BDA" w:rsidRDefault="00446BDA">
    <w:pPr>
      <w:spacing w:after="16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ACED4" w14:textId="77777777" w:rsidR="00446BDA" w:rsidRDefault="00446BDA">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7AD5D" w14:textId="77777777" w:rsidR="00446BDA" w:rsidRDefault="00446BDA">
    <w:pPr>
      <w:spacing w:after="160" w:line="259" w:lineRule="auto"/>
      <w:ind w:left="0"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BDA"/>
    <w:rsid w:val="00057B50"/>
    <w:rsid w:val="0018408F"/>
    <w:rsid w:val="001E07B8"/>
    <w:rsid w:val="003578BF"/>
    <w:rsid w:val="00446BDA"/>
    <w:rsid w:val="0046490B"/>
    <w:rsid w:val="00743807"/>
    <w:rsid w:val="00A46E29"/>
    <w:rsid w:val="00AD435C"/>
    <w:rsid w:val="00F63166"/>
    <w:rsid w:val="00F71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B781BE"/>
  <w15:docId w15:val="{5B082BEF-B392-884E-B3AC-740AF5979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3" w:line="270" w:lineRule="auto"/>
      <w:ind w:left="191" w:hanging="10"/>
    </w:pPr>
    <w:rPr>
      <w:rFonts w:ascii="Aptos" w:eastAsia="Aptos" w:hAnsi="Aptos" w:cs="Times New Roman"/>
      <w:color w:val="000000"/>
      <w:lang w:val="en" w:eastAsia="en"/>
    </w:rPr>
  </w:style>
  <w:style w:type="paragraph" w:styleId="Heading1">
    <w:name w:val="heading 1"/>
    <w:next w:val="Normal"/>
    <w:link w:val="Heading1Char"/>
    <w:uiPriority w:val="9"/>
    <w:qFormat/>
    <w:pPr>
      <w:keepNext/>
      <w:keepLines/>
      <w:spacing w:after="13" w:line="259" w:lineRule="auto"/>
      <w:ind w:left="191" w:hanging="10"/>
      <w:outlineLvl w:val="0"/>
    </w:pPr>
    <w:rPr>
      <w:rFonts w:ascii="Aptos" w:eastAsia="Aptos" w:hAnsi="Aptos" w:cs="Aptos"/>
      <w:b/>
      <w:color w:val="000000"/>
      <w:u w:val="single" w:color="000000"/>
    </w:rPr>
  </w:style>
  <w:style w:type="paragraph" w:styleId="Heading2">
    <w:name w:val="heading 2"/>
    <w:next w:val="Normal"/>
    <w:link w:val="Heading2Char"/>
    <w:uiPriority w:val="9"/>
    <w:unhideWhenUsed/>
    <w:qFormat/>
    <w:pPr>
      <w:keepNext/>
      <w:keepLines/>
      <w:spacing w:after="181" w:line="259" w:lineRule="auto"/>
      <w:ind w:left="191" w:hanging="10"/>
      <w:outlineLvl w:val="1"/>
    </w:pPr>
    <w:rPr>
      <w:rFonts w:ascii="Aptos" w:eastAsia="Aptos" w:hAnsi="Aptos" w:cs="Aptos"/>
      <w:b/>
      <w:color w:val="000000"/>
    </w:rPr>
  </w:style>
  <w:style w:type="paragraph" w:styleId="Heading3">
    <w:name w:val="heading 3"/>
    <w:next w:val="Normal"/>
    <w:link w:val="Heading3Char"/>
    <w:uiPriority w:val="9"/>
    <w:unhideWhenUsed/>
    <w:qFormat/>
    <w:pPr>
      <w:keepNext/>
      <w:keepLines/>
      <w:spacing w:after="94" w:line="265" w:lineRule="auto"/>
      <w:ind w:left="10" w:right="615" w:hanging="10"/>
      <w:jc w:val="center"/>
      <w:outlineLvl w:val="2"/>
    </w:pPr>
    <w:rPr>
      <w:rFonts w:ascii="Aptos" w:eastAsia="Aptos" w:hAnsi="Aptos" w:cs="Aptos"/>
      <w:b/>
      <w:color w:val="156082"/>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ptos" w:eastAsia="Aptos" w:hAnsi="Aptos" w:cs="Aptos"/>
      <w:b/>
      <w:color w:val="000000"/>
      <w:sz w:val="24"/>
    </w:rPr>
  </w:style>
  <w:style w:type="character" w:customStyle="1" w:styleId="Heading1Char">
    <w:name w:val="Heading 1 Char"/>
    <w:link w:val="Heading1"/>
    <w:rPr>
      <w:rFonts w:ascii="Aptos" w:eastAsia="Aptos" w:hAnsi="Aptos" w:cs="Aptos"/>
      <w:b/>
      <w:color w:val="000000"/>
      <w:sz w:val="24"/>
      <w:u w:val="single" w:color="000000"/>
    </w:rPr>
  </w:style>
  <w:style w:type="paragraph" w:customStyle="1" w:styleId="footnotedescription">
    <w:name w:val="footnote description"/>
    <w:next w:val="Normal"/>
    <w:link w:val="footnotedescriptionChar"/>
    <w:hidden/>
    <w:pPr>
      <w:spacing w:after="0" w:line="259" w:lineRule="auto"/>
      <w:ind w:left="181"/>
    </w:pPr>
    <w:rPr>
      <w:rFonts w:ascii="Aptos" w:eastAsia="Aptos" w:hAnsi="Aptos" w:cs="Aptos"/>
      <w:color w:val="000000"/>
      <w:sz w:val="20"/>
    </w:rPr>
  </w:style>
  <w:style w:type="character" w:customStyle="1" w:styleId="footnotedescriptionChar">
    <w:name w:val="footnote description Char"/>
    <w:link w:val="footnotedescription"/>
    <w:rPr>
      <w:rFonts w:ascii="Aptos" w:eastAsia="Aptos" w:hAnsi="Aptos" w:cs="Aptos"/>
      <w:color w:val="000000"/>
      <w:sz w:val="20"/>
    </w:rPr>
  </w:style>
  <w:style w:type="character" w:customStyle="1" w:styleId="Heading3Char">
    <w:name w:val="Heading 3 Char"/>
    <w:link w:val="Heading3"/>
    <w:rPr>
      <w:rFonts w:ascii="Aptos" w:eastAsia="Aptos" w:hAnsi="Aptos" w:cs="Aptos"/>
      <w:b/>
      <w:color w:val="156082"/>
      <w:sz w:val="18"/>
    </w:rPr>
  </w:style>
  <w:style w:type="character" w:customStyle="1" w:styleId="footnotemark">
    <w:name w:val="footnote mark"/>
    <w:hidden/>
    <w:rPr>
      <w:rFonts w:ascii="Aptos" w:eastAsia="Aptos" w:hAnsi="Aptos" w:cs="Aptos"/>
      <w:color w:val="000000"/>
      <w:sz w:val="18"/>
      <w:vertAlign w:val="superscript"/>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7438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807"/>
    <w:rPr>
      <w:rFonts w:ascii="Aptos" w:eastAsia="Aptos" w:hAnsi="Aptos" w:cs="Times New Roman"/>
      <w:color w:val="000000"/>
      <w:lang w:val="en" w:eastAsia="en"/>
    </w:rPr>
  </w:style>
  <w:style w:type="character" w:styleId="Hyperlink">
    <w:name w:val="Hyperlink"/>
    <w:basedOn w:val="DefaultParagraphFont"/>
    <w:uiPriority w:val="99"/>
    <w:unhideWhenUsed/>
    <w:rsid w:val="001E07B8"/>
    <w:rPr>
      <w:color w:val="467886" w:themeColor="hyperlink"/>
      <w:u w:val="single"/>
    </w:rPr>
  </w:style>
  <w:style w:type="paragraph" w:styleId="FootnoteText">
    <w:name w:val="footnote text"/>
    <w:basedOn w:val="Normal"/>
    <w:link w:val="FootnoteTextChar"/>
    <w:uiPriority w:val="99"/>
    <w:unhideWhenUsed/>
    <w:rsid w:val="001E07B8"/>
    <w:pPr>
      <w:spacing w:after="0" w:line="240" w:lineRule="auto"/>
      <w:ind w:left="0" w:firstLine="0"/>
    </w:pPr>
    <w:rPr>
      <w:rFonts w:asciiTheme="minorHAnsi" w:eastAsiaTheme="minorEastAsia" w:hAnsiTheme="minorHAnsi" w:cstheme="minorBidi"/>
      <w:color w:val="auto"/>
      <w:kern w:val="0"/>
      <w:sz w:val="20"/>
      <w:szCs w:val="20"/>
      <w:lang w:val="en-GB" w:eastAsia="ja-JP"/>
      <w14:ligatures w14:val="none"/>
    </w:rPr>
  </w:style>
  <w:style w:type="character" w:customStyle="1" w:styleId="FootnoteTextChar">
    <w:name w:val="Footnote Text Char"/>
    <w:basedOn w:val="DefaultParagraphFont"/>
    <w:link w:val="FootnoteText"/>
    <w:uiPriority w:val="99"/>
    <w:rsid w:val="001E07B8"/>
    <w:rPr>
      <w:kern w:val="0"/>
      <w:sz w:val="20"/>
      <w:szCs w:val="20"/>
      <w:lang w:eastAsia="ja-JP"/>
      <w14:ligatures w14:val="none"/>
    </w:rPr>
  </w:style>
  <w:style w:type="character" w:styleId="FootnoteReference">
    <w:name w:val="footnote reference"/>
    <w:basedOn w:val="DefaultParagraphFont"/>
    <w:uiPriority w:val="99"/>
    <w:semiHidden/>
    <w:unhideWhenUsed/>
    <w:rsid w:val="001E07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3135/2532-5353/773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3241</Words>
  <Characters>18479</Characters>
  <Application>Microsoft Office Word</Application>
  <DocSecurity>0</DocSecurity>
  <Lines>153</Lines>
  <Paragraphs>43</Paragraphs>
  <ScaleCrop>false</ScaleCrop>
  <Company/>
  <LinksUpToDate>false</LinksUpToDate>
  <CharactersWithSpaces>21677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Waine (2417718)</dc:creator>
  <cp:keywords/>
  <cp:lastModifiedBy>Isabelle Waine (2417718)</cp:lastModifiedBy>
  <cp:revision>2</cp:revision>
  <dcterms:created xsi:type="dcterms:W3CDTF">2025-03-10T23:48:00Z</dcterms:created>
  <dcterms:modified xsi:type="dcterms:W3CDTF">2025-03-10T23:48:00Z</dcterms:modified>
</cp:coreProperties>
</file>