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3200EAB6">
      <w:pPr>
        <w:spacing w:before="212"/>
        <w:jc w:val="center"/>
        <w:rPr>
          <w:b/>
          <w:sz w:val="56"/>
        </w:rPr>
      </w:pPr>
      <w:r>
        <w:rPr>
          <w:b/>
          <w:sz w:val="56"/>
        </w:rPr>
        <w:drawing>
          <wp:inline distT="0" distB="0" distL="0" distR="0">
            <wp:extent cx="3524250" cy="1404620"/>
            <wp:effectExtent l="0" t="0" r="11430" b="12700"/>
            <wp:docPr id="4" name="Picture 4" descr="A close-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Description automatically generated"/>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a:xfrm>
                      <a:off x="0" y="0"/>
                      <a:ext cx="3535284" cy="1409307"/>
                    </a:xfrm>
                    <a:prstGeom prst="rect">
                      <a:avLst/>
                    </a:prstGeom>
                    <a:noFill/>
                  </pic:spPr>
                </pic:pic>
              </a:graphicData>
            </a:graphic>
          </wp:inline>
        </w:drawing>
      </w:r>
    </w:p>
    <w:p w14:paraId="6839191D">
      <w:pPr>
        <w:spacing w:before="212"/>
        <w:jc w:val="center"/>
        <w:rPr>
          <w:b/>
          <w:sz w:val="36"/>
          <w:szCs w:val="36"/>
        </w:rPr>
      </w:pPr>
    </w:p>
    <w:p w14:paraId="718554EF">
      <w:pPr>
        <w:spacing w:before="212"/>
        <w:rPr>
          <w:b/>
          <w:sz w:val="56"/>
        </w:rPr>
      </w:pPr>
      <w:bookmarkStart w:id="0" w:name="_GoBack"/>
      <w:bookmarkEnd w:id="0"/>
    </w:p>
    <w:p w14:paraId="23184824">
      <w:pPr>
        <w:spacing w:before="212"/>
        <w:rPr>
          <w:b/>
          <w:sz w:val="48"/>
          <w:szCs w:val="48"/>
        </w:rPr>
      </w:pPr>
      <w:r>
        <w:rPr>
          <w:b/>
          <w:sz w:val="48"/>
          <w:szCs w:val="48"/>
        </w:rPr>
        <w:t>MODULE CODE: EDCE7020</w:t>
      </w:r>
    </w:p>
    <w:p w14:paraId="75945588">
      <w:pPr>
        <w:spacing w:before="212"/>
        <w:rPr>
          <w:b/>
          <w:sz w:val="48"/>
          <w:szCs w:val="48"/>
        </w:rPr>
      </w:pPr>
    </w:p>
    <w:p w14:paraId="56A2350C">
      <w:pPr>
        <w:spacing w:before="212"/>
        <w:rPr>
          <w:b/>
          <w:sz w:val="48"/>
          <w:szCs w:val="48"/>
        </w:rPr>
      </w:pPr>
      <w:r>
        <w:rPr>
          <w:b/>
          <w:sz w:val="48"/>
          <w:szCs w:val="48"/>
        </w:rPr>
        <w:t>ASSESSMENT COMPONENT: 2</w:t>
      </w:r>
    </w:p>
    <w:p w14:paraId="27D9E3E7">
      <w:pPr>
        <w:spacing w:before="7"/>
        <w:jc w:val="center"/>
        <w:rPr>
          <w:b/>
          <w:sz w:val="44"/>
        </w:rPr>
      </w:pPr>
    </w:p>
    <w:p w14:paraId="6D08E6E3">
      <w:pPr>
        <w:spacing w:before="3"/>
        <w:rPr>
          <w:rFonts w:hint="default" w:eastAsia="宋体"/>
          <w:b/>
          <w:sz w:val="48"/>
          <w:szCs w:val="48"/>
          <w:lang w:val="en-US" w:eastAsia="zh-CN"/>
        </w:rPr>
      </w:pPr>
      <w:r>
        <w:rPr>
          <w:b/>
          <w:sz w:val="48"/>
          <w:szCs w:val="48"/>
        </w:rPr>
        <w:t>STUDENT NAME:</w:t>
      </w:r>
      <w:r>
        <w:rPr>
          <w:rFonts w:hint="eastAsia" w:eastAsia="宋体"/>
          <w:b/>
          <w:sz w:val="48"/>
          <w:szCs w:val="48"/>
          <w:lang w:val="en-US" w:eastAsia="zh-CN"/>
        </w:rPr>
        <w:t xml:space="preserve"> MENGYING HUANG</w:t>
      </w:r>
    </w:p>
    <w:p w14:paraId="098E87BB">
      <w:pPr>
        <w:spacing w:before="3"/>
        <w:rPr>
          <w:b/>
          <w:sz w:val="48"/>
          <w:szCs w:val="48"/>
        </w:rPr>
      </w:pPr>
    </w:p>
    <w:p w14:paraId="3BF9CEC0">
      <w:pPr>
        <w:spacing w:before="3"/>
        <w:rPr>
          <w:rFonts w:hint="default" w:eastAsia="宋体"/>
          <w:b/>
          <w:sz w:val="48"/>
          <w:szCs w:val="48"/>
          <w:lang w:val="en-US" w:eastAsia="zh-CN"/>
        </w:rPr>
      </w:pPr>
      <w:r>
        <w:rPr>
          <w:b/>
          <w:sz w:val="48"/>
          <w:szCs w:val="48"/>
        </w:rPr>
        <w:t>STUDENT NUMBER:</w:t>
      </w:r>
      <w:r>
        <w:rPr>
          <w:rFonts w:hint="eastAsia" w:eastAsia="宋体"/>
          <w:b/>
          <w:sz w:val="48"/>
          <w:szCs w:val="48"/>
          <w:lang w:val="en-US" w:eastAsia="zh-CN"/>
        </w:rPr>
        <w:t xml:space="preserve"> 2306791</w:t>
      </w:r>
    </w:p>
    <w:p w14:paraId="797D6FF7">
      <w:pPr>
        <w:rPr>
          <w:b/>
          <w:sz w:val="47"/>
        </w:rPr>
      </w:pPr>
    </w:p>
    <w:p w14:paraId="5C3D5D3A">
      <w:pPr>
        <w:ind w:left="100"/>
        <w:jc w:val="center"/>
        <w:rPr>
          <w:b/>
          <w:sz w:val="47"/>
        </w:rPr>
      </w:pPr>
    </w:p>
    <w:p w14:paraId="392E55B5">
      <w:pPr>
        <w:ind w:left="100"/>
        <w:rPr>
          <w:b/>
          <w:sz w:val="47"/>
        </w:rPr>
      </w:pPr>
    </w:p>
    <w:p w14:paraId="419AE036">
      <w:pPr>
        <w:ind w:left="100"/>
        <w:rPr>
          <w:b/>
          <w:sz w:val="47"/>
        </w:rPr>
      </w:pPr>
    </w:p>
    <w:p w14:paraId="6D986130">
      <w:pPr>
        <w:ind w:left="100"/>
        <w:rPr>
          <w:b/>
          <w:sz w:val="47"/>
        </w:rPr>
      </w:pPr>
      <w:r>
        <w:rPr>
          <w:b/>
          <w:sz w:val="47"/>
        </w:rPr>
        <w:t>Doctorate in Education (EdD)</w:t>
      </w:r>
    </w:p>
    <w:p w14:paraId="09D56C05">
      <w:pPr>
        <w:spacing w:before="200"/>
        <w:ind w:firstLine="720"/>
        <w:jc w:val="center"/>
        <w:rPr>
          <w:rFonts w:cs="Arial"/>
          <w:b/>
          <w:sz w:val="22"/>
          <w:szCs w:val="22"/>
        </w:rPr>
      </w:pPr>
    </w:p>
    <w:p w14:paraId="53F357DE">
      <w:pPr>
        <w:rPr>
          <w:rFonts w:hint="eastAsia" w:ascii="Times New Roman" w:hAnsi="Times New Roman" w:cs="Times New Roman"/>
          <w:b/>
          <w:bCs/>
          <w:sz w:val="32"/>
          <w:szCs w:val="32"/>
          <w:lang w:val="en-US" w:eastAsia="zh-CN"/>
        </w:rPr>
      </w:pPr>
      <w:r>
        <w:rPr>
          <w:rFonts w:cs="Arial"/>
          <w:b/>
          <w:sz w:val="22"/>
          <w:szCs w:val="22"/>
        </w:rPr>
        <w:br w:type="page"/>
      </w:r>
    </w:p>
    <w:p w14:paraId="5F193FBC">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eastAsia" w:ascii="Times New Roman" w:hAnsi="Times New Roman" w:cs="Times New Roman"/>
          <w:b/>
          <w:bCs/>
          <w:sz w:val="32"/>
          <w:szCs w:val="32"/>
          <w:lang w:val="en-US" w:eastAsia="zh-CN"/>
        </w:rPr>
      </w:pPr>
      <w:r>
        <w:rPr>
          <w:rFonts w:hint="eastAsia" w:ascii="Times New Roman" w:hAnsi="Times New Roman" w:cs="Times New Roman"/>
          <w:b/>
          <w:bCs/>
          <w:sz w:val="32"/>
          <w:szCs w:val="32"/>
          <w:lang w:val="en-US" w:eastAsia="zh-CN"/>
        </w:rPr>
        <w:t>Examining Growth Mindset and Mathematics Anxiety in Junior High Students: A Case Study of Chenguang Middle School in Jiujiang, Jiangxi Under China’s 'Double Reduction' Policy</w:t>
      </w:r>
    </w:p>
    <w:p w14:paraId="1D7BC50C">
      <w:pPr>
        <w:keepNext w:val="0"/>
        <w:keepLines w:val="0"/>
        <w:pageBreakBefore w:val="0"/>
        <w:widowControl w:val="0"/>
        <w:numPr>
          <w:ilvl w:val="0"/>
          <w:numId w:val="1"/>
        </w:numPr>
        <w:kinsoku/>
        <w:wordWrap/>
        <w:overflowPunct/>
        <w:topLinePunct w:val="0"/>
        <w:autoSpaceDE/>
        <w:autoSpaceDN/>
        <w:bidi w:val="0"/>
        <w:adjustRightInd/>
        <w:snapToGrid/>
        <w:spacing w:line="480" w:lineRule="auto"/>
        <w:jc w:val="center"/>
        <w:textAlignment w:val="auto"/>
        <w:rPr>
          <w:rFonts w:hint="eastAsia"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Research Area</w:t>
      </w:r>
    </w:p>
    <w:p w14:paraId="4744B063">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1.1 Research Background</w:t>
      </w:r>
    </w:p>
    <w:p w14:paraId="2291B012">
      <w:pPr>
        <w:keepNext w:val="0"/>
        <w:keepLines w:val="0"/>
        <w:pageBreakBefore w:val="0"/>
        <w:widowControl w:val="0"/>
        <w:kinsoku/>
        <w:wordWrap/>
        <w:overflowPunct/>
        <w:topLinePunct w:val="0"/>
        <w:autoSpaceDE/>
        <w:autoSpaceDN/>
        <w:bidi w:val="0"/>
        <w:adjustRightInd/>
        <w:snapToGrid/>
        <w:spacing w:line="480" w:lineRule="auto"/>
        <w:ind w:firstLine="480" w:firstLineChars="200"/>
        <w:jc w:val="left"/>
        <w:textAlignment w:val="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In recent years, the problem of mathematics anxiety among junior high school students in China has become increasingly prominent. Multiple studies have shown that under the pressure of exam-oriented education, more than 60% of middle school students have varying degrees of symptoms of mathematics anxiety, manifested as physical discomfort during exams, learning avoidance behaviors, and reduced self-efficacy</w:t>
      </w:r>
      <w:r>
        <w:rPr>
          <w:rFonts w:hint="eastAsia" w:ascii="Times New Roman" w:hAnsi="Times New Roman" w:cs="Times New Roman"/>
          <w:b w:val="0"/>
          <w:bCs w:val="0"/>
          <w:sz w:val="24"/>
          <w:szCs w:val="24"/>
          <w:lang w:val="en-US" w:eastAsia="zh-CN"/>
        </w:rPr>
        <w:t xml:space="preserve"> (Liu, 2023)</w:t>
      </w:r>
      <w:r>
        <w:rPr>
          <w:rFonts w:hint="default" w:ascii="Times New Roman" w:hAnsi="Times New Roman" w:cs="Times New Roman"/>
          <w:b w:val="0"/>
          <w:bCs w:val="0"/>
          <w:sz w:val="24"/>
          <w:szCs w:val="24"/>
          <w:lang w:val="en-US" w:eastAsia="zh-CN"/>
        </w:rPr>
        <w:t>. This phenomenon is particularly prominent in the discipline of mathematics, in sharp contrast to the high regard for mathematics achievements in the basic education stage in our country. Math anxiety not only directly affects academic performance, but also may cause long-term mental health risks, which urgently requires the attention of educators and researchers</w:t>
      </w:r>
      <w:r>
        <w:rPr>
          <w:rFonts w:hint="eastAsia" w:ascii="Times New Roman" w:hAnsi="Times New Roman" w:cs="Times New Roman"/>
          <w:b w:val="0"/>
          <w:bCs w:val="0"/>
          <w:sz w:val="24"/>
          <w:szCs w:val="24"/>
          <w:lang w:val="en-US" w:eastAsia="zh-CN"/>
        </w:rPr>
        <w:t xml:space="preserve"> (Beilock and Maloney, 2015)</w:t>
      </w:r>
      <w:r>
        <w:rPr>
          <w:rFonts w:hint="default" w:ascii="Times New Roman" w:hAnsi="Times New Roman" w:cs="Times New Roman"/>
          <w:b w:val="0"/>
          <w:bCs w:val="0"/>
          <w:sz w:val="24"/>
          <w:szCs w:val="24"/>
          <w:lang w:val="en-US" w:eastAsia="zh-CN"/>
        </w:rPr>
        <w:t>.</w:t>
      </w:r>
    </w:p>
    <w:p w14:paraId="18C53DB0">
      <w:pPr>
        <w:keepNext w:val="0"/>
        <w:keepLines w:val="0"/>
        <w:pageBreakBefore w:val="0"/>
        <w:widowControl w:val="0"/>
        <w:kinsoku/>
        <w:wordWrap/>
        <w:overflowPunct/>
        <w:topLinePunct w:val="0"/>
        <w:autoSpaceDE/>
        <w:autoSpaceDN/>
        <w:bidi w:val="0"/>
        <w:adjustRightInd/>
        <w:snapToGrid/>
        <w:spacing w:line="480" w:lineRule="auto"/>
        <w:ind w:firstLine="480" w:firstLineChars="200"/>
        <w:jc w:val="left"/>
        <w:textAlignment w:val="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Meanwhile, the ‘Double Reduction’ policy, an educational reform launched by China in 2021, aims to alleviate the pressure in the basic education stage by reducing students' homework burden and regulating off-campus training. After the policy was implemented, students' spare time increased. However, the research found that the changes in enthusiasm were polarized: some students were more proactive in learning due to reduced pressure, while others were anxious due to the lack of structured tutoring. Therefore, how to solve students' learning anxiety, especially in mathematics, in this context remains a problem.</w:t>
      </w:r>
    </w:p>
    <w:p w14:paraId="1F63C3F3">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1.2 Research Purpose</w:t>
      </w:r>
    </w:p>
    <w:p w14:paraId="6CCAD48A">
      <w:pPr>
        <w:keepNext w:val="0"/>
        <w:keepLines w:val="0"/>
        <w:pageBreakBefore w:val="0"/>
        <w:widowControl w:val="0"/>
        <w:kinsoku/>
        <w:wordWrap/>
        <w:overflowPunct/>
        <w:topLinePunct w:val="0"/>
        <w:autoSpaceDE/>
        <w:autoSpaceDN/>
        <w:bidi w:val="0"/>
        <w:adjustRightInd/>
        <w:snapToGrid/>
        <w:spacing w:line="480" w:lineRule="auto"/>
        <w:ind w:firstLine="480" w:firstLineChars="200"/>
        <w:jc w:val="left"/>
        <w:textAlignment w:val="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This study focuses on all junior high school students (from Grade 7 to Grade 9) at Chenguang Middle School in Jiujiang City, Jiangxi Province, and systematically measures growth mindset and math anxiety using the PISA2022 authoritative scale. The growth mindset, as a malleable cognitive belief, has been proven to effectively alleviate learning anxiety (</w:t>
      </w:r>
      <w:r>
        <w:rPr>
          <w:rFonts w:hint="eastAsia" w:ascii="Times New Roman" w:hAnsi="Times New Roman" w:cs="Times New Roman"/>
          <w:b w:val="0"/>
          <w:bCs w:val="0"/>
          <w:sz w:val="24"/>
          <w:szCs w:val="24"/>
          <w:lang w:val="en-US" w:eastAsia="zh-CN"/>
        </w:rPr>
        <w:t>Peterman and Ewing, 2019</w:t>
      </w:r>
      <w:r>
        <w:rPr>
          <w:rFonts w:hint="default" w:ascii="Times New Roman" w:hAnsi="Times New Roman" w:cs="Times New Roman"/>
          <w:b w:val="0"/>
          <w:bCs w:val="0"/>
          <w:sz w:val="24"/>
          <w:szCs w:val="24"/>
          <w:lang w:val="en-US" w:eastAsia="zh-CN"/>
        </w:rPr>
        <w:t>), but its mechanism of action in the context of basic education in China remains unclear. Especially after the implementation of the "Double Reduction" policy, how to reduce the academic burden while improving students' psychological state has become an important issue in the current educational reform. The "Double Reduction" policy refers to a Chinese education reform initiative aimed at reducing students' excessive homework burden and off-campus tutoring pressure to promote holistic development</w:t>
      </w:r>
      <w:r>
        <w:rPr>
          <w:rFonts w:hint="eastAsia" w:ascii="Times New Roman" w:hAnsi="Times New Roman" w:cs="Times New Roman"/>
          <w:b w:val="0"/>
          <w:bCs w:val="0"/>
          <w:sz w:val="24"/>
          <w:szCs w:val="24"/>
          <w:lang w:val="en-US" w:eastAsia="zh-CN"/>
        </w:rPr>
        <w:t xml:space="preserve"> (Guo, 2022)</w:t>
      </w:r>
      <w:r>
        <w:rPr>
          <w:rFonts w:hint="default" w:ascii="Times New Roman" w:hAnsi="Times New Roman" w:cs="Times New Roman"/>
          <w:b w:val="0"/>
          <w:bCs w:val="0"/>
          <w:sz w:val="24"/>
          <w:szCs w:val="24"/>
          <w:lang w:val="en-US" w:eastAsia="zh-CN"/>
        </w:rPr>
        <w:t>.</w:t>
      </w:r>
      <w:r>
        <w:rPr>
          <w:rFonts w:hint="eastAsia" w:ascii="Times New Roman" w:hAnsi="Times New Roman" w:cs="Times New Roman"/>
          <w:b w:val="0"/>
          <w:bCs w:val="0"/>
          <w:sz w:val="24"/>
          <w:szCs w:val="24"/>
          <w:lang w:val="en-US" w:eastAsia="zh-CN"/>
        </w:rPr>
        <w:t xml:space="preserve"> Recent localized studies reveal nuanced effects of the "Double Reduction" policy on mathematics anxiety. While the policy has reduced overt academic pressure by banning excessive homework and cram schools (Zhang et al., 2023), latent anxiety persists due to enduring high-stakes testing culture. And the policy's emphasis on holistic development has inadvertently heightened some students' anxiety about "self-directed learning" without structured tutoring (Chen and Lin, 2024). These findings contextualize the need to examine mindset-anxiety dynamics within China's evolving educational paradigm. </w:t>
      </w:r>
      <w:r>
        <w:rPr>
          <w:rFonts w:hint="default" w:ascii="Times New Roman" w:hAnsi="Times New Roman" w:cs="Times New Roman"/>
          <w:b w:val="0"/>
          <w:bCs w:val="0"/>
          <w:sz w:val="24"/>
          <w:szCs w:val="24"/>
          <w:lang w:val="en-US" w:eastAsia="zh-CN"/>
        </w:rPr>
        <w:t>This study will reveal the specific association pattern between growth mindset and math anxiety through empirical data.</w:t>
      </w:r>
    </w:p>
    <w:p w14:paraId="6B443642">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1.3 Research Significance</w:t>
      </w:r>
    </w:p>
    <w:p w14:paraId="1C5C6F72">
      <w:pPr>
        <w:keepNext w:val="0"/>
        <w:keepLines w:val="0"/>
        <w:pageBreakBefore w:val="0"/>
        <w:widowControl w:val="0"/>
        <w:kinsoku/>
        <w:wordWrap/>
        <w:overflowPunct/>
        <w:topLinePunct w:val="0"/>
        <w:autoSpaceDE/>
        <w:autoSpaceDN/>
        <w:bidi w:val="0"/>
        <w:adjustRightInd/>
        <w:snapToGrid/>
        <w:spacing w:line="480" w:lineRule="auto"/>
        <w:ind w:firstLine="480" w:firstLineChars="200"/>
        <w:jc w:val="left"/>
        <w:textAlignment w:val="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The research results will have significant theoretical and practical value. At the theoretical level, the applicability of Western psychological theories in the context of Chinese culture can be verified, enriching localized research. At present, there are few studies on the growth mentality and math anxiety of junior high school students in the context of Chinese culture and policies.</w:t>
      </w:r>
      <w:r>
        <w:rPr>
          <w:rFonts w:hint="eastAsia" w:ascii="Times New Roman" w:hAnsi="Times New Roman" w:cs="Times New Roman"/>
          <w:b w:val="0"/>
          <w:bCs w:val="0"/>
          <w:sz w:val="24"/>
          <w:szCs w:val="24"/>
          <w:lang w:val="en-US" w:eastAsia="zh-CN"/>
        </w:rPr>
        <w:t xml:space="preserve"> </w:t>
      </w:r>
      <w:r>
        <w:rPr>
          <w:rFonts w:hint="default" w:ascii="Times New Roman" w:hAnsi="Times New Roman" w:cs="Times New Roman"/>
          <w:b w:val="0"/>
          <w:bCs w:val="0"/>
          <w:sz w:val="24"/>
          <w:szCs w:val="24"/>
          <w:lang w:val="en-US" w:eastAsia="zh-CN"/>
        </w:rPr>
        <w:t>At the practical level, it will provide a scientific basis for the school to develop targeted psychological intervention programs, such as designing courses for cultivating a growth mindset and optimizing mathematics teaching methods. Furthermore, the whole-school survey model adopted in this study can also provide methodological references for other similar schools to carry out related research, which is of great significance for promoting the mental health of middle school students' mathematics learning in China.</w:t>
      </w:r>
    </w:p>
    <w:p w14:paraId="565FA869">
      <w:pPr>
        <w:keepNext w:val="0"/>
        <w:keepLines w:val="0"/>
        <w:pageBreakBefore w:val="0"/>
        <w:widowControl w:val="0"/>
        <w:numPr>
          <w:ilvl w:val="0"/>
          <w:numId w:val="1"/>
        </w:numPr>
        <w:kinsoku/>
        <w:wordWrap/>
        <w:overflowPunct/>
        <w:topLinePunct w:val="0"/>
        <w:autoSpaceDE/>
        <w:autoSpaceDN/>
        <w:bidi w:val="0"/>
        <w:adjustRightInd/>
        <w:snapToGrid/>
        <w:spacing w:line="480" w:lineRule="auto"/>
        <w:ind w:left="0" w:leftChars="0" w:firstLine="0" w:firstLineChars="0"/>
        <w:jc w:val="center"/>
        <w:textAlignment w:val="auto"/>
        <w:rPr>
          <w:rFonts w:hint="eastAsia"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Theoretical Framework</w:t>
      </w:r>
    </w:p>
    <w:p w14:paraId="4B47651D">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eastAsia"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2.1 Growth Mindset: From Belief to Achievement</w:t>
      </w:r>
    </w:p>
    <w:p w14:paraId="79202E30">
      <w:pPr>
        <w:keepNext w:val="0"/>
        <w:keepLines w:val="0"/>
        <w:pageBreakBefore w:val="0"/>
        <w:widowControl w:val="0"/>
        <w:kinsoku/>
        <w:wordWrap/>
        <w:overflowPunct/>
        <w:topLinePunct w:val="0"/>
        <w:autoSpaceDE/>
        <w:autoSpaceDN/>
        <w:bidi w:val="0"/>
        <w:adjustRightInd/>
        <w:snapToGrid/>
        <w:spacing w:line="480" w:lineRule="auto"/>
        <w:ind w:firstLine="480" w:firstLineChars="200"/>
        <w:jc w:val="left"/>
        <w:textAlignment w:val="auto"/>
        <w:rPr>
          <w:rFonts w:hint="eastAsia"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The growth mindset is a central concept in Dweck</w:t>
      </w:r>
      <w:r>
        <w:rPr>
          <w:rFonts w:hint="default" w:ascii="Times New Roman" w:hAnsi="Times New Roman" w:cs="Times New Roman"/>
          <w:b w:val="0"/>
          <w:bCs w:val="0"/>
          <w:sz w:val="24"/>
          <w:szCs w:val="24"/>
          <w:lang w:val="en-US" w:eastAsia="zh-CN"/>
        </w:rPr>
        <w:t>’</w:t>
      </w:r>
      <w:r>
        <w:rPr>
          <w:rFonts w:hint="eastAsia" w:ascii="Times New Roman" w:hAnsi="Times New Roman" w:cs="Times New Roman"/>
          <w:b w:val="0"/>
          <w:bCs w:val="0"/>
          <w:sz w:val="24"/>
          <w:szCs w:val="24"/>
          <w:lang w:val="en-US" w:eastAsia="zh-CN"/>
        </w:rPr>
        <w:t xml:space="preserve"> s Mindset Theory (2006). It suggests that those who view their intelligence and abilities as malleable (growth mindset) are more likely to embrace challenges than those who perceive traits as fixed (fixed mindset). That is, these individuals can persevere through setbacks and achieve higher levels of academic success. For instance, a student with a growth mindset interprets mathematical challenges as opportunities for improvement, fostering persistence and reducing fear of failure (Yeager &amp; Dweck, 2020).</w:t>
      </w:r>
    </w:p>
    <w:p w14:paraId="14114C6B">
      <w:pPr>
        <w:keepNext w:val="0"/>
        <w:keepLines w:val="0"/>
        <w:pageBreakBefore w:val="0"/>
        <w:widowControl w:val="0"/>
        <w:kinsoku/>
        <w:wordWrap/>
        <w:overflowPunct/>
        <w:topLinePunct w:val="0"/>
        <w:autoSpaceDE/>
        <w:autoSpaceDN/>
        <w:bidi w:val="0"/>
        <w:adjustRightInd/>
        <w:snapToGrid/>
        <w:spacing w:line="480" w:lineRule="auto"/>
        <w:ind w:firstLine="480" w:firstLineChars="200"/>
        <w:jc w:val="left"/>
        <w:textAlignment w:val="auto"/>
        <w:rPr>
          <w:rFonts w:hint="eastAsia"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Empirical studies in mathematics education confirm that growth mindset interventions improve achievement indirectly through mechanisms like self-efficacy and failure attribution. For example, Dong et al. (2023) demonstrated that students with a growth mindset attribute poor performance to effort rather than fixed ability, which enhances their confidence to tackle difficult problems. Meta-analytic evidence further supports this, showing that growth mindset interventions yield stronger effects in mathematics than in other subjects, particularly when combined with teacher support (Burnette et al., 2023).</w:t>
      </w:r>
    </w:p>
    <w:p w14:paraId="46759BD6">
      <w:pPr>
        <w:keepNext w:val="0"/>
        <w:keepLines w:val="0"/>
        <w:pageBreakBefore w:val="0"/>
        <w:widowControl w:val="0"/>
        <w:kinsoku/>
        <w:wordWrap/>
        <w:overflowPunct/>
        <w:topLinePunct w:val="0"/>
        <w:autoSpaceDE/>
        <w:autoSpaceDN/>
        <w:bidi w:val="0"/>
        <w:adjustRightInd/>
        <w:snapToGrid/>
        <w:spacing w:line="480" w:lineRule="auto"/>
        <w:ind w:firstLine="480" w:firstLineChars="200"/>
        <w:jc w:val="left"/>
        <w:textAlignment w:val="auto"/>
        <w:rPr>
          <w:rFonts w:hint="eastAsia"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Existing research indicates that there is a significant negative association between the growth mindset and math anxiety. Growth Mindset Theory proposed by Dweck (2006) points out that students with growth mindset are more inclined to view challenges as learning opportunities, thereby reducing their anxiety about mathematical tasks. Transnational studies (such as PISA 2018) have found that students with a strong growth mindset generally have lower levels of mathematics anxiety, and this phenomenon is particularly evident in the high-pressure educational environment in East Asia (Lee &amp; Stankov, 2018). However, local research in China shows that under the influence of the exam-oriented culture, the buffering effect of the growth mindset may be weakened by the high-intensity examination competition (Sun et al., 2021). Recent intervention experiments have proved that targeted mental training can significantly reduce the math anxiety symptoms of middle school students (Yeager et al., 2019), but the empirical evidence of such studies in the junior high school group in China is still insufficient, especially the lack of consideration of the changes in the educational ecology after the "Double Reduction" policy. This study will fill this research gap through localized data.</w:t>
      </w:r>
    </w:p>
    <w:p w14:paraId="48F5F2DC">
      <w:pPr>
        <w:keepNext w:val="0"/>
        <w:keepLines w:val="0"/>
        <w:pageBreakBefore w:val="0"/>
        <w:widowControl w:val="0"/>
        <w:kinsoku/>
        <w:wordWrap/>
        <w:overflowPunct/>
        <w:topLinePunct w:val="0"/>
        <w:autoSpaceDE/>
        <w:autoSpaceDN/>
        <w:bidi w:val="0"/>
        <w:adjustRightInd/>
        <w:snapToGrid/>
        <w:spacing w:line="480" w:lineRule="auto"/>
        <w:ind w:firstLine="480" w:firstLineChars="200"/>
        <w:jc w:val="left"/>
        <w:textAlignment w:val="auto"/>
        <w:rPr>
          <w:rFonts w:hint="eastAsia"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However, the efficacy of growth mindset may be constrained within China's exam-oriented culture. Empirical studies suggest that when high-stakes testing dominates educational evaluation (e.g., zhongkao), students' belief in malleable ability often conflicts with their perceived need for immediate performance outcomes (Xu , 2023). This implies that systemic educational pressures may partially neutralize the theoretical benefits of growth mindset, necessitating culture-specific modifications to Dweck's original framework.</w:t>
      </w:r>
    </w:p>
    <w:p w14:paraId="5BFFBA57">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eastAsia"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2.2 Mathematics Anxiety Theory</w:t>
      </w:r>
    </w:p>
    <w:p w14:paraId="5248582B">
      <w:pPr>
        <w:keepNext w:val="0"/>
        <w:keepLines w:val="0"/>
        <w:pageBreakBefore w:val="0"/>
        <w:widowControl w:val="0"/>
        <w:kinsoku/>
        <w:wordWrap/>
        <w:overflowPunct/>
        <w:topLinePunct w:val="0"/>
        <w:autoSpaceDE/>
        <w:autoSpaceDN/>
        <w:bidi w:val="0"/>
        <w:adjustRightInd/>
        <w:snapToGrid/>
        <w:spacing w:line="480" w:lineRule="auto"/>
        <w:ind w:firstLine="480" w:firstLineChars="200"/>
        <w:jc w:val="left"/>
        <w:textAlignment w:val="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 xml:space="preserve">Math anxiety refers to the negative emotional responses such as tension and fear that individuals experience when facing mathematical tasks (Ashcraft </w:t>
      </w:r>
      <w:r>
        <w:rPr>
          <w:rFonts w:hint="eastAsia" w:ascii="Times New Roman" w:hAnsi="Times New Roman" w:cs="Times New Roman"/>
          <w:b w:val="0"/>
          <w:bCs w:val="0"/>
          <w:sz w:val="24"/>
          <w:szCs w:val="24"/>
          <w:lang w:val="en-US" w:eastAsia="zh-CN"/>
        </w:rPr>
        <w:t>and</w:t>
      </w:r>
      <w:r>
        <w:rPr>
          <w:rFonts w:hint="default" w:ascii="Times New Roman" w:hAnsi="Times New Roman" w:cs="Times New Roman"/>
          <w:b w:val="0"/>
          <w:bCs w:val="0"/>
          <w:sz w:val="24"/>
          <w:szCs w:val="24"/>
          <w:lang w:val="en-US" w:eastAsia="zh-CN"/>
        </w:rPr>
        <w:t xml:space="preserve"> Moore, 2009). Research indicates that the sources of math anxiety mainly include negative learning experiences and social stereotypes. In academic settings, strict criticism from teachers, high-pressure exam environments, or early experiences of failure in mathematics may intensify anxiety (Maloney </w:t>
      </w:r>
      <w:r>
        <w:rPr>
          <w:rFonts w:hint="eastAsia" w:ascii="Times New Roman" w:hAnsi="Times New Roman" w:cs="Times New Roman"/>
          <w:b w:val="0"/>
          <w:bCs w:val="0"/>
          <w:sz w:val="24"/>
          <w:szCs w:val="24"/>
          <w:lang w:val="en-US" w:eastAsia="zh-CN"/>
        </w:rPr>
        <w:t>and</w:t>
      </w:r>
      <w:r>
        <w:rPr>
          <w:rFonts w:hint="default" w:ascii="Times New Roman" w:hAnsi="Times New Roman" w:cs="Times New Roman"/>
          <w:b w:val="0"/>
          <w:bCs w:val="0"/>
          <w:sz w:val="24"/>
          <w:szCs w:val="24"/>
          <w:lang w:val="en-US" w:eastAsia="zh-CN"/>
        </w:rPr>
        <w:t xml:space="preserve"> Beilock, 2012)</w:t>
      </w:r>
      <w:r>
        <w:rPr>
          <w:rFonts w:hint="eastAsia" w:ascii="Times New Roman" w:hAnsi="Times New Roman" w:cs="Times New Roman"/>
          <w:b w:val="0"/>
          <w:bCs w:val="0"/>
          <w:sz w:val="24"/>
          <w:szCs w:val="24"/>
          <w:lang w:val="en-US" w:eastAsia="zh-CN"/>
        </w:rPr>
        <w:t xml:space="preserve"> A</w:t>
      </w:r>
      <w:r>
        <w:rPr>
          <w:rFonts w:hint="default" w:ascii="Times New Roman" w:hAnsi="Times New Roman" w:cs="Times New Roman"/>
          <w:b w:val="0"/>
          <w:bCs w:val="0"/>
          <w:sz w:val="24"/>
          <w:szCs w:val="24"/>
          <w:lang w:val="en-US" w:eastAsia="zh-CN"/>
        </w:rPr>
        <w:t xml:space="preserve">t the same time, social gender biases (such as "girls are bad at math") can also increase the anxiety levels of specific groups through psychological suggestion (Gunderson et al., 2012). </w:t>
      </w:r>
    </w:p>
    <w:p w14:paraId="464DBB09">
      <w:pPr>
        <w:keepNext w:val="0"/>
        <w:keepLines w:val="0"/>
        <w:pageBreakBefore w:val="0"/>
        <w:widowControl w:val="0"/>
        <w:kinsoku/>
        <w:wordWrap/>
        <w:overflowPunct/>
        <w:topLinePunct w:val="0"/>
        <w:autoSpaceDE/>
        <w:autoSpaceDN/>
        <w:bidi w:val="0"/>
        <w:adjustRightInd/>
        <w:snapToGrid/>
        <w:spacing w:line="480" w:lineRule="auto"/>
        <w:ind w:firstLine="480" w:firstLineChars="200"/>
        <w:jc w:val="left"/>
        <w:textAlignment w:val="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 xml:space="preserve">The impact of math anxiety on learning is mainly reflected in two aspects: cognitive and behavioral. From a cognitive perspective, the Working Memory Account suggests that anxiety emotions consume limited mental resources, leading to a decline in an individual's available cognitive ability when solving math problems (Ashcraft </w:t>
      </w:r>
      <w:r>
        <w:rPr>
          <w:rFonts w:hint="eastAsia" w:ascii="Times New Roman" w:hAnsi="Times New Roman" w:cs="Times New Roman"/>
          <w:b w:val="0"/>
          <w:bCs w:val="0"/>
          <w:sz w:val="24"/>
          <w:szCs w:val="24"/>
          <w:lang w:val="en-US" w:eastAsia="zh-CN"/>
        </w:rPr>
        <w:t>and</w:t>
      </w:r>
      <w:r>
        <w:rPr>
          <w:rFonts w:hint="default" w:ascii="Times New Roman" w:hAnsi="Times New Roman" w:cs="Times New Roman"/>
          <w:b w:val="0"/>
          <w:bCs w:val="0"/>
          <w:sz w:val="24"/>
          <w:szCs w:val="24"/>
          <w:lang w:val="en-US" w:eastAsia="zh-CN"/>
        </w:rPr>
        <w:t xml:space="preserve"> Kirk, 2001). Behaviorally, students with high anxiety may adopt avoidance strategies, such as reducing the selection of math courses, delaying homework, or even developing "learned helplessness" (Hembree, 1990). </w:t>
      </w:r>
    </w:p>
    <w:p w14:paraId="7CB338C0">
      <w:pPr>
        <w:keepNext w:val="0"/>
        <w:keepLines w:val="0"/>
        <w:pageBreakBefore w:val="0"/>
        <w:widowControl w:val="0"/>
        <w:kinsoku/>
        <w:wordWrap/>
        <w:overflowPunct/>
        <w:topLinePunct w:val="0"/>
        <w:autoSpaceDE/>
        <w:autoSpaceDN/>
        <w:bidi w:val="0"/>
        <w:adjustRightInd/>
        <w:snapToGrid/>
        <w:spacing w:line="480" w:lineRule="auto"/>
        <w:ind w:firstLine="480" w:firstLineChars="200"/>
        <w:jc w:val="left"/>
        <w:textAlignment w:val="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Recent research has further revealed that math anxiety does not exist in isolation but is closely related to individual beliefs (such as self-efficacy), teaching methods (such as emphasizing speed over understanding), and cultural environments (such as the pressure of exam-oriented education) (Ramirez et al., 2018). Against the backdrop of Chinese education, junior high school students in Jiujiang</w:t>
      </w:r>
      <w:r>
        <w:rPr>
          <w:rFonts w:hint="eastAsia" w:ascii="Times New Roman" w:hAnsi="Times New Roman" w:cs="Times New Roman"/>
          <w:b w:val="0"/>
          <w:bCs w:val="0"/>
          <w:sz w:val="24"/>
          <w:szCs w:val="24"/>
          <w:lang w:val="en-US" w:eastAsia="zh-CN"/>
        </w:rPr>
        <w:t xml:space="preserve"> city </w:t>
      </w:r>
      <w:r>
        <w:rPr>
          <w:rFonts w:hint="default" w:ascii="Times New Roman" w:hAnsi="Times New Roman" w:cs="Times New Roman"/>
          <w:b w:val="0"/>
          <w:bCs w:val="0"/>
          <w:sz w:val="24"/>
          <w:szCs w:val="24"/>
          <w:lang w:val="en-US" w:eastAsia="zh-CN"/>
        </w:rPr>
        <w:t xml:space="preserve">may face </w:t>
      </w:r>
      <w:r>
        <w:rPr>
          <w:rFonts w:hint="eastAsia" w:ascii="Times New Roman" w:hAnsi="Times New Roman" w:cs="Times New Roman"/>
          <w:b w:val="0"/>
          <w:bCs w:val="0"/>
          <w:sz w:val="24"/>
          <w:szCs w:val="24"/>
          <w:lang w:val="en-US" w:eastAsia="zh-CN"/>
        </w:rPr>
        <w:t>some</w:t>
      </w:r>
      <w:r>
        <w:rPr>
          <w:rFonts w:hint="default" w:ascii="Times New Roman" w:hAnsi="Times New Roman" w:cs="Times New Roman"/>
          <w:b w:val="0"/>
          <w:bCs w:val="0"/>
          <w:sz w:val="24"/>
          <w:szCs w:val="24"/>
          <w:lang w:val="en-US" w:eastAsia="zh-CN"/>
        </w:rPr>
        <w:t xml:space="preserve"> challenges of math anxiety due to the highly competitive exam culture, which provides a realistic basis for exploring the intervention role of growth mindset.</w:t>
      </w:r>
    </w:p>
    <w:p w14:paraId="22C0ACED">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 xml:space="preserve">2.3 </w:t>
      </w:r>
      <w:r>
        <w:rPr>
          <w:rFonts w:hint="default" w:ascii="Times New Roman" w:hAnsi="Times New Roman" w:cs="Times New Roman"/>
          <w:b/>
          <w:bCs/>
          <w:sz w:val="24"/>
          <w:szCs w:val="24"/>
          <w:lang w:val="en-US" w:eastAsia="zh-CN"/>
        </w:rPr>
        <w:t>Mindset-Anxiety Link: Control-Value Theory</w:t>
      </w:r>
    </w:p>
    <w:p w14:paraId="3708ED23">
      <w:pPr>
        <w:keepNext w:val="0"/>
        <w:keepLines w:val="0"/>
        <w:pageBreakBefore w:val="0"/>
        <w:widowControl w:val="0"/>
        <w:kinsoku/>
        <w:wordWrap/>
        <w:overflowPunct/>
        <w:topLinePunct w:val="0"/>
        <w:autoSpaceDE/>
        <w:autoSpaceDN/>
        <w:bidi w:val="0"/>
        <w:adjustRightInd/>
        <w:snapToGrid/>
        <w:spacing w:line="480" w:lineRule="auto"/>
        <w:ind w:firstLine="480" w:firstLineChars="200"/>
        <w:jc w:val="left"/>
        <w:textAlignment w:val="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 xml:space="preserve">The control-value theory (Pekrun, 2006) provides an important framework for understanding the formation mechanism of academic emotions such as anxiety. The core idea of this theory is that an individual's sense of control over learning tasks (such as self-efficacy and ability beliefs) and value assessment (such as task importance and interest) jointly influence their emotional responses. When students believe they can control the learning process (high sense of control) and consider the task meaningful (high value), they are more likely to experience positive emotions (such as pleasure and hope); conversely, if they feel unable to control or consider the task meaningless, it is more likely to induce negative emotions (such as anxiety and depression). </w:t>
      </w:r>
    </w:p>
    <w:p w14:paraId="7567CD07">
      <w:pPr>
        <w:keepNext w:val="0"/>
        <w:keepLines w:val="0"/>
        <w:pageBreakBefore w:val="0"/>
        <w:widowControl w:val="0"/>
        <w:kinsoku/>
        <w:wordWrap/>
        <w:overflowPunct/>
        <w:topLinePunct w:val="0"/>
        <w:autoSpaceDE/>
        <w:autoSpaceDN/>
        <w:bidi w:val="0"/>
        <w:adjustRightInd/>
        <w:snapToGrid/>
        <w:spacing w:line="480" w:lineRule="auto"/>
        <w:ind w:firstLine="480" w:firstLineChars="200"/>
        <w:jc w:val="left"/>
        <w:textAlignment w:val="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Growth mindset and fixed mindset play a key role in the control-value theory. Research shows that students with a growth mindset tend to believe that abilities can be enhanced through effort (high sense of control), thereby reducing math anxiety (Dweck, 2006); while those with a fixed mindset, believing that abilities are fixed (low sense of control), are more likely to experience anxiety when encountering difficulties (Burnette et al., 2013). Additionally, students' subjective value assessment of mathematics (such as "Is math important for my future?") further moderates this relationship. For instance, even if students have a growth mindset, if they perceive the value of mathematics as low, their anxiety levels may still increase due to insufficient motivation (Pekrun et al., 2017).</w:t>
      </w:r>
    </w:p>
    <w:p w14:paraId="06EF29D0">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 xml:space="preserve">2.4 </w:t>
      </w:r>
      <w:r>
        <w:rPr>
          <w:rFonts w:hint="default" w:ascii="Times New Roman" w:hAnsi="Times New Roman" w:cs="Times New Roman"/>
          <w:b/>
          <w:bCs/>
          <w:sz w:val="24"/>
          <w:szCs w:val="24"/>
          <w:lang w:val="en-US" w:eastAsia="zh-CN"/>
        </w:rPr>
        <w:t>Growth Mindset and Control-Value Theory: A Synergistic Framework</w:t>
      </w:r>
    </w:p>
    <w:p w14:paraId="156E245C">
      <w:pPr>
        <w:keepNext w:val="0"/>
        <w:keepLines w:val="0"/>
        <w:pageBreakBefore w:val="0"/>
        <w:widowControl w:val="0"/>
        <w:kinsoku/>
        <w:wordWrap/>
        <w:overflowPunct/>
        <w:topLinePunct w:val="0"/>
        <w:autoSpaceDE/>
        <w:autoSpaceDN/>
        <w:bidi w:val="0"/>
        <w:adjustRightInd/>
        <w:snapToGrid/>
        <w:spacing w:line="480" w:lineRule="auto"/>
        <w:ind w:firstLine="480" w:firstLineChars="200"/>
        <w:jc w:val="left"/>
        <w:textAlignment w:val="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The interplay between growth mindset (Dweck, 2015) and Control-Value Theory (Pekrun, 2006) offers a powerful perspective on how students’ beliefs and emotions affect mathematics achievement. Growth mindset – the belief that one’s abilities can be developed through effort (framing effort as a tool for improvement) – enhance students’ control appraisal dimension of Control-Value Theory. Meantime, fostering value appraisal – such as highlighting the real-world applications of mathematics – can motivate students to adopt a growth mindset, as they perceive effort as meaningful rather than wasteful. For example, teachers who emphasise mastery over grades (value appraisal) and provide actionable feedback (control of appraisal) create environments that allow growth mindsets to thrive (Chen et al., 2024).</w:t>
      </w:r>
    </w:p>
    <w:p w14:paraId="10330EE8">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 xml:space="preserve">2.5 </w:t>
      </w:r>
      <w:r>
        <w:rPr>
          <w:rFonts w:hint="default" w:ascii="Times New Roman" w:hAnsi="Times New Roman" w:cs="Times New Roman"/>
          <w:b/>
          <w:bCs/>
          <w:sz w:val="24"/>
          <w:szCs w:val="24"/>
          <w:lang w:val="en-US" w:eastAsia="zh-CN"/>
        </w:rPr>
        <w:t>Growth Mindset and Math Anxiety Relationship</w:t>
      </w:r>
    </w:p>
    <w:p w14:paraId="062A0392">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cs="Times New Roman"/>
          <w:b/>
          <w:bCs/>
          <w:sz w:val="24"/>
          <w:szCs w:val="24"/>
          <w:lang w:val="en-US" w:eastAsia="zh-CN"/>
        </w:rPr>
      </w:pPr>
      <w:r>
        <w:rPr>
          <w:rFonts w:hint="default" w:ascii="Times New Roman" w:hAnsi="Times New Roman" w:cs="Times New Roman"/>
          <w:b/>
          <w:bCs/>
          <w:sz w:val="24"/>
          <w:szCs w:val="24"/>
          <w:lang w:val="en-US" w:eastAsia="zh-CN"/>
        </w:rPr>
        <w:drawing>
          <wp:inline distT="0" distB="0" distL="114300" distR="114300">
            <wp:extent cx="5259070" cy="1237615"/>
            <wp:effectExtent l="0" t="0" r="13970" b="12065"/>
            <wp:docPr id="1" name="图片 1" descr="deepseek_mermaid_20250425_ed6a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deepseek_mermaid_20250425_ed6a08"/>
                    <pic:cNvPicPr>
                      <a:picLocks noChangeAspect="1"/>
                    </pic:cNvPicPr>
                  </pic:nvPicPr>
                  <pic:blipFill>
                    <a:blip r:embed="rId5"/>
                    <a:stretch>
                      <a:fillRect/>
                    </a:stretch>
                  </pic:blipFill>
                  <pic:spPr>
                    <a:xfrm>
                      <a:off x="0" y="0"/>
                      <a:ext cx="5259070" cy="1237615"/>
                    </a:xfrm>
                    <a:prstGeom prst="rect">
                      <a:avLst/>
                    </a:prstGeom>
                  </pic:spPr>
                </pic:pic>
              </a:graphicData>
            </a:graphic>
          </wp:inline>
        </w:drawing>
      </w:r>
    </w:p>
    <w:p w14:paraId="1AA29947">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eastAsia" w:ascii="Times New Roman" w:hAnsi="Times New Roman" w:cs="Times New Roman"/>
          <w:b w:val="0"/>
          <w:bCs w:val="0"/>
          <w:sz w:val="21"/>
          <w:szCs w:val="21"/>
          <w:lang w:val="en-US" w:eastAsia="zh-CN"/>
        </w:rPr>
      </w:pPr>
      <w:r>
        <w:rPr>
          <w:rFonts w:hint="eastAsia" w:ascii="Times New Roman" w:hAnsi="Times New Roman" w:cs="Times New Roman"/>
          <w:b w:val="0"/>
          <w:bCs w:val="0"/>
          <w:sz w:val="21"/>
          <w:szCs w:val="21"/>
          <w:lang w:val="en-US" w:eastAsia="zh-CN"/>
        </w:rPr>
        <w:t>Figure 1. The Main Relationship between Growth Mindset and Math Anxiety</w:t>
      </w:r>
    </w:p>
    <w:p w14:paraId="76CDBFE8">
      <w:pPr>
        <w:keepNext w:val="0"/>
        <w:keepLines w:val="0"/>
        <w:pageBreakBefore w:val="0"/>
        <w:widowControl w:val="0"/>
        <w:kinsoku/>
        <w:wordWrap/>
        <w:overflowPunct/>
        <w:topLinePunct w:val="0"/>
        <w:autoSpaceDE/>
        <w:autoSpaceDN/>
        <w:bidi w:val="0"/>
        <w:adjustRightInd/>
        <w:snapToGrid/>
        <w:spacing w:line="480" w:lineRule="auto"/>
        <w:ind w:firstLine="480" w:firstLineChars="200"/>
        <w:jc w:val="left"/>
        <w:textAlignment w:val="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Based on previous studies and the above analysis, the relationship between growth mindset and math anxiety is presented as Figure 1.</w:t>
      </w:r>
      <w:r>
        <w:rPr>
          <w:rFonts w:hint="eastAsia" w:ascii="Times New Roman" w:hAnsi="Times New Roman" w:cs="Times New Roman"/>
          <w:b w:val="0"/>
          <w:bCs w:val="0"/>
          <w:sz w:val="24"/>
          <w:szCs w:val="24"/>
          <w:lang w:val="en-US" w:eastAsia="zh-CN"/>
        </w:rPr>
        <w:t xml:space="preserve"> </w:t>
      </w:r>
      <w:r>
        <w:rPr>
          <w:rFonts w:hint="default" w:ascii="Times New Roman" w:hAnsi="Times New Roman" w:cs="Times New Roman"/>
          <w:b w:val="0"/>
          <w:bCs w:val="0"/>
          <w:sz w:val="24"/>
          <w:szCs w:val="24"/>
          <w:lang w:val="en-US" w:eastAsia="zh-CN"/>
        </w:rPr>
        <w:t>A growth mindset—the belief that mathematical abilities can be developed through effort—directly reduces math anxiety by encouraging students to view challenges as opportunities rather than threats. However, this protective effect can be weakened by external pressures, particularly in high-stakes exam cultures like China's, where performance-oriented evaluations may conflict with the principles of growth mindset. Teacher support plays a crucial moderating role by reinforcing growth mindset beliefs through constructive feedback and fostering a classroom environment that values learning over grades. Together, these dynamics illustrate how psychological, educational, and cultural factors interact to shape students' emotional and cognitive experiences in mathematics.</w:t>
      </w:r>
    </w:p>
    <w:p w14:paraId="1BB59AD5">
      <w:pPr>
        <w:keepNext w:val="0"/>
        <w:keepLines w:val="0"/>
        <w:pageBreakBefore w:val="0"/>
        <w:widowControl w:val="0"/>
        <w:numPr>
          <w:ilvl w:val="0"/>
          <w:numId w:val="1"/>
        </w:numPr>
        <w:kinsoku/>
        <w:wordWrap/>
        <w:overflowPunct/>
        <w:topLinePunct w:val="0"/>
        <w:autoSpaceDE/>
        <w:autoSpaceDN/>
        <w:bidi w:val="0"/>
        <w:adjustRightInd/>
        <w:snapToGrid/>
        <w:spacing w:line="480" w:lineRule="auto"/>
        <w:ind w:left="0" w:leftChars="0" w:firstLine="0" w:firstLineChars="0"/>
        <w:jc w:val="center"/>
        <w:textAlignment w:val="auto"/>
        <w:rPr>
          <w:rFonts w:hint="eastAsia"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Research Approach</w:t>
      </w:r>
    </w:p>
    <w:p w14:paraId="6A45C3F3">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eastAsia"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3.1 Research Positioning</w:t>
      </w:r>
    </w:p>
    <w:p w14:paraId="5E104ACC">
      <w:pPr>
        <w:keepNext w:val="0"/>
        <w:keepLines w:val="0"/>
        <w:pageBreakBefore w:val="0"/>
        <w:widowControl w:val="0"/>
        <w:kinsoku/>
        <w:wordWrap/>
        <w:overflowPunct/>
        <w:topLinePunct w:val="0"/>
        <w:autoSpaceDE/>
        <w:autoSpaceDN/>
        <w:bidi w:val="0"/>
        <w:adjustRightInd/>
        <w:snapToGrid/>
        <w:spacing w:line="480" w:lineRule="auto"/>
        <w:ind w:firstLine="480" w:firstLineChars="200"/>
        <w:jc w:val="left"/>
        <w:textAlignment w:val="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 xml:space="preserve">This study adopts a quantitative study design, aiming to investigate the association mechanism between the growth mindset of junior high school students and math anxiety through standardized measurement tools. The research is based on the philosophical stance of Post-positivism, acknowledging the existence of probabilistic causal relationships among variables. However, it emphasizes that this relationship may be influenced by the specific cultural context of Chenguang Middle School. For instance, situational factors such as the examination competition atmosphere of the school or the evaluation methods of teachers may regulate the intensity of the core variables. </w:t>
      </w:r>
    </w:p>
    <w:p w14:paraId="7369C626">
      <w:pPr>
        <w:keepNext w:val="0"/>
        <w:keepLines w:val="0"/>
        <w:pageBreakBefore w:val="0"/>
        <w:widowControl w:val="0"/>
        <w:kinsoku/>
        <w:wordWrap/>
        <w:overflowPunct/>
        <w:topLinePunct w:val="0"/>
        <w:autoSpaceDE/>
        <w:autoSpaceDN/>
        <w:bidi w:val="0"/>
        <w:adjustRightInd/>
        <w:snapToGrid/>
        <w:spacing w:line="480" w:lineRule="auto"/>
        <w:ind w:firstLine="480" w:firstLineChars="200"/>
        <w:jc w:val="left"/>
        <w:textAlignment w:val="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The core of the theoretical framework is constructed in the intersection of Dweck's (2006) theory of growth mindset and Ashcraft's (2002) theory of mathematical anxiety. The former holds that an individual's belief in the plasticity of ability influences the way they deal with challenges, while the latter reveals that emotional responses in specific mathematical situations can interfere with cognitive processing. This study hypothesizes that students with a growth mindset are more likely to perceive mathematical difficulties as temporary challenges, thereby reducing their experience of anxiety. While this basic model has been validated in the United States (Yeager et al., 2019), its applicability to secondary schools in third- and fourth-tier cities in mainland China still requires empirical verification.</w:t>
      </w:r>
    </w:p>
    <w:p w14:paraId="6FCCD9F2">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eastAsia"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3.2 Research Questions</w:t>
      </w:r>
    </w:p>
    <w:p w14:paraId="46635E78">
      <w:pPr>
        <w:keepNext w:val="0"/>
        <w:keepLines w:val="0"/>
        <w:pageBreakBefore w:val="0"/>
        <w:widowControl w:val="0"/>
        <w:kinsoku/>
        <w:wordWrap/>
        <w:overflowPunct/>
        <w:topLinePunct w:val="0"/>
        <w:autoSpaceDE/>
        <w:autoSpaceDN/>
        <w:bidi w:val="0"/>
        <w:adjustRightInd/>
        <w:snapToGrid/>
        <w:spacing w:line="480" w:lineRule="auto"/>
        <w:ind w:firstLine="480" w:firstLineChars="200"/>
        <w:jc w:val="left"/>
        <w:textAlignment w:val="auto"/>
        <w:rPr>
          <w:rFonts w:hint="eastAsia"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This study conceptualizes the relationship between growth mindset and mathematics anxiety among junior high students at Chenguang Middle School, with grade level as a potential moderator. Grounded in Dweck</w:t>
      </w:r>
      <w:r>
        <w:rPr>
          <w:rFonts w:hint="default" w:ascii="Times New Roman" w:hAnsi="Times New Roman" w:cs="Times New Roman"/>
          <w:b w:val="0"/>
          <w:bCs w:val="0"/>
          <w:sz w:val="24"/>
          <w:szCs w:val="24"/>
          <w:lang w:val="en-US" w:eastAsia="zh-CN"/>
        </w:rPr>
        <w:t>’</w:t>
      </w:r>
      <w:r>
        <w:rPr>
          <w:rFonts w:hint="eastAsia" w:ascii="Times New Roman" w:hAnsi="Times New Roman" w:cs="Times New Roman"/>
          <w:b w:val="0"/>
          <w:bCs w:val="0"/>
          <w:sz w:val="24"/>
          <w:szCs w:val="24"/>
          <w:lang w:val="en-US" w:eastAsia="zh-CN"/>
        </w:rPr>
        <w:t>s (2006) Growth Mindset Theory and Ashcraft</w:t>
      </w:r>
      <w:r>
        <w:rPr>
          <w:rFonts w:hint="default" w:ascii="Times New Roman" w:hAnsi="Times New Roman" w:cs="Times New Roman"/>
          <w:b w:val="0"/>
          <w:bCs w:val="0"/>
          <w:sz w:val="24"/>
          <w:szCs w:val="24"/>
          <w:lang w:val="en-US" w:eastAsia="zh-CN"/>
        </w:rPr>
        <w:t>’</w:t>
      </w:r>
      <w:r>
        <w:rPr>
          <w:rFonts w:hint="eastAsia" w:ascii="Times New Roman" w:hAnsi="Times New Roman" w:cs="Times New Roman"/>
          <w:b w:val="0"/>
          <w:bCs w:val="0"/>
          <w:sz w:val="24"/>
          <w:szCs w:val="24"/>
          <w:lang w:val="en-US" w:eastAsia="zh-CN"/>
        </w:rPr>
        <w:t>s (2002) Mathematics Anxiety Theory, the research hypothesizes that students with stronger growth mindsets will exhibit lower mathematics anxiety, as they perceive challenges as opportunities for improvement rather than threats. Additionally, it explores whether this relationship varies across grade levels (Grades 7, 8, and 9), considering developmental and curricular differences in secondary education.</w:t>
      </w:r>
    </w:p>
    <w:p w14:paraId="66CBA83F">
      <w:pPr>
        <w:keepNext w:val="0"/>
        <w:keepLines w:val="0"/>
        <w:pageBreakBefore w:val="0"/>
        <w:widowControl w:val="0"/>
        <w:kinsoku/>
        <w:wordWrap/>
        <w:overflowPunct/>
        <w:topLinePunct w:val="0"/>
        <w:autoSpaceDE/>
        <w:autoSpaceDN/>
        <w:bidi w:val="0"/>
        <w:adjustRightInd/>
        <w:snapToGrid/>
        <w:spacing w:line="480" w:lineRule="auto"/>
        <w:ind w:firstLine="480" w:firstLineChars="200"/>
        <w:jc w:val="left"/>
        <w:textAlignment w:val="auto"/>
        <w:rPr>
          <w:rFonts w:hint="eastAsia"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To systematically investigate these hypotheses, the study addresses the following research questions:</w:t>
      </w:r>
    </w:p>
    <w:p w14:paraId="7B9ED2CB">
      <w:pPr>
        <w:keepNext w:val="0"/>
        <w:keepLines w:val="0"/>
        <w:pageBreakBefore w:val="0"/>
        <w:widowControl w:val="0"/>
        <w:kinsoku/>
        <w:wordWrap/>
        <w:overflowPunct/>
        <w:topLinePunct w:val="0"/>
        <w:autoSpaceDE/>
        <w:autoSpaceDN/>
        <w:bidi w:val="0"/>
        <w:adjustRightInd/>
        <w:snapToGrid/>
        <w:spacing w:line="480" w:lineRule="auto"/>
        <w:ind w:firstLine="480" w:firstLineChars="200"/>
        <w:jc w:val="left"/>
        <w:textAlignment w:val="auto"/>
        <w:rPr>
          <w:rFonts w:hint="eastAsia"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RQ1: Is there a significant negative correlation between growth mindset and mathematics anxiety among junior high students at Chenguang Middle School?</w:t>
      </w:r>
    </w:p>
    <w:p w14:paraId="21AA509A">
      <w:pPr>
        <w:keepNext w:val="0"/>
        <w:keepLines w:val="0"/>
        <w:pageBreakBefore w:val="0"/>
        <w:widowControl w:val="0"/>
        <w:kinsoku/>
        <w:wordWrap/>
        <w:overflowPunct/>
        <w:topLinePunct w:val="0"/>
        <w:autoSpaceDE/>
        <w:autoSpaceDN/>
        <w:bidi w:val="0"/>
        <w:adjustRightInd/>
        <w:snapToGrid/>
        <w:spacing w:line="480" w:lineRule="auto"/>
        <w:ind w:firstLine="480" w:firstLineChars="200"/>
        <w:jc w:val="left"/>
        <w:textAlignment w:val="auto"/>
        <w:rPr>
          <w:rFonts w:hint="eastAsia"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This question examines the core theoretical expectation that students who believe in the malleability of math ability (growth mindset) experience less anxiety when engaging with math tasks.</w:t>
      </w:r>
    </w:p>
    <w:p w14:paraId="647CC42F">
      <w:pPr>
        <w:keepNext w:val="0"/>
        <w:keepLines w:val="0"/>
        <w:pageBreakBefore w:val="0"/>
        <w:widowControl w:val="0"/>
        <w:kinsoku/>
        <w:wordWrap/>
        <w:overflowPunct/>
        <w:topLinePunct w:val="0"/>
        <w:autoSpaceDE/>
        <w:autoSpaceDN/>
        <w:bidi w:val="0"/>
        <w:adjustRightInd/>
        <w:snapToGrid/>
        <w:spacing w:line="480" w:lineRule="auto"/>
        <w:ind w:firstLine="480" w:firstLineChars="200"/>
        <w:jc w:val="left"/>
        <w:textAlignment w:val="auto"/>
        <w:rPr>
          <w:rFonts w:hint="eastAsia"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RQ2: Does the relationship between growth mindset and mathematics anxiety differ across grade levels (Grade 7, Grade 8, and Grade 9)?</w:t>
      </w:r>
    </w:p>
    <w:p w14:paraId="0A3EDDC7">
      <w:pPr>
        <w:keepNext w:val="0"/>
        <w:keepLines w:val="0"/>
        <w:pageBreakBefore w:val="0"/>
        <w:widowControl w:val="0"/>
        <w:kinsoku/>
        <w:wordWrap/>
        <w:overflowPunct/>
        <w:topLinePunct w:val="0"/>
        <w:autoSpaceDE/>
        <w:autoSpaceDN/>
        <w:bidi w:val="0"/>
        <w:adjustRightInd/>
        <w:snapToGrid/>
        <w:spacing w:line="480" w:lineRule="auto"/>
        <w:ind w:firstLine="480" w:firstLineChars="200"/>
        <w:jc w:val="left"/>
        <w:textAlignment w:val="auto"/>
        <w:rPr>
          <w:rFonts w:hint="eastAsia"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This question investigates whether the strength or direction of the growth mindset-anxiety link changes as students progress through junior high, potentially due to increasing academic pressures (e.g., high school entrance exam expectations for ninth graders).</w:t>
      </w:r>
    </w:p>
    <w:p w14:paraId="77FC7852">
      <w:pPr>
        <w:keepNext w:val="0"/>
        <w:keepLines w:val="0"/>
        <w:pageBreakBefore w:val="0"/>
        <w:widowControl w:val="0"/>
        <w:kinsoku/>
        <w:wordWrap/>
        <w:overflowPunct/>
        <w:topLinePunct w:val="0"/>
        <w:autoSpaceDE/>
        <w:autoSpaceDN/>
        <w:bidi w:val="0"/>
        <w:adjustRightInd/>
        <w:snapToGrid/>
        <w:spacing w:line="480" w:lineRule="auto"/>
        <w:ind w:firstLine="480" w:firstLineChars="200"/>
        <w:jc w:val="left"/>
        <w:textAlignment w:val="auto"/>
        <w:rPr>
          <w:rFonts w:hint="eastAsia"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These questions will be tested using quantitative survey data, with growth mindset and mathematics anxiety measured via adapted PISA 2022 scales. The findings will clarify whether mindset interventions should be tailored differently across grade levels to optimize anxiety reduction.</w:t>
      </w:r>
    </w:p>
    <w:p w14:paraId="47EE88A6">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eastAsia"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3.3 Research Design</w:t>
      </w:r>
    </w:p>
    <w:p w14:paraId="5695F9E8">
      <w:pPr>
        <w:keepNext w:val="0"/>
        <w:keepLines w:val="0"/>
        <w:pageBreakBefore w:val="0"/>
        <w:widowControl w:val="0"/>
        <w:kinsoku/>
        <w:wordWrap/>
        <w:overflowPunct/>
        <w:topLinePunct w:val="0"/>
        <w:autoSpaceDE/>
        <w:autoSpaceDN/>
        <w:bidi w:val="0"/>
        <w:adjustRightInd/>
        <w:snapToGrid/>
        <w:spacing w:line="480" w:lineRule="auto"/>
        <w:ind w:firstLine="480" w:firstLineChars="200"/>
        <w:jc w:val="left"/>
        <w:textAlignment w:val="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This study employs a cross-sectional survey design, with all junior high school students (Grades 7 to 9) from Chenguang Middle School in Jiujiang City, Jiangxi Province as the research subjects, and the expected sample size is 800-1000 students. The strategy of surveying the entire population can effectively avoid sampling bias and enhance statistical power, making it particularly suitable for exploring potential differences among students across different grade levels. The three-grade coverage in the sample provides the necessary data foundation for examining possible developmental differences in the relationship between growth mindset and mathematics anxiety.</w:t>
      </w:r>
    </w:p>
    <w:p w14:paraId="3B89DAD9">
      <w:pPr>
        <w:keepNext w:val="0"/>
        <w:keepLines w:val="0"/>
        <w:pageBreakBefore w:val="0"/>
        <w:widowControl w:val="0"/>
        <w:kinsoku/>
        <w:wordWrap/>
        <w:overflowPunct/>
        <w:topLinePunct w:val="0"/>
        <w:autoSpaceDE/>
        <w:autoSpaceDN/>
        <w:bidi w:val="0"/>
        <w:adjustRightInd/>
        <w:snapToGrid/>
        <w:spacing w:line="480" w:lineRule="auto"/>
        <w:ind w:firstLine="480" w:firstLineChars="200"/>
        <w:jc w:val="left"/>
        <w:textAlignment w:val="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Regarding measurement instruments, the study directly adopts standardized items from the PISA 2022 student questionnaire to ensure the validity of the measurement tools and international comparability. Growth mindset is measured using Likert 4-point scale items such as "Math ability can be improved through effort," while mathematics anxiety is assessed with items like "I feel nervous when doing math problems." These items, validated through large-scale international testing, can reliably capture the core characteristics of the target constructs. The study also collects control variables including grade level</w:t>
      </w:r>
      <w:r>
        <w:rPr>
          <w:rFonts w:hint="eastAsia" w:ascii="Times New Roman" w:hAnsi="Times New Roman" w:cs="Times New Roman"/>
          <w:b w:val="0"/>
          <w:bCs w:val="0"/>
          <w:sz w:val="24"/>
          <w:szCs w:val="24"/>
          <w:lang w:val="en-US" w:eastAsia="zh-CN"/>
        </w:rPr>
        <w:t xml:space="preserve"> and </w:t>
      </w:r>
      <w:r>
        <w:rPr>
          <w:rFonts w:hint="default" w:ascii="Times New Roman" w:hAnsi="Times New Roman" w:cs="Times New Roman"/>
          <w:b w:val="0"/>
          <w:bCs w:val="0"/>
          <w:sz w:val="24"/>
          <w:szCs w:val="24"/>
          <w:lang w:val="en-US" w:eastAsia="zh-CN"/>
        </w:rPr>
        <w:t>gender</w:t>
      </w:r>
      <w:r>
        <w:rPr>
          <w:rFonts w:hint="eastAsia" w:ascii="Times New Roman" w:hAnsi="Times New Roman" w:cs="Times New Roman"/>
          <w:b w:val="0"/>
          <w:bCs w:val="0"/>
          <w:sz w:val="24"/>
          <w:szCs w:val="24"/>
          <w:lang w:val="en-US" w:eastAsia="zh-CN"/>
        </w:rPr>
        <w:t xml:space="preserve"> </w:t>
      </w:r>
      <w:r>
        <w:rPr>
          <w:rFonts w:hint="default" w:ascii="Times New Roman" w:hAnsi="Times New Roman" w:cs="Times New Roman"/>
          <w:b w:val="0"/>
          <w:bCs w:val="0"/>
          <w:sz w:val="24"/>
          <w:szCs w:val="24"/>
          <w:lang w:val="en-US" w:eastAsia="zh-CN"/>
        </w:rPr>
        <w:t>to eliminate potential confounding effects on the relationship between the core variables.</w:t>
      </w:r>
    </w:p>
    <w:p w14:paraId="655B5DF2">
      <w:pPr>
        <w:keepNext w:val="0"/>
        <w:keepLines w:val="0"/>
        <w:pageBreakBefore w:val="0"/>
        <w:widowControl w:val="0"/>
        <w:kinsoku/>
        <w:wordWrap/>
        <w:overflowPunct/>
        <w:topLinePunct w:val="0"/>
        <w:autoSpaceDE/>
        <w:autoSpaceDN/>
        <w:bidi w:val="0"/>
        <w:adjustRightInd/>
        <w:snapToGrid/>
        <w:spacing w:line="480" w:lineRule="auto"/>
        <w:ind w:firstLine="480" w:firstLineChars="200"/>
        <w:jc w:val="left"/>
        <w:textAlignment w:val="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Data collection will be organized by the school's academic office through the administration of anonymous electronic questionnaires in class. This standardized administration procedure helps ensure data quality, with an anticipated response rate of over 90%. The electronic data collection method can also effectively reduce data entry errors and improve research efficiency. All data collection processes will strictly adhere to research ethics guidelines to ensure student privacy protection.</w:t>
      </w:r>
    </w:p>
    <w:p w14:paraId="709E2D2E">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eastAsia"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3.4 Data Analysis Plan</w:t>
      </w:r>
    </w:p>
    <w:p w14:paraId="48F07D5B">
      <w:pPr>
        <w:keepNext w:val="0"/>
        <w:keepLines w:val="0"/>
        <w:pageBreakBefore w:val="0"/>
        <w:widowControl w:val="0"/>
        <w:kinsoku/>
        <w:wordWrap/>
        <w:overflowPunct/>
        <w:topLinePunct w:val="0"/>
        <w:autoSpaceDE/>
        <w:autoSpaceDN/>
        <w:bidi w:val="0"/>
        <w:adjustRightInd/>
        <w:snapToGrid/>
        <w:spacing w:line="480" w:lineRule="auto"/>
        <w:ind w:firstLine="480" w:firstLineChars="200"/>
        <w:jc w:val="left"/>
        <w:textAlignment w:val="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This study employs a systematic data analysis procedure to address two core research questions. In the initial data preprocessing phase</w:t>
      </w:r>
      <w:r>
        <w:rPr>
          <w:rFonts w:hint="eastAsia" w:ascii="Times New Roman" w:hAnsi="Times New Roman" w:cs="Times New Roman"/>
          <w:b w:val="0"/>
          <w:bCs w:val="0"/>
          <w:sz w:val="24"/>
          <w:szCs w:val="24"/>
          <w:lang w:val="en-US" w:eastAsia="zh-CN"/>
        </w:rPr>
        <w:t xml:space="preserve"> (Step 1)</w:t>
      </w:r>
      <w:r>
        <w:rPr>
          <w:rFonts w:hint="default" w:ascii="Times New Roman" w:hAnsi="Times New Roman" w:cs="Times New Roman"/>
          <w:b w:val="0"/>
          <w:bCs w:val="0"/>
          <w:sz w:val="24"/>
          <w:szCs w:val="24"/>
          <w:lang w:val="en-US" w:eastAsia="zh-CN"/>
        </w:rPr>
        <w:t>, rigorous quality control measures will be implemented to ensure data reliability. Specific procedures include: First, eliminating invalid questionnaires, including those exhibiting patterned responses (e.g., 10 consecutive identical options) or containing more than 10% missing values for key variables. Second, standardizing the scoring direction for reverse-worded items in the PISA scales (e.g., "I feel confident solving math problems" in the mathematics anxiety scale). Third, examining and appropriately handling outliers. This stage establishes an accurate foundation for subsequent analyses.</w:t>
      </w:r>
    </w:p>
    <w:p w14:paraId="6827A902">
      <w:pPr>
        <w:keepNext w:val="0"/>
        <w:keepLines w:val="0"/>
        <w:pageBreakBefore w:val="0"/>
        <w:widowControl w:val="0"/>
        <w:kinsoku/>
        <w:wordWrap/>
        <w:overflowPunct/>
        <w:topLinePunct w:val="0"/>
        <w:autoSpaceDE/>
        <w:autoSpaceDN/>
        <w:bidi w:val="0"/>
        <w:adjustRightInd/>
        <w:snapToGrid/>
        <w:spacing w:line="480" w:lineRule="auto"/>
        <w:ind w:firstLine="480" w:firstLineChars="200"/>
        <w:jc w:val="left"/>
        <w:textAlignment w:val="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Subsequently</w:t>
      </w:r>
      <w:r>
        <w:rPr>
          <w:rFonts w:hint="eastAsia" w:ascii="Times New Roman" w:hAnsi="Times New Roman" w:cs="Times New Roman"/>
          <w:b w:val="0"/>
          <w:bCs w:val="0"/>
          <w:sz w:val="24"/>
          <w:szCs w:val="24"/>
          <w:lang w:val="en-US" w:eastAsia="zh-CN"/>
        </w:rPr>
        <w:t xml:space="preserve"> (Step 2)</w:t>
      </w:r>
      <w:r>
        <w:rPr>
          <w:rFonts w:hint="default" w:ascii="Times New Roman" w:hAnsi="Times New Roman" w:cs="Times New Roman"/>
          <w:b w:val="0"/>
          <w:bCs w:val="0"/>
          <w:sz w:val="24"/>
          <w:szCs w:val="24"/>
          <w:lang w:val="en-US" w:eastAsia="zh-CN"/>
        </w:rPr>
        <w:t>, comprehensive descriptive statistical analyses will be conducted. This includes calculating means, standard deviations, skewness, and kurtosis for the overall growth mindset and mathematics anxiety scales to assess data normality. Independent samples t-tests will examine gender differences in core variables, while one-way ANOVA will compare differences across the three grade levels (Grades 7-9). For significant ANOVA results (p&lt;0.05), Tukey's post-hoc tests will identify specific between-grade differences. These analyses provide researchers with a comprehensive understanding of data distribution characteristics and potential influencing factors.</w:t>
      </w:r>
    </w:p>
    <w:p w14:paraId="08D25365">
      <w:pPr>
        <w:keepNext w:val="0"/>
        <w:keepLines w:val="0"/>
        <w:pageBreakBefore w:val="0"/>
        <w:widowControl w:val="0"/>
        <w:kinsoku/>
        <w:wordWrap/>
        <w:overflowPunct/>
        <w:topLinePunct w:val="0"/>
        <w:autoSpaceDE/>
        <w:autoSpaceDN/>
        <w:bidi w:val="0"/>
        <w:adjustRightInd/>
        <w:snapToGrid/>
        <w:spacing w:line="480" w:lineRule="auto"/>
        <w:ind w:firstLine="480" w:firstLineChars="200"/>
        <w:jc w:val="left"/>
        <w:textAlignment w:val="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To address RQ1 concerning the relationship between growth mindset and mathematics anxiety, Step 3 will employ Pearson product-moment correlation analysis to examine the strength and direction of association between these variables. Partial correlation coefficients will be calculated while controlling for gender and grade variables. A significant negative correlation (r&lt;0, p&lt;0.05) would support the hypothesized anxiety-buffering effect of growth mindset. Robustness checks will include: (1) computing Spearman's rank correlation coefficients as nonparametric tests, (2) visualizing the relationship through scatter plots, and (3) examining potential nonlinear relationships.</w:t>
      </w:r>
    </w:p>
    <w:p w14:paraId="748D836E">
      <w:pPr>
        <w:keepNext w:val="0"/>
        <w:keepLines w:val="0"/>
        <w:pageBreakBefore w:val="0"/>
        <w:widowControl w:val="0"/>
        <w:kinsoku/>
        <w:wordWrap/>
        <w:overflowPunct/>
        <w:topLinePunct w:val="0"/>
        <w:autoSpaceDE/>
        <w:autoSpaceDN/>
        <w:bidi w:val="0"/>
        <w:adjustRightInd/>
        <w:snapToGrid/>
        <w:spacing w:line="480" w:lineRule="auto"/>
        <w:ind w:firstLine="480" w:firstLineChars="200"/>
        <w:jc w:val="left"/>
        <w:textAlignment w:val="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Finally, to investigate grade-level differences (RQ</w:t>
      </w:r>
      <w:r>
        <w:rPr>
          <w:rFonts w:hint="eastAsia" w:ascii="Times New Roman" w:hAnsi="Times New Roman" w:cs="Times New Roman"/>
          <w:b w:val="0"/>
          <w:bCs w:val="0"/>
          <w:sz w:val="24"/>
          <w:szCs w:val="24"/>
          <w:lang w:val="en-US" w:eastAsia="zh-CN"/>
        </w:rPr>
        <w:t>2</w:t>
      </w:r>
      <w:r>
        <w:rPr>
          <w:rFonts w:hint="default" w:ascii="Times New Roman" w:hAnsi="Times New Roman" w:cs="Times New Roman"/>
          <w:b w:val="0"/>
          <w:bCs w:val="0"/>
          <w:sz w:val="24"/>
          <w:szCs w:val="24"/>
          <w:lang w:val="en-US" w:eastAsia="zh-CN"/>
        </w:rPr>
        <w:t>), Step 5 will implement multi-group structural equation modeling (SEM). Specific procedures include: (1) constructing a baseline structural model with growth mindset as the exogenous variable and mathematics anxiety as the endogenous variable, (2) conducting multi-group analysis with separate model fitting for each grade (Grades 7-9), and (3) comparing standardized path coefficients across grades. Model fit will be evaluated using: χ²/df ratio (&lt;3 preferred), CFI (&gt;0.90), and RMSEA (&lt;0.08). Significant between-grade differences (e.g., ΔCFI&gt;0.01) would indicate that the growth mindset-anxiety relationship varies by grade level. This sequential analytical approach progresses from fundamental to sophisticated analyses, providing targeted empirical evidence to inform subsequent intervention design.</w:t>
      </w:r>
    </w:p>
    <w:p w14:paraId="646AE309">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3.5 Ethics Considerations</w:t>
      </w:r>
    </w:p>
    <w:p w14:paraId="21D94A16">
      <w:pPr>
        <w:keepNext w:val="0"/>
        <w:keepLines w:val="0"/>
        <w:pageBreakBefore w:val="0"/>
        <w:widowControl w:val="0"/>
        <w:kinsoku/>
        <w:wordWrap/>
        <w:overflowPunct/>
        <w:topLinePunct w:val="0"/>
        <w:autoSpaceDE/>
        <w:autoSpaceDN/>
        <w:bidi w:val="0"/>
        <w:adjustRightInd/>
        <w:snapToGrid/>
        <w:spacing w:line="480" w:lineRule="auto"/>
        <w:ind w:firstLine="480" w:firstLineChars="200"/>
        <w:jc w:val="left"/>
        <w:textAlignment w:val="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Ethical considerations are central to ensuring the legality and morality of the research. First, the principle of informed consent must be strictly followed. Since the participants are minors, the research team will provide detailed information about the study’s purpose, data usage, and confidentiality measures to both students and their parents through the school’s academic office. Written consent forms will be obtained from parents, and the questionnaire cover page will reiterate the voluntary nature of participation in student-friendly language, emphasizing their right to withdraw at any time without consequences.</w:t>
      </w:r>
    </w:p>
    <w:p w14:paraId="522E3D44">
      <w:pPr>
        <w:keepNext w:val="0"/>
        <w:keepLines w:val="0"/>
        <w:pageBreakBefore w:val="0"/>
        <w:widowControl w:val="0"/>
        <w:kinsoku/>
        <w:wordWrap/>
        <w:overflowPunct/>
        <w:topLinePunct w:val="0"/>
        <w:autoSpaceDE/>
        <w:autoSpaceDN/>
        <w:bidi w:val="0"/>
        <w:adjustRightInd/>
        <w:snapToGrid/>
        <w:spacing w:line="480" w:lineRule="auto"/>
        <w:ind w:firstLine="480" w:firstLineChars="200"/>
        <w:jc w:val="left"/>
        <w:textAlignment w:val="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Second, privacy protection must be rigorously implemented during data collection and processing. All questionnaires will be administered anonymously, avoiding the collection of personally identifiable information (e.g., names, student IDs). Electronic data will be stored on password-protected devices accessible only to authorized research team members. In reporting results, only aggregated statistics will be presented to prevent individual identification. If case examples are cited, all identifying details will be removed to ensure anonymity.</w:t>
      </w:r>
    </w:p>
    <w:p w14:paraId="6F6663D0">
      <w:pPr>
        <w:keepNext w:val="0"/>
        <w:keepLines w:val="0"/>
        <w:pageBreakBefore w:val="0"/>
        <w:widowControl w:val="0"/>
        <w:kinsoku/>
        <w:wordWrap/>
        <w:overflowPunct/>
        <w:topLinePunct w:val="0"/>
        <w:autoSpaceDE/>
        <w:autoSpaceDN/>
        <w:bidi w:val="0"/>
        <w:adjustRightInd/>
        <w:snapToGrid/>
        <w:spacing w:line="480" w:lineRule="auto"/>
        <w:ind w:firstLine="480" w:firstLineChars="200"/>
        <w:jc w:val="left"/>
        <w:textAlignment w:val="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Additionally, special attention must be paid to potential psychological impacts on students. Since the mathematics anxiety scale may trigger negative emotions in some participants, the questionnaire will include contact information for mental health support resources (e.g., the school counseling hotline). Upon study completion, participating classes will receive a summary of findings and tailored recommendations, along with workshops on growth mindset strategies to provide educational value in return. Finally, all research procedures must undergo review and approval by the school’s ethics committee, and the methodology section of the final report will explicitly state the approval reference number and compliance with the Helsinki Declaration guidelines.</w:t>
      </w:r>
    </w:p>
    <w:p w14:paraId="0023233C">
      <w:pPr>
        <w:keepNext w:val="0"/>
        <w:keepLines w:val="0"/>
        <w:pageBreakBefore w:val="0"/>
        <w:widowControl w:val="0"/>
        <w:numPr>
          <w:ilvl w:val="0"/>
          <w:numId w:val="1"/>
        </w:numPr>
        <w:kinsoku/>
        <w:wordWrap/>
        <w:overflowPunct/>
        <w:topLinePunct w:val="0"/>
        <w:autoSpaceDE/>
        <w:autoSpaceDN/>
        <w:bidi w:val="0"/>
        <w:adjustRightInd/>
        <w:snapToGrid/>
        <w:spacing w:line="480" w:lineRule="auto"/>
        <w:ind w:left="0" w:leftChars="0" w:firstLine="0" w:firstLineChars="0"/>
        <w:jc w:val="center"/>
        <w:textAlignment w:val="auto"/>
        <w:rPr>
          <w:rFonts w:hint="default"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Research Evaluation</w:t>
      </w:r>
    </w:p>
    <w:p w14:paraId="04044E7A">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eastAsia"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4.1 Strengths</w:t>
      </w:r>
    </w:p>
    <w:p w14:paraId="159DDC2A">
      <w:pPr>
        <w:keepNext w:val="0"/>
        <w:keepLines w:val="0"/>
        <w:pageBreakBefore w:val="0"/>
        <w:widowControl w:val="0"/>
        <w:kinsoku/>
        <w:wordWrap/>
        <w:overflowPunct/>
        <w:topLinePunct w:val="0"/>
        <w:autoSpaceDE/>
        <w:autoSpaceDN/>
        <w:bidi w:val="0"/>
        <w:adjustRightInd/>
        <w:snapToGrid/>
        <w:spacing w:line="480" w:lineRule="auto"/>
        <w:ind w:firstLine="480" w:firstLineChars="200"/>
        <w:jc w:val="left"/>
        <w:textAlignment w:val="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This study offers significant cultural specificity by being the first to systematically examine the relationship between growth mindset and mathematics anxiety in Jiangxi's third-tier cities under the "Double Reduction" policy (Chen &amp; Lin, 2024). While existing research has predominantly focused on urban or Western educational contexts, this investigation provides critical insights into how psychological theories operate in China's understudied regional schools, where exam pressures and policy implementation may uniquely interact with student psychology. The findings will contribute to culturally nuanced adaptations of Dweck's and Pekrun's theories.</w:t>
      </w:r>
    </w:p>
    <w:p w14:paraId="026D706B">
      <w:pPr>
        <w:keepNext w:val="0"/>
        <w:keepLines w:val="0"/>
        <w:pageBreakBefore w:val="0"/>
        <w:widowControl w:val="0"/>
        <w:kinsoku/>
        <w:wordWrap/>
        <w:overflowPunct/>
        <w:topLinePunct w:val="0"/>
        <w:autoSpaceDE/>
        <w:autoSpaceDN/>
        <w:bidi w:val="0"/>
        <w:adjustRightInd/>
        <w:snapToGrid/>
        <w:spacing w:line="480" w:lineRule="auto"/>
        <w:ind w:firstLine="480" w:firstLineChars="200"/>
        <w:jc w:val="left"/>
        <w:textAlignment w:val="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Methodological rigor is ensured through the use of PISA2022 standardized measurement tools, which allow for direct international comparisons while maintaining construct validity. The whole-school sampling approach (N=800-1000) minimizes selection bias and enhances statistical power, particularly for detecting grade-level differences in the mindset-anxiety relationship. Additionally, the integration of control variables (grade, gender) and robust analytical techniques (multi-group SEM) strengthens the reliability of conclusions drawn from the data.</w:t>
      </w:r>
    </w:p>
    <w:p w14:paraId="47A3739C">
      <w:pPr>
        <w:keepNext w:val="0"/>
        <w:keepLines w:val="0"/>
        <w:pageBreakBefore w:val="0"/>
        <w:widowControl w:val="0"/>
        <w:kinsoku/>
        <w:wordWrap/>
        <w:overflowPunct/>
        <w:topLinePunct w:val="0"/>
        <w:autoSpaceDE/>
        <w:autoSpaceDN/>
        <w:bidi w:val="0"/>
        <w:adjustRightInd/>
        <w:snapToGrid/>
        <w:spacing w:line="480" w:lineRule="auto"/>
        <w:ind w:firstLine="480" w:firstLineChars="200"/>
        <w:jc w:val="left"/>
        <w:textAlignment w:val="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 xml:space="preserve">Unlike conventional academic research that often stops at publication, this project embeds actionable outcomes by co-developing teacher training modules on growth mindset pedagogy and anxiety-reduction strategies tailored to the school's specific needs. The whole-school model also serves as </w:t>
      </w:r>
      <w:r>
        <w:rPr>
          <w:rFonts w:hint="eastAsia" w:ascii="Times New Roman" w:hAnsi="Times New Roman" w:cs="Times New Roman"/>
          <w:b w:val="0"/>
          <w:bCs w:val="0"/>
          <w:sz w:val="24"/>
          <w:szCs w:val="24"/>
          <w:lang w:val="en-US" w:eastAsia="zh-CN"/>
        </w:rPr>
        <w:t>suggestions</w:t>
      </w:r>
      <w:r>
        <w:rPr>
          <w:rFonts w:hint="default" w:ascii="Times New Roman" w:hAnsi="Times New Roman" w:cs="Times New Roman"/>
          <w:b w:val="0"/>
          <w:bCs w:val="0"/>
          <w:sz w:val="24"/>
          <w:szCs w:val="24"/>
          <w:lang w:val="en-US" w:eastAsia="zh-CN"/>
        </w:rPr>
        <w:t xml:space="preserve"> for other regional schools seeking to align mental health support with national policy reforms.</w:t>
      </w:r>
    </w:p>
    <w:p w14:paraId="379A1B41">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4.2 Limitations and Suggestions</w:t>
      </w:r>
    </w:p>
    <w:p w14:paraId="136B82C9">
      <w:pPr>
        <w:keepNext w:val="0"/>
        <w:keepLines w:val="0"/>
        <w:pageBreakBefore w:val="0"/>
        <w:widowControl w:val="0"/>
        <w:kinsoku/>
        <w:wordWrap/>
        <w:overflowPunct/>
        <w:topLinePunct w:val="0"/>
        <w:autoSpaceDE/>
        <w:autoSpaceDN/>
        <w:bidi w:val="0"/>
        <w:adjustRightInd/>
        <w:snapToGrid/>
        <w:spacing w:line="480" w:lineRule="auto"/>
        <w:ind w:firstLine="480" w:firstLineChars="200"/>
        <w:jc w:val="left"/>
        <w:textAlignment w:val="auto"/>
        <w:rPr>
          <w:rFonts w:hint="eastAsia"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 xml:space="preserve">The study faces </w:t>
      </w:r>
      <w:r>
        <w:rPr>
          <w:rFonts w:hint="eastAsia" w:ascii="Times New Roman" w:hAnsi="Times New Roman" w:cs="Times New Roman"/>
          <w:b w:val="0"/>
          <w:bCs w:val="0"/>
          <w:sz w:val="24"/>
          <w:szCs w:val="24"/>
          <w:lang w:val="en-US" w:eastAsia="zh-CN"/>
        </w:rPr>
        <w:t>some</w:t>
      </w:r>
      <w:r>
        <w:rPr>
          <w:rFonts w:hint="default" w:ascii="Times New Roman" w:hAnsi="Times New Roman" w:cs="Times New Roman"/>
          <w:b w:val="0"/>
          <w:bCs w:val="0"/>
          <w:sz w:val="24"/>
          <w:szCs w:val="24"/>
          <w:lang w:val="en-US" w:eastAsia="zh-CN"/>
        </w:rPr>
        <w:t xml:space="preserve"> measurement constraints that warrant consideration.   While the PISA2022 scales provide international comparability, they may not fully capture culturally specific anxiety drivers prevalent in Chinese educational contexts, such as intense parental expectations or teacher-student power dynamics.</w:t>
      </w:r>
      <w:r>
        <w:rPr>
          <w:rFonts w:hint="eastAsia" w:ascii="Times New Roman" w:hAnsi="Times New Roman" w:cs="Times New Roman"/>
          <w:b w:val="0"/>
          <w:bCs w:val="0"/>
          <w:sz w:val="24"/>
          <w:szCs w:val="24"/>
          <w:lang w:val="en-US" w:eastAsia="zh-CN"/>
        </w:rPr>
        <w:t xml:space="preserve"> This requires rectification in the later stage based on some relatively authoritative and objective questionnaires on CNKI that are in line with Chinese students.</w:t>
      </w:r>
    </w:p>
    <w:p w14:paraId="7F928116">
      <w:pPr>
        <w:keepNext w:val="0"/>
        <w:keepLines w:val="0"/>
        <w:pageBreakBefore w:val="0"/>
        <w:widowControl w:val="0"/>
        <w:kinsoku/>
        <w:wordWrap/>
        <w:overflowPunct/>
        <w:topLinePunct w:val="0"/>
        <w:autoSpaceDE/>
        <w:autoSpaceDN/>
        <w:bidi w:val="0"/>
        <w:adjustRightInd/>
        <w:snapToGrid/>
        <w:spacing w:line="480" w:lineRule="auto"/>
        <w:ind w:firstLine="480" w:firstLineChars="200"/>
        <w:jc w:val="left"/>
        <w:textAlignment w:val="auto"/>
        <w:rPr>
          <w:rFonts w:hint="eastAsia"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Also, in the current Chinese educational context, conducting unified electronic questionnaire surveys in classrooms poses significant practical challenges for junior high school students facing intense academic pressure. And teachers resist allocating class time for surveys due to tight teaching schedules, while students under exam pressure often provide rushed or careless responses to minimize time spent. Therefore, this questionnaire survey can be conducted in the form of home-school cooperation. Students can complete it on weekends, with parents supervising and an incentive mechanism in place.</w:t>
      </w:r>
    </w:p>
    <w:p w14:paraId="233596B1">
      <w:pPr>
        <w:keepNext w:val="0"/>
        <w:keepLines w:val="0"/>
        <w:pageBreakBefore w:val="0"/>
        <w:widowControl w:val="0"/>
        <w:kinsoku/>
        <w:wordWrap/>
        <w:overflowPunct/>
        <w:topLinePunct w:val="0"/>
        <w:autoSpaceDE/>
        <w:autoSpaceDN/>
        <w:bidi w:val="0"/>
        <w:adjustRightInd/>
        <w:snapToGrid/>
        <w:spacing w:line="480" w:lineRule="auto"/>
        <w:ind w:firstLine="480" w:firstLineChars="200"/>
        <w:jc w:val="left"/>
        <w:textAlignment w:val="auto"/>
        <w:rPr>
          <w:rFonts w:hint="default"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 xml:space="preserve">Last but not the least, the sample of this study only focused on junior high school students in a certain middle school in Jiujiang City, Jiangxi Province. Although a sampling method covering the entire school was adopted to enhance the internal validity, there are still certain limitations in terms of external generalability. Firstly, there are differences in educational resources, teaching staff levels and policy implementation efforts among different regions within Jiangxi Province (such as provincial capital cities and county-level schools). Data from a single school may not fully reflect the mentality and anxiety characteristics of students throughout the province. Secondly, China has a vast territory, and there are significant differences in economic development levels and educational ecosystems among the eastern, central and western regions. For instance, the infiltration of international educational resources in coastal areas or the special policy support in western regions may both affect the correlation pattern between growth mindset and mathematical anxiety. Furthermore, the implementation effects of the </w:t>
      </w:r>
      <w:r>
        <w:rPr>
          <w:rFonts w:hint="default" w:ascii="Times New Roman" w:hAnsi="Times New Roman" w:cs="Times New Roman"/>
          <w:b w:val="0"/>
          <w:bCs w:val="0"/>
          <w:sz w:val="24"/>
          <w:szCs w:val="24"/>
          <w:lang w:val="en-US" w:eastAsia="zh-CN"/>
        </w:rPr>
        <w:t>‘</w:t>
      </w:r>
      <w:r>
        <w:rPr>
          <w:rFonts w:hint="eastAsia" w:ascii="Times New Roman" w:hAnsi="Times New Roman" w:cs="Times New Roman"/>
          <w:b w:val="0"/>
          <w:bCs w:val="0"/>
          <w:sz w:val="24"/>
          <w:szCs w:val="24"/>
          <w:lang w:val="en-US" w:eastAsia="zh-CN"/>
        </w:rPr>
        <w:t>Double Reduction</w:t>
      </w:r>
      <w:r>
        <w:rPr>
          <w:rFonts w:hint="default" w:ascii="Times New Roman" w:hAnsi="Times New Roman" w:cs="Times New Roman"/>
          <w:b w:val="0"/>
          <w:bCs w:val="0"/>
          <w:sz w:val="24"/>
          <w:szCs w:val="24"/>
          <w:lang w:val="en-US" w:eastAsia="zh-CN"/>
        </w:rPr>
        <w:t>’</w:t>
      </w:r>
      <w:r>
        <w:rPr>
          <w:rFonts w:hint="eastAsia" w:ascii="Times New Roman" w:hAnsi="Times New Roman" w:cs="Times New Roman"/>
          <w:b w:val="0"/>
          <w:bCs w:val="0"/>
          <w:sz w:val="24"/>
          <w:szCs w:val="24"/>
          <w:lang w:val="en-US" w:eastAsia="zh-CN"/>
        </w:rPr>
        <w:t xml:space="preserve"> policy in different types of schools (such as public and private, key and non-key) may also vary. These variables were not included in the analysis in this study. Future research will expand the sample range, cover more areas in Jiangxi Province through multi-stage stratified sampling, and conduct comparative analysis in collaboration with cooperative schools in other provinces to test the universality of the current conclusion. Meanwhile, qualitative interviews and longitudinal tracking designs are proposed to be introduced to further reveal the moderating effects of deep factors such as regional culture and family background on the research relationship.</w:t>
      </w:r>
    </w:p>
    <w:p w14:paraId="3E72B4CD">
      <w:pPr>
        <w:rPr>
          <w:rFonts w:hint="eastAsia"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br w:type="page"/>
      </w:r>
    </w:p>
    <w:p w14:paraId="0A32EB46">
      <w:pPr>
        <w:keepNext w:val="0"/>
        <w:keepLines w:val="0"/>
        <w:pageBreakBefore w:val="0"/>
        <w:widowControl w:val="0"/>
        <w:kinsoku/>
        <w:wordWrap/>
        <w:overflowPunct/>
        <w:topLinePunct w:val="0"/>
        <w:autoSpaceDE/>
        <w:autoSpaceDN/>
        <w:bidi w:val="0"/>
        <w:adjustRightInd/>
        <w:snapToGrid/>
        <w:spacing w:line="480" w:lineRule="auto"/>
        <w:ind w:firstLine="482" w:firstLineChars="200"/>
        <w:jc w:val="center"/>
        <w:textAlignment w:val="auto"/>
        <w:rPr>
          <w:rFonts w:hint="eastAsia"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References</w:t>
      </w:r>
    </w:p>
    <w:p w14:paraId="5AAF3451">
      <w:pPr>
        <w:keepNext w:val="0"/>
        <w:keepLines w:val="0"/>
        <w:pageBreakBefore w:val="0"/>
        <w:widowControl w:val="0"/>
        <w:numPr>
          <w:ilvl w:val="0"/>
          <w:numId w:val="2"/>
        </w:numPr>
        <w:kinsoku/>
        <w:wordWrap/>
        <w:overflowPunct/>
        <w:topLinePunct w:val="0"/>
        <w:autoSpaceDE/>
        <w:autoSpaceDN/>
        <w:bidi w:val="0"/>
        <w:adjustRightInd/>
        <w:snapToGrid/>
        <w:spacing w:line="480" w:lineRule="auto"/>
        <w:ind w:left="425" w:leftChars="0" w:hanging="425" w:firstLineChars="0"/>
        <w:jc w:val="both"/>
        <w:textAlignment w:val="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Ashcraft, M. H. (2002)</w:t>
      </w:r>
      <w:r>
        <w:rPr>
          <w:rFonts w:hint="eastAsia" w:ascii="Times New Roman" w:hAnsi="Times New Roman" w:cs="Times New Roman"/>
          <w:b w:val="0"/>
          <w:bCs w:val="0"/>
          <w:sz w:val="24"/>
          <w:szCs w:val="24"/>
          <w:lang w:val="en-US" w:eastAsia="zh-CN"/>
        </w:rPr>
        <w:t xml:space="preserve"> </w:t>
      </w:r>
      <w:r>
        <w:rPr>
          <w:rFonts w:hint="default" w:ascii="Times New Roman" w:hAnsi="Times New Roman" w:cs="Times New Roman"/>
          <w:b w:val="0"/>
          <w:bCs w:val="0"/>
          <w:sz w:val="24"/>
          <w:szCs w:val="24"/>
          <w:lang w:val="en-US" w:eastAsia="zh-CN"/>
        </w:rPr>
        <w:t>‘Math anxiety: Personal, educational, and cognitive consequences’</w:t>
      </w:r>
      <w:r>
        <w:rPr>
          <w:rFonts w:hint="eastAsia" w:ascii="Times New Roman" w:hAnsi="Times New Roman" w:cs="Times New Roman"/>
          <w:b w:val="0"/>
          <w:bCs w:val="0"/>
          <w:sz w:val="24"/>
          <w:szCs w:val="24"/>
          <w:lang w:val="en-US" w:eastAsia="zh-CN"/>
        </w:rPr>
        <w:t>,</w:t>
      </w:r>
      <w:r>
        <w:rPr>
          <w:rFonts w:hint="default" w:ascii="Times New Roman" w:hAnsi="Times New Roman" w:cs="Times New Roman"/>
          <w:b w:val="0"/>
          <w:bCs w:val="0"/>
          <w:sz w:val="24"/>
          <w:szCs w:val="24"/>
          <w:lang w:val="en-US" w:eastAsia="zh-CN"/>
        </w:rPr>
        <w:t xml:space="preserve"> </w:t>
      </w:r>
      <w:r>
        <w:rPr>
          <w:rFonts w:hint="default" w:ascii="Times New Roman" w:hAnsi="Times New Roman" w:cs="Times New Roman"/>
          <w:b w:val="0"/>
          <w:bCs w:val="0"/>
          <w:i/>
          <w:iCs/>
          <w:sz w:val="24"/>
          <w:szCs w:val="24"/>
          <w:lang w:val="en-US" w:eastAsia="zh-CN"/>
        </w:rPr>
        <w:t>Current directions in psychological science</w:t>
      </w:r>
      <w:r>
        <w:rPr>
          <w:rFonts w:hint="default" w:ascii="Times New Roman" w:hAnsi="Times New Roman" w:cs="Times New Roman"/>
          <w:b w:val="0"/>
          <w:bCs w:val="0"/>
          <w:sz w:val="24"/>
          <w:szCs w:val="24"/>
          <w:lang w:val="en-US" w:eastAsia="zh-CN"/>
        </w:rPr>
        <w:t>, 11(5), 181-185.</w:t>
      </w:r>
    </w:p>
    <w:p w14:paraId="4213138F">
      <w:pPr>
        <w:keepNext w:val="0"/>
        <w:keepLines w:val="0"/>
        <w:pageBreakBefore w:val="0"/>
        <w:widowControl w:val="0"/>
        <w:numPr>
          <w:ilvl w:val="0"/>
          <w:numId w:val="2"/>
        </w:numPr>
        <w:kinsoku/>
        <w:wordWrap/>
        <w:overflowPunct/>
        <w:topLinePunct w:val="0"/>
        <w:autoSpaceDE/>
        <w:autoSpaceDN/>
        <w:bidi w:val="0"/>
        <w:adjustRightInd/>
        <w:snapToGrid/>
        <w:spacing w:line="480" w:lineRule="auto"/>
        <w:ind w:left="425" w:leftChars="0" w:hanging="425" w:firstLineChars="0"/>
        <w:jc w:val="both"/>
        <w:textAlignment w:val="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Ashcraft, M. H., &amp; Kirk, E. P. (2001)</w:t>
      </w:r>
      <w:r>
        <w:rPr>
          <w:rFonts w:hint="eastAsia" w:ascii="Times New Roman" w:hAnsi="Times New Roman" w:cs="Times New Roman"/>
          <w:b w:val="0"/>
          <w:bCs w:val="0"/>
          <w:sz w:val="24"/>
          <w:szCs w:val="24"/>
          <w:lang w:val="en-US" w:eastAsia="zh-CN"/>
        </w:rPr>
        <w:t xml:space="preserve"> </w:t>
      </w:r>
      <w:r>
        <w:rPr>
          <w:rFonts w:hint="default" w:ascii="Times New Roman" w:hAnsi="Times New Roman" w:cs="Times New Roman"/>
          <w:b w:val="0"/>
          <w:bCs w:val="0"/>
          <w:sz w:val="24"/>
          <w:szCs w:val="24"/>
          <w:lang w:val="en-US" w:eastAsia="zh-CN"/>
        </w:rPr>
        <w:t>‘The relationships among working memory, math anxiety, and performance’</w:t>
      </w:r>
      <w:r>
        <w:rPr>
          <w:rFonts w:hint="eastAsia" w:ascii="Times New Roman" w:hAnsi="Times New Roman" w:cs="Times New Roman"/>
          <w:b w:val="0"/>
          <w:bCs w:val="0"/>
          <w:sz w:val="24"/>
          <w:szCs w:val="24"/>
          <w:lang w:val="en-US" w:eastAsia="zh-CN"/>
        </w:rPr>
        <w:t xml:space="preserve">, </w:t>
      </w:r>
      <w:r>
        <w:rPr>
          <w:rFonts w:hint="default" w:ascii="Times New Roman" w:hAnsi="Times New Roman" w:cs="Times New Roman"/>
          <w:b w:val="0"/>
          <w:bCs w:val="0"/>
          <w:i/>
          <w:iCs/>
          <w:sz w:val="24"/>
          <w:szCs w:val="24"/>
          <w:lang w:val="en-US" w:eastAsia="zh-CN"/>
        </w:rPr>
        <w:t>Journal of experimental psychology: General</w:t>
      </w:r>
      <w:r>
        <w:rPr>
          <w:rFonts w:hint="default" w:ascii="Times New Roman" w:hAnsi="Times New Roman" w:cs="Times New Roman"/>
          <w:b w:val="0"/>
          <w:bCs w:val="0"/>
          <w:sz w:val="24"/>
          <w:szCs w:val="24"/>
          <w:lang w:val="en-US" w:eastAsia="zh-CN"/>
        </w:rPr>
        <w:t>, 130(2), 224.</w:t>
      </w:r>
    </w:p>
    <w:p w14:paraId="6E973E11">
      <w:pPr>
        <w:keepNext w:val="0"/>
        <w:keepLines w:val="0"/>
        <w:pageBreakBefore w:val="0"/>
        <w:widowControl w:val="0"/>
        <w:numPr>
          <w:ilvl w:val="0"/>
          <w:numId w:val="2"/>
        </w:numPr>
        <w:kinsoku/>
        <w:wordWrap/>
        <w:overflowPunct/>
        <w:topLinePunct w:val="0"/>
        <w:autoSpaceDE/>
        <w:autoSpaceDN/>
        <w:bidi w:val="0"/>
        <w:adjustRightInd/>
        <w:snapToGrid/>
        <w:spacing w:line="480" w:lineRule="auto"/>
        <w:ind w:left="425" w:leftChars="0" w:hanging="425" w:firstLineChars="0"/>
        <w:jc w:val="both"/>
        <w:textAlignment w:val="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Ashcraft, M. H., &amp; Moore, A. M. (2009)</w:t>
      </w:r>
      <w:r>
        <w:rPr>
          <w:rFonts w:hint="eastAsia" w:ascii="Times New Roman" w:hAnsi="Times New Roman" w:cs="Times New Roman"/>
          <w:b w:val="0"/>
          <w:bCs w:val="0"/>
          <w:sz w:val="24"/>
          <w:szCs w:val="24"/>
          <w:lang w:val="en-US" w:eastAsia="zh-CN"/>
        </w:rPr>
        <w:t xml:space="preserve"> </w:t>
      </w:r>
      <w:r>
        <w:rPr>
          <w:rFonts w:hint="default" w:ascii="Times New Roman" w:hAnsi="Times New Roman" w:cs="Times New Roman"/>
          <w:b w:val="0"/>
          <w:bCs w:val="0"/>
          <w:sz w:val="24"/>
          <w:szCs w:val="24"/>
          <w:lang w:val="en-US" w:eastAsia="zh-CN"/>
        </w:rPr>
        <w:t>‘Mathematics anxiety and the affective drop in performance’</w:t>
      </w:r>
      <w:r>
        <w:rPr>
          <w:rFonts w:hint="eastAsia" w:ascii="Times New Roman" w:hAnsi="Times New Roman" w:cs="Times New Roman"/>
          <w:b w:val="0"/>
          <w:bCs w:val="0"/>
          <w:sz w:val="24"/>
          <w:szCs w:val="24"/>
          <w:lang w:val="en-US" w:eastAsia="zh-CN"/>
        </w:rPr>
        <w:t xml:space="preserve">, </w:t>
      </w:r>
      <w:r>
        <w:rPr>
          <w:rFonts w:hint="default" w:ascii="Times New Roman" w:hAnsi="Times New Roman" w:cs="Times New Roman"/>
          <w:b w:val="0"/>
          <w:bCs w:val="0"/>
          <w:i/>
          <w:iCs/>
          <w:sz w:val="24"/>
          <w:szCs w:val="24"/>
          <w:lang w:val="en-US" w:eastAsia="zh-CN"/>
        </w:rPr>
        <w:t>Journal of Psychoeducational assessment</w:t>
      </w:r>
      <w:r>
        <w:rPr>
          <w:rFonts w:hint="default" w:ascii="Times New Roman" w:hAnsi="Times New Roman" w:cs="Times New Roman"/>
          <w:b w:val="0"/>
          <w:bCs w:val="0"/>
          <w:sz w:val="24"/>
          <w:szCs w:val="24"/>
          <w:lang w:val="en-US" w:eastAsia="zh-CN"/>
        </w:rPr>
        <w:t>, 27(3), 197-205.</w:t>
      </w:r>
    </w:p>
    <w:p w14:paraId="0094C5E2">
      <w:pPr>
        <w:keepNext w:val="0"/>
        <w:keepLines w:val="0"/>
        <w:pageBreakBefore w:val="0"/>
        <w:widowControl w:val="0"/>
        <w:numPr>
          <w:ilvl w:val="0"/>
          <w:numId w:val="2"/>
        </w:numPr>
        <w:kinsoku/>
        <w:wordWrap/>
        <w:overflowPunct/>
        <w:topLinePunct w:val="0"/>
        <w:autoSpaceDE/>
        <w:autoSpaceDN/>
        <w:bidi w:val="0"/>
        <w:adjustRightInd/>
        <w:snapToGrid/>
        <w:spacing w:line="480" w:lineRule="auto"/>
        <w:ind w:left="425" w:leftChars="0" w:hanging="425" w:firstLineChars="0"/>
        <w:jc w:val="both"/>
        <w:textAlignment w:val="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Beilock, S. L., &amp; Maloney, E. A. (2015)</w:t>
      </w:r>
      <w:r>
        <w:rPr>
          <w:rFonts w:hint="eastAsia" w:ascii="Times New Roman" w:hAnsi="Times New Roman" w:cs="Times New Roman"/>
          <w:b w:val="0"/>
          <w:bCs w:val="0"/>
          <w:sz w:val="24"/>
          <w:szCs w:val="24"/>
          <w:lang w:val="en-US" w:eastAsia="zh-CN"/>
        </w:rPr>
        <w:t xml:space="preserve"> </w:t>
      </w:r>
      <w:r>
        <w:rPr>
          <w:rFonts w:hint="default" w:ascii="Times New Roman" w:hAnsi="Times New Roman" w:cs="Times New Roman"/>
          <w:b w:val="0"/>
          <w:bCs w:val="0"/>
          <w:sz w:val="24"/>
          <w:szCs w:val="24"/>
          <w:lang w:val="en-US" w:eastAsia="zh-CN"/>
        </w:rPr>
        <w:t>‘Math anxiety: A factor in math achievement not to be ignored’</w:t>
      </w:r>
      <w:r>
        <w:rPr>
          <w:rFonts w:hint="eastAsia" w:ascii="Times New Roman" w:hAnsi="Times New Roman" w:cs="Times New Roman"/>
          <w:b w:val="0"/>
          <w:bCs w:val="0"/>
          <w:sz w:val="24"/>
          <w:szCs w:val="24"/>
          <w:lang w:val="en-US" w:eastAsia="zh-CN"/>
        </w:rPr>
        <w:t xml:space="preserve">, </w:t>
      </w:r>
      <w:r>
        <w:rPr>
          <w:rFonts w:hint="default" w:ascii="Times New Roman" w:hAnsi="Times New Roman" w:cs="Times New Roman"/>
          <w:b w:val="0"/>
          <w:bCs w:val="0"/>
          <w:i/>
          <w:iCs/>
          <w:sz w:val="24"/>
          <w:szCs w:val="24"/>
          <w:lang w:val="en-US" w:eastAsia="zh-CN"/>
        </w:rPr>
        <w:t>Policy Insights from the Behavioral and Brain Sciences</w:t>
      </w:r>
      <w:r>
        <w:rPr>
          <w:rFonts w:hint="default" w:ascii="Times New Roman" w:hAnsi="Times New Roman" w:cs="Times New Roman"/>
          <w:b w:val="0"/>
          <w:bCs w:val="0"/>
          <w:sz w:val="24"/>
          <w:szCs w:val="24"/>
          <w:lang w:val="en-US" w:eastAsia="zh-CN"/>
        </w:rPr>
        <w:t>, 2(1), 4-12.</w:t>
      </w:r>
    </w:p>
    <w:p w14:paraId="1827260D">
      <w:pPr>
        <w:keepNext w:val="0"/>
        <w:keepLines w:val="0"/>
        <w:pageBreakBefore w:val="0"/>
        <w:widowControl w:val="0"/>
        <w:numPr>
          <w:ilvl w:val="0"/>
          <w:numId w:val="2"/>
        </w:numPr>
        <w:kinsoku/>
        <w:wordWrap/>
        <w:overflowPunct/>
        <w:topLinePunct w:val="0"/>
        <w:autoSpaceDE/>
        <w:autoSpaceDN/>
        <w:bidi w:val="0"/>
        <w:adjustRightInd/>
        <w:snapToGrid/>
        <w:spacing w:line="480" w:lineRule="auto"/>
        <w:ind w:left="425" w:leftChars="0" w:hanging="425" w:firstLineChars="0"/>
        <w:jc w:val="both"/>
        <w:textAlignment w:val="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Burnette, J. L., Billingsley, J., Banks, G. C., Knouse, L. E., Hoyt, C. L., Pollack, J. M., &amp; Simon, S. (2023)</w:t>
      </w:r>
      <w:r>
        <w:rPr>
          <w:rFonts w:hint="eastAsia" w:ascii="Times New Roman" w:hAnsi="Times New Roman" w:cs="Times New Roman"/>
          <w:b w:val="0"/>
          <w:bCs w:val="0"/>
          <w:sz w:val="24"/>
          <w:szCs w:val="24"/>
          <w:lang w:val="en-US" w:eastAsia="zh-CN"/>
        </w:rPr>
        <w:t xml:space="preserve"> </w:t>
      </w:r>
      <w:r>
        <w:rPr>
          <w:rFonts w:hint="default" w:ascii="Times New Roman" w:hAnsi="Times New Roman" w:cs="Times New Roman"/>
          <w:b w:val="0"/>
          <w:bCs w:val="0"/>
          <w:sz w:val="24"/>
          <w:szCs w:val="24"/>
          <w:lang w:val="en-US" w:eastAsia="zh-CN"/>
        </w:rPr>
        <w:t>‘A systematic review and meta-analysis of growth mindset interventions: For whom, how, and why might such interventions work?’</w:t>
      </w:r>
      <w:r>
        <w:rPr>
          <w:rFonts w:hint="eastAsia" w:ascii="Times New Roman" w:hAnsi="Times New Roman" w:cs="Times New Roman"/>
          <w:b w:val="0"/>
          <w:bCs w:val="0"/>
          <w:sz w:val="24"/>
          <w:szCs w:val="24"/>
          <w:lang w:val="en-US" w:eastAsia="zh-CN"/>
        </w:rPr>
        <w:t xml:space="preserve">, </w:t>
      </w:r>
      <w:r>
        <w:rPr>
          <w:rFonts w:hint="default" w:ascii="Times New Roman" w:hAnsi="Times New Roman" w:cs="Times New Roman"/>
          <w:b w:val="0"/>
          <w:bCs w:val="0"/>
          <w:i/>
          <w:iCs/>
          <w:sz w:val="24"/>
          <w:szCs w:val="24"/>
          <w:lang w:val="en-US" w:eastAsia="zh-CN"/>
        </w:rPr>
        <w:t>Psychological bulletin</w:t>
      </w:r>
      <w:r>
        <w:rPr>
          <w:rFonts w:hint="default" w:ascii="Times New Roman" w:hAnsi="Times New Roman" w:cs="Times New Roman"/>
          <w:b w:val="0"/>
          <w:bCs w:val="0"/>
          <w:sz w:val="24"/>
          <w:szCs w:val="24"/>
          <w:lang w:val="en-US" w:eastAsia="zh-CN"/>
        </w:rPr>
        <w:t>, 149(3-4), 174.</w:t>
      </w:r>
    </w:p>
    <w:p w14:paraId="2EF3CCB1">
      <w:pPr>
        <w:keepNext w:val="0"/>
        <w:keepLines w:val="0"/>
        <w:pageBreakBefore w:val="0"/>
        <w:widowControl w:val="0"/>
        <w:numPr>
          <w:ilvl w:val="0"/>
          <w:numId w:val="2"/>
        </w:numPr>
        <w:kinsoku/>
        <w:wordWrap/>
        <w:overflowPunct/>
        <w:topLinePunct w:val="0"/>
        <w:autoSpaceDE/>
        <w:autoSpaceDN/>
        <w:bidi w:val="0"/>
        <w:adjustRightInd/>
        <w:snapToGrid/>
        <w:spacing w:line="480" w:lineRule="auto"/>
        <w:ind w:left="425" w:leftChars="0" w:hanging="425" w:firstLineChars="0"/>
        <w:jc w:val="both"/>
        <w:textAlignment w:val="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Burnette, J. L., O'boyle, E. H., VanEpps, E. M., Pollack, J. M., &amp; Finkel, E. J. (2013)</w:t>
      </w:r>
      <w:r>
        <w:rPr>
          <w:rFonts w:hint="eastAsia" w:ascii="Times New Roman" w:hAnsi="Times New Roman" w:cs="Times New Roman"/>
          <w:b w:val="0"/>
          <w:bCs w:val="0"/>
          <w:sz w:val="24"/>
          <w:szCs w:val="24"/>
          <w:lang w:val="en-US" w:eastAsia="zh-CN"/>
        </w:rPr>
        <w:t xml:space="preserve"> </w:t>
      </w:r>
      <w:r>
        <w:rPr>
          <w:rFonts w:hint="default" w:ascii="Times New Roman" w:hAnsi="Times New Roman" w:cs="Times New Roman"/>
          <w:b w:val="0"/>
          <w:bCs w:val="0"/>
          <w:sz w:val="24"/>
          <w:szCs w:val="24"/>
          <w:lang w:val="en-US" w:eastAsia="zh-CN"/>
        </w:rPr>
        <w:t>‘Mind-sets matter: a meta-analytic review of implicit theories and self-regulation’</w:t>
      </w:r>
      <w:r>
        <w:rPr>
          <w:rFonts w:hint="eastAsia" w:ascii="Times New Roman" w:hAnsi="Times New Roman" w:cs="Times New Roman"/>
          <w:b w:val="0"/>
          <w:bCs w:val="0"/>
          <w:sz w:val="24"/>
          <w:szCs w:val="24"/>
          <w:lang w:val="en-US" w:eastAsia="zh-CN"/>
        </w:rPr>
        <w:t xml:space="preserve">, </w:t>
      </w:r>
      <w:r>
        <w:rPr>
          <w:rFonts w:hint="default" w:ascii="Times New Roman" w:hAnsi="Times New Roman" w:cs="Times New Roman"/>
          <w:b w:val="0"/>
          <w:bCs w:val="0"/>
          <w:i/>
          <w:iCs/>
          <w:sz w:val="24"/>
          <w:szCs w:val="24"/>
          <w:lang w:val="en-US" w:eastAsia="zh-CN"/>
        </w:rPr>
        <w:t>Psychological bulletin</w:t>
      </w:r>
      <w:r>
        <w:rPr>
          <w:rFonts w:hint="default" w:ascii="Times New Roman" w:hAnsi="Times New Roman" w:cs="Times New Roman"/>
          <w:b w:val="0"/>
          <w:bCs w:val="0"/>
          <w:sz w:val="24"/>
          <w:szCs w:val="24"/>
          <w:lang w:val="en-US" w:eastAsia="zh-CN"/>
        </w:rPr>
        <w:t>, 139(3), 655.</w:t>
      </w:r>
    </w:p>
    <w:p w14:paraId="25FEB392">
      <w:pPr>
        <w:keepNext w:val="0"/>
        <w:keepLines w:val="0"/>
        <w:pageBreakBefore w:val="0"/>
        <w:widowControl w:val="0"/>
        <w:numPr>
          <w:ilvl w:val="0"/>
          <w:numId w:val="2"/>
        </w:numPr>
        <w:kinsoku/>
        <w:wordWrap/>
        <w:overflowPunct/>
        <w:topLinePunct w:val="0"/>
        <w:autoSpaceDE/>
        <w:autoSpaceDN/>
        <w:bidi w:val="0"/>
        <w:adjustRightInd/>
        <w:snapToGrid/>
        <w:spacing w:line="480" w:lineRule="auto"/>
        <w:ind w:left="425" w:leftChars="0" w:hanging="425" w:firstLineChars="0"/>
        <w:jc w:val="both"/>
        <w:textAlignment w:val="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Chen, H., Xu, Y., Wang, D., Zhang, X., Ma, J., &amp; Tang, S. (2024)</w:t>
      </w:r>
      <w:r>
        <w:rPr>
          <w:rFonts w:hint="eastAsia" w:ascii="Times New Roman" w:hAnsi="Times New Roman" w:cs="Times New Roman"/>
          <w:b w:val="0"/>
          <w:bCs w:val="0"/>
          <w:sz w:val="24"/>
          <w:szCs w:val="24"/>
          <w:lang w:val="en-US" w:eastAsia="zh-CN"/>
        </w:rPr>
        <w:t xml:space="preserve"> </w:t>
      </w:r>
      <w:r>
        <w:rPr>
          <w:rFonts w:hint="default" w:ascii="Times New Roman" w:hAnsi="Times New Roman" w:cs="Times New Roman"/>
          <w:b w:val="0"/>
          <w:bCs w:val="0"/>
          <w:sz w:val="24"/>
          <w:szCs w:val="24"/>
          <w:lang w:val="en-US" w:eastAsia="zh-CN"/>
        </w:rPr>
        <w:t>‘The mediating role of self-efficacy between high school students’ perceived teacher support and mathematics feedback literacy’</w:t>
      </w:r>
      <w:r>
        <w:rPr>
          <w:rFonts w:hint="eastAsia" w:ascii="Times New Roman" w:hAnsi="Times New Roman" w:cs="Times New Roman"/>
          <w:b w:val="0"/>
          <w:bCs w:val="0"/>
          <w:sz w:val="24"/>
          <w:szCs w:val="24"/>
          <w:lang w:val="en-US" w:eastAsia="zh-CN"/>
        </w:rPr>
        <w:t xml:space="preserve">, </w:t>
      </w:r>
      <w:r>
        <w:rPr>
          <w:rFonts w:hint="default" w:ascii="Times New Roman" w:hAnsi="Times New Roman" w:cs="Times New Roman"/>
          <w:b w:val="0"/>
          <w:bCs w:val="0"/>
          <w:i/>
          <w:iCs/>
          <w:sz w:val="24"/>
          <w:szCs w:val="24"/>
          <w:lang w:val="en-US" w:eastAsia="zh-CN"/>
        </w:rPr>
        <w:t>Learning and Motivation</w:t>
      </w:r>
      <w:r>
        <w:rPr>
          <w:rFonts w:hint="default" w:ascii="Times New Roman" w:hAnsi="Times New Roman" w:cs="Times New Roman"/>
          <w:b w:val="0"/>
          <w:bCs w:val="0"/>
          <w:sz w:val="24"/>
          <w:szCs w:val="24"/>
          <w:lang w:val="en-US" w:eastAsia="zh-CN"/>
        </w:rPr>
        <w:t>, 88, 102065.</w:t>
      </w:r>
    </w:p>
    <w:p w14:paraId="39F914AF">
      <w:pPr>
        <w:keepNext w:val="0"/>
        <w:keepLines w:val="0"/>
        <w:pageBreakBefore w:val="0"/>
        <w:widowControl w:val="0"/>
        <w:numPr>
          <w:ilvl w:val="0"/>
          <w:numId w:val="2"/>
        </w:numPr>
        <w:kinsoku/>
        <w:wordWrap/>
        <w:overflowPunct/>
        <w:topLinePunct w:val="0"/>
        <w:autoSpaceDE/>
        <w:autoSpaceDN/>
        <w:bidi w:val="0"/>
        <w:adjustRightInd/>
        <w:snapToGrid/>
        <w:spacing w:line="480" w:lineRule="auto"/>
        <w:ind w:left="425" w:leftChars="0" w:hanging="425" w:firstLineChars="0"/>
        <w:jc w:val="both"/>
        <w:textAlignment w:val="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Chen, L., &amp; Lin, S. (2024)</w:t>
      </w:r>
      <w:r>
        <w:rPr>
          <w:rFonts w:hint="eastAsia" w:ascii="Times New Roman" w:hAnsi="Times New Roman" w:cs="Times New Roman"/>
          <w:b w:val="0"/>
          <w:bCs w:val="0"/>
          <w:sz w:val="24"/>
          <w:szCs w:val="24"/>
          <w:lang w:val="en-US" w:eastAsia="zh-CN"/>
        </w:rPr>
        <w:t xml:space="preserve"> </w:t>
      </w:r>
      <w:r>
        <w:rPr>
          <w:rFonts w:hint="default" w:ascii="Times New Roman" w:hAnsi="Times New Roman" w:cs="Times New Roman"/>
          <w:b w:val="0"/>
          <w:bCs w:val="0"/>
          <w:sz w:val="24"/>
          <w:szCs w:val="24"/>
          <w:lang w:val="en-US" w:eastAsia="zh-CN"/>
        </w:rPr>
        <w:t>‘Examining China's "Double Reduction" Policy: Promises and Challenges for Balanced and Quality Development in Compulsory Education’</w:t>
      </w:r>
      <w:r>
        <w:rPr>
          <w:rFonts w:hint="eastAsia" w:ascii="Times New Roman" w:hAnsi="Times New Roman" w:cs="Times New Roman"/>
          <w:b w:val="0"/>
          <w:bCs w:val="0"/>
          <w:sz w:val="24"/>
          <w:szCs w:val="24"/>
          <w:lang w:val="en-US" w:eastAsia="zh-CN"/>
        </w:rPr>
        <w:t>,</w:t>
      </w:r>
      <w:r>
        <w:rPr>
          <w:rFonts w:hint="default" w:ascii="Times New Roman" w:hAnsi="Times New Roman" w:cs="Times New Roman"/>
          <w:b w:val="0"/>
          <w:bCs w:val="0"/>
          <w:sz w:val="24"/>
          <w:szCs w:val="24"/>
          <w:lang w:val="en-US" w:eastAsia="zh-CN"/>
        </w:rPr>
        <w:t xml:space="preserve"> </w:t>
      </w:r>
      <w:r>
        <w:rPr>
          <w:rFonts w:hint="default" w:ascii="Times New Roman" w:hAnsi="Times New Roman" w:cs="Times New Roman"/>
          <w:b w:val="0"/>
          <w:bCs w:val="0"/>
          <w:i/>
          <w:iCs/>
          <w:sz w:val="24"/>
          <w:szCs w:val="24"/>
          <w:lang w:val="en-US" w:eastAsia="zh-CN"/>
        </w:rPr>
        <w:t>ECNU Review of Education</w:t>
      </w:r>
      <w:r>
        <w:rPr>
          <w:rFonts w:hint="default" w:ascii="Times New Roman" w:hAnsi="Times New Roman" w:cs="Times New Roman"/>
          <w:b w:val="0"/>
          <w:bCs w:val="0"/>
          <w:sz w:val="24"/>
          <w:szCs w:val="24"/>
          <w:lang w:val="en-US" w:eastAsia="zh-CN"/>
        </w:rPr>
        <w:t>, 20965311241265123.</w:t>
      </w:r>
    </w:p>
    <w:p w14:paraId="6D2E82FE">
      <w:pPr>
        <w:keepNext w:val="0"/>
        <w:keepLines w:val="0"/>
        <w:pageBreakBefore w:val="0"/>
        <w:widowControl w:val="0"/>
        <w:numPr>
          <w:ilvl w:val="0"/>
          <w:numId w:val="2"/>
        </w:numPr>
        <w:kinsoku/>
        <w:wordWrap/>
        <w:overflowPunct/>
        <w:topLinePunct w:val="0"/>
        <w:autoSpaceDE/>
        <w:autoSpaceDN/>
        <w:bidi w:val="0"/>
        <w:adjustRightInd/>
        <w:snapToGrid/>
        <w:spacing w:line="480" w:lineRule="auto"/>
        <w:ind w:left="425" w:leftChars="0" w:hanging="425" w:firstLineChars="0"/>
        <w:jc w:val="both"/>
        <w:textAlignment w:val="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Dong, L., Jia, X., &amp; Fei, Y. (2023)</w:t>
      </w:r>
      <w:r>
        <w:rPr>
          <w:rFonts w:hint="eastAsia" w:ascii="Times New Roman" w:hAnsi="Times New Roman" w:cs="Times New Roman"/>
          <w:b w:val="0"/>
          <w:bCs w:val="0"/>
          <w:sz w:val="24"/>
          <w:szCs w:val="24"/>
          <w:lang w:val="en-US" w:eastAsia="zh-CN"/>
        </w:rPr>
        <w:t xml:space="preserve"> </w:t>
      </w:r>
      <w:r>
        <w:rPr>
          <w:rFonts w:hint="default" w:ascii="Times New Roman" w:hAnsi="Times New Roman" w:cs="Times New Roman"/>
          <w:b w:val="0"/>
          <w:bCs w:val="0"/>
          <w:sz w:val="24"/>
          <w:szCs w:val="24"/>
          <w:lang w:val="en-US" w:eastAsia="zh-CN"/>
        </w:rPr>
        <w:t>‘How growth mindset influences mathematics achievements: A study of Chinese middle school students’</w:t>
      </w:r>
      <w:r>
        <w:rPr>
          <w:rFonts w:hint="eastAsia" w:ascii="Times New Roman" w:hAnsi="Times New Roman" w:cs="Times New Roman"/>
          <w:b w:val="0"/>
          <w:bCs w:val="0"/>
          <w:sz w:val="24"/>
          <w:szCs w:val="24"/>
          <w:lang w:val="en-US" w:eastAsia="zh-CN"/>
        </w:rPr>
        <w:t xml:space="preserve">, </w:t>
      </w:r>
      <w:r>
        <w:rPr>
          <w:rFonts w:hint="default" w:ascii="Times New Roman" w:hAnsi="Times New Roman" w:cs="Times New Roman"/>
          <w:b w:val="0"/>
          <w:bCs w:val="0"/>
          <w:i/>
          <w:iCs/>
          <w:sz w:val="24"/>
          <w:szCs w:val="24"/>
          <w:lang w:val="en-US" w:eastAsia="zh-CN"/>
        </w:rPr>
        <w:t>Frontiers in psychology</w:t>
      </w:r>
      <w:r>
        <w:rPr>
          <w:rFonts w:hint="default" w:ascii="Times New Roman" w:hAnsi="Times New Roman" w:cs="Times New Roman"/>
          <w:b w:val="0"/>
          <w:bCs w:val="0"/>
          <w:sz w:val="24"/>
          <w:szCs w:val="24"/>
          <w:lang w:val="en-US" w:eastAsia="zh-CN"/>
        </w:rPr>
        <w:t>, 14, 1148754.</w:t>
      </w:r>
    </w:p>
    <w:p w14:paraId="75417F54">
      <w:pPr>
        <w:keepNext w:val="0"/>
        <w:keepLines w:val="0"/>
        <w:pageBreakBefore w:val="0"/>
        <w:widowControl w:val="0"/>
        <w:numPr>
          <w:ilvl w:val="0"/>
          <w:numId w:val="2"/>
        </w:numPr>
        <w:kinsoku/>
        <w:wordWrap/>
        <w:overflowPunct/>
        <w:topLinePunct w:val="0"/>
        <w:autoSpaceDE/>
        <w:autoSpaceDN/>
        <w:bidi w:val="0"/>
        <w:adjustRightInd/>
        <w:snapToGrid/>
        <w:spacing w:line="480" w:lineRule="auto"/>
        <w:ind w:left="425" w:leftChars="0" w:hanging="425" w:firstLineChars="0"/>
        <w:jc w:val="both"/>
        <w:textAlignment w:val="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Dweck, C. S. (2006)</w:t>
      </w:r>
      <w:r>
        <w:rPr>
          <w:rFonts w:hint="eastAsia" w:ascii="Times New Roman" w:hAnsi="Times New Roman" w:cs="Times New Roman"/>
          <w:b w:val="0"/>
          <w:bCs w:val="0"/>
          <w:sz w:val="24"/>
          <w:szCs w:val="24"/>
          <w:lang w:val="en-US" w:eastAsia="zh-CN"/>
        </w:rPr>
        <w:t xml:space="preserve"> </w:t>
      </w:r>
      <w:r>
        <w:rPr>
          <w:rFonts w:hint="default" w:ascii="Times New Roman" w:hAnsi="Times New Roman" w:cs="Times New Roman"/>
          <w:b w:val="0"/>
          <w:bCs w:val="0"/>
          <w:sz w:val="24"/>
          <w:szCs w:val="24"/>
          <w:lang w:val="en-US" w:eastAsia="zh-CN"/>
        </w:rPr>
        <w:t>‘Mindset: The new psychology of success’</w:t>
      </w:r>
      <w:r>
        <w:rPr>
          <w:rFonts w:hint="eastAsia" w:ascii="Times New Roman" w:hAnsi="Times New Roman" w:cs="Times New Roman"/>
          <w:b w:val="0"/>
          <w:bCs w:val="0"/>
          <w:sz w:val="24"/>
          <w:szCs w:val="24"/>
          <w:lang w:val="en-US" w:eastAsia="zh-CN"/>
        </w:rPr>
        <w:t xml:space="preserve">, </w:t>
      </w:r>
      <w:r>
        <w:rPr>
          <w:rFonts w:hint="default" w:ascii="Times New Roman" w:hAnsi="Times New Roman" w:cs="Times New Roman"/>
          <w:b w:val="0"/>
          <w:bCs w:val="0"/>
          <w:i/>
          <w:iCs/>
          <w:sz w:val="24"/>
          <w:szCs w:val="24"/>
          <w:lang w:val="en-US" w:eastAsia="zh-CN"/>
        </w:rPr>
        <w:t>Random house</w:t>
      </w:r>
      <w:r>
        <w:rPr>
          <w:rFonts w:hint="default" w:ascii="Times New Roman" w:hAnsi="Times New Roman" w:cs="Times New Roman"/>
          <w:b w:val="0"/>
          <w:bCs w:val="0"/>
          <w:sz w:val="24"/>
          <w:szCs w:val="24"/>
          <w:lang w:val="en-US" w:eastAsia="zh-CN"/>
        </w:rPr>
        <w:t>.</w:t>
      </w:r>
    </w:p>
    <w:p w14:paraId="42E8E631">
      <w:pPr>
        <w:keepNext w:val="0"/>
        <w:keepLines w:val="0"/>
        <w:pageBreakBefore w:val="0"/>
        <w:widowControl w:val="0"/>
        <w:numPr>
          <w:ilvl w:val="0"/>
          <w:numId w:val="2"/>
        </w:numPr>
        <w:kinsoku/>
        <w:wordWrap/>
        <w:overflowPunct/>
        <w:topLinePunct w:val="0"/>
        <w:autoSpaceDE/>
        <w:autoSpaceDN/>
        <w:bidi w:val="0"/>
        <w:adjustRightInd/>
        <w:snapToGrid/>
        <w:spacing w:line="480" w:lineRule="auto"/>
        <w:ind w:left="425" w:leftChars="0" w:hanging="425" w:firstLineChars="0"/>
        <w:jc w:val="both"/>
        <w:textAlignment w:val="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Dweck, C. (2015)</w:t>
      </w:r>
      <w:r>
        <w:rPr>
          <w:rFonts w:hint="eastAsia" w:ascii="Times New Roman" w:hAnsi="Times New Roman" w:cs="Times New Roman"/>
          <w:b w:val="0"/>
          <w:bCs w:val="0"/>
          <w:sz w:val="24"/>
          <w:szCs w:val="24"/>
          <w:lang w:val="en-US" w:eastAsia="zh-CN"/>
        </w:rPr>
        <w:t xml:space="preserve"> </w:t>
      </w:r>
      <w:r>
        <w:rPr>
          <w:rFonts w:hint="default" w:ascii="Times New Roman" w:hAnsi="Times New Roman" w:cs="Times New Roman"/>
          <w:b w:val="0"/>
          <w:bCs w:val="0"/>
          <w:sz w:val="24"/>
          <w:szCs w:val="24"/>
          <w:lang w:val="en-US" w:eastAsia="zh-CN"/>
        </w:rPr>
        <w:t>‘Carol Dweck revisits the growth mindset’</w:t>
      </w:r>
      <w:r>
        <w:rPr>
          <w:rFonts w:hint="eastAsia" w:ascii="Times New Roman" w:hAnsi="Times New Roman" w:cs="Times New Roman"/>
          <w:b w:val="0"/>
          <w:bCs w:val="0"/>
          <w:sz w:val="24"/>
          <w:szCs w:val="24"/>
          <w:lang w:val="en-US" w:eastAsia="zh-CN"/>
        </w:rPr>
        <w:t xml:space="preserve">, </w:t>
      </w:r>
      <w:r>
        <w:rPr>
          <w:rFonts w:hint="default" w:ascii="Times New Roman" w:hAnsi="Times New Roman" w:cs="Times New Roman"/>
          <w:b w:val="0"/>
          <w:bCs w:val="0"/>
          <w:i/>
          <w:iCs/>
          <w:sz w:val="24"/>
          <w:szCs w:val="24"/>
          <w:lang w:val="en-US" w:eastAsia="zh-CN"/>
        </w:rPr>
        <w:t>Education week</w:t>
      </w:r>
      <w:r>
        <w:rPr>
          <w:rFonts w:hint="default" w:ascii="Times New Roman" w:hAnsi="Times New Roman" w:cs="Times New Roman"/>
          <w:b w:val="0"/>
          <w:bCs w:val="0"/>
          <w:sz w:val="24"/>
          <w:szCs w:val="24"/>
          <w:lang w:val="en-US" w:eastAsia="zh-CN"/>
        </w:rPr>
        <w:t>, 35(5), 20-24.</w:t>
      </w:r>
    </w:p>
    <w:p w14:paraId="4FCCE43F">
      <w:pPr>
        <w:keepNext w:val="0"/>
        <w:keepLines w:val="0"/>
        <w:pageBreakBefore w:val="0"/>
        <w:widowControl w:val="0"/>
        <w:numPr>
          <w:ilvl w:val="0"/>
          <w:numId w:val="2"/>
        </w:numPr>
        <w:kinsoku/>
        <w:wordWrap/>
        <w:overflowPunct/>
        <w:topLinePunct w:val="0"/>
        <w:autoSpaceDE/>
        <w:autoSpaceDN/>
        <w:bidi w:val="0"/>
        <w:adjustRightInd/>
        <w:snapToGrid/>
        <w:spacing w:line="480" w:lineRule="auto"/>
        <w:ind w:left="425" w:leftChars="0" w:hanging="425" w:firstLineChars="0"/>
        <w:jc w:val="both"/>
        <w:textAlignment w:val="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Guo, Y. (2022, February)</w:t>
      </w:r>
      <w:r>
        <w:rPr>
          <w:rFonts w:hint="eastAsia" w:ascii="Times New Roman" w:hAnsi="Times New Roman" w:cs="Times New Roman"/>
          <w:b w:val="0"/>
          <w:bCs w:val="0"/>
          <w:sz w:val="24"/>
          <w:szCs w:val="24"/>
          <w:lang w:val="en-US" w:eastAsia="zh-CN"/>
        </w:rPr>
        <w:t xml:space="preserve"> </w:t>
      </w:r>
      <w:r>
        <w:rPr>
          <w:rFonts w:hint="default" w:ascii="Times New Roman" w:hAnsi="Times New Roman" w:cs="Times New Roman"/>
          <w:b w:val="0"/>
          <w:bCs w:val="0"/>
          <w:sz w:val="24"/>
          <w:szCs w:val="24"/>
          <w:lang w:val="en-US" w:eastAsia="zh-CN"/>
        </w:rPr>
        <w:t>‘The current impact of the double reduction policy’</w:t>
      </w:r>
      <w:r>
        <w:rPr>
          <w:rFonts w:hint="eastAsia" w:ascii="Times New Roman" w:hAnsi="Times New Roman" w:cs="Times New Roman"/>
          <w:b w:val="0"/>
          <w:bCs w:val="0"/>
          <w:sz w:val="24"/>
          <w:szCs w:val="24"/>
          <w:lang w:val="en-US" w:eastAsia="zh-CN"/>
        </w:rPr>
        <w:t xml:space="preserve">, </w:t>
      </w:r>
      <w:r>
        <w:rPr>
          <w:rFonts w:hint="default" w:ascii="Times New Roman" w:hAnsi="Times New Roman" w:cs="Times New Roman"/>
          <w:b w:val="0"/>
          <w:bCs w:val="0"/>
          <w:i/>
          <w:iCs/>
          <w:sz w:val="24"/>
          <w:szCs w:val="24"/>
          <w:lang w:val="en-US" w:eastAsia="zh-CN"/>
        </w:rPr>
        <w:t>In 2021 International Conference on Education, Language and Art</w:t>
      </w:r>
      <w:r>
        <w:rPr>
          <w:rFonts w:hint="default" w:ascii="Times New Roman" w:hAnsi="Times New Roman" w:cs="Times New Roman"/>
          <w:b w:val="0"/>
          <w:bCs w:val="0"/>
          <w:sz w:val="24"/>
          <w:szCs w:val="24"/>
          <w:lang w:val="en-US" w:eastAsia="zh-CN"/>
        </w:rPr>
        <w:t xml:space="preserve"> (ICELA 2021) (pp. 147-152). Atlantis Press.</w:t>
      </w:r>
    </w:p>
    <w:p w14:paraId="30FEB84F">
      <w:pPr>
        <w:keepNext w:val="0"/>
        <w:keepLines w:val="0"/>
        <w:pageBreakBefore w:val="0"/>
        <w:widowControl w:val="0"/>
        <w:numPr>
          <w:ilvl w:val="0"/>
          <w:numId w:val="2"/>
        </w:numPr>
        <w:kinsoku/>
        <w:wordWrap/>
        <w:overflowPunct/>
        <w:topLinePunct w:val="0"/>
        <w:autoSpaceDE/>
        <w:autoSpaceDN/>
        <w:bidi w:val="0"/>
        <w:adjustRightInd/>
        <w:snapToGrid/>
        <w:spacing w:line="480" w:lineRule="auto"/>
        <w:ind w:left="425" w:leftChars="0" w:hanging="425" w:firstLineChars="0"/>
        <w:jc w:val="both"/>
        <w:textAlignment w:val="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Gunderson, E. A., Ramirez, G., Levine, S. C., &amp; Beilock, S. L. (2012)</w:t>
      </w:r>
      <w:r>
        <w:rPr>
          <w:rFonts w:hint="eastAsia" w:ascii="Times New Roman" w:hAnsi="Times New Roman" w:cs="Times New Roman"/>
          <w:b w:val="0"/>
          <w:bCs w:val="0"/>
          <w:sz w:val="24"/>
          <w:szCs w:val="24"/>
          <w:lang w:val="en-US" w:eastAsia="zh-CN"/>
        </w:rPr>
        <w:t xml:space="preserve"> </w:t>
      </w:r>
      <w:r>
        <w:rPr>
          <w:rFonts w:hint="default" w:ascii="Times New Roman" w:hAnsi="Times New Roman" w:cs="Times New Roman"/>
          <w:b w:val="0"/>
          <w:bCs w:val="0"/>
          <w:sz w:val="24"/>
          <w:szCs w:val="24"/>
          <w:lang w:val="en-US" w:eastAsia="zh-CN"/>
        </w:rPr>
        <w:t>‘The role of parents and teachers in the development of gender-related math attitudes’</w:t>
      </w:r>
      <w:r>
        <w:rPr>
          <w:rFonts w:hint="eastAsia" w:ascii="Times New Roman" w:hAnsi="Times New Roman" w:cs="Times New Roman"/>
          <w:b w:val="0"/>
          <w:bCs w:val="0"/>
          <w:sz w:val="24"/>
          <w:szCs w:val="24"/>
          <w:lang w:val="en-US" w:eastAsia="zh-CN"/>
        </w:rPr>
        <w:t>,</w:t>
      </w:r>
      <w:r>
        <w:rPr>
          <w:rFonts w:hint="eastAsia" w:ascii="Times New Roman" w:hAnsi="Times New Roman" w:cs="Times New Roman"/>
          <w:b w:val="0"/>
          <w:bCs w:val="0"/>
          <w:i/>
          <w:iCs/>
          <w:sz w:val="24"/>
          <w:szCs w:val="24"/>
          <w:lang w:val="en-US" w:eastAsia="zh-CN"/>
        </w:rPr>
        <w:t xml:space="preserve"> </w:t>
      </w:r>
      <w:r>
        <w:rPr>
          <w:rFonts w:hint="default" w:ascii="Times New Roman" w:hAnsi="Times New Roman" w:cs="Times New Roman"/>
          <w:b w:val="0"/>
          <w:bCs w:val="0"/>
          <w:i/>
          <w:iCs/>
          <w:sz w:val="24"/>
          <w:szCs w:val="24"/>
          <w:lang w:val="en-US" w:eastAsia="zh-CN"/>
        </w:rPr>
        <w:t>Sex roles</w:t>
      </w:r>
      <w:r>
        <w:rPr>
          <w:rFonts w:hint="default" w:ascii="Times New Roman" w:hAnsi="Times New Roman" w:cs="Times New Roman"/>
          <w:b w:val="0"/>
          <w:bCs w:val="0"/>
          <w:sz w:val="24"/>
          <w:szCs w:val="24"/>
          <w:lang w:val="en-US" w:eastAsia="zh-CN"/>
        </w:rPr>
        <w:t>, 66, 153-166.</w:t>
      </w:r>
    </w:p>
    <w:p w14:paraId="5EB6286C">
      <w:pPr>
        <w:keepNext w:val="0"/>
        <w:keepLines w:val="0"/>
        <w:pageBreakBefore w:val="0"/>
        <w:widowControl w:val="0"/>
        <w:numPr>
          <w:ilvl w:val="0"/>
          <w:numId w:val="2"/>
        </w:numPr>
        <w:kinsoku/>
        <w:wordWrap/>
        <w:overflowPunct/>
        <w:topLinePunct w:val="0"/>
        <w:autoSpaceDE/>
        <w:autoSpaceDN/>
        <w:bidi w:val="0"/>
        <w:adjustRightInd/>
        <w:snapToGrid/>
        <w:spacing w:line="480" w:lineRule="auto"/>
        <w:ind w:left="425" w:leftChars="0" w:hanging="425" w:firstLineChars="0"/>
        <w:jc w:val="both"/>
        <w:textAlignment w:val="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Hembree, R. (1990)</w:t>
      </w:r>
      <w:r>
        <w:rPr>
          <w:rFonts w:hint="eastAsia" w:ascii="Times New Roman" w:hAnsi="Times New Roman" w:cs="Times New Roman"/>
          <w:b w:val="0"/>
          <w:bCs w:val="0"/>
          <w:sz w:val="24"/>
          <w:szCs w:val="24"/>
          <w:lang w:val="en-US" w:eastAsia="zh-CN"/>
        </w:rPr>
        <w:t xml:space="preserve"> </w:t>
      </w:r>
      <w:r>
        <w:rPr>
          <w:rFonts w:hint="default" w:ascii="Times New Roman" w:hAnsi="Times New Roman" w:cs="Times New Roman"/>
          <w:b w:val="0"/>
          <w:bCs w:val="0"/>
          <w:sz w:val="24"/>
          <w:szCs w:val="24"/>
          <w:lang w:val="en-US" w:eastAsia="zh-CN"/>
        </w:rPr>
        <w:t>‘The nature, effects, and relief of mathematics anxiety’</w:t>
      </w:r>
      <w:r>
        <w:rPr>
          <w:rFonts w:hint="eastAsia" w:ascii="Times New Roman" w:hAnsi="Times New Roman" w:cs="Times New Roman"/>
          <w:b w:val="0"/>
          <w:bCs w:val="0"/>
          <w:sz w:val="24"/>
          <w:szCs w:val="24"/>
          <w:lang w:val="en-US" w:eastAsia="zh-CN"/>
        </w:rPr>
        <w:t xml:space="preserve">, </w:t>
      </w:r>
      <w:r>
        <w:rPr>
          <w:rFonts w:hint="default" w:ascii="Times New Roman" w:hAnsi="Times New Roman" w:cs="Times New Roman"/>
          <w:b w:val="0"/>
          <w:bCs w:val="0"/>
          <w:i/>
          <w:iCs/>
          <w:sz w:val="24"/>
          <w:szCs w:val="24"/>
          <w:lang w:val="en-US" w:eastAsia="zh-CN"/>
        </w:rPr>
        <w:t>Journal for research in mathematics education</w:t>
      </w:r>
      <w:r>
        <w:rPr>
          <w:rFonts w:hint="default" w:ascii="Times New Roman" w:hAnsi="Times New Roman" w:cs="Times New Roman"/>
          <w:b w:val="0"/>
          <w:bCs w:val="0"/>
          <w:sz w:val="24"/>
          <w:szCs w:val="24"/>
          <w:lang w:val="en-US" w:eastAsia="zh-CN"/>
        </w:rPr>
        <w:t>, 21(1), 33-46.</w:t>
      </w:r>
    </w:p>
    <w:p w14:paraId="0F14ED31">
      <w:pPr>
        <w:keepNext w:val="0"/>
        <w:keepLines w:val="0"/>
        <w:pageBreakBefore w:val="0"/>
        <w:widowControl w:val="0"/>
        <w:numPr>
          <w:ilvl w:val="0"/>
          <w:numId w:val="2"/>
        </w:numPr>
        <w:kinsoku/>
        <w:wordWrap/>
        <w:overflowPunct/>
        <w:topLinePunct w:val="0"/>
        <w:autoSpaceDE/>
        <w:autoSpaceDN/>
        <w:bidi w:val="0"/>
        <w:adjustRightInd/>
        <w:snapToGrid/>
        <w:spacing w:line="480" w:lineRule="auto"/>
        <w:ind w:left="425" w:leftChars="0" w:hanging="425" w:firstLineChars="0"/>
        <w:jc w:val="both"/>
        <w:textAlignment w:val="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Lee, J., &amp; Stankov, L. (2018)</w:t>
      </w:r>
      <w:r>
        <w:rPr>
          <w:rFonts w:hint="eastAsia" w:ascii="Times New Roman" w:hAnsi="Times New Roman" w:cs="Times New Roman"/>
          <w:b w:val="0"/>
          <w:bCs w:val="0"/>
          <w:sz w:val="24"/>
          <w:szCs w:val="24"/>
          <w:lang w:val="en-US" w:eastAsia="zh-CN"/>
        </w:rPr>
        <w:t xml:space="preserve"> </w:t>
      </w:r>
      <w:r>
        <w:rPr>
          <w:rFonts w:hint="default" w:ascii="Times New Roman" w:hAnsi="Times New Roman" w:cs="Times New Roman"/>
          <w:b w:val="0"/>
          <w:bCs w:val="0"/>
          <w:sz w:val="24"/>
          <w:szCs w:val="24"/>
          <w:lang w:val="en-US" w:eastAsia="zh-CN"/>
        </w:rPr>
        <w:t>‘Non-cognitive predictors of academic achievement: Evidence from TIMSS and PISA’</w:t>
      </w:r>
      <w:r>
        <w:rPr>
          <w:rFonts w:hint="eastAsia" w:ascii="Times New Roman" w:hAnsi="Times New Roman" w:cs="Times New Roman"/>
          <w:b w:val="0"/>
          <w:bCs w:val="0"/>
          <w:sz w:val="24"/>
          <w:szCs w:val="24"/>
          <w:lang w:val="en-US" w:eastAsia="zh-CN"/>
        </w:rPr>
        <w:t xml:space="preserve">, </w:t>
      </w:r>
      <w:r>
        <w:rPr>
          <w:rFonts w:hint="default" w:ascii="Times New Roman" w:hAnsi="Times New Roman" w:cs="Times New Roman"/>
          <w:b w:val="0"/>
          <w:bCs w:val="0"/>
          <w:i/>
          <w:iCs/>
          <w:sz w:val="24"/>
          <w:szCs w:val="24"/>
          <w:lang w:val="en-US" w:eastAsia="zh-CN"/>
        </w:rPr>
        <w:t>Learning and Individual Differences</w:t>
      </w:r>
      <w:r>
        <w:rPr>
          <w:rFonts w:hint="default" w:ascii="Times New Roman" w:hAnsi="Times New Roman" w:cs="Times New Roman"/>
          <w:b w:val="0"/>
          <w:bCs w:val="0"/>
          <w:sz w:val="24"/>
          <w:szCs w:val="24"/>
          <w:lang w:val="en-US" w:eastAsia="zh-CN"/>
        </w:rPr>
        <w:t>, 65, 50-64.</w:t>
      </w:r>
    </w:p>
    <w:p w14:paraId="56A2240B">
      <w:pPr>
        <w:keepNext w:val="0"/>
        <w:keepLines w:val="0"/>
        <w:pageBreakBefore w:val="0"/>
        <w:widowControl w:val="0"/>
        <w:numPr>
          <w:ilvl w:val="0"/>
          <w:numId w:val="2"/>
        </w:numPr>
        <w:kinsoku/>
        <w:wordWrap/>
        <w:overflowPunct/>
        <w:topLinePunct w:val="0"/>
        <w:autoSpaceDE/>
        <w:autoSpaceDN/>
        <w:bidi w:val="0"/>
        <w:adjustRightInd/>
        <w:snapToGrid/>
        <w:spacing w:line="480" w:lineRule="auto"/>
        <w:ind w:left="425" w:leftChars="0" w:hanging="425" w:firstLineChars="0"/>
        <w:jc w:val="both"/>
        <w:textAlignment w:val="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Liu, M. (2023)</w:t>
      </w:r>
      <w:r>
        <w:rPr>
          <w:rFonts w:hint="eastAsia" w:ascii="Times New Roman" w:hAnsi="Times New Roman" w:cs="Times New Roman"/>
          <w:b w:val="0"/>
          <w:bCs w:val="0"/>
          <w:sz w:val="24"/>
          <w:szCs w:val="24"/>
          <w:lang w:val="en-US" w:eastAsia="zh-CN"/>
        </w:rPr>
        <w:t xml:space="preserve"> </w:t>
      </w:r>
      <w:r>
        <w:rPr>
          <w:rFonts w:hint="default" w:ascii="Times New Roman" w:hAnsi="Times New Roman" w:cs="Times New Roman"/>
          <w:b w:val="0"/>
          <w:bCs w:val="0"/>
          <w:sz w:val="24"/>
          <w:szCs w:val="24"/>
          <w:lang w:val="en-US" w:eastAsia="zh-CN"/>
        </w:rPr>
        <w:t>‘An overview on the impact of the exam-oriented education in China’</w:t>
      </w:r>
      <w:r>
        <w:rPr>
          <w:rFonts w:hint="eastAsia" w:ascii="Times New Roman" w:hAnsi="Times New Roman" w:cs="Times New Roman"/>
          <w:b w:val="0"/>
          <w:bCs w:val="0"/>
          <w:sz w:val="24"/>
          <w:szCs w:val="24"/>
          <w:lang w:val="en-US" w:eastAsia="zh-CN"/>
        </w:rPr>
        <w:t xml:space="preserve">, </w:t>
      </w:r>
      <w:r>
        <w:rPr>
          <w:rFonts w:hint="default" w:ascii="Times New Roman" w:hAnsi="Times New Roman" w:cs="Times New Roman"/>
          <w:b w:val="0"/>
          <w:bCs w:val="0"/>
          <w:i/>
          <w:iCs/>
          <w:sz w:val="24"/>
          <w:szCs w:val="24"/>
          <w:lang w:val="en-US" w:eastAsia="zh-CN"/>
        </w:rPr>
        <w:t>In SHS Web of Conferences</w:t>
      </w:r>
      <w:r>
        <w:rPr>
          <w:rFonts w:hint="default" w:ascii="Times New Roman" w:hAnsi="Times New Roman" w:cs="Times New Roman"/>
          <w:b w:val="0"/>
          <w:bCs w:val="0"/>
          <w:sz w:val="24"/>
          <w:szCs w:val="24"/>
          <w:lang w:val="en-US" w:eastAsia="zh-CN"/>
        </w:rPr>
        <w:t xml:space="preserve"> (Vol. 180, p. 02036). EDP Sciences.</w:t>
      </w:r>
    </w:p>
    <w:p w14:paraId="534B00C2">
      <w:pPr>
        <w:keepNext w:val="0"/>
        <w:keepLines w:val="0"/>
        <w:pageBreakBefore w:val="0"/>
        <w:widowControl w:val="0"/>
        <w:numPr>
          <w:ilvl w:val="0"/>
          <w:numId w:val="2"/>
        </w:numPr>
        <w:kinsoku/>
        <w:wordWrap/>
        <w:overflowPunct/>
        <w:topLinePunct w:val="0"/>
        <w:autoSpaceDE/>
        <w:autoSpaceDN/>
        <w:bidi w:val="0"/>
        <w:adjustRightInd/>
        <w:snapToGrid/>
        <w:spacing w:line="480" w:lineRule="auto"/>
        <w:ind w:left="425" w:leftChars="0" w:hanging="425" w:firstLineChars="0"/>
        <w:jc w:val="both"/>
        <w:textAlignment w:val="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Maloney, E. A., &amp; Beilock, S. L. (2012)</w:t>
      </w:r>
      <w:r>
        <w:rPr>
          <w:rFonts w:hint="eastAsia" w:ascii="Times New Roman" w:hAnsi="Times New Roman" w:cs="Times New Roman"/>
          <w:b w:val="0"/>
          <w:bCs w:val="0"/>
          <w:sz w:val="24"/>
          <w:szCs w:val="24"/>
          <w:lang w:val="en-US" w:eastAsia="zh-CN"/>
        </w:rPr>
        <w:t xml:space="preserve"> </w:t>
      </w:r>
      <w:r>
        <w:rPr>
          <w:rFonts w:hint="default" w:ascii="Times New Roman" w:hAnsi="Times New Roman" w:cs="Times New Roman"/>
          <w:b w:val="0"/>
          <w:bCs w:val="0"/>
          <w:sz w:val="24"/>
          <w:szCs w:val="24"/>
          <w:lang w:val="en-US" w:eastAsia="zh-CN"/>
        </w:rPr>
        <w:t>‘Math anxiety: Who has it, why it develops, and how to guard against it’</w:t>
      </w:r>
      <w:r>
        <w:rPr>
          <w:rFonts w:hint="eastAsia" w:ascii="Times New Roman" w:hAnsi="Times New Roman" w:cs="Times New Roman"/>
          <w:b w:val="0"/>
          <w:bCs w:val="0"/>
          <w:sz w:val="24"/>
          <w:szCs w:val="24"/>
          <w:lang w:val="en-US" w:eastAsia="zh-CN"/>
        </w:rPr>
        <w:t>,</w:t>
      </w:r>
      <w:r>
        <w:rPr>
          <w:rFonts w:hint="default" w:ascii="Times New Roman" w:hAnsi="Times New Roman" w:cs="Times New Roman"/>
          <w:b w:val="0"/>
          <w:bCs w:val="0"/>
          <w:sz w:val="24"/>
          <w:szCs w:val="24"/>
          <w:lang w:val="en-US" w:eastAsia="zh-CN"/>
        </w:rPr>
        <w:t xml:space="preserve"> </w:t>
      </w:r>
      <w:r>
        <w:rPr>
          <w:rFonts w:hint="default" w:ascii="Times New Roman" w:hAnsi="Times New Roman" w:cs="Times New Roman"/>
          <w:b w:val="0"/>
          <w:bCs w:val="0"/>
          <w:i/>
          <w:iCs/>
          <w:sz w:val="24"/>
          <w:szCs w:val="24"/>
          <w:lang w:val="en-US" w:eastAsia="zh-CN"/>
        </w:rPr>
        <w:t>Trends in cognitive sciences</w:t>
      </w:r>
      <w:r>
        <w:rPr>
          <w:rFonts w:hint="default" w:ascii="Times New Roman" w:hAnsi="Times New Roman" w:cs="Times New Roman"/>
          <w:b w:val="0"/>
          <w:bCs w:val="0"/>
          <w:sz w:val="24"/>
          <w:szCs w:val="24"/>
          <w:lang w:val="en-US" w:eastAsia="zh-CN"/>
        </w:rPr>
        <w:t>, 16(8), 404-406.</w:t>
      </w:r>
    </w:p>
    <w:p w14:paraId="34506C6F">
      <w:pPr>
        <w:keepNext w:val="0"/>
        <w:keepLines w:val="0"/>
        <w:pageBreakBefore w:val="0"/>
        <w:widowControl w:val="0"/>
        <w:numPr>
          <w:ilvl w:val="0"/>
          <w:numId w:val="2"/>
        </w:numPr>
        <w:kinsoku/>
        <w:wordWrap/>
        <w:overflowPunct/>
        <w:topLinePunct w:val="0"/>
        <w:autoSpaceDE/>
        <w:autoSpaceDN/>
        <w:bidi w:val="0"/>
        <w:adjustRightInd/>
        <w:snapToGrid/>
        <w:spacing w:line="480" w:lineRule="auto"/>
        <w:ind w:left="425" w:leftChars="0" w:hanging="425" w:firstLineChars="0"/>
        <w:jc w:val="both"/>
        <w:textAlignment w:val="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Pekrun, R. (2006)</w:t>
      </w:r>
      <w:r>
        <w:rPr>
          <w:rFonts w:hint="eastAsia" w:ascii="Times New Roman" w:hAnsi="Times New Roman" w:cs="Times New Roman"/>
          <w:b w:val="0"/>
          <w:bCs w:val="0"/>
          <w:sz w:val="24"/>
          <w:szCs w:val="24"/>
          <w:lang w:val="en-US" w:eastAsia="zh-CN"/>
        </w:rPr>
        <w:t xml:space="preserve"> </w:t>
      </w:r>
      <w:r>
        <w:rPr>
          <w:rFonts w:hint="default" w:ascii="Times New Roman" w:hAnsi="Times New Roman" w:cs="Times New Roman"/>
          <w:b w:val="0"/>
          <w:bCs w:val="0"/>
          <w:sz w:val="24"/>
          <w:szCs w:val="24"/>
          <w:lang w:val="en-US" w:eastAsia="zh-CN"/>
        </w:rPr>
        <w:t>‘The control-value theory of achievement emotions: Assumptions, corollaries, and implications for educational research and practice’</w:t>
      </w:r>
      <w:r>
        <w:rPr>
          <w:rFonts w:hint="eastAsia" w:ascii="Times New Roman" w:hAnsi="Times New Roman" w:cs="Times New Roman"/>
          <w:b w:val="0"/>
          <w:bCs w:val="0"/>
          <w:sz w:val="24"/>
          <w:szCs w:val="24"/>
          <w:lang w:val="en-US" w:eastAsia="zh-CN"/>
        </w:rPr>
        <w:t xml:space="preserve">, </w:t>
      </w:r>
      <w:r>
        <w:rPr>
          <w:rFonts w:hint="default" w:ascii="Times New Roman" w:hAnsi="Times New Roman" w:cs="Times New Roman"/>
          <w:b w:val="0"/>
          <w:bCs w:val="0"/>
          <w:i/>
          <w:iCs/>
          <w:sz w:val="24"/>
          <w:szCs w:val="24"/>
          <w:lang w:val="en-US" w:eastAsia="zh-CN"/>
        </w:rPr>
        <w:t>Educational psychology review</w:t>
      </w:r>
      <w:r>
        <w:rPr>
          <w:rFonts w:hint="default" w:ascii="Times New Roman" w:hAnsi="Times New Roman" w:cs="Times New Roman"/>
          <w:b w:val="0"/>
          <w:bCs w:val="0"/>
          <w:sz w:val="24"/>
          <w:szCs w:val="24"/>
          <w:lang w:val="en-US" w:eastAsia="zh-CN"/>
        </w:rPr>
        <w:t>, 18, 315-341.</w:t>
      </w:r>
    </w:p>
    <w:p w14:paraId="168BA8F7">
      <w:pPr>
        <w:keepNext w:val="0"/>
        <w:keepLines w:val="0"/>
        <w:pageBreakBefore w:val="0"/>
        <w:widowControl w:val="0"/>
        <w:numPr>
          <w:ilvl w:val="0"/>
          <w:numId w:val="2"/>
        </w:numPr>
        <w:kinsoku/>
        <w:wordWrap/>
        <w:overflowPunct/>
        <w:topLinePunct w:val="0"/>
        <w:autoSpaceDE/>
        <w:autoSpaceDN/>
        <w:bidi w:val="0"/>
        <w:adjustRightInd/>
        <w:snapToGrid/>
        <w:spacing w:line="480" w:lineRule="auto"/>
        <w:ind w:left="425" w:leftChars="0" w:hanging="425" w:firstLineChars="0"/>
        <w:jc w:val="both"/>
        <w:textAlignment w:val="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Pekrun, R., Lichtenfeld, S., Marsh, H. W., Murayama, K., &amp; Goetz, T. (2017)</w:t>
      </w:r>
      <w:r>
        <w:rPr>
          <w:rFonts w:hint="eastAsia" w:ascii="Times New Roman" w:hAnsi="Times New Roman" w:cs="Times New Roman"/>
          <w:b w:val="0"/>
          <w:bCs w:val="0"/>
          <w:sz w:val="24"/>
          <w:szCs w:val="24"/>
          <w:lang w:val="en-US" w:eastAsia="zh-CN"/>
        </w:rPr>
        <w:t xml:space="preserve"> </w:t>
      </w:r>
      <w:r>
        <w:rPr>
          <w:rFonts w:hint="default" w:ascii="Times New Roman" w:hAnsi="Times New Roman" w:cs="Times New Roman"/>
          <w:b w:val="0"/>
          <w:bCs w:val="0"/>
          <w:sz w:val="24"/>
          <w:szCs w:val="24"/>
          <w:lang w:val="en-US" w:eastAsia="zh-CN"/>
        </w:rPr>
        <w:t>‘Achievement emotions and academic performance: Longitudinal models of reciprocal effects’</w:t>
      </w:r>
      <w:r>
        <w:rPr>
          <w:rFonts w:hint="eastAsia" w:ascii="Times New Roman" w:hAnsi="Times New Roman" w:cs="Times New Roman"/>
          <w:b w:val="0"/>
          <w:bCs w:val="0"/>
          <w:sz w:val="24"/>
          <w:szCs w:val="24"/>
          <w:lang w:val="en-US" w:eastAsia="zh-CN"/>
        </w:rPr>
        <w:t xml:space="preserve">, </w:t>
      </w:r>
      <w:r>
        <w:rPr>
          <w:rFonts w:hint="default" w:ascii="Times New Roman" w:hAnsi="Times New Roman" w:cs="Times New Roman"/>
          <w:b w:val="0"/>
          <w:bCs w:val="0"/>
          <w:i/>
          <w:iCs/>
          <w:sz w:val="24"/>
          <w:szCs w:val="24"/>
          <w:lang w:val="en-US" w:eastAsia="zh-CN"/>
        </w:rPr>
        <w:t>Child development</w:t>
      </w:r>
      <w:r>
        <w:rPr>
          <w:rFonts w:hint="default" w:ascii="Times New Roman" w:hAnsi="Times New Roman" w:cs="Times New Roman"/>
          <w:b w:val="0"/>
          <w:bCs w:val="0"/>
          <w:sz w:val="24"/>
          <w:szCs w:val="24"/>
          <w:lang w:val="en-US" w:eastAsia="zh-CN"/>
        </w:rPr>
        <w:t>, 88(5), 1653-1670.</w:t>
      </w:r>
    </w:p>
    <w:p w14:paraId="17C93BA0">
      <w:pPr>
        <w:keepNext w:val="0"/>
        <w:keepLines w:val="0"/>
        <w:pageBreakBefore w:val="0"/>
        <w:widowControl w:val="0"/>
        <w:numPr>
          <w:ilvl w:val="0"/>
          <w:numId w:val="2"/>
        </w:numPr>
        <w:kinsoku/>
        <w:wordWrap/>
        <w:overflowPunct/>
        <w:topLinePunct w:val="0"/>
        <w:autoSpaceDE/>
        <w:autoSpaceDN/>
        <w:bidi w:val="0"/>
        <w:adjustRightInd/>
        <w:snapToGrid/>
        <w:spacing w:line="480" w:lineRule="auto"/>
        <w:ind w:left="425" w:leftChars="0" w:hanging="425" w:firstLineChars="0"/>
        <w:jc w:val="both"/>
        <w:textAlignment w:val="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Peterman, C. J., &amp; Ewing, J. (2019)</w:t>
      </w:r>
      <w:r>
        <w:rPr>
          <w:rFonts w:hint="eastAsia" w:ascii="Times New Roman" w:hAnsi="Times New Roman" w:cs="Times New Roman"/>
          <w:b w:val="0"/>
          <w:bCs w:val="0"/>
          <w:sz w:val="24"/>
          <w:szCs w:val="24"/>
          <w:lang w:val="en-US" w:eastAsia="zh-CN"/>
        </w:rPr>
        <w:t xml:space="preserve"> </w:t>
      </w:r>
      <w:r>
        <w:rPr>
          <w:rFonts w:hint="default" w:ascii="Times New Roman" w:hAnsi="Times New Roman" w:cs="Times New Roman"/>
          <w:b w:val="0"/>
          <w:bCs w:val="0"/>
          <w:sz w:val="24"/>
          <w:szCs w:val="24"/>
          <w:lang w:val="en-US" w:eastAsia="zh-CN"/>
        </w:rPr>
        <w:t>‘Effects of movement, growth mindset and math talks on math anxiety’</w:t>
      </w:r>
      <w:r>
        <w:rPr>
          <w:rFonts w:hint="eastAsia" w:ascii="Times New Roman" w:hAnsi="Times New Roman" w:cs="Times New Roman"/>
          <w:b w:val="0"/>
          <w:bCs w:val="0"/>
          <w:sz w:val="24"/>
          <w:szCs w:val="24"/>
          <w:lang w:val="en-US" w:eastAsia="zh-CN"/>
        </w:rPr>
        <w:t>,</w:t>
      </w:r>
      <w:r>
        <w:rPr>
          <w:rFonts w:hint="default" w:ascii="Times New Roman" w:hAnsi="Times New Roman" w:cs="Times New Roman"/>
          <w:b w:val="0"/>
          <w:bCs w:val="0"/>
          <w:sz w:val="24"/>
          <w:szCs w:val="24"/>
          <w:lang w:val="en-US" w:eastAsia="zh-CN"/>
        </w:rPr>
        <w:t xml:space="preserve"> </w:t>
      </w:r>
      <w:r>
        <w:rPr>
          <w:rFonts w:hint="default" w:ascii="Times New Roman" w:hAnsi="Times New Roman" w:cs="Times New Roman"/>
          <w:b w:val="0"/>
          <w:bCs w:val="0"/>
          <w:i/>
          <w:iCs/>
          <w:sz w:val="24"/>
          <w:szCs w:val="24"/>
          <w:lang w:val="en-US" w:eastAsia="zh-CN"/>
        </w:rPr>
        <w:t>Journal of Multicultural Affairs</w:t>
      </w:r>
      <w:r>
        <w:rPr>
          <w:rFonts w:hint="default" w:ascii="Times New Roman" w:hAnsi="Times New Roman" w:cs="Times New Roman"/>
          <w:b w:val="0"/>
          <w:bCs w:val="0"/>
          <w:sz w:val="24"/>
          <w:szCs w:val="24"/>
          <w:lang w:val="en-US" w:eastAsia="zh-CN"/>
        </w:rPr>
        <w:t>, 4(1), 1.</w:t>
      </w:r>
    </w:p>
    <w:p w14:paraId="25538DD8">
      <w:pPr>
        <w:keepNext w:val="0"/>
        <w:keepLines w:val="0"/>
        <w:pageBreakBefore w:val="0"/>
        <w:widowControl w:val="0"/>
        <w:numPr>
          <w:ilvl w:val="0"/>
          <w:numId w:val="2"/>
        </w:numPr>
        <w:kinsoku/>
        <w:wordWrap/>
        <w:overflowPunct/>
        <w:topLinePunct w:val="0"/>
        <w:autoSpaceDE/>
        <w:autoSpaceDN/>
        <w:bidi w:val="0"/>
        <w:adjustRightInd/>
        <w:snapToGrid/>
        <w:spacing w:line="480" w:lineRule="auto"/>
        <w:ind w:left="425" w:leftChars="0" w:hanging="425" w:firstLineChars="0"/>
        <w:jc w:val="both"/>
        <w:textAlignment w:val="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Ramirez, G., Shaw, S. T., &amp; Maloney, E. A. (2018)</w:t>
      </w:r>
      <w:r>
        <w:rPr>
          <w:rFonts w:hint="eastAsia" w:ascii="Times New Roman" w:hAnsi="Times New Roman" w:cs="Times New Roman"/>
          <w:b w:val="0"/>
          <w:bCs w:val="0"/>
          <w:sz w:val="24"/>
          <w:szCs w:val="24"/>
          <w:lang w:val="en-US" w:eastAsia="zh-CN"/>
        </w:rPr>
        <w:t xml:space="preserve"> </w:t>
      </w:r>
      <w:r>
        <w:rPr>
          <w:rFonts w:hint="default" w:ascii="Times New Roman" w:hAnsi="Times New Roman" w:cs="Times New Roman"/>
          <w:b w:val="0"/>
          <w:bCs w:val="0"/>
          <w:sz w:val="24"/>
          <w:szCs w:val="24"/>
          <w:lang w:val="en-US" w:eastAsia="zh-CN"/>
        </w:rPr>
        <w:t>‘Math anxiety: Past research, promising interventions, and a new interpretation framework’</w:t>
      </w:r>
      <w:r>
        <w:rPr>
          <w:rFonts w:hint="eastAsia" w:ascii="Times New Roman" w:hAnsi="Times New Roman" w:cs="Times New Roman"/>
          <w:b w:val="0"/>
          <w:bCs w:val="0"/>
          <w:sz w:val="24"/>
          <w:szCs w:val="24"/>
          <w:lang w:val="en-US" w:eastAsia="zh-CN"/>
        </w:rPr>
        <w:t xml:space="preserve">, </w:t>
      </w:r>
      <w:r>
        <w:rPr>
          <w:rFonts w:hint="default" w:ascii="Times New Roman" w:hAnsi="Times New Roman" w:cs="Times New Roman"/>
          <w:b w:val="0"/>
          <w:bCs w:val="0"/>
          <w:i/>
          <w:iCs/>
          <w:sz w:val="24"/>
          <w:szCs w:val="24"/>
          <w:lang w:val="en-US" w:eastAsia="zh-CN"/>
        </w:rPr>
        <w:t>Educational psychologist</w:t>
      </w:r>
      <w:r>
        <w:rPr>
          <w:rFonts w:hint="default" w:ascii="Times New Roman" w:hAnsi="Times New Roman" w:cs="Times New Roman"/>
          <w:b w:val="0"/>
          <w:bCs w:val="0"/>
          <w:sz w:val="24"/>
          <w:szCs w:val="24"/>
          <w:lang w:val="en-US" w:eastAsia="zh-CN"/>
        </w:rPr>
        <w:t>, 53(3), 145-164.</w:t>
      </w:r>
    </w:p>
    <w:p w14:paraId="1727B275">
      <w:pPr>
        <w:keepNext w:val="0"/>
        <w:keepLines w:val="0"/>
        <w:pageBreakBefore w:val="0"/>
        <w:widowControl w:val="0"/>
        <w:numPr>
          <w:ilvl w:val="0"/>
          <w:numId w:val="2"/>
        </w:numPr>
        <w:kinsoku/>
        <w:wordWrap/>
        <w:overflowPunct/>
        <w:topLinePunct w:val="0"/>
        <w:autoSpaceDE/>
        <w:autoSpaceDN/>
        <w:bidi w:val="0"/>
        <w:adjustRightInd/>
        <w:snapToGrid/>
        <w:spacing w:line="480" w:lineRule="auto"/>
        <w:ind w:left="425" w:leftChars="0" w:hanging="425" w:firstLineChars="0"/>
        <w:jc w:val="both"/>
        <w:textAlignment w:val="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Sun, X., Nancekivell, S., Gelman, S. A., &amp; Shah, P. (2021)</w:t>
      </w:r>
      <w:r>
        <w:rPr>
          <w:rFonts w:hint="eastAsia" w:ascii="Times New Roman" w:hAnsi="Times New Roman" w:cs="Times New Roman"/>
          <w:b w:val="0"/>
          <w:bCs w:val="0"/>
          <w:sz w:val="24"/>
          <w:szCs w:val="24"/>
          <w:lang w:val="en-US" w:eastAsia="zh-CN"/>
        </w:rPr>
        <w:t xml:space="preserve"> </w:t>
      </w:r>
      <w:r>
        <w:rPr>
          <w:rFonts w:hint="default" w:ascii="Times New Roman" w:hAnsi="Times New Roman" w:cs="Times New Roman"/>
          <w:b w:val="0"/>
          <w:bCs w:val="0"/>
          <w:sz w:val="24"/>
          <w:szCs w:val="24"/>
          <w:lang w:val="en-US" w:eastAsia="zh-CN"/>
        </w:rPr>
        <w:t>‘Growth mindset and academic outcomes: A comparison of US and Chinese students’</w:t>
      </w:r>
      <w:r>
        <w:rPr>
          <w:rFonts w:hint="eastAsia" w:ascii="Times New Roman" w:hAnsi="Times New Roman" w:cs="Times New Roman"/>
          <w:b w:val="0"/>
          <w:bCs w:val="0"/>
          <w:sz w:val="24"/>
          <w:szCs w:val="24"/>
          <w:lang w:val="en-US" w:eastAsia="zh-CN"/>
        </w:rPr>
        <w:t xml:space="preserve">, </w:t>
      </w:r>
      <w:r>
        <w:rPr>
          <w:rFonts w:hint="default" w:ascii="Times New Roman" w:hAnsi="Times New Roman" w:cs="Times New Roman"/>
          <w:b w:val="0"/>
          <w:bCs w:val="0"/>
          <w:i/>
          <w:iCs/>
          <w:sz w:val="24"/>
          <w:szCs w:val="24"/>
          <w:lang w:val="en-US" w:eastAsia="zh-CN"/>
        </w:rPr>
        <w:t>npj Science of Learning</w:t>
      </w:r>
      <w:r>
        <w:rPr>
          <w:rFonts w:hint="default" w:ascii="Times New Roman" w:hAnsi="Times New Roman" w:cs="Times New Roman"/>
          <w:b w:val="0"/>
          <w:bCs w:val="0"/>
          <w:sz w:val="24"/>
          <w:szCs w:val="24"/>
          <w:lang w:val="en-US" w:eastAsia="zh-CN"/>
        </w:rPr>
        <w:t>, 6(1), 21.</w:t>
      </w:r>
    </w:p>
    <w:p w14:paraId="64549DB0">
      <w:pPr>
        <w:keepNext w:val="0"/>
        <w:keepLines w:val="0"/>
        <w:pageBreakBefore w:val="0"/>
        <w:widowControl w:val="0"/>
        <w:numPr>
          <w:ilvl w:val="0"/>
          <w:numId w:val="2"/>
        </w:numPr>
        <w:kinsoku/>
        <w:wordWrap/>
        <w:overflowPunct/>
        <w:topLinePunct w:val="0"/>
        <w:autoSpaceDE/>
        <w:autoSpaceDN/>
        <w:bidi w:val="0"/>
        <w:adjustRightInd/>
        <w:snapToGrid/>
        <w:spacing w:line="480" w:lineRule="auto"/>
        <w:ind w:left="425" w:leftChars="0" w:hanging="425" w:firstLineChars="0"/>
        <w:jc w:val="both"/>
        <w:textAlignment w:val="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XU, T. (2023)</w:t>
      </w:r>
      <w:r>
        <w:rPr>
          <w:rFonts w:hint="eastAsia" w:ascii="Times New Roman" w:hAnsi="Times New Roman" w:cs="Times New Roman"/>
          <w:b w:val="0"/>
          <w:bCs w:val="0"/>
          <w:sz w:val="24"/>
          <w:szCs w:val="24"/>
          <w:lang w:val="en-US" w:eastAsia="zh-CN"/>
        </w:rPr>
        <w:t xml:space="preserve"> </w:t>
      </w:r>
      <w:r>
        <w:rPr>
          <w:rFonts w:hint="default" w:ascii="Times New Roman" w:hAnsi="Times New Roman" w:cs="Times New Roman"/>
          <w:b w:val="0"/>
          <w:bCs w:val="0"/>
          <w:sz w:val="24"/>
          <w:szCs w:val="24"/>
          <w:lang w:val="en-US" w:eastAsia="zh-CN"/>
        </w:rPr>
        <w:t>‘From academic burden reduction to quality education: a case study of students' and parents' perceptions and experiences under the double-reduction policy in China’</w:t>
      </w:r>
      <w:r>
        <w:rPr>
          <w:rFonts w:hint="eastAsia" w:ascii="Times New Roman" w:hAnsi="Times New Roman" w:cs="Times New Roman"/>
          <w:b w:val="0"/>
          <w:bCs w:val="0"/>
          <w:sz w:val="24"/>
          <w:szCs w:val="24"/>
          <w:lang w:val="en-US" w:eastAsia="zh-CN"/>
        </w:rPr>
        <w:t>.</w:t>
      </w:r>
    </w:p>
    <w:p w14:paraId="1D02A204">
      <w:pPr>
        <w:keepNext w:val="0"/>
        <w:keepLines w:val="0"/>
        <w:pageBreakBefore w:val="0"/>
        <w:widowControl w:val="0"/>
        <w:numPr>
          <w:ilvl w:val="0"/>
          <w:numId w:val="2"/>
        </w:numPr>
        <w:kinsoku/>
        <w:wordWrap/>
        <w:overflowPunct/>
        <w:topLinePunct w:val="0"/>
        <w:autoSpaceDE/>
        <w:autoSpaceDN/>
        <w:bidi w:val="0"/>
        <w:adjustRightInd/>
        <w:snapToGrid/>
        <w:spacing w:line="480" w:lineRule="auto"/>
        <w:ind w:left="425" w:leftChars="0" w:hanging="425" w:firstLineChars="0"/>
        <w:jc w:val="both"/>
        <w:textAlignment w:val="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Yeager, D. S., &amp; Dweck, C. S. (2020)</w:t>
      </w:r>
      <w:r>
        <w:rPr>
          <w:rFonts w:hint="eastAsia" w:ascii="Times New Roman" w:hAnsi="Times New Roman" w:cs="Times New Roman"/>
          <w:b w:val="0"/>
          <w:bCs w:val="0"/>
          <w:sz w:val="24"/>
          <w:szCs w:val="24"/>
          <w:lang w:val="en-US" w:eastAsia="zh-CN"/>
        </w:rPr>
        <w:t xml:space="preserve"> </w:t>
      </w:r>
      <w:r>
        <w:rPr>
          <w:rFonts w:hint="default" w:ascii="Times New Roman" w:hAnsi="Times New Roman" w:cs="Times New Roman"/>
          <w:b w:val="0"/>
          <w:bCs w:val="0"/>
          <w:sz w:val="24"/>
          <w:szCs w:val="24"/>
          <w:lang w:val="en-US" w:eastAsia="zh-CN"/>
        </w:rPr>
        <w:t>‘What can be learned from growth mindset controversies?’</w:t>
      </w:r>
      <w:r>
        <w:rPr>
          <w:rFonts w:hint="eastAsia" w:ascii="Times New Roman" w:hAnsi="Times New Roman" w:cs="Times New Roman"/>
          <w:b w:val="0"/>
          <w:bCs w:val="0"/>
          <w:sz w:val="24"/>
          <w:szCs w:val="24"/>
          <w:lang w:val="en-US" w:eastAsia="zh-CN"/>
        </w:rPr>
        <w:t xml:space="preserve">, </w:t>
      </w:r>
      <w:r>
        <w:rPr>
          <w:rFonts w:hint="default" w:ascii="Times New Roman" w:hAnsi="Times New Roman" w:cs="Times New Roman"/>
          <w:b w:val="0"/>
          <w:bCs w:val="0"/>
          <w:i/>
          <w:iCs/>
          <w:sz w:val="24"/>
          <w:szCs w:val="24"/>
          <w:lang w:val="en-US" w:eastAsia="zh-CN"/>
        </w:rPr>
        <w:t>American psychologist</w:t>
      </w:r>
      <w:r>
        <w:rPr>
          <w:rFonts w:hint="default" w:ascii="Times New Roman" w:hAnsi="Times New Roman" w:cs="Times New Roman"/>
          <w:b w:val="0"/>
          <w:bCs w:val="0"/>
          <w:sz w:val="24"/>
          <w:szCs w:val="24"/>
          <w:lang w:val="en-US" w:eastAsia="zh-CN"/>
        </w:rPr>
        <w:t>, 75(9), 1269.</w:t>
      </w:r>
    </w:p>
    <w:p w14:paraId="38C03A41">
      <w:pPr>
        <w:keepNext w:val="0"/>
        <w:keepLines w:val="0"/>
        <w:pageBreakBefore w:val="0"/>
        <w:widowControl w:val="0"/>
        <w:numPr>
          <w:ilvl w:val="0"/>
          <w:numId w:val="2"/>
        </w:numPr>
        <w:kinsoku/>
        <w:wordWrap/>
        <w:overflowPunct/>
        <w:topLinePunct w:val="0"/>
        <w:autoSpaceDE/>
        <w:autoSpaceDN/>
        <w:bidi w:val="0"/>
        <w:adjustRightInd/>
        <w:snapToGrid/>
        <w:spacing w:line="480" w:lineRule="auto"/>
        <w:ind w:left="425" w:leftChars="0" w:hanging="425" w:firstLineChars="0"/>
        <w:jc w:val="both"/>
        <w:textAlignment w:val="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Yeager, D. S., Hanselman, P., Walton, G. M., Murray, J. S., Crosnoe, R., Muller, C., ... &amp; Dweck, C. S. (2019)</w:t>
      </w:r>
      <w:r>
        <w:rPr>
          <w:rFonts w:hint="eastAsia" w:ascii="Times New Roman" w:hAnsi="Times New Roman" w:cs="Times New Roman"/>
          <w:b w:val="0"/>
          <w:bCs w:val="0"/>
          <w:sz w:val="24"/>
          <w:szCs w:val="24"/>
          <w:lang w:val="en-US" w:eastAsia="zh-CN"/>
        </w:rPr>
        <w:t xml:space="preserve"> </w:t>
      </w:r>
      <w:r>
        <w:rPr>
          <w:rFonts w:hint="default" w:ascii="Times New Roman" w:hAnsi="Times New Roman" w:cs="Times New Roman"/>
          <w:b w:val="0"/>
          <w:bCs w:val="0"/>
          <w:sz w:val="24"/>
          <w:szCs w:val="24"/>
          <w:lang w:val="en-US" w:eastAsia="zh-CN"/>
        </w:rPr>
        <w:t>‘A national experiment reveals where a growth mindset improves achievement’</w:t>
      </w:r>
      <w:r>
        <w:rPr>
          <w:rFonts w:hint="eastAsia" w:ascii="Times New Roman" w:hAnsi="Times New Roman" w:cs="Times New Roman"/>
          <w:b w:val="0"/>
          <w:bCs w:val="0"/>
          <w:sz w:val="24"/>
          <w:szCs w:val="24"/>
          <w:lang w:val="en-US" w:eastAsia="zh-CN"/>
        </w:rPr>
        <w:t xml:space="preserve">, </w:t>
      </w:r>
      <w:r>
        <w:rPr>
          <w:rFonts w:hint="default" w:ascii="Times New Roman" w:hAnsi="Times New Roman" w:cs="Times New Roman"/>
          <w:b w:val="0"/>
          <w:bCs w:val="0"/>
          <w:i/>
          <w:iCs/>
          <w:sz w:val="24"/>
          <w:szCs w:val="24"/>
          <w:lang w:val="en-US" w:eastAsia="zh-CN"/>
        </w:rPr>
        <w:t>Nature</w:t>
      </w:r>
      <w:r>
        <w:rPr>
          <w:rFonts w:hint="default" w:ascii="Times New Roman" w:hAnsi="Times New Roman" w:cs="Times New Roman"/>
          <w:b w:val="0"/>
          <w:bCs w:val="0"/>
          <w:sz w:val="24"/>
          <w:szCs w:val="24"/>
          <w:lang w:val="en-US" w:eastAsia="zh-CN"/>
        </w:rPr>
        <w:t>, 573(7774), 364-369.</w:t>
      </w:r>
    </w:p>
    <w:p w14:paraId="3525F3F1">
      <w:pPr>
        <w:keepNext w:val="0"/>
        <w:keepLines w:val="0"/>
        <w:pageBreakBefore w:val="0"/>
        <w:widowControl w:val="0"/>
        <w:numPr>
          <w:ilvl w:val="0"/>
          <w:numId w:val="2"/>
        </w:numPr>
        <w:kinsoku/>
        <w:wordWrap/>
        <w:overflowPunct/>
        <w:topLinePunct w:val="0"/>
        <w:autoSpaceDE/>
        <w:autoSpaceDN/>
        <w:bidi w:val="0"/>
        <w:adjustRightInd/>
        <w:snapToGrid/>
        <w:spacing w:line="480" w:lineRule="auto"/>
        <w:ind w:left="425" w:leftChars="0" w:hanging="425" w:firstLineChars="0"/>
        <w:jc w:val="both"/>
        <w:textAlignment w:val="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Zhang, W. (2023)</w:t>
      </w:r>
      <w:r>
        <w:rPr>
          <w:rFonts w:hint="eastAsia" w:ascii="Times New Roman" w:hAnsi="Times New Roman" w:cs="Times New Roman"/>
          <w:b w:val="0"/>
          <w:bCs w:val="0"/>
          <w:sz w:val="24"/>
          <w:szCs w:val="24"/>
          <w:lang w:val="en-US" w:eastAsia="zh-CN"/>
        </w:rPr>
        <w:t xml:space="preserve"> </w:t>
      </w:r>
      <w:r>
        <w:rPr>
          <w:rFonts w:hint="default" w:ascii="Times New Roman" w:hAnsi="Times New Roman" w:cs="Times New Roman"/>
          <w:b w:val="0"/>
          <w:bCs w:val="0"/>
          <w:sz w:val="24"/>
          <w:szCs w:val="24"/>
          <w:lang w:val="en-US" w:eastAsia="zh-CN"/>
        </w:rPr>
        <w:t>‘Exploring double reduction policy, social justice, equity-centered pedagogy, and whole person education for school effectiveness and student outcome in China’</w:t>
      </w:r>
      <w:r>
        <w:rPr>
          <w:rFonts w:hint="eastAsia" w:ascii="Times New Roman" w:hAnsi="Times New Roman" w:cs="Times New Roman"/>
          <w:b w:val="0"/>
          <w:bCs w:val="0"/>
          <w:sz w:val="24"/>
          <w:szCs w:val="24"/>
          <w:lang w:val="en-US" w:eastAsia="zh-CN"/>
        </w:rPr>
        <w:t xml:space="preserve">, </w:t>
      </w:r>
      <w:r>
        <w:rPr>
          <w:rFonts w:hint="default" w:ascii="Times New Roman" w:hAnsi="Times New Roman" w:cs="Times New Roman"/>
          <w:b w:val="0"/>
          <w:bCs w:val="0"/>
          <w:i/>
          <w:iCs/>
          <w:sz w:val="24"/>
          <w:szCs w:val="24"/>
          <w:lang w:val="en-US" w:eastAsia="zh-CN"/>
        </w:rPr>
        <w:t>Global Scientific and Academic Research Journal of Multidisciplinary Studies</w:t>
      </w:r>
      <w:r>
        <w:rPr>
          <w:rFonts w:hint="default" w:ascii="Times New Roman" w:hAnsi="Times New Roman" w:cs="Times New Roman"/>
          <w:b w:val="0"/>
          <w:bCs w:val="0"/>
          <w:sz w:val="24"/>
          <w:szCs w:val="24"/>
          <w:lang w:val="en-US" w:eastAsia="zh-CN"/>
        </w:rPr>
        <w:t>, 2(8), 1-13.</w:t>
      </w:r>
    </w:p>
    <w:p w14:paraId="2628E932">
      <w:pPr>
        <w:keepNext w:val="0"/>
        <w:keepLines w:val="0"/>
        <w:pageBreakBefore w:val="0"/>
        <w:widowControl w:val="0"/>
        <w:numPr>
          <w:numId w:val="0"/>
        </w:numPr>
        <w:kinsoku/>
        <w:wordWrap/>
        <w:overflowPunct/>
        <w:topLinePunct w:val="0"/>
        <w:autoSpaceDE/>
        <w:autoSpaceDN/>
        <w:bidi w:val="0"/>
        <w:adjustRightInd/>
        <w:snapToGrid/>
        <w:spacing w:line="480" w:lineRule="auto"/>
        <w:ind w:leftChars="0"/>
        <w:jc w:val="both"/>
        <w:textAlignment w:val="auto"/>
        <w:rPr>
          <w:rFonts w:hint="default" w:ascii="Times New Roman" w:hAnsi="Times New Roman" w:cs="Times New Roman"/>
          <w:b/>
          <w:bCs/>
          <w:sz w:val="24"/>
          <w:szCs w:val="24"/>
          <w:lang w:val="en-US" w:eastAsia="zh-CN"/>
        </w:rPr>
      </w:pPr>
    </w:p>
    <w:p w14:paraId="1D704723">
      <w:pPr>
        <w:spacing w:after="160" w:line="278" w:lineRule="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rPr>
        <w:t>Wordcount:</w:t>
      </w:r>
      <w:r>
        <w:rPr>
          <w:rFonts w:hint="default" w:ascii="Times New Roman" w:hAnsi="Times New Roman" w:cs="Times New Roman"/>
          <w:b w:val="0"/>
          <w:bCs w:val="0"/>
          <w:sz w:val="24"/>
          <w:szCs w:val="24"/>
          <w:lang w:val="en-US" w:eastAsia="zh-CN"/>
        </w:rPr>
        <w:t xml:space="preserve"> 3773 words without references</w:t>
      </w:r>
    </w:p>
    <w:p w14:paraId="25366D77">
      <w:pPr>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br w:type="page"/>
      </w:r>
    </w:p>
    <w:p w14:paraId="4A4CC13E">
      <w:pPr>
        <w:rPr>
          <w:b/>
          <w:bCs/>
          <w:sz w:val="32"/>
          <w:szCs w:val="32"/>
          <w:u w:val="single"/>
        </w:rPr>
      </w:pPr>
      <w:r>
        <w:rPr>
          <w:b/>
          <w:bCs/>
          <w:sz w:val="32"/>
          <w:szCs w:val="32"/>
          <w:u w:val="single"/>
        </w:rPr>
        <w:t>AI Acknowledgement</w:t>
      </w:r>
    </w:p>
    <w:p w14:paraId="7D9E3F09"/>
    <w:p w14:paraId="75C5C55A">
      <w:pPr>
        <w:rPr>
          <w:rFonts w:ascii="Aptos" w:hAnsi="Aptos"/>
          <w:sz w:val="20"/>
          <w:szCs w:val="20"/>
        </w:rPr>
      </w:pPr>
      <w:r>
        <w:rPr>
          <w:rFonts w:ascii="Aptos" w:hAnsi="Aptos"/>
          <w:sz w:val="20"/>
          <w:szCs w:val="20"/>
        </w:rPr>
        <w:t xml:space="preserve">I acknowledge the use of </w:t>
      </w:r>
      <w:r>
        <w:rPr>
          <w:rFonts w:hint="eastAsia" w:ascii="Aptos" w:hAnsi="Aptos"/>
          <w:sz w:val="20"/>
          <w:szCs w:val="20"/>
          <w:lang w:val="en-US" w:eastAsia="zh-CN"/>
        </w:rPr>
        <w:t>Wenxinyiyan</w:t>
      </w:r>
      <w:r>
        <w:rPr>
          <w:rFonts w:ascii="Aptos" w:hAnsi="Aptos"/>
          <w:sz w:val="20"/>
          <w:szCs w:val="20"/>
        </w:rPr>
        <w:t xml:space="preserve"> (</w:t>
      </w:r>
      <w:r>
        <w:rPr>
          <w:rFonts w:hint="eastAsia" w:ascii="Aptos" w:hAnsi="Aptos"/>
          <w:sz w:val="20"/>
          <w:szCs w:val="20"/>
        </w:rPr>
        <w:t>https://yiyan.baidu.com/welcome</w:t>
      </w:r>
      <w:r>
        <w:rPr>
          <w:rFonts w:ascii="Aptos" w:hAnsi="Aptos"/>
          <w:sz w:val="20"/>
          <w:szCs w:val="20"/>
        </w:rPr>
        <w:t xml:space="preserve">) on </w:t>
      </w:r>
      <w:r>
        <w:rPr>
          <w:rFonts w:hint="eastAsia" w:ascii="Aptos" w:hAnsi="Aptos"/>
          <w:sz w:val="20"/>
          <w:szCs w:val="20"/>
          <w:lang w:val="en-US" w:eastAsia="zh-CN"/>
        </w:rPr>
        <w:t>25 April</w:t>
      </w:r>
      <w:r>
        <w:rPr>
          <w:rFonts w:ascii="Aptos" w:hAnsi="Aptos"/>
          <w:sz w:val="20"/>
          <w:szCs w:val="20"/>
        </w:rPr>
        <w:t xml:space="preserve"> 202</w:t>
      </w:r>
      <w:r>
        <w:rPr>
          <w:rFonts w:hint="eastAsia" w:ascii="Aptos" w:hAnsi="Aptos"/>
          <w:sz w:val="20"/>
          <w:szCs w:val="20"/>
          <w:lang w:val="en-US" w:eastAsia="zh-CN"/>
        </w:rPr>
        <w:t>5</w:t>
      </w:r>
      <w:r>
        <w:rPr>
          <w:rFonts w:ascii="Aptos" w:hAnsi="Aptos"/>
          <w:sz w:val="20"/>
          <w:szCs w:val="20"/>
        </w:rPr>
        <w:t xml:space="preserve"> to support my research using the prompt(s): </w:t>
      </w:r>
    </w:p>
    <w:p w14:paraId="3F311371">
      <w:pPr>
        <w:rPr>
          <w:rFonts w:ascii="Aptos" w:hAnsi="Aptos"/>
          <w:sz w:val="20"/>
          <w:szCs w:val="20"/>
        </w:rPr>
      </w:pPr>
      <w:r>
        <w:rPr>
          <w:rFonts w:ascii="Aptos" w:hAnsi="Aptos"/>
          <w:sz w:val="20"/>
          <w:szCs w:val="20"/>
        </w:rPr>
        <w:t xml:space="preserve">1. Please provide me with materials on the </w:t>
      </w:r>
      <w:r>
        <w:rPr>
          <w:rFonts w:hint="eastAsia" w:ascii="Aptos" w:hAnsi="Aptos"/>
          <w:sz w:val="20"/>
          <w:szCs w:val="20"/>
          <w:lang w:val="en-US" w:eastAsia="zh-CN"/>
        </w:rPr>
        <w:t>relationship between growth mindset and math anxiety</w:t>
      </w:r>
      <w:r>
        <w:rPr>
          <w:rFonts w:ascii="Aptos" w:hAnsi="Aptos"/>
          <w:sz w:val="20"/>
          <w:szCs w:val="20"/>
        </w:rPr>
        <w:t xml:space="preserve">. </w:t>
      </w:r>
    </w:p>
    <w:p w14:paraId="58C3B8BB">
      <w:pPr>
        <w:rPr>
          <w:rFonts w:ascii="Aptos" w:hAnsi="Aptos"/>
          <w:sz w:val="20"/>
          <w:szCs w:val="20"/>
        </w:rPr>
      </w:pPr>
      <w:r>
        <w:rPr>
          <w:rFonts w:ascii="Aptos" w:hAnsi="Aptos"/>
          <w:sz w:val="20"/>
          <w:szCs w:val="20"/>
        </w:rPr>
        <w:t xml:space="preserve">2. Please provide me with materials on </w:t>
      </w:r>
      <w:r>
        <w:rPr>
          <w:rFonts w:hint="default" w:ascii="Aptos" w:hAnsi="Aptos"/>
          <w:sz w:val="20"/>
          <w:szCs w:val="20"/>
          <w:lang w:val="en-US" w:eastAsia="zh-CN"/>
        </w:rPr>
        <w:t>‘</w:t>
      </w:r>
      <w:r>
        <w:rPr>
          <w:rFonts w:hint="eastAsia" w:ascii="Aptos" w:hAnsi="Aptos"/>
          <w:sz w:val="20"/>
          <w:szCs w:val="20"/>
          <w:lang w:val="en-US" w:eastAsia="zh-CN"/>
        </w:rPr>
        <w:t>Double Reduction</w:t>
      </w:r>
      <w:r>
        <w:rPr>
          <w:rFonts w:hint="default" w:ascii="Aptos" w:hAnsi="Aptos"/>
          <w:sz w:val="20"/>
          <w:szCs w:val="20"/>
          <w:lang w:val="en-US" w:eastAsia="zh-CN"/>
        </w:rPr>
        <w:t>’</w:t>
      </w:r>
      <w:r>
        <w:rPr>
          <w:rFonts w:hint="eastAsia" w:ascii="Aptos" w:hAnsi="Aptos"/>
          <w:sz w:val="20"/>
          <w:szCs w:val="20"/>
          <w:lang w:val="en-US" w:eastAsia="zh-CN"/>
        </w:rPr>
        <w:t xml:space="preserve"> policy and math anxiety in China</w:t>
      </w:r>
      <w:r>
        <w:rPr>
          <w:rFonts w:ascii="Aptos" w:hAnsi="Aptos"/>
          <w:sz w:val="20"/>
          <w:szCs w:val="20"/>
        </w:rPr>
        <w:t xml:space="preserve">. </w:t>
      </w:r>
    </w:p>
    <w:p w14:paraId="49D79DB8">
      <w:pPr>
        <w:rPr>
          <w:rFonts w:hint="eastAsia" w:ascii="Aptos" w:hAnsi="Aptos"/>
          <w:sz w:val="20"/>
          <w:szCs w:val="20"/>
          <w:lang w:val="en-US" w:eastAsia="zh-CN"/>
        </w:rPr>
      </w:pPr>
      <w:r>
        <w:rPr>
          <w:rFonts w:hint="eastAsia" w:ascii="Aptos" w:hAnsi="Aptos"/>
          <w:sz w:val="20"/>
          <w:szCs w:val="20"/>
          <w:lang w:val="en-US" w:eastAsia="zh-CN"/>
        </w:rPr>
        <w:t>3. Please provide me with some information about how to analyze the relationship between two things with huge numbers according to data analysis tools, such as SPSS, MPLUS and any other statistic analysis tools.</w:t>
      </w:r>
    </w:p>
    <w:p w14:paraId="2FFEA1BA">
      <w:pPr>
        <w:rPr>
          <w:rFonts w:hint="default" w:ascii="Aptos" w:hAnsi="Aptos"/>
          <w:sz w:val="20"/>
          <w:szCs w:val="20"/>
          <w:lang w:val="en-US" w:eastAsia="zh-CN"/>
        </w:rPr>
      </w:pPr>
      <w:r>
        <w:rPr>
          <w:rFonts w:hint="eastAsia" w:ascii="Aptos" w:hAnsi="Aptos"/>
          <w:sz w:val="20"/>
          <w:szCs w:val="20"/>
          <w:lang w:val="en-US" w:eastAsia="zh-CN"/>
        </w:rPr>
        <w:t>4. Please provide me some materials about ethics considerations especially in the questionnaires.</w:t>
      </w:r>
    </w:p>
    <w:p w14:paraId="6792C03D">
      <w:pPr>
        <w:rPr>
          <w:rFonts w:ascii="Aptos" w:hAnsi="Aptos"/>
          <w:sz w:val="20"/>
          <w:szCs w:val="20"/>
        </w:rPr>
      </w:pPr>
      <w:r>
        <w:rPr>
          <w:rFonts w:ascii="Aptos" w:hAnsi="Aptos"/>
          <w:sz w:val="20"/>
          <w:szCs w:val="20"/>
        </w:rPr>
        <w:t xml:space="preserve">I confirm that I have not presented any AI generated text as my own work. I confirm that I have copies of my drafts, notes, and other resources I used before, and after the use of AI tools which I may be asked to provide in evidence. </w:t>
      </w:r>
    </w:p>
    <w:p w14:paraId="4E1EFFF6">
      <w:pPr>
        <w:spacing w:after="160" w:line="278" w:lineRule="auto"/>
        <w:rPr>
          <w:rFonts w:hint="default" w:ascii="Times New Roman" w:hAnsi="Times New Roman" w:cs="Times New Roman"/>
          <w:b w:val="0"/>
          <w:bCs w:val="0"/>
          <w:sz w:val="24"/>
          <w:szCs w:val="24"/>
          <w:lang w:val="en-US" w:eastAsia="zh-CN"/>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Segoe UI">
    <w:panose1 w:val="020B0502040204020203"/>
    <w:charset w:val="00"/>
    <w:family w:val="auto"/>
    <w:pitch w:val="default"/>
    <w:sig w:usb0="E4002EFF" w:usb1="C000E47F" w:usb2="00000009" w:usb3="00000000" w:csb0="200001FF" w:csb1="00000000"/>
  </w:font>
  <w:font w:name="Calibri Light">
    <w:panose1 w:val="020F0302020204030204"/>
    <w:charset w:val="00"/>
    <w:family w:val="auto"/>
    <w:pitch w:val="default"/>
    <w:sig w:usb0="E4002EFF" w:usb1="C000247B" w:usb2="00000009" w:usb3="00000000" w:csb0="200001FF" w:csb1="00000000"/>
  </w:font>
  <w:font w:name="Aptos">
    <w:altName w:val="Segoe Print"/>
    <w:panose1 w:val="00000000000000000000"/>
    <w:charset w:val="00"/>
    <w:family w:val="swiss"/>
    <w:pitch w:val="default"/>
    <w:sig w:usb0="00000000" w:usb1="00000000" w:usb2="00000000" w:usb3="00000000" w:csb0="0000019F" w:csb1="00000000"/>
  </w:font>
  <w:font w:name="Segoe Print">
    <w:panose1 w:val="02000600000000000000"/>
    <w:charset w:val="00"/>
    <w:family w:val="auto"/>
    <w:pitch w:val="default"/>
    <w:sig w:usb0="0000028F" w:usb1="00000000" w:usb2="00000000" w:usb3="00000000" w:csb0="2000009F" w:csb1="4701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C3644743"/>
    <w:multiLevelType w:val="singleLevel"/>
    <w:tmpl w:val="C3644743"/>
    <w:lvl w:ilvl="0" w:tentative="0">
      <w:start w:val="1"/>
      <w:numFmt w:val="decimal"/>
      <w:lvlText w:val="%1."/>
      <w:lvlJc w:val="left"/>
      <w:pPr>
        <w:ind w:left="425" w:hanging="425"/>
      </w:pPr>
      <w:rPr>
        <w:rFonts w:hint="default"/>
      </w:rPr>
    </w:lvl>
  </w:abstractNum>
  <w:abstractNum w:abstractNumId="1">
    <w:nsid w:val="01BC95E5"/>
    <w:multiLevelType w:val="singleLevel"/>
    <w:tmpl w:val="01BC95E5"/>
    <w:lvl w:ilvl="0" w:tentative="0">
      <w:start w:val="1"/>
      <w:numFmt w:val="decimal"/>
      <w:suff w:val="space"/>
      <w:lvlText w:val="%1."/>
      <w:lvlJc w:val="left"/>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5A60508A"/>
    <w:rsid w:val="16433B46"/>
    <w:rsid w:val="1C4572C2"/>
    <w:rsid w:val="389C63DA"/>
    <w:rsid w:val="3E2D3C49"/>
    <w:rsid w:val="4E452297"/>
    <w:rsid w:val="5A60508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5">
    <w:name w:val="Default Paragraph Font"/>
    <w:semiHidden/>
    <w:qFormat/>
    <w:uiPriority w:val="0"/>
  </w:style>
  <w:style w:type="table" w:default="1" w:styleId="4">
    <w:name w:val="Normal Table"/>
    <w:semiHidden/>
    <w:qFormat/>
    <w:uiPriority w:val="0"/>
    <w:tblPr>
      <w:tblCellMar>
        <w:top w:w="0" w:type="dxa"/>
        <w:left w:w="108" w:type="dxa"/>
        <w:bottom w:w="0" w:type="dxa"/>
        <w:right w:w="108" w:type="dxa"/>
      </w:tblCellMar>
    </w:tblPr>
  </w:style>
  <w:style w:type="paragraph" w:styleId="2">
    <w:name w:val="footer"/>
    <w:basedOn w:val="1"/>
    <w:uiPriority w:val="0"/>
    <w:pPr>
      <w:tabs>
        <w:tab w:val="center" w:pos="4153"/>
        <w:tab w:val="right" w:pos="8306"/>
      </w:tabs>
      <w:snapToGrid w:val="0"/>
      <w:jc w:val="left"/>
    </w:pPr>
    <w:rPr>
      <w:sz w:val="18"/>
    </w:rPr>
  </w:style>
  <w:style w:type="paragraph" w:styleId="3">
    <w:name w:val="header"/>
    <w:basedOn w:val="1"/>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numbering" Target="numbering.xml"/><Relationship Id="rId5" Type="http://schemas.openxmlformats.org/officeDocument/2006/relationships/image" Target="media/image2.png"/><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23</Pages>
  <Words>3740</Words>
  <Characters>23263</Characters>
  <Lines>0</Lines>
  <Paragraphs>0</Paragraphs>
  <TotalTime>8</TotalTime>
  <ScaleCrop>false</ScaleCrop>
  <LinksUpToDate>false</LinksUpToDate>
  <CharactersWithSpaces>26929</CharactersWithSpaces>
  <Application>WPS Office_12.1.0.20784_F1E327BC-269C-435d-A152-05C5408002CA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2025-04-21T14:23:00Z</dcterms:created>
  <dc:creator>黄梦莹</dc:creator>
  <cp:lastModifiedBy>黄梦莹</cp:lastModifiedBy>
  <dcterms:modified xsi:type="dcterms:W3CDTF">2025-04-25T18:18:25Z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2052-12.1.0.20784</vt:lpwstr>
  </property>
  <property fmtid="{D5CDD505-2E9C-101B-9397-08002B2CF9AE}" pid="3" name="ICV">
    <vt:lpwstr>30A48588965849D48B534E554D1412A5_11</vt:lpwstr>
  </property>
  <property fmtid="{D5CDD505-2E9C-101B-9397-08002B2CF9AE}" pid="4" name="KSOTemplateDocerSaveRecord">
    <vt:lpwstr>eyJoZGlkIjoiNGU4NzUzOGFjZGQ5NGEyZTQ4Yzk2MTNjNzNmMjJhN2EiLCJ1c2VySWQiOiI0MzkzOTgwOTYifQ==</vt:lpwstr>
  </property>
</Properties>
</file>