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FFFFF" w14:textId="77777777" w:rsidR="008B55C4" w:rsidRDefault="00035D2C">
      <w:pPr>
        <w:spacing w:line="360" w:lineRule="auto"/>
        <w:jc w:val="center"/>
        <w:rPr>
          <w:rFonts w:ascii="Arial" w:eastAsia="Arial" w:hAnsi="Arial" w:cs="Arial"/>
          <w:b/>
          <w:bCs/>
          <w:sz w:val="28"/>
          <w:szCs w:val="28"/>
        </w:rPr>
      </w:pPr>
      <w:r>
        <w:rPr>
          <w:noProof/>
        </w:rPr>
        <w:drawing>
          <wp:anchor distT="0" distB="0" distL="114300" distR="114300" simplePos="0" relativeHeight="251658240" behindDoc="0" locked="0" layoutInCell="1" hidden="0" allowOverlap="1" wp14:anchorId="35A1A7A0" wp14:editId="15A86AF6">
            <wp:simplePos x="0" y="0"/>
            <wp:positionH relativeFrom="column">
              <wp:posOffset>1138554</wp:posOffset>
            </wp:positionH>
            <wp:positionV relativeFrom="paragraph">
              <wp:posOffset>0</wp:posOffset>
            </wp:positionV>
            <wp:extent cx="3454400" cy="114554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4400" cy="1145540"/>
                    </a:xfrm>
                    <a:prstGeom prst="rect">
                      <a:avLst/>
                    </a:prstGeom>
                    <a:ln/>
                  </pic:spPr>
                </pic:pic>
              </a:graphicData>
            </a:graphic>
          </wp:anchor>
        </w:drawing>
      </w:r>
    </w:p>
    <w:p w14:paraId="217CBD98" w14:textId="77777777"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Master of Business Administration</w:t>
      </w:r>
    </w:p>
    <w:p w14:paraId="49822F88" w14:textId="77777777"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Student Name:</w:t>
      </w:r>
      <w:r>
        <w:rPr>
          <w:rFonts w:ascii="Arial" w:eastAsia="Arial" w:hAnsi="Arial" w:cs="Arial"/>
          <w:sz w:val="28"/>
          <w:szCs w:val="28"/>
        </w:rPr>
        <w:t xml:space="preserve"> </w:t>
      </w:r>
      <w:r>
        <w:rPr>
          <w:rFonts w:ascii="Arial" w:eastAsia="Arial" w:hAnsi="Arial" w:cs="Arial"/>
          <w:b/>
          <w:bCs/>
          <w:sz w:val="28"/>
          <w:szCs w:val="28"/>
        </w:rPr>
        <w:t>Sahab Uddin</w:t>
      </w:r>
    </w:p>
    <w:p w14:paraId="226660E8" w14:textId="77777777" w:rsidR="008B55C4" w:rsidRDefault="00035D2C">
      <w:pPr>
        <w:spacing w:line="360" w:lineRule="auto"/>
        <w:jc w:val="center"/>
        <w:rPr>
          <w:rFonts w:ascii="Arial" w:eastAsia="Arial" w:hAnsi="Arial" w:cs="Arial"/>
          <w:sz w:val="28"/>
          <w:szCs w:val="28"/>
        </w:rPr>
      </w:pPr>
      <w:r>
        <w:rPr>
          <w:rFonts w:ascii="Arial" w:eastAsia="Arial" w:hAnsi="Arial" w:cs="Arial"/>
          <w:b/>
          <w:bCs/>
          <w:sz w:val="28"/>
          <w:szCs w:val="28"/>
        </w:rPr>
        <w:t>Student Number:</w:t>
      </w:r>
      <w:r>
        <w:rPr>
          <w:rFonts w:ascii="Arial" w:eastAsia="Arial" w:hAnsi="Arial" w:cs="Arial"/>
          <w:sz w:val="28"/>
          <w:szCs w:val="28"/>
        </w:rPr>
        <w:t xml:space="preserve"> </w:t>
      </w:r>
      <w:r>
        <w:rPr>
          <w:rFonts w:ascii="Arial" w:eastAsia="Arial" w:hAnsi="Arial" w:cs="Arial"/>
          <w:b/>
          <w:bCs/>
          <w:sz w:val="28"/>
          <w:szCs w:val="28"/>
        </w:rPr>
        <w:t>2416538</w:t>
      </w:r>
    </w:p>
    <w:p w14:paraId="4CA0585B" w14:textId="77777777"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Module code: LCMB7035</w:t>
      </w:r>
    </w:p>
    <w:p w14:paraId="3E6A7E1D" w14:textId="77777777"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Module Name: Dissertation</w:t>
      </w:r>
    </w:p>
    <w:p w14:paraId="1674FD53" w14:textId="77777777"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Title: “The Role of Digital Storytelling and Community Building in Enhancing Brand Loyalty: A Case Study of Nike”</w:t>
      </w:r>
    </w:p>
    <w:p w14:paraId="21270403" w14:textId="5B6A33A4"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 xml:space="preserve">Supervisor: </w:t>
      </w:r>
      <w:r w:rsidR="00642330">
        <w:rPr>
          <w:rFonts w:ascii="Arial" w:eastAsia="Arial" w:hAnsi="Arial" w:cs="Arial"/>
          <w:b/>
          <w:bCs/>
          <w:sz w:val="28"/>
          <w:szCs w:val="28"/>
        </w:rPr>
        <w:t>Abdi Rahman</w:t>
      </w:r>
    </w:p>
    <w:p w14:paraId="70D1BD08" w14:textId="214F9371" w:rsidR="008B55C4" w:rsidRDefault="00035D2C">
      <w:pPr>
        <w:spacing w:line="360" w:lineRule="auto"/>
        <w:jc w:val="center"/>
        <w:rPr>
          <w:rFonts w:ascii="Arial" w:eastAsia="Arial" w:hAnsi="Arial" w:cs="Arial"/>
          <w:b/>
          <w:bCs/>
          <w:sz w:val="28"/>
          <w:szCs w:val="28"/>
        </w:rPr>
      </w:pPr>
      <w:r>
        <w:rPr>
          <w:rFonts w:ascii="Arial" w:eastAsia="Arial" w:hAnsi="Arial" w:cs="Arial"/>
          <w:b/>
          <w:bCs/>
          <w:sz w:val="28"/>
          <w:szCs w:val="28"/>
        </w:rPr>
        <w:t xml:space="preserve">Words Count: </w:t>
      </w:r>
      <w:r w:rsidR="00642330">
        <w:rPr>
          <w:rFonts w:ascii="Arial" w:eastAsia="Arial" w:hAnsi="Arial" w:cs="Arial"/>
          <w:b/>
          <w:bCs/>
          <w:sz w:val="28"/>
          <w:szCs w:val="28"/>
        </w:rPr>
        <w:t>14536</w:t>
      </w:r>
    </w:p>
    <w:p w14:paraId="394DC2DC" w14:textId="77777777" w:rsidR="008B55C4" w:rsidRDefault="00035D2C">
      <w:pPr>
        <w:spacing w:line="278" w:lineRule="auto"/>
        <w:rPr>
          <w:rFonts w:ascii="Arial" w:eastAsia="Arial" w:hAnsi="Arial" w:cs="Arial"/>
          <w:b/>
          <w:bCs/>
          <w:sz w:val="28"/>
          <w:szCs w:val="28"/>
        </w:rPr>
        <w:sectPr w:rsidR="008B55C4">
          <w:pgSz w:w="11906" w:h="16838"/>
          <w:pgMar w:top="1440" w:right="1440" w:bottom="1440" w:left="1440" w:header="708" w:footer="708" w:gutter="0"/>
          <w:pgNumType w:start="1"/>
          <w:cols w:space="720"/>
        </w:sectPr>
      </w:pPr>
      <w:r>
        <w:br w:type="page"/>
      </w:r>
    </w:p>
    <w:p w14:paraId="77393B93" w14:textId="77777777" w:rsidR="008B55C4" w:rsidRDefault="00035D2C">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rPr>
      </w:pPr>
      <w:r>
        <w:rPr>
          <w:rFonts w:ascii="Arial" w:eastAsia="Arial" w:hAnsi="Arial" w:cs="Arial"/>
          <w:noProof/>
        </w:rPr>
        <w:lastRenderedPageBreak/>
        <w:drawing>
          <wp:inline distT="0" distB="0" distL="0" distR="0" wp14:anchorId="791C1DEE" wp14:editId="46B52700">
            <wp:extent cx="2844800" cy="1168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844800" cy="1168400"/>
                    </a:xfrm>
                    <a:prstGeom prst="rect">
                      <a:avLst/>
                    </a:prstGeom>
                    <a:ln/>
                  </pic:spPr>
                </pic:pic>
              </a:graphicData>
            </a:graphic>
          </wp:inline>
        </w:drawing>
      </w:r>
    </w:p>
    <w:p w14:paraId="69AF6572" w14:textId="77777777" w:rsidR="008B55C4" w:rsidRDefault="008B55C4">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b/>
          <w:bCs/>
          <w:sz w:val="28"/>
          <w:szCs w:val="28"/>
        </w:rPr>
      </w:pPr>
    </w:p>
    <w:p w14:paraId="08D3A7C0" w14:textId="77777777" w:rsidR="008B55C4" w:rsidRDefault="00035D2C">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Master’s Degrees by Examination and Dissertation</w:t>
      </w:r>
    </w:p>
    <w:p w14:paraId="3AD7225A" w14:textId="77777777" w:rsidR="008B55C4" w:rsidRDefault="00035D2C">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Declaration Form</w:t>
      </w:r>
    </w:p>
    <w:p w14:paraId="6A4DB9F9" w14:textId="77777777" w:rsidR="008B55C4" w:rsidRDefault="008B55C4">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rPr>
      </w:pPr>
    </w:p>
    <w:p w14:paraId="52086BAA" w14:textId="016F04AD" w:rsidR="008B55C4" w:rsidRDefault="00035D2C">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 xml:space="preserve">I, Sahab Uddin,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C928E0B" w14:textId="05DB5160" w:rsidR="008B55C4" w:rsidRDefault="00035D2C">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Signature: Sahab Uddin</w:t>
      </w:r>
    </w:p>
    <w:p w14:paraId="3D5FEE0C" w14:textId="225CB8A4" w:rsidR="008B55C4" w:rsidRDefault="00035D2C">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 xml:space="preserve">Date: </w:t>
      </w:r>
      <w:r w:rsidR="00BC5AB3">
        <w:rPr>
          <w:rFonts w:ascii="Arial" w:eastAsia="Arial" w:hAnsi="Arial" w:cs="Arial"/>
          <w:sz w:val="24"/>
          <w:szCs w:val="24"/>
        </w:rPr>
        <w:t>03-05-2026</w:t>
      </w:r>
    </w:p>
    <w:p w14:paraId="243C2917" w14:textId="77777777" w:rsidR="008B55C4" w:rsidRDefault="008B55C4">
      <w:pPr>
        <w:pBdr>
          <w:top w:val="single" w:sz="4" w:space="1" w:color="000000"/>
          <w:left w:val="single" w:sz="4" w:space="4" w:color="000000"/>
          <w:bottom w:val="single" w:sz="4" w:space="31" w:color="000000"/>
          <w:right w:val="single" w:sz="4" w:space="4" w:color="000000"/>
        </w:pBdr>
        <w:spacing w:after="120"/>
        <w:rPr>
          <w:rFonts w:ascii="Arial" w:eastAsia="Arial" w:hAnsi="Arial" w:cs="Arial"/>
        </w:rPr>
      </w:pPr>
    </w:p>
    <w:p w14:paraId="33010BF5" w14:textId="77777777" w:rsidR="008B55C4" w:rsidRDefault="008B55C4">
      <w:pPr>
        <w:spacing w:line="360" w:lineRule="auto"/>
        <w:jc w:val="center"/>
        <w:rPr>
          <w:rFonts w:ascii="Arial" w:eastAsia="Arial" w:hAnsi="Arial" w:cs="Arial"/>
          <w:b/>
          <w:bCs/>
          <w:sz w:val="28"/>
          <w:szCs w:val="28"/>
        </w:rPr>
      </w:pPr>
    </w:p>
    <w:p w14:paraId="4A347D1C" w14:textId="77777777" w:rsidR="008B55C4" w:rsidRDefault="00035D2C">
      <w:pPr>
        <w:spacing w:line="360" w:lineRule="auto"/>
        <w:rPr>
          <w:rFonts w:ascii="Arial" w:eastAsia="Arial" w:hAnsi="Arial" w:cs="Arial"/>
          <w:b/>
          <w:bCs/>
        </w:rPr>
      </w:pPr>
      <w:r>
        <w:br w:type="page"/>
      </w:r>
    </w:p>
    <w:p w14:paraId="5AB08379" w14:textId="77777777" w:rsidR="008B55C4" w:rsidRDefault="00035D2C">
      <w:pPr>
        <w:keepNext/>
        <w:keepLines/>
        <w:pBdr>
          <w:top w:val="nil"/>
          <w:left w:val="nil"/>
          <w:bottom w:val="nil"/>
          <w:right w:val="nil"/>
          <w:between w:val="nil"/>
        </w:pBdr>
        <w:spacing w:before="240" w:after="240"/>
        <w:jc w:val="center"/>
        <w:rPr>
          <w:rFonts w:ascii="Arial" w:eastAsia="Arial" w:hAnsi="Arial" w:cs="Arial"/>
          <w:b/>
          <w:bCs/>
          <w:color w:val="000000"/>
          <w:sz w:val="28"/>
          <w:szCs w:val="28"/>
          <w:u w:val="single"/>
        </w:rPr>
      </w:pPr>
      <w:r>
        <w:rPr>
          <w:rFonts w:ascii="Arial" w:eastAsia="Arial" w:hAnsi="Arial" w:cs="Arial"/>
          <w:b/>
          <w:bCs/>
          <w:color w:val="000000"/>
          <w:sz w:val="28"/>
          <w:szCs w:val="28"/>
          <w:u w:val="single"/>
        </w:rPr>
        <w:lastRenderedPageBreak/>
        <w:t>Table of Contents</w:t>
      </w:r>
    </w:p>
    <w:sdt>
      <w:sdtPr>
        <w:id w:val="-2076836707"/>
        <w:docPartObj>
          <w:docPartGallery w:val="Table of Contents"/>
          <w:docPartUnique/>
        </w:docPartObj>
      </w:sdtPr>
      <w:sdtEndPr>
        <w:rPr>
          <w:rFonts w:ascii="Arial" w:hAnsi="Arial" w:cs="Arial"/>
          <w:sz w:val="24"/>
          <w:szCs w:val="24"/>
        </w:rPr>
      </w:sdtEndPr>
      <w:sdtContent>
        <w:p w14:paraId="0E527513" w14:textId="2B2DA5F9" w:rsidR="00953FA2" w:rsidRPr="00953FA2" w:rsidRDefault="00035D2C" w:rsidP="00953FA2">
          <w:pPr>
            <w:pStyle w:val="TOC1"/>
            <w:tabs>
              <w:tab w:val="right" w:leader="dot" w:pos="9016"/>
            </w:tabs>
            <w:spacing w:line="360" w:lineRule="auto"/>
            <w:jc w:val="both"/>
            <w:rPr>
              <w:rFonts w:ascii="Arial" w:eastAsiaTheme="minorEastAsia" w:hAnsi="Arial" w:cs="Arial"/>
              <w:noProof/>
            </w:rPr>
          </w:pPr>
          <w:r w:rsidRPr="002C7667">
            <w:rPr>
              <w:rFonts w:ascii="Arial" w:hAnsi="Arial" w:cs="Arial"/>
              <w:sz w:val="24"/>
              <w:szCs w:val="24"/>
            </w:rPr>
            <w:fldChar w:fldCharType="begin"/>
          </w:r>
          <w:r w:rsidRPr="002C7667">
            <w:rPr>
              <w:rFonts w:ascii="Arial" w:hAnsi="Arial" w:cs="Arial"/>
              <w:sz w:val="24"/>
              <w:szCs w:val="24"/>
            </w:rPr>
            <w:instrText xml:space="preserve"> TOC \h \u \z \t "Heading 1,1,Heading 2,2,Heading 3,3,"</w:instrText>
          </w:r>
          <w:r w:rsidRPr="002C7667">
            <w:rPr>
              <w:rFonts w:ascii="Arial" w:hAnsi="Arial" w:cs="Arial"/>
              <w:sz w:val="24"/>
              <w:szCs w:val="24"/>
            </w:rPr>
            <w:fldChar w:fldCharType="separate"/>
          </w:r>
          <w:hyperlink w:anchor="_Toc228731001" w:history="1">
            <w:r w:rsidR="00953FA2" w:rsidRPr="00953FA2">
              <w:rPr>
                <w:rStyle w:val="Hyperlink"/>
                <w:rFonts w:ascii="Arial" w:hAnsi="Arial" w:cs="Arial"/>
                <w:noProof/>
              </w:rPr>
              <w:t>CHAPTER 1: INTRODUCTION</w:t>
            </w:r>
            <w:r w:rsidR="00953FA2" w:rsidRPr="00953FA2">
              <w:rPr>
                <w:rFonts w:ascii="Arial" w:hAnsi="Arial" w:cs="Arial"/>
                <w:noProof/>
                <w:webHidden/>
              </w:rPr>
              <w:tab/>
            </w:r>
            <w:r w:rsidR="00953FA2" w:rsidRPr="00953FA2">
              <w:rPr>
                <w:rFonts w:ascii="Arial" w:hAnsi="Arial" w:cs="Arial"/>
                <w:noProof/>
                <w:webHidden/>
              </w:rPr>
              <w:fldChar w:fldCharType="begin"/>
            </w:r>
            <w:r w:rsidR="00953FA2" w:rsidRPr="00953FA2">
              <w:rPr>
                <w:rFonts w:ascii="Arial" w:hAnsi="Arial" w:cs="Arial"/>
                <w:noProof/>
                <w:webHidden/>
              </w:rPr>
              <w:instrText xml:space="preserve"> PAGEREF _Toc228731001 \h </w:instrText>
            </w:r>
            <w:r w:rsidR="00953FA2" w:rsidRPr="00953FA2">
              <w:rPr>
                <w:rFonts w:ascii="Arial" w:hAnsi="Arial" w:cs="Arial"/>
                <w:noProof/>
                <w:webHidden/>
              </w:rPr>
            </w:r>
            <w:r w:rsidR="00953FA2" w:rsidRPr="00953FA2">
              <w:rPr>
                <w:rFonts w:ascii="Arial" w:hAnsi="Arial" w:cs="Arial"/>
                <w:noProof/>
                <w:webHidden/>
              </w:rPr>
              <w:fldChar w:fldCharType="separate"/>
            </w:r>
            <w:r w:rsidR="00953FA2" w:rsidRPr="00953FA2">
              <w:rPr>
                <w:rFonts w:ascii="Arial" w:hAnsi="Arial" w:cs="Arial"/>
                <w:noProof/>
                <w:webHidden/>
              </w:rPr>
              <w:t>1</w:t>
            </w:r>
            <w:r w:rsidR="00953FA2" w:rsidRPr="00953FA2">
              <w:rPr>
                <w:rFonts w:ascii="Arial" w:hAnsi="Arial" w:cs="Arial"/>
                <w:noProof/>
                <w:webHidden/>
              </w:rPr>
              <w:fldChar w:fldCharType="end"/>
            </w:r>
          </w:hyperlink>
        </w:p>
        <w:p w14:paraId="0C621F37" w14:textId="543F589C"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2" w:history="1">
            <w:r w:rsidRPr="00953FA2">
              <w:rPr>
                <w:rStyle w:val="Hyperlink"/>
                <w:rFonts w:ascii="Arial" w:hAnsi="Arial" w:cs="Arial"/>
                <w:noProof/>
              </w:rPr>
              <w:t>1.1 Background of the Study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_Toc228731002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2B543522" w14:textId="3C440119"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3" w:history="1">
            <w:r w:rsidRPr="00953FA2">
              <w:rPr>
                <w:rStyle w:val="Hyperlink"/>
                <w:rFonts w:ascii="Arial" w:hAnsi="Arial" w:cs="Arial"/>
                <w:noProof/>
              </w:rPr>
              <w:t>1.2 Problem Statement</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_Toc228731003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2</w:t>
            </w:r>
            <w:r w:rsidRPr="00953FA2">
              <w:rPr>
                <w:rFonts w:ascii="Arial" w:hAnsi="Arial" w:cs="Arial"/>
                <w:noProof/>
                <w:webHidden/>
              </w:rPr>
              <w:fldChar w:fldCharType="end"/>
            </w:r>
          </w:hyperlink>
        </w:p>
        <w:p w14:paraId="58871D03" w14:textId="5CB592F5"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4" w:history="1">
            <w:r w:rsidRPr="00953FA2">
              <w:rPr>
                <w:rStyle w:val="Hyperlink"/>
                <w:rFonts w:ascii="Arial" w:hAnsi="Arial" w:cs="Arial"/>
                <w:noProof/>
              </w:rPr>
              <w:t>1.3 Aim of the Study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_Toc228731004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5270D6C1" w14:textId="54726534"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5" w:history="1">
            <w:r w:rsidRPr="00953FA2">
              <w:rPr>
                <w:rStyle w:val="Hyperlink"/>
                <w:rFonts w:ascii="Arial" w:hAnsi="Arial" w:cs="Arial"/>
                <w:noProof/>
              </w:rPr>
              <w:t>1.4 Objectives of the Research</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_Toc228731005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4DEB7BB6" w14:textId="525BD3A3"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6" w:history="1">
            <w:r w:rsidRPr="00953FA2">
              <w:rPr>
                <w:rStyle w:val="Hyperlink"/>
                <w:rFonts w:ascii="Arial" w:hAnsi="Arial" w:cs="Arial"/>
                <w:noProof/>
              </w:rPr>
              <w:t>1.5 Research Questions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_Toc228731006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5DF5C789" w14:textId="745B41FA"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7" w:history="1">
            <w:r w:rsidRPr="00953FA2">
              <w:rPr>
                <w:rStyle w:val="Hyperlink"/>
                <w:rFonts w:ascii="Arial" w:hAnsi="Arial" w:cs="Arial"/>
                <w:noProof/>
              </w:rPr>
              <w:t>1.6 Significance of the Study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_Toc228731007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4</w:t>
            </w:r>
            <w:r w:rsidRPr="00953FA2">
              <w:rPr>
                <w:rFonts w:ascii="Arial" w:hAnsi="Arial" w:cs="Arial"/>
                <w:noProof/>
                <w:webHidden/>
              </w:rPr>
              <w:fldChar w:fldCharType="end"/>
            </w:r>
          </w:hyperlink>
        </w:p>
        <w:p w14:paraId="38F4CB7B" w14:textId="00B1BE00"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8" w:history="1">
            <w:r w:rsidRPr="00953FA2">
              <w:rPr>
                <w:rStyle w:val="Hyperlink"/>
                <w:rFonts w:ascii="Arial" w:hAnsi="Arial" w:cs="Arial"/>
                <w:noProof/>
              </w:rPr>
              <w:t>1.7 Brief Research Methodology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_Toc228731008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4</w:t>
            </w:r>
            <w:r w:rsidRPr="00953FA2">
              <w:rPr>
                <w:rFonts w:ascii="Arial" w:hAnsi="Arial" w:cs="Arial"/>
                <w:noProof/>
                <w:webHidden/>
              </w:rPr>
              <w:fldChar w:fldCharType="end"/>
            </w:r>
          </w:hyperlink>
        </w:p>
        <w:p w14:paraId="222EF910" w14:textId="1CC0A86A"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09" w:history="1">
            <w:r w:rsidRPr="00953FA2">
              <w:rPr>
                <w:rStyle w:val="Hyperlink"/>
                <w:rFonts w:ascii="Arial" w:hAnsi="Arial" w:cs="Arial"/>
                <w:noProof/>
              </w:rPr>
              <w:t>1.8 Structure of the Dissertation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_Toc228731009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5</w:t>
            </w:r>
            <w:r w:rsidRPr="00953FA2">
              <w:rPr>
                <w:rFonts w:ascii="Arial" w:hAnsi="Arial" w:cs="Arial"/>
                <w:noProof/>
                <w:webHidden/>
              </w:rPr>
              <w:fldChar w:fldCharType="end"/>
            </w:r>
          </w:hyperlink>
        </w:p>
        <w:p w14:paraId="7F15AA4F" w14:textId="4FCF9F87" w:rsidR="00953FA2" w:rsidRPr="00953FA2" w:rsidRDefault="00953FA2" w:rsidP="00953FA2">
          <w:pPr>
            <w:pStyle w:val="TOC1"/>
            <w:tabs>
              <w:tab w:val="right" w:leader="dot" w:pos="9016"/>
            </w:tabs>
            <w:spacing w:line="360" w:lineRule="auto"/>
            <w:jc w:val="both"/>
            <w:rPr>
              <w:rFonts w:ascii="Arial" w:eastAsiaTheme="minorEastAsia" w:hAnsi="Arial" w:cs="Arial"/>
              <w:noProof/>
            </w:rPr>
          </w:pPr>
          <w:hyperlink w:anchor="_Toc228731010" w:history="1">
            <w:r w:rsidRPr="00953FA2">
              <w:rPr>
                <w:rStyle w:val="Hyperlink"/>
                <w:rFonts w:ascii="Arial" w:hAnsi="Arial" w:cs="Arial"/>
                <w:noProof/>
              </w:rPr>
              <w:t>CHAPTER 2: LITERATURE REVIEW</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_Toc228731010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7D338E2F" w14:textId="59F76CF9"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1" w:history="1">
            <w:r w:rsidRPr="00953FA2">
              <w:rPr>
                <w:rStyle w:val="Hyperlink"/>
                <w:rFonts w:ascii="Arial" w:hAnsi="Arial" w:cs="Arial"/>
                <w:noProof/>
              </w:rPr>
              <w:t>2.1 Introduction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_Toc228731011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3DE29A15" w14:textId="5E8AA012"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2" w:history="1">
            <w:r w:rsidRPr="00953FA2">
              <w:rPr>
                <w:rStyle w:val="Hyperlink"/>
                <w:rFonts w:ascii="Arial" w:hAnsi="Arial" w:cs="Arial"/>
                <w:noProof/>
              </w:rPr>
              <w:t>2.2 Digital Storytelling in Branding.</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_Toc228731012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2</w:t>
            </w:r>
            <w:r w:rsidRPr="00953FA2">
              <w:rPr>
                <w:rFonts w:ascii="Arial" w:hAnsi="Arial" w:cs="Arial"/>
                <w:noProof/>
                <w:webHidden/>
              </w:rPr>
              <w:fldChar w:fldCharType="end"/>
            </w:r>
          </w:hyperlink>
        </w:p>
        <w:p w14:paraId="393DFEF5" w14:textId="4DC7B466"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3" w:history="1">
            <w:r w:rsidRPr="00953FA2">
              <w:rPr>
                <w:rStyle w:val="Hyperlink"/>
                <w:rFonts w:ascii="Arial" w:hAnsi="Arial" w:cs="Arial"/>
                <w:noProof/>
              </w:rPr>
              <w:t>2.3 Community Building in Digital Marketing</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_Toc228731013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1A6AC2FD" w14:textId="255EDA07"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4" w:history="1">
            <w:r w:rsidRPr="00953FA2">
              <w:rPr>
                <w:rStyle w:val="Hyperlink"/>
                <w:rFonts w:ascii="Arial" w:hAnsi="Arial" w:cs="Arial"/>
                <w:noProof/>
              </w:rPr>
              <w:t>2.4 Brand Loyalty in the Digital Age.</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_Toc228731014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5</w:t>
            </w:r>
            <w:r w:rsidRPr="00953FA2">
              <w:rPr>
                <w:rFonts w:ascii="Arial" w:hAnsi="Arial" w:cs="Arial"/>
                <w:noProof/>
                <w:webHidden/>
              </w:rPr>
              <w:fldChar w:fldCharType="end"/>
            </w:r>
          </w:hyperlink>
        </w:p>
        <w:p w14:paraId="0CC7306A" w14:textId="65E4C02A"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5" w:history="1">
            <w:r w:rsidRPr="00953FA2">
              <w:rPr>
                <w:rStyle w:val="Hyperlink"/>
                <w:rFonts w:ascii="Arial" w:hAnsi="Arial" w:cs="Arial"/>
                <w:noProof/>
              </w:rPr>
              <w:t>2.5 Relationship Between Digital Storytelling, Community Building, and Brand Loyalty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_Toc228731015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7</w:t>
            </w:r>
            <w:r w:rsidRPr="00953FA2">
              <w:rPr>
                <w:rFonts w:ascii="Arial" w:hAnsi="Arial" w:cs="Arial"/>
                <w:noProof/>
                <w:webHidden/>
              </w:rPr>
              <w:fldChar w:fldCharType="end"/>
            </w:r>
          </w:hyperlink>
        </w:p>
        <w:p w14:paraId="50991771" w14:textId="2F8B171C"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6" w:history="1">
            <w:r w:rsidRPr="00953FA2">
              <w:rPr>
                <w:rStyle w:val="Hyperlink"/>
                <w:rFonts w:ascii="Arial" w:hAnsi="Arial" w:cs="Arial"/>
                <w:noProof/>
              </w:rPr>
              <w:t>2.6 Theoretical Framework</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_Toc228731016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9</w:t>
            </w:r>
            <w:r w:rsidRPr="00953FA2">
              <w:rPr>
                <w:rFonts w:ascii="Arial" w:hAnsi="Arial" w:cs="Arial"/>
                <w:noProof/>
                <w:webHidden/>
              </w:rPr>
              <w:fldChar w:fldCharType="end"/>
            </w:r>
          </w:hyperlink>
        </w:p>
        <w:p w14:paraId="1C252817" w14:textId="183AE66F"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7" w:history="1">
            <w:r w:rsidRPr="00953FA2">
              <w:rPr>
                <w:rStyle w:val="Hyperlink"/>
                <w:rFonts w:ascii="Arial" w:hAnsi="Arial" w:cs="Arial"/>
                <w:noProof/>
              </w:rPr>
              <w:t>2.7 Research Gap</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_Toc228731017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10</w:t>
            </w:r>
            <w:r w:rsidRPr="00953FA2">
              <w:rPr>
                <w:rFonts w:ascii="Arial" w:hAnsi="Arial" w:cs="Arial"/>
                <w:noProof/>
                <w:webHidden/>
              </w:rPr>
              <w:fldChar w:fldCharType="end"/>
            </w:r>
          </w:hyperlink>
        </w:p>
        <w:p w14:paraId="587FAC42" w14:textId="6FBE2A41"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18" w:history="1">
            <w:r w:rsidRPr="00953FA2">
              <w:rPr>
                <w:rStyle w:val="Hyperlink"/>
                <w:rFonts w:ascii="Arial" w:hAnsi="Arial" w:cs="Arial"/>
                <w:noProof/>
              </w:rPr>
              <w:t>2.8 Conclusion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_Toc228731018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11</w:t>
            </w:r>
            <w:r w:rsidRPr="00953FA2">
              <w:rPr>
                <w:rFonts w:ascii="Arial" w:hAnsi="Arial" w:cs="Arial"/>
                <w:noProof/>
                <w:webHidden/>
              </w:rPr>
              <w:fldChar w:fldCharType="end"/>
            </w:r>
          </w:hyperlink>
        </w:p>
        <w:p w14:paraId="350038C5" w14:textId="1513CF8F" w:rsidR="00953FA2" w:rsidRPr="00953FA2" w:rsidRDefault="00953FA2" w:rsidP="00953FA2">
          <w:pPr>
            <w:pStyle w:val="TOC1"/>
            <w:tabs>
              <w:tab w:val="right" w:leader="dot" w:pos="9016"/>
            </w:tabs>
            <w:spacing w:line="360" w:lineRule="auto"/>
            <w:jc w:val="both"/>
            <w:rPr>
              <w:rFonts w:ascii="Arial" w:eastAsiaTheme="minorEastAsia" w:hAnsi="Arial" w:cs="Arial"/>
              <w:noProof/>
            </w:rPr>
          </w:pPr>
          <w:hyperlink w:anchor="_Toc228731019" w:history="1">
            <w:r w:rsidRPr="00953FA2">
              <w:rPr>
                <w:rStyle w:val="Hyperlink"/>
                <w:rFonts w:ascii="Arial" w:hAnsi="Arial" w:cs="Arial"/>
                <w:noProof/>
              </w:rPr>
              <w:t>CHAPTER 3: RESEARCH METHODOLOGY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_Toc228731019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648E9A68" w14:textId="25591B3F"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0" w:history="1">
            <w:r w:rsidRPr="00953FA2">
              <w:rPr>
                <w:rStyle w:val="Hyperlink"/>
                <w:rFonts w:ascii="Arial" w:hAnsi="Arial" w:cs="Arial"/>
                <w:noProof/>
              </w:rPr>
              <w:t>3.1 Introduction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_Toc228731020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4DC67480" w14:textId="17F1FFAD"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1" w:history="1">
            <w:r w:rsidRPr="00953FA2">
              <w:rPr>
                <w:rStyle w:val="Hyperlink"/>
                <w:rFonts w:ascii="Arial" w:hAnsi="Arial" w:cs="Arial"/>
                <w:noProof/>
              </w:rPr>
              <w:t>3.2 Research Philosophy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_Toc228731021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517041D8" w14:textId="19243A0F"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2" w:history="1">
            <w:r w:rsidRPr="00953FA2">
              <w:rPr>
                <w:rStyle w:val="Hyperlink"/>
                <w:rFonts w:ascii="Arial" w:hAnsi="Arial" w:cs="Arial"/>
                <w:noProof/>
              </w:rPr>
              <w:t>3.3 Research Approach</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_Toc228731022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2</w:t>
            </w:r>
            <w:r w:rsidRPr="00953FA2">
              <w:rPr>
                <w:rFonts w:ascii="Arial" w:hAnsi="Arial" w:cs="Arial"/>
                <w:noProof/>
                <w:webHidden/>
              </w:rPr>
              <w:fldChar w:fldCharType="end"/>
            </w:r>
          </w:hyperlink>
        </w:p>
        <w:p w14:paraId="5A9AD229" w14:textId="7A751D1C"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3" w:history="1">
            <w:r w:rsidRPr="00953FA2">
              <w:rPr>
                <w:rStyle w:val="Hyperlink"/>
                <w:rFonts w:ascii="Arial" w:hAnsi="Arial" w:cs="Arial"/>
                <w:noProof/>
              </w:rPr>
              <w:t>3.4 Research Design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_Toc228731023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007D4ECF" w14:textId="57112788"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4" w:history="1">
            <w:r w:rsidRPr="00953FA2">
              <w:rPr>
                <w:rStyle w:val="Hyperlink"/>
                <w:rFonts w:ascii="Arial" w:hAnsi="Arial" w:cs="Arial"/>
                <w:noProof/>
              </w:rPr>
              <w:t>3.5 Data Collection Methods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_Toc228731024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4</w:t>
            </w:r>
            <w:r w:rsidRPr="00953FA2">
              <w:rPr>
                <w:rFonts w:ascii="Arial" w:hAnsi="Arial" w:cs="Arial"/>
                <w:noProof/>
                <w:webHidden/>
              </w:rPr>
              <w:fldChar w:fldCharType="end"/>
            </w:r>
          </w:hyperlink>
        </w:p>
        <w:p w14:paraId="6244FB7E" w14:textId="5FD6D4D8"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5" w:history="1">
            <w:r w:rsidRPr="00953FA2">
              <w:rPr>
                <w:rStyle w:val="Hyperlink"/>
                <w:rFonts w:ascii="Arial" w:hAnsi="Arial" w:cs="Arial"/>
                <w:noProof/>
              </w:rPr>
              <w:t>3.6 Sampling Strategy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_Toc228731025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6</w:t>
            </w:r>
            <w:r w:rsidRPr="00953FA2">
              <w:rPr>
                <w:rFonts w:ascii="Arial" w:hAnsi="Arial" w:cs="Arial"/>
                <w:noProof/>
                <w:webHidden/>
              </w:rPr>
              <w:fldChar w:fldCharType="end"/>
            </w:r>
          </w:hyperlink>
        </w:p>
        <w:p w14:paraId="0B70F5A2" w14:textId="488F0BE6"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6" w:history="1">
            <w:r w:rsidRPr="00953FA2">
              <w:rPr>
                <w:rStyle w:val="Hyperlink"/>
                <w:rFonts w:ascii="Arial" w:hAnsi="Arial" w:cs="Arial"/>
                <w:noProof/>
              </w:rPr>
              <w:t>3.7 Data Analysis Method</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_Toc228731026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7</w:t>
            </w:r>
            <w:r w:rsidRPr="00953FA2">
              <w:rPr>
                <w:rFonts w:ascii="Arial" w:hAnsi="Arial" w:cs="Arial"/>
                <w:noProof/>
                <w:webHidden/>
              </w:rPr>
              <w:fldChar w:fldCharType="end"/>
            </w:r>
          </w:hyperlink>
        </w:p>
        <w:p w14:paraId="078BF32A" w14:textId="661435F0"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7" w:history="1">
            <w:r w:rsidRPr="00953FA2">
              <w:rPr>
                <w:rStyle w:val="Hyperlink"/>
                <w:rFonts w:ascii="Arial" w:hAnsi="Arial" w:cs="Arial"/>
                <w:noProof/>
              </w:rPr>
              <w:t>3.8 Quality and Rigour</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_Toc228731027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8</w:t>
            </w:r>
            <w:r w:rsidRPr="00953FA2">
              <w:rPr>
                <w:rFonts w:ascii="Arial" w:hAnsi="Arial" w:cs="Arial"/>
                <w:noProof/>
                <w:webHidden/>
              </w:rPr>
              <w:fldChar w:fldCharType="end"/>
            </w:r>
          </w:hyperlink>
        </w:p>
        <w:p w14:paraId="1EFC4549" w14:textId="1E0B663E"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8" w:history="1">
            <w:r w:rsidRPr="00953FA2">
              <w:rPr>
                <w:rStyle w:val="Hyperlink"/>
                <w:rFonts w:ascii="Arial" w:hAnsi="Arial" w:cs="Arial"/>
                <w:noProof/>
              </w:rPr>
              <w:t>3.9 Ethical Considerations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_Toc228731028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9</w:t>
            </w:r>
            <w:r w:rsidRPr="00953FA2">
              <w:rPr>
                <w:rFonts w:ascii="Arial" w:hAnsi="Arial" w:cs="Arial"/>
                <w:noProof/>
                <w:webHidden/>
              </w:rPr>
              <w:fldChar w:fldCharType="end"/>
            </w:r>
          </w:hyperlink>
        </w:p>
        <w:p w14:paraId="4EFACFBE" w14:textId="576F4B4E"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29" w:history="1">
            <w:r w:rsidRPr="00953FA2">
              <w:rPr>
                <w:rStyle w:val="Hyperlink"/>
                <w:rFonts w:ascii="Arial" w:hAnsi="Arial" w:cs="Arial"/>
                <w:noProof/>
              </w:rPr>
              <w:t>3.10 Study Limitations.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_Toc228731029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10</w:t>
            </w:r>
            <w:r w:rsidRPr="00953FA2">
              <w:rPr>
                <w:rFonts w:ascii="Arial" w:hAnsi="Arial" w:cs="Arial"/>
                <w:noProof/>
                <w:webHidden/>
              </w:rPr>
              <w:fldChar w:fldCharType="end"/>
            </w:r>
          </w:hyperlink>
        </w:p>
        <w:p w14:paraId="07009E25" w14:textId="1EAE0A23"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30" w:history="1">
            <w:r w:rsidRPr="00953FA2">
              <w:rPr>
                <w:rStyle w:val="Hyperlink"/>
                <w:rFonts w:ascii="Arial" w:hAnsi="Arial" w:cs="Arial"/>
                <w:noProof/>
              </w:rPr>
              <w:t>3.11 Summary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_Toc228731030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10</w:t>
            </w:r>
            <w:r w:rsidRPr="00953FA2">
              <w:rPr>
                <w:rFonts w:ascii="Arial" w:hAnsi="Arial" w:cs="Arial"/>
                <w:noProof/>
                <w:webHidden/>
              </w:rPr>
              <w:fldChar w:fldCharType="end"/>
            </w:r>
          </w:hyperlink>
        </w:p>
        <w:p w14:paraId="3DBF970E" w14:textId="26DEBDA4" w:rsidR="00953FA2" w:rsidRPr="00953FA2" w:rsidRDefault="00953FA2" w:rsidP="00953FA2">
          <w:pPr>
            <w:pStyle w:val="TOC1"/>
            <w:tabs>
              <w:tab w:val="right" w:leader="dot" w:pos="9016"/>
            </w:tabs>
            <w:spacing w:line="360" w:lineRule="auto"/>
            <w:jc w:val="both"/>
            <w:rPr>
              <w:rFonts w:ascii="Arial" w:eastAsiaTheme="minorEastAsia" w:hAnsi="Arial" w:cs="Arial"/>
              <w:noProof/>
            </w:rPr>
          </w:pPr>
          <w:hyperlink w:anchor="_Toc228731031" w:history="1">
            <w:r w:rsidRPr="00953FA2">
              <w:rPr>
                <w:rStyle w:val="Hyperlink"/>
                <w:rFonts w:ascii="Arial" w:hAnsi="Arial" w:cs="Arial"/>
                <w:noProof/>
              </w:rPr>
              <w:t>CHAPTER 4: FINDINGS, ANALYSIS AND DISCUSSION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_Toc228731031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7A12D4F7" w14:textId="2E492B73"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32" w:history="1">
            <w:r w:rsidRPr="00953FA2">
              <w:rPr>
                <w:rStyle w:val="Hyperlink"/>
                <w:rFonts w:ascii="Arial" w:hAnsi="Arial" w:cs="Arial"/>
                <w:noProof/>
              </w:rPr>
              <w:t>4.1 Introduction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_Toc228731032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3F81029D" w14:textId="419D5D2D"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33" w:history="1">
            <w:r w:rsidRPr="00953FA2">
              <w:rPr>
                <w:rStyle w:val="Hyperlink"/>
                <w:rFonts w:ascii="Arial" w:hAnsi="Arial" w:cs="Arial"/>
                <w:noProof/>
              </w:rPr>
              <w:t>4.2 Overview of Literature Reviewed</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_Toc228731033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534E16AD" w14:textId="19F357DC"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34" w:history="1">
            <w:r w:rsidRPr="00953FA2">
              <w:rPr>
                <w:rStyle w:val="Hyperlink"/>
                <w:rFonts w:ascii="Arial" w:hAnsi="Arial" w:cs="Arial"/>
                <w:noProof/>
              </w:rPr>
              <w:t>4.3 SLR Thematic Findings.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_Toc228731034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75C8DC49" w14:textId="27DEAA3B" w:rsidR="00953FA2" w:rsidRPr="00953FA2" w:rsidRDefault="00953FA2" w:rsidP="00953FA2">
          <w:pPr>
            <w:pStyle w:val="TOC3"/>
            <w:tabs>
              <w:tab w:val="right" w:leader="dot" w:pos="9016"/>
            </w:tabs>
            <w:spacing w:line="360" w:lineRule="auto"/>
            <w:jc w:val="both"/>
            <w:rPr>
              <w:rFonts w:ascii="Arial" w:eastAsiaTheme="minorEastAsia" w:hAnsi="Arial" w:cs="Arial"/>
              <w:noProof/>
            </w:rPr>
          </w:pPr>
          <w:hyperlink w:anchor="_Toc228731035" w:history="1">
            <w:r w:rsidRPr="00953FA2">
              <w:rPr>
                <w:rStyle w:val="Hyperlink"/>
                <w:rFonts w:ascii="Arial" w:hAnsi="Arial" w:cs="Arial"/>
                <w:noProof/>
              </w:rPr>
              <w:t>4.3.1 Theme 1: Emotional Storytelling and Consumer Engagement.</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_Toc228731035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35B7DCDF" w14:textId="27638CA0" w:rsidR="00953FA2" w:rsidRPr="00953FA2" w:rsidRDefault="00953FA2" w:rsidP="00953FA2">
          <w:pPr>
            <w:pStyle w:val="TOC3"/>
            <w:tabs>
              <w:tab w:val="right" w:leader="dot" w:pos="9016"/>
            </w:tabs>
            <w:spacing w:line="360" w:lineRule="auto"/>
            <w:jc w:val="both"/>
            <w:rPr>
              <w:rFonts w:ascii="Arial" w:eastAsiaTheme="minorEastAsia" w:hAnsi="Arial" w:cs="Arial"/>
              <w:noProof/>
            </w:rPr>
          </w:pPr>
          <w:hyperlink w:anchor="_Toc228731036" w:history="1">
            <w:r w:rsidRPr="00953FA2">
              <w:rPr>
                <w:rStyle w:val="Hyperlink"/>
                <w:rFonts w:ascii="Arial" w:hAnsi="Arial" w:cs="Arial"/>
                <w:noProof/>
              </w:rPr>
              <w:t>4.3.2 Theme 2: Building Community and Consumer involvement.</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_Toc228731036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4</w:t>
            </w:r>
            <w:r w:rsidRPr="00953FA2">
              <w:rPr>
                <w:rFonts w:ascii="Arial" w:hAnsi="Arial" w:cs="Arial"/>
                <w:noProof/>
                <w:webHidden/>
              </w:rPr>
              <w:fldChar w:fldCharType="end"/>
            </w:r>
          </w:hyperlink>
        </w:p>
        <w:p w14:paraId="69A136B1" w14:textId="16B435F9" w:rsidR="00953FA2" w:rsidRPr="00953FA2" w:rsidRDefault="00953FA2" w:rsidP="00953FA2">
          <w:pPr>
            <w:pStyle w:val="TOC3"/>
            <w:tabs>
              <w:tab w:val="right" w:leader="dot" w:pos="9016"/>
            </w:tabs>
            <w:spacing w:line="360" w:lineRule="auto"/>
            <w:jc w:val="both"/>
            <w:rPr>
              <w:rFonts w:ascii="Arial" w:eastAsiaTheme="minorEastAsia" w:hAnsi="Arial" w:cs="Arial"/>
              <w:noProof/>
            </w:rPr>
          </w:pPr>
          <w:hyperlink w:anchor="_Toc228731037" w:history="1">
            <w:r w:rsidRPr="00953FA2">
              <w:rPr>
                <w:rStyle w:val="Hyperlink"/>
                <w:rFonts w:ascii="Arial" w:hAnsi="Arial" w:cs="Arial"/>
                <w:noProof/>
              </w:rPr>
              <w:t>4.3.3 Theme 3: Consumer Identity Formation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_Toc228731037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5</w:t>
            </w:r>
            <w:r w:rsidRPr="00953FA2">
              <w:rPr>
                <w:rFonts w:ascii="Arial" w:hAnsi="Arial" w:cs="Arial"/>
                <w:noProof/>
                <w:webHidden/>
              </w:rPr>
              <w:fldChar w:fldCharType="end"/>
            </w:r>
          </w:hyperlink>
        </w:p>
        <w:p w14:paraId="68BC22C7" w14:textId="38C2F468" w:rsidR="00953FA2" w:rsidRPr="00953FA2" w:rsidRDefault="00953FA2" w:rsidP="00953FA2">
          <w:pPr>
            <w:pStyle w:val="TOC3"/>
            <w:tabs>
              <w:tab w:val="right" w:leader="dot" w:pos="9016"/>
            </w:tabs>
            <w:spacing w:line="360" w:lineRule="auto"/>
            <w:jc w:val="both"/>
            <w:rPr>
              <w:rFonts w:ascii="Arial" w:eastAsiaTheme="minorEastAsia" w:hAnsi="Arial" w:cs="Arial"/>
              <w:noProof/>
            </w:rPr>
          </w:pPr>
          <w:hyperlink w:anchor="_Toc228731038" w:history="1">
            <w:r w:rsidRPr="00953FA2">
              <w:rPr>
                <w:rStyle w:val="Hyperlink"/>
                <w:rFonts w:ascii="Arial" w:hAnsi="Arial" w:cs="Arial"/>
                <w:noProof/>
              </w:rPr>
              <w:t>4.3.4 Theme 4: Brand Advocacy and Loyalty Behaviour.</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_Toc228731038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5</w:t>
            </w:r>
            <w:r w:rsidRPr="00953FA2">
              <w:rPr>
                <w:rFonts w:ascii="Arial" w:hAnsi="Arial" w:cs="Arial"/>
                <w:noProof/>
                <w:webHidden/>
              </w:rPr>
              <w:fldChar w:fldCharType="end"/>
            </w:r>
          </w:hyperlink>
        </w:p>
        <w:p w14:paraId="148F1D83" w14:textId="002ED99C" w:rsidR="00953FA2" w:rsidRPr="00953FA2" w:rsidRDefault="00953FA2" w:rsidP="00953FA2">
          <w:pPr>
            <w:pStyle w:val="TOC3"/>
            <w:tabs>
              <w:tab w:val="right" w:leader="dot" w:pos="9016"/>
            </w:tabs>
            <w:spacing w:line="360" w:lineRule="auto"/>
            <w:jc w:val="both"/>
            <w:rPr>
              <w:rFonts w:ascii="Arial" w:eastAsiaTheme="minorEastAsia" w:hAnsi="Arial" w:cs="Arial"/>
              <w:noProof/>
            </w:rPr>
          </w:pPr>
          <w:hyperlink w:anchor="_Toc228731039" w:history="1">
            <w:r w:rsidRPr="00953FA2">
              <w:rPr>
                <w:rStyle w:val="Hyperlink"/>
                <w:rFonts w:ascii="Arial" w:hAnsi="Arial" w:cs="Arial"/>
                <w:noProof/>
              </w:rPr>
              <w:t>4.3.5 Theme 5: Value of Digital Interaction and Experiences.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_Toc228731039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6</w:t>
            </w:r>
            <w:r w:rsidRPr="00953FA2">
              <w:rPr>
                <w:rFonts w:ascii="Arial" w:hAnsi="Arial" w:cs="Arial"/>
                <w:noProof/>
                <w:webHidden/>
              </w:rPr>
              <w:fldChar w:fldCharType="end"/>
            </w:r>
          </w:hyperlink>
        </w:p>
        <w:p w14:paraId="516BEFAC" w14:textId="6E565FD2"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0" w:history="1">
            <w:r w:rsidRPr="00953FA2">
              <w:rPr>
                <w:rStyle w:val="Hyperlink"/>
                <w:rFonts w:ascii="Arial" w:hAnsi="Arial" w:cs="Arial"/>
                <w:noProof/>
              </w:rPr>
              <w:t>4.4 Combined Interpretation of Results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_Toc228731040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7</w:t>
            </w:r>
            <w:r w:rsidRPr="00953FA2">
              <w:rPr>
                <w:rFonts w:ascii="Arial" w:hAnsi="Arial" w:cs="Arial"/>
                <w:noProof/>
                <w:webHidden/>
              </w:rPr>
              <w:fldChar w:fldCharType="end"/>
            </w:r>
          </w:hyperlink>
        </w:p>
        <w:p w14:paraId="34D68575" w14:textId="1FFBA57B"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1" w:history="1">
            <w:r w:rsidRPr="00953FA2">
              <w:rPr>
                <w:rStyle w:val="Hyperlink"/>
                <w:rFonts w:ascii="Arial" w:hAnsi="Arial" w:cs="Arial"/>
                <w:noProof/>
              </w:rPr>
              <w:t>4.5 Critical Analysis of Results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_Toc228731041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8</w:t>
            </w:r>
            <w:r w:rsidRPr="00953FA2">
              <w:rPr>
                <w:rFonts w:ascii="Arial" w:hAnsi="Arial" w:cs="Arial"/>
                <w:noProof/>
                <w:webHidden/>
              </w:rPr>
              <w:fldChar w:fldCharType="end"/>
            </w:r>
          </w:hyperlink>
        </w:p>
        <w:p w14:paraId="24CAA988" w14:textId="350C0A35"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2" w:history="1">
            <w:r w:rsidRPr="00953FA2">
              <w:rPr>
                <w:rStyle w:val="Hyperlink"/>
                <w:rFonts w:ascii="Arial" w:hAnsi="Arial" w:cs="Arial"/>
                <w:noProof/>
              </w:rPr>
              <w:t>4.6 Comparison with Existing Literature</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_Toc228731042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9</w:t>
            </w:r>
            <w:r w:rsidRPr="00953FA2">
              <w:rPr>
                <w:rFonts w:ascii="Arial" w:hAnsi="Arial" w:cs="Arial"/>
                <w:noProof/>
                <w:webHidden/>
              </w:rPr>
              <w:fldChar w:fldCharType="end"/>
            </w:r>
          </w:hyperlink>
        </w:p>
        <w:p w14:paraId="0DD67996" w14:textId="73004898"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3" w:history="1">
            <w:r w:rsidRPr="00953FA2">
              <w:rPr>
                <w:rStyle w:val="Hyperlink"/>
                <w:rFonts w:ascii="Arial" w:hAnsi="Arial" w:cs="Arial"/>
                <w:noProof/>
              </w:rPr>
              <w:t>4.7 Conceptual Insight (Nike Case Context)</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_Toc228731043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11</w:t>
            </w:r>
            <w:r w:rsidRPr="00953FA2">
              <w:rPr>
                <w:rFonts w:ascii="Arial" w:hAnsi="Arial" w:cs="Arial"/>
                <w:noProof/>
                <w:webHidden/>
              </w:rPr>
              <w:fldChar w:fldCharType="end"/>
            </w:r>
          </w:hyperlink>
        </w:p>
        <w:p w14:paraId="7803254A" w14:textId="15D02340"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4" w:history="1">
            <w:r w:rsidRPr="00953FA2">
              <w:rPr>
                <w:rStyle w:val="Hyperlink"/>
                <w:rFonts w:ascii="Arial" w:hAnsi="Arial" w:cs="Arial"/>
                <w:noProof/>
              </w:rPr>
              <w:t>4.8 Conclusion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_Toc228731044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11</w:t>
            </w:r>
            <w:r w:rsidRPr="00953FA2">
              <w:rPr>
                <w:rFonts w:ascii="Arial" w:hAnsi="Arial" w:cs="Arial"/>
                <w:noProof/>
                <w:webHidden/>
              </w:rPr>
              <w:fldChar w:fldCharType="end"/>
            </w:r>
          </w:hyperlink>
        </w:p>
        <w:p w14:paraId="2BBA71C2" w14:textId="43B3D414" w:rsidR="00953FA2" w:rsidRPr="00953FA2" w:rsidRDefault="00953FA2" w:rsidP="00953FA2">
          <w:pPr>
            <w:pStyle w:val="TOC1"/>
            <w:tabs>
              <w:tab w:val="right" w:leader="dot" w:pos="9016"/>
            </w:tabs>
            <w:spacing w:line="360" w:lineRule="auto"/>
            <w:jc w:val="both"/>
            <w:rPr>
              <w:rFonts w:ascii="Arial" w:eastAsiaTheme="minorEastAsia" w:hAnsi="Arial" w:cs="Arial"/>
              <w:noProof/>
            </w:rPr>
          </w:pPr>
          <w:hyperlink w:anchor="_Toc228731045" w:history="1">
            <w:r w:rsidRPr="00953FA2">
              <w:rPr>
                <w:rStyle w:val="Hyperlink"/>
                <w:rFonts w:ascii="Arial" w:hAnsi="Arial" w:cs="Arial"/>
                <w:noProof/>
              </w:rPr>
              <w:t>CHAPTER 5: Conclusion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_Toc228731045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2AAAEC48" w14:textId="6F222465"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6" w:history="1">
            <w:r w:rsidRPr="00953FA2">
              <w:rPr>
                <w:rStyle w:val="Hyperlink"/>
                <w:rFonts w:ascii="Arial" w:hAnsi="Arial" w:cs="Arial"/>
                <w:noProof/>
              </w:rPr>
              <w:t>5.1 Introduction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_Toc228731046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1</w:t>
            </w:r>
            <w:r w:rsidRPr="00953FA2">
              <w:rPr>
                <w:rFonts w:ascii="Arial" w:hAnsi="Arial" w:cs="Arial"/>
                <w:noProof/>
                <w:webHidden/>
              </w:rPr>
              <w:fldChar w:fldCharType="end"/>
            </w:r>
          </w:hyperlink>
        </w:p>
        <w:p w14:paraId="7A374099" w14:textId="3E21D876"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7" w:history="1">
            <w:r w:rsidRPr="00953FA2">
              <w:rPr>
                <w:rStyle w:val="Hyperlink"/>
                <w:rFonts w:ascii="Arial" w:hAnsi="Arial" w:cs="Arial"/>
                <w:noProof/>
              </w:rPr>
              <w:t>5.2 Summary of Key Findings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_Toc228731047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2</w:t>
            </w:r>
            <w:r w:rsidRPr="00953FA2">
              <w:rPr>
                <w:rFonts w:ascii="Arial" w:hAnsi="Arial" w:cs="Arial"/>
                <w:noProof/>
                <w:webHidden/>
              </w:rPr>
              <w:fldChar w:fldCharType="end"/>
            </w:r>
          </w:hyperlink>
        </w:p>
        <w:p w14:paraId="34B6217F" w14:textId="599B42D0"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8" w:history="1">
            <w:r w:rsidRPr="00953FA2">
              <w:rPr>
                <w:rStyle w:val="Hyperlink"/>
                <w:rFonts w:ascii="Arial" w:hAnsi="Arial" w:cs="Arial"/>
                <w:noProof/>
              </w:rPr>
              <w:t>5.3 Achievement of Research Objectives</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_Toc228731048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3</w:t>
            </w:r>
            <w:r w:rsidRPr="00953FA2">
              <w:rPr>
                <w:rFonts w:ascii="Arial" w:hAnsi="Arial" w:cs="Arial"/>
                <w:noProof/>
                <w:webHidden/>
              </w:rPr>
              <w:fldChar w:fldCharType="end"/>
            </w:r>
          </w:hyperlink>
        </w:p>
        <w:p w14:paraId="4A2FDEFA" w14:textId="3D503A90"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49" w:history="1">
            <w:r w:rsidRPr="00953FA2">
              <w:rPr>
                <w:rStyle w:val="Hyperlink"/>
                <w:rFonts w:ascii="Arial" w:hAnsi="Arial" w:cs="Arial"/>
                <w:noProof/>
              </w:rPr>
              <w:t>5.4 Contribution of the Study</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_Toc228731049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4</w:t>
            </w:r>
            <w:r w:rsidRPr="00953FA2">
              <w:rPr>
                <w:rFonts w:ascii="Arial" w:hAnsi="Arial" w:cs="Arial"/>
                <w:noProof/>
                <w:webHidden/>
              </w:rPr>
              <w:fldChar w:fldCharType="end"/>
            </w:r>
          </w:hyperlink>
        </w:p>
        <w:p w14:paraId="2989EE7E" w14:textId="1D5C3A16" w:rsidR="00953FA2" w:rsidRPr="00953FA2" w:rsidRDefault="00953FA2" w:rsidP="00953FA2">
          <w:pPr>
            <w:pStyle w:val="TOC2"/>
            <w:tabs>
              <w:tab w:val="right" w:leader="dot" w:pos="9016"/>
            </w:tabs>
            <w:spacing w:line="360" w:lineRule="auto"/>
            <w:jc w:val="both"/>
            <w:rPr>
              <w:rFonts w:ascii="Arial" w:eastAsiaTheme="minorEastAsia" w:hAnsi="Arial" w:cs="Arial"/>
              <w:noProof/>
            </w:rPr>
          </w:pPr>
          <w:hyperlink w:anchor="_Toc228731050" w:history="1">
            <w:r w:rsidRPr="00953FA2">
              <w:rPr>
                <w:rStyle w:val="Hyperlink"/>
                <w:rFonts w:ascii="Arial" w:hAnsi="Arial" w:cs="Arial"/>
                <w:noProof/>
              </w:rPr>
              <w:t>5.5 Final Conclusion</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_Toc228731050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5</w:t>
            </w:r>
            <w:r w:rsidRPr="00953FA2">
              <w:rPr>
                <w:rFonts w:ascii="Arial" w:hAnsi="Arial" w:cs="Arial"/>
                <w:noProof/>
                <w:webHidden/>
              </w:rPr>
              <w:fldChar w:fldCharType="end"/>
            </w:r>
          </w:hyperlink>
        </w:p>
        <w:p w14:paraId="2B8F312A" w14:textId="55AFA1C6" w:rsidR="00953FA2" w:rsidRDefault="00953FA2" w:rsidP="00953FA2">
          <w:pPr>
            <w:pStyle w:val="TOC2"/>
            <w:tabs>
              <w:tab w:val="right" w:leader="dot" w:pos="9016"/>
            </w:tabs>
            <w:spacing w:line="360" w:lineRule="auto"/>
            <w:jc w:val="both"/>
            <w:rPr>
              <w:rFonts w:asciiTheme="minorHAnsi" w:eastAsiaTheme="minorEastAsia" w:hAnsiTheme="minorHAnsi" w:cstheme="minorBidi"/>
              <w:noProof/>
            </w:rPr>
          </w:pPr>
          <w:hyperlink w:anchor="_Toc228731051" w:history="1">
            <w:r w:rsidRPr="00953FA2">
              <w:rPr>
                <w:rStyle w:val="Hyperlink"/>
                <w:rFonts w:ascii="Arial" w:hAnsi="Arial" w:cs="Arial"/>
                <w:noProof/>
              </w:rPr>
              <w:t>5.6 Study limitations (Systematic Literature Review Approach)</w:t>
            </w:r>
            <w:r w:rsidRPr="00953FA2">
              <w:rPr>
                <w:rFonts w:ascii="Arial" w:hAnsi="Arial" w:cs="Arial"/>
                <w:noProof/>
                <w:webHidden/>
              </w:rPr>
              <w:tab/>
            </w:r>
            <w:r w:rsidRPr="00953FA2">
              <w:rPr>
                <w:rFonts w:ascii="Arial" w:hAnsi="Arial" w:cs="Arial"/>
                <w:noProof/>
                <w:webHidden/>
              </w:rPr>
              <w:fldChar w:fldCharType="begin"/>
            </w:r>
            <w:r w:rsidRPr="00953FA2">
              <w:rPr>
                <w:rFonts w:ascii="Arial" w:hAnsi="Arial" w:cs="Arial"/>
                <w:noProof/>
                <w:webHidden/>
              </w:rPr>
              <w:instrText xml:space="preserve"> PAGEREF _Toc228731051 \h </w:instrText>
            </w:r>
            <w:r w:rsidRPr="00953FA2">
              <w:rPr>
                <w:rFonts w:ascii="Arial" w:hAnsi="Arial" w:cs="Arial"/>
                <w:noProof/>
                <w:webHidden/>
              </w:rPr>
            </w:r>
            <w:r w:rsidRPr="00953FA2">
              <w:rPr>
                <w:rFonts w:ascii="Arial" w:hAnsi="Arial" w:cs="Arial"/>
                <w:noProof/>
                <w:webHidden/>
              </w:rPr>
              <w:fldChar w:fldCharType="separate"/>
            </w:r>
            <w:r w:rsidRPr="00953FA2">
              <w:rPr>
                <w:rFonts w:ascii="Arial" w:hAnsi="Arial" w:cs="Arial"/>
                <w:noProof/>
                <w:webHidden/>
              </w:rPr>
              <w:t>6</w:t>
            </w:r>
            <w:r w:rsidRPr="00953FA2">
              <w:rPr>
                <w:rFonts w:ascii="Arial" w:hAnsi="Arial" w:cs="Arial"/>
                <w:noProof/>
                <w:webHidden/>
              </w:rPr>
              <w:fldChar w:fldCharType="end"/>
            </w:r>
          </w:hyperlink>
        </w:p>
        <w:p w14:paraId="45BC0A0E" w14:textId="7F2A2175" w:rsidR="008B55C4" w:rsidRPr="002C7667" w:rsidRDefault="00035D2C" w:rsidP="002C7667">
          <w:pPr>
            <w:widowControl w:val="0"/>
            <w:tabs>
              <w:tab w:val="right" w:leader="dot" w:pos="12000"/>
            </w:tabs>
            <w:spacing w:before="60" w:after="0" w:line="360" w:lineRule="auto"/>
            <w:ind w:left="360"/>
            <w:jc w:val="both"/>
            <w:rPr>
              <w:rFonts w:ascii="Arial" w:eastAsia="Arial" w:hAnsi="Arial" w:cs="Arial"/>
              <w:color w:val="000000"/>
              <w:sz w:val="24"/>
              <w:szCs w:val="24"/>
            </w:rPr>
          </w:pPr>
          <w:r w:rsidRPr="002C7667">
            <w:rPr>
              <w:rFonts w:ascii="Arial" w:hAnsi="Arial" w:cs="Arial"/>
              <w:sz w:val="24"/>
              <w:szCs w:val="24"/>
            </w:rPr>
            <w:fldChar w:fldCharType="end"/>
          </w:r>
        </w:p>
      </w:sdtContent>
    </w:sdt>
    <w:p w14:paraId="59DA9E24" w14:textId="77777777" w:rsidR="008B55C4" w:rsidRDefault="008B55C4">
      <w:pPr>
        <w:spacing w:line="360" w:lineRule="auto"/>
        <w:rPr>
          <w:rFonts w:ascii="Arial" w:eastAsia="Arial" w:hAnsi="Arial" w:cs="Arial"/>
          <w:sz w:val="24"/>
          <w:szCs w:val="24"/>
        </w:rPr>
      </w:pPr>
    </w:p>
    <w:p w14:paraId="32F1A9DD" w14:textId="77777777" w:rsidR="00EC61DC" w:rsidRDefault="00EC61DC" w:rsidP="00585F45">
      <w:pP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List of Table</w:t>
      </w:r>
    </w:p>
    <w:p w14:paraId="5F23E364" w14:textId="36B5354B" w:rsidR="002C173F" w:rsidRPr="00305160" w:rsidRDefault="002C173F" w:rsidP="00305160">
      <w:pPr>
        <w:pStyle w:val="TableofFigures"/>
        <w:tabs>
          <w:tab w:val="right" w:leader="dot" w:pos="9016"/>
        </w:tabs>
        <w:spacing w:line="360" w:lineRule="auto"/>
        <w:jc w:val="both"/>
        <w:rPr>
          <w:rFonts w:ascii="Arial" w:eastAsiaTheme="minorEastAsia" w:hAnsi="Arial" w:cs="Arial"/>
          <w:noProof/>
          <w:sz w:val="24"/>
        </w:rPr>
      </w:pPr>
      <w:r>
        <w:rPr>
          <w:rFonts w:ascii="Arial" w:eastAsia="Arial" w:hAnsi="Arial" w:cs="Arial"/>
          <w:bCs/>
          <w:color w:val="000000"/>
          <w:sz w:val="24"/>
          <w:szCs w:val="24"/>
        </w:rPr>
        <w:fldChar w:fldCharType="begin"/>
      </w:r>
      <w:r>
        <w:rPr>
          <w:rFonts w:ascii="Arial" w:eastAsia="Arial" w:hAnsi="Arial" w:cs="Arial"/>
          <w:bCs/>
          <w:color w:val="000000"/>
          <w:sz w:val="24"/>
          <w:szCs w:val="24"/>
        </w:rPr>
        <w:instrText xml:space="preserve"> TOC \h \z \c "Table" </w:instrText>
      </w:r>
      <w:r>
        <w:rPr>
          <w:rFonts w:ascii="Arial" w:eastAsia="Arial" w:hAnsi="Arial" w:cs="Arial"/>
          <w:bCs/>
          <w:color w:val="000000"/>
          <w:sz w:val="24"/>
          <w:szCs w:val="24"/>
        </w:rPr>
        <w:fldChar w:fldCharType="separate"/>
      </w:r>
      <w:hyperlink w:anchor="_Toc228725925" w:history="1">
        <w:r w:rsidRPr="00305160">
          <w:rPr>
            <w:rStyle w:val="Hyperlink"/>
            <w:rFonts w:ascii="Arial" w:hAnsi="Arial" w:cs="Arial"/>
            <w:noProof/>
            <w:sz w:val="24"/>
          </w:rPr>
          <w:t>Table 1: Research Philosophy Summary. (adapted from Saunders et al., 2019; Creswell, 2014; Bryman, 2016)</w:t>
        </w:r>
        <w:r w:rsidRPr="00305160">
          <w:rPr>
            <w:rFonts w:ascii="Arial" w:hAnsi="Arial" w:cs="Arial"/>
            <w:noProof/>
            <w:webHidden/>
            <w:sz w:val="24"/>
          </w:rPr>
          <w:tab/>
        </w:r>
        <w:r w:rsidRPr="00305160">
          <w:rPr>
            <w:rFonts w:ascii="Arial" w:hAnsi="Arial" w:cs="Arial"/>
            <w:noProof/>
            <w:webHidden/>
            <w:sz w:val="24"/>
          </w:rPr>
          <w:fldChar w:fldCharType="begin"/>
        </w:r>
        <w:r w:rsidRPr="00305160">
          <w:rPr>
            <w:rFonts w:ascii="Arial" w:hAnsi="Arial" w:cs="Arial"/>
            <w:noProof/>
            <w:webHidden/>
            <w:sz w:val="24"/>
          </w:rPr>
          <w:instrText xml:space="preserve"> PAGEREF _Toc228725925 \h </w:instrText>
        </w:r>
        <w:r w:rsidRPr="00305160">
          <w:rPr>
            <w:rFonts w:ascii="Arial" w:hAnsi="Arial" w:cs="Arial"/>
            <w:noProof/>
            <w:webHidden/>
            <w:sz w:val="24"/>
          </w:rPr>
        </w:r>
        <w:r w:rsidRPr="00305160">
          <w:rPr>
            <w:rFonts w:ascii="Arial" w:hAnsi="Arial" w:cs="Arial"/>
            <w:noProof/>
            <w:webHidden/>
            <w:sz w:val="24"/>
          </w:rPr>
          <w:fldChar w:fldCharType="separate"/>
        </w:r>
        <w:r w:rsidRPr="00305160">
          <w:rPr>
            <w:rFonts w:ascii="Arial" w:hAnsi="Arial" w:cs="Arial"/>
            <w:noProof/>
            <w:webHidden/>
            <w:sz w:val="24"/>
          </w:rPr>
          <w:t>2</w:t>
        </w:r>
        <w:r w:rsidRPr="00305160">
          <w:rPr>
            <w:rFonts w:ascii="Arial" w:hAnsi="Arial" w:cs="Arial"/>
            <w:noProof/>
            <w:webHidden/>
            <w:sz w:val="24"/>
          </w:rPr>
          <w:fldChar w:fldCharType="end"/>
        </w:r>
      </w:hyperlink>
    </w:p>
    <w:p w14:paraId="7ED75A80" w14:textId="7E9E0574" w:rsidR="002C173F" w:rsidRPr="00305160" w:rsidRDefault="002C173F" w:rsidP="00305160">
      <w:pPr>
        <w:pStyle w:val="TableofFigures"/>
        <w:tabs>
          <w:tab w:val="right" w:leader="dot" w:pos="9016"/>
        </w:tabs>
        <w:spacing w:line="360" w:lineRule="auto"/>
        <w:jc w:val="both"/>
        <w:rPr>
          <w:rFonts w:ascii="Arial" w:eastAsiaTheme="minorEastAsia" w:hAnsi="Arial" w:cs="Arial"/>
          <w:noProof/>
          <w:sz w:val="24"/>
        </w:rPr>
      </w:pPr>
      <w:hyperlink w:anchor="_Toc228725926" w:history="1">
        <w:r w:rsidRPr="00305160">
          <w:rPr>
            <w:rStyle w:val="Hyperlink"/>
            <w:rFonts w:ascii="Arial" w:hAnsi="Arial" w:cs="Arial"/>
            <w:noProof/>
            <w:sz w:val="24"/>
          </w:rPr>
          <w:t>Table 2: Research Databases and Search Strategy. adapted from Google Scholar, Scopus, Web of Science, ScienceDirect, and Taylor &amp; Francis.</w:t>
        </w:r>
        <w:r w:rsidRPr="00305160">
          <w:rPr>
            <w:rFonts w:ascii="Arial" w:hAnsi="Arial" w:cs="Arial"/>
            <w:noProof/>
            <w:webHidden/>
            <w:sz w:val="24"/>
          </w:rPr>
          <w:tab/>
        </w:r>
        <w:r w:rsidRPr="00305160">
          <w:rPr>
            <w:rFonts w:ascii="Arial" w:hAnsi="Arial" w:cs="Arial"/>
            <w:noProof/>
            <w:webHidden/>
            <w:sz w:val="24"/>
          </w:rPr>
          <w:fldChar w:fldCharType="begin"/>
        </w:r>
        <w:r w:rsidRPr="00305160">
          <w:rPr>
            <w:rFonts w:ascii="Arial" w:hAnsi="Arial" w:cs="Arial"/>
            <w:noProof/>
            <w:webHidden/>
            <w:sz w:val="24"/>
          </w:rPr>
          <w:instrText xml:space="preserve"> PAGEREF _Toc228725926 \h </w:instrText>
        </w:r>
        <w:r w:rsidRPr="00305160">
          <w:rPr>
            <w:rFonts w:ascii="Arial" w:hAnsi="Arial" w:cs="Arial"/>
            <w:noProof/>
            <w:webHidden/>
            <w:sz w:val="24"/>
          </w:rPr>
        </w:r>
        <w:r w:rsidRPr="00305160">
          <w:rPr>
            <w:rFonts w:ascii="Arial" w:hAnsi="Arial" w:cs="Arial"/>
            <w:noProof/>
            <w:webHidden/>
            <w:sz w:val="24"/>
          </w:rPr>
          <w:fldChar w:fldCharType="separate"/>
        </w:r>
        <w:r w:rsidRPr="00305160">
          <w:rPr>
            <w:rFonts w:ascii="Arial" w:hAnsi="Arial" w:cs="Arial"/>
            <w:noProof/>
            <w:webHidden/>
            <w:sz w:val="24"/>
          </w:rPr>
          <w:t>5</w:t>
        </w:r>
        <w:r w:rsidRPr="00305160">
          <w:rPr>
            <w:rFonts w:ascii="Arial" w:hAnsi="Arial" w:cs="Arial"/>
            <w:noProof/>
            <w:webHidden/>
            <w:sz w:val="24"/>
          </w:rPr>
          <w:fldChar w:fldCharType="end"/>
        </w:r>
      </w:hyperlink>
    </w:p>
    <w:p w14:paraId="26B7E546" w14:textId="312654C3" w:rsidR="002C173F" w:rsidRPr="00305160" w:rsidRDefault="002C173F" w:rsidP="00305160">
      <w:pPr>
        <w:pStyle w:val="TableofFigures"/>
        <w:tabs>
          <w:tab w:val="right" w:leader="dot" w:pos="9016"/>
        </w:tabs>
        <w:spacing w:line="360" w:lineRule="auto"/>
        <w:jc w:val="both"/>
        <w:rPr>
          <w:rFonts w:ascii="Arial" w:eastAsiaTheme="minorEastAsia" w:hAnsi="Arial" w:cs="Arial"/>
          <w:noProof/>
          <w:sz w:val="24"/>
        </w:rPr>
      </w:pPr>
      <w:hyperlink w:anchor="_Toc228725927" w:history="1">
        <w:r w:rsidRPr="00305160">
          <w:rPr>
            <w:rStyle w:val="Hyperlink"/>
            <w:rFonts w:ascii="Arial" w:hAnsi="Arial" w:cs="Arial"/>
            <w:noProof/>
            <w:sz w:val="24"/>
          </w:rPr>
          <w:t>Table 3: Keywords Used for Literature Search. (adapted from Saunders et al., 2019; Creswell, 2014; Bryman, 2016)</w:t>
        </w:r>
        <w:r w:rsidRPr="00305160">
          <w:rPr>
            <w:rFonts w:ascii="Arial" w:hAnsi="Arial" w:cs="Arial"/>
            <w:noProof/>
            <w:webHidden/>
            <w:sz w:val="24"/>
          </w:rPr>
          <w:tab/>
        </w:r>
        <w:r w:rsidRPr="00305160">
          <w:rPr>
            <w:rFonts w:ascii="Arial" w:hAnsi="Arial" w:cs="Arial"/>
            <w:noProof/>
            <w:webHidden/>
            <w:sz w:val="24"/>
          </w:rPr>
          <w:fldChar w:fldCharType="begin"/>
        </w:r>
        <w:r w:rsidRPr="00305160">
          <w:rPr>
            <w:rFonts w:ascii="Arial" w:hAnsi="Arial" w:cs="Arial"/>
            <w:noProof/>
            <w:webHidden/>
            <w:sz w:val="24"/>
          </w:rPr>
          <w:instrText xml:space="preserve"> PAGEREF _Toc228725927 \h </w:instrText>
        </w:r>
        <w:r w:rsidRPr="00305160">
          <w:rPr>
            <w:rFonts w:ascii="Arial" w:hAnsi="Arial" w:cs="Arial"/>
            <w:noProof/>
            <w:webHidden/>
            <w:sz w:val="24"/>
          </w:rPr>
        </w:r>
        <w:r w:rsidRPr="00305160">
          <w:rPr>
            <w:rFonts w:ascii="Arial" w:hAnsi="Arial" w:cs="Arial"/>
            <w:noProof/>
            <w:webHidden/>
            <w:sz w:val="24"/>
          </w:rPr>
          <w:fldChar w:fldCharType="separate"/>
        </w:r>
        <w:r w:rsidRPr="00305160">
          <w:rPr>
            <w:rFonts w:ascii="Arial" w:hAnsi="Arial" w:cs="Arial"/>
            <w:noProof/>
            <w:webHidden/>
            <w:sz w:val="24"/>
          </w:rPr>
          <w:t>6</w:t>
        </w:r>
        <w:r w:rsidRPr="00305160">
          <w:rPr>
            <w:rFonts w:ascii="Arial" w:hAnsi="Arial" w:cs="Arial"/>
            <w:noProof/>
            <w:webHidden/>
            <w:sz w:val="24"/>
          </w:rPr>
          <w:fldChar w:fldCharType="end"/>
        </w:r>
      </w:hyperlink>
    </w:p>
    <w:p w14:paraId="77E3832C" w14:textId="3445B677" w:rsidR="002C173F" w:rsidRPr="00305160" w:rsidRDefault="002C173F" w:rsidP="00305160">
      <w:pPr>
        <w:pStyle w:val="TableofFigures"/>
        <w:tabs>
          <w:tab w:val="right" w:leader="dot" w:pos="9016"/>
        </w:tabs>
        <w:spacing w:line="360" w:lineRule="auto"/>
        <w:jc w:val="both"/>
        <w:rPr>
          <w:rFonts w:ascii="Arial" w:eastAsiaTheme="minorEastAsia" w:hAnsi="Arial" w:cs="Arial"/>
          <w:noProof/>
          <w:sz w:val="24"/>
        </w:rPr>
      </w:pPr>
      <w:hyperlink w:anchor="_Toc228725928" w:history="1">
        <w:r w:rsidRPr="00305160">
          <w:rPr>
            <w:rStyle w:val="Hyperlink"/>
            <w:rFonts w:ascii="Arial" w:hAnsi="Arial" w:cs="Arial"/>
            <w:noProof/>
            <w:sz w:val="24"/>
          </w:rPr>
          <w:t>Table 4: Article Selection Stages. (adapted from PRISMA guidelines: Moher et al., 2009; Page et al., 2021)</w:t>
        </w:r>
        <w:r w:rsidRPr="00305160">
          <w:rPr>
            <w:rFonts w:ascii="Arial" w:hAnsi="Arial" w:cs="Arial"/>
            <w:noProof/>
            <w:webHidden/>
            <w:sz w:val="24"/>
          </w:rPr>
          <w:tab/>
        </w:r>
        <w:r w:rsidRPr="00305160">
          <w:rPr>
            <w:rFonts w:ascii="Arial" w:hAnsi="Arial" w:cs="Arial"/>
            <w:noProof/>
            <w:webHidden/>
            <w:sz w:val="24"/>
          </w:rPr>
          <w:fldChar w:fldCharType="begin"/>
        </w:r>
        <w:r w:rsidRPr="00305160">
          <w:rPr>
            <w:rFonts w:ascii="Arial" w:hAnsi="Arial" w:cs="Arial"/>
            <w:noProof/>
            <w:webHidden/>
            <w:sz w:val="24"/>
          </w:rPr>
          <w:instrText xml:space="preserve"> PAGEREF _Toc228725928 \h </w:instrText>
        </w:r>
        <w:r w:rsidRPr="00305160">
          <w:rPr>
            <w:rFonts w:ascii="Arial" w:hAnsi="Arial" w:cs="Arial"/>
            <w:noProof/>
            <w:webHidden/>
            <w:sz w:val="24"/>
          </w:rPr>
        </w:r>
        <w:r w:rsidRPr="00305160">
          <w:rPr>
            <w:rFonts w:ascii="Arial" w:hAnsi="Arial" w:cs="Arial"/>
            <w:noProof/>
            <w:webHidden/>
            <w:sz w:val="24"/>
          </w:rPr>
          <w:fldChar w:fldCharType="separate"/>
        </w:r>
        <w:r w:rsidRPr="00305160">
          <w:rPr>
            <w:rFonts w:ascii="Arial" w:hAnsi="Arial" w:cs="Arial"/>
            <w:noProof/>
            <w:webHidden/>
            <w:sz w:val="24"/>
          </w:rPr>
          <w:t>7</w:t>
        </w:r>
        <w:r w:rsidRPr="00305160">
          <w:rPr>
            <w:rFonts w:ascii="Arial" w:hAnsi="Arial" w:cs="Arial"/>
            <w:noProof/>
            <w:webHidden/>
            <w:sz w:val="24"/>
          </w:rPr>
          <w:fldChar w:fldCharType="end"/>
        </w:r>
      </w:hyperlink>
    </w:p>
    <w:p w14:paraId="6E2C1988" w14:textId="0193399C" w:rsidR="002C173F" w:rsidRPr="00305160" w:rsidRDefault="002C173F" w:rsidP="00305160">
      <w:pPr>
        <w:pStyle w:val="TableofFigures"/>
        <w:tabs>
          <w:tab w:val="right" w:leader="dot" w:pos="9016"/>
        </w:tabs>
        <w:spacing w:line="360" w:lineRule="auto"/>
        <w:jc w:val="both"/>
        <w:rPr>
          <w:rFonts w:ascii="Arial" w:eastAsiaTheme="minorEastAsia" w:hAnsi="Arial" w:cs="Arial"/>
          <w:noProof/>
          <w:sz w:val="24"/>
        </w:rPr>
      </w:pPr>
      <w:hyperlink w:anchor="_Toc228725929" w:history="1">
        <w:r w:rsidRPr="00305160">
          <w:rPr>
            <w:rStyle w:val="Hyperlink"/>
            <w:rFonts w:ascii="Arial" w:hAnsi="Arial" w:cs="Arial"/>
            <w:noProof/>
            <w:sz w:val="24"/>
          </w:rPr>
          <w:t>Table 5: Summary of Key Literature Insights</w:t>
        </w:r>
        <w:r w:rsidRPr="00305160">
          <w:rPr>
            <w:rFonts w:ascii="Arial" w:hAnsi="Arial" w:cs="Arial"/>
            <w:noProof/>
            <w:webHidden/>
            <w:sz w:val="24"/>
          </w:rPr>
          <w:tab/>
        </w:r>
        <w:r w:rsidRPr="00305160">
          <w:rPr>
            <w:rFonts w:ascii="Arial" w:hAnsi="Arial" w:cs="Arial"/>
            <w:noProof/>
            <w:webHidden/>
            <w:sz w:val="24"/>
          </w:rPr>
          <w:fldChar w:fldCharType="begin"/>
        </w:r>
        <w:r w:rsidRPr="00305160">
          <w:rPr>
            <w:rFonts w:ascii="Arial" w:hAnsi="Arial" w:cs="Arial"/>
            <w:noProof/>
            <w:webHidden/>
            <w:sz w:val="24"/>
          </w:rPr>
          <w:instrText xml:space="preserve"> PAGEREF _Toc228725929 \h </w:instrText>
        </w:r>
        <w:r w:rsidRPr="00305160">
          <w:rPr>
            <w:rFonts w:ascii="Arial" w:hAnsi="Arial" w:cs="Arial"/>
            <w:noProof/>
            <w:webHidden/>
            <w:sz w:val="24"/>
          </w:rPr>
        </w:r>
        <w:r w:rsidRPr="00305160">
          <w:rPr>
            <w:rFonts w:ascii="Arial" w:hAnsi="Arial" w:cs="Arial"/>
            <w:noProof/>
            <w:webHidden/>
            <w:sz w:val="24"/>
          </w:rPr>
          <w:fldChar w:fldCharType="separate"/>
        </w:r>
        <w:r w:rsidRPr="00305160">
          <w:rPr>
            <w:rFonts w:ascii="Arial" w:hAnsi="Arial" w:cs="Arial"/>
            <w:noProof/>
            <w:webHidden/>
            <w:sz w:val="24"/>
          </w:rPr>
          <w:t>2</w:t>
        </w:r>
        <w:r w:rsidRPr="00305160">
          <w:rPr>
            <w:rFonts w:ascii="Arial" w:hAnsi="Arial" w:cs="Arial"/>
            <w:noProof/>
            <w:webHidden/>
            <w:sz w:val="24"/>
          </w:rPr>
          <w:fldChar w:fldCharType="end"/>
        </w:r>
      </w:hyperlink>
    </w:p>
    <w:p w14:paraId="2CDC5BA3" w14:textId="45310C5D" w:rsidR="002C173F" w:rsidRPr="00305160" w:rsidRDefault="002C173F" w:rsidP="00305160">
      <w:pPr>
        <w:pStyle w:val="TableofFigures"/>
        <w:tabs>
          <w:tab w:val="right" w:leader="dot" w:pos="9016"/>
        </w:tabs>
        <w:spacing w:line="360" w:lineRule="auto"/>
        <w:jc w:val="both"/>
        <w:rPr>
          <w:rFonts w:ascii="Arial" w:eastAsiaTheme="minorEastAsia" w:hAnsi="Arial" w:cs="Arial"/>
          <w:noProof/>
          <w:sz w:val="24"/>
        </w:rPr>
      </w:pPr>
      <w:hyperlink w:anchor="_Toc228725930" w:history="1">
        <w:r w:rsidRPr="00305160">
          <w:rPr>
            <w:rStyle w:val="Hyperlink"/>
            <w:rFonts w:ascii="Arial" w:hAnsi="Arial" w:cs="Arial"/>
            <w:noProof/>
            <w:sz w:val="24"/>
          </w:rPr>
          <w:t>Table 6: Thematic Framework of Findings (SLR Results)</w:t>
        </w:r>
        <w:r w:rsidRPr="00305160">
          <w:rPr>
            <w:rFonts w:ascii="Arial" w:hAnsi="Arial" w:cs="Arial"/>
            <w:noProof/>
            <w:webHidden/>
            <w:sz w:val="24"/>
          </w:rPr>
          <w:tab/>
        </w:r>
        <w:r w:rsidRPr="00305160">
          <w:rPr>
            <w:rFonts w:ascii="Arial" w:hAnsi="Arial" w:cs="Arial"/>
            <w:noProof/>
            <w:webHidden/>
            <w:sz w:val="24"/>
          </w:rPr>
          <w:fldChar w:fldCharType="begin"/>
        </w:r>
        <w:r w:rsidRPr="00305160">
          <w:rPr>
            <w:rFonts w:ascii="Arial" w:hAnsi="Arial" w:cs="Arial"/>
            <w:noProof/>
            <w:webHidden/>
            <w:sz w:val="24"/>
          </w:rPr>
          <w:instrText xml:space="preserve"> PAGEREF _Toc228725930 \h </w:instrText>
        </w:r>
        <w:r w:rsidRPr="00305160">
          <w:rPr>
            <w:rFonts w:ascii="Arial" w:hAnsi="Arial" w:cs="Arial"/>
            <w:noProof/>
            <w:webHidden/>
            <w:sz w:val="24"/>
          </w:rPr>
        </w:r>
        <w:r w:rsidRPr="00305160">
          <w:rPr>
            <w:rFonts w:ascii="Arial" w:hAnsi="Arial" w:cs="Arial"/>
            <w:noProof/>
            <w:webHidden/>
            <w:sz w:val="24"/>
          </w:rPr>
          <w:fldChar w:fldCharType="separate"/>
        </w:r>
        <w:r w:rsidRPr="00305160">
          <w:rPr>
            <w:rFonts w:ascii="Arial" w:hAnsi="Arial" w:cs="Arial"/>
            <w:noProof/>
            <w:webHidden/>
            <w:sz w:val="24"/>
          </w:rPr>
          <w:t>6</w:t>
        </w:r>
        <w:r w:rsidRPr="00305160">
          <w:rPr>
            <w:rFonts w:ascii="Arial" w:hAnsi="Arial" w:cs="Arial"/>
            <w:noProof/>
            <w:webHidden/>
            <w:sz w:val="24"/>
          </w:rPr>
          <w:fldChar w:fldCharType="end"/>
        </w:r>
      </w:hyperlink>
    </w:p>
    <w:p w14:paraId="12D2A5FB" w14:textId="41549531" w:rsidR="00585F45" w:rsidRDefault="002C173F" w:rsidP="00EC61DC">
      <w:pPr>
        <w:spacing w:line="360" w:lineRule="auto"/>
        <w:jc w:val="both"/>
        <w:rPr>
          <w:rFonts w:ascii="Arial" w:eastAsia="Arial" w:hAnsi="Arial" w:cs="Arial"/>
          <w:bCs/>
          <w:color w:val="000000"/>
          <w:sz w:val="32"/>
          <w:szCs w:val="32"/>
        </w:rPr>
      </w:pPr>
      <w:r>
        <w:rPr>
          <w:rFonts w:ascii="Arial" w:eastAsia="Arial" w:hAnsi="Arial" w:cs="Arial"/>
          <w:bCs/>
          <w:color w:val="000000"/>
          <w:sz w:val="24"/>
          <w:szCs w:val="24"/>
        </w:rPr>
        <w:fldChar w:fldCharType="end"/>
      </w:r>
    </w:p>
    <w:p w14:paraId="363645C8" w14:textId="4597FCB3" w:rsidR="00EC61DC" w:rsidRPr="00585F45" w:rsidRDefault="00EC61DC" w:rsidP="00585F45">
      <w:pPr>
        <w:tabs>
          <w:tab w:val="left" w:pos="930"/>
        </w:tabs>
        <w:rPr>
          <w:rFonts w:ascii="Arial" w:eastAsia="Arial" w:hAnsi="Arial" w:cs="Arial"/>
          <w:sz w:val="32"/>
          <w:szCs w:val="32"/>
        </w:rPr>
        <w:sectPr w:rsidR="00EC61DC" w:rsidRPr="00585F45">
          <w:footerReference w:type="default" r:id="rId10"/>
          <w:pgSz w:w="11906" w:h="16838"/>
          <w:pgMar w:top="1440" w:right="1440" w:bottom="1440" w:left="1440" w:header="708" w:footer="708" w:gutter="0"/>
          <w:pgNumType w:start="1"/>
          <w:cols w:space="720"/>
        </w:sectPr>
      </w:pPr>
    </w:p>
    <w:p w14:paraId="5B1FDAF4" w14:textId="77777777" w:rsidR="008B55C4" w:rsidRDefault="00035D2C" w:rsidP="00BC5AB3">
      <w:pPr>
        <w:pStyle w:val="Heading1"/>
      </w:pPr>
      <w:bookmarkStart w:id="0" w:name="_Toc228731001"/>
      <w:r>
        <w:lastRenderedPageBreak/>
        <w:t>CHAPTER 1: INTRODUCTION</w:t>
      </w:r>
      <w:bookmarkEnd w:id="0"/>
    </w:p>
    <w:p w14:paraId="701F9F8D" w14:textId="77777777" w:rsidR="008B55C4" w:rsidRDefault="00035D2C" w:rsidP="008E730D">
      <w:pPr>
        <w:pStyle w:val="Heading2"/>
      </w:pPr>
      <w:bookmarkStart w:id="1" w:name="_Toc228731002"/>
      <w:r>
        <w:t>1.1 Background of the Study</w:t>
      </w:r>
      <w:bookmarkEnd w:id="1"/>
    </w:p>
    <w:p w14:paraId="1BE4D7D3" w14:textId="77777777"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In the modern digital economy, branding has shifted out of the traditional advertising strategies and more towards the interactive, emotional and community-focused branding strategy. The development of digital technologies and the prevalence of social media platforms have changed the way brands communicate with consumers and shifted the focus of brand communication from one-way promotional messages to immersion in the story and experience of relationships with the brand (Kotler et al., 2021). In this context, digital stories have become an effective branding instrument, allowing organisations to communicate brand values, purpose, and identity through compelling narratives shared across various digital platforms such as social media, websites, mobile applications, and video platforms (Singh and Sonnenburg, 2022).</w:t>
      </w:r>
    </w:p>
    <w:p w14:paraId="35387D9D" w14:textId="77777777"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Digital storytelling can be defined as the strategic application of narrative techniques such as visuals, videos, user-generated content, and interactive media to build emotional connections between brands and consumers (Lundqvist et al., 2020). Digital storytelling, in contrast to traditional advertising, enables consumers to engage with and co-create brand stories, thus creating more engaging and trustful experiences. Since community building is closely connected with storytelling, community building has been a burning issue of maintaining the long-term relationships between consumers. Digital brand communities (created via social media groups, branded applications, and online forums) allow the consumers to interact with each other, enhancing a shared identity and loyalty to the brand (Dessart et al., 2021).</w:t>
      </w:r>
    </w:p>
    <w:p w14:paraId="5337C035" w14:textId="77777777"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 xml:space="preserve">Brand loyalty is a primary goal in the marketing strategy, especially in very competitive international markets. Repeat buying, brand promotion, and resistance to the offerings of rivals are more likely to be performed by loyal customers (Oliver, 2020). Brand loyalty in the digital age is becoming </w:t>
      </w:r>
      <w:proofErr w:type="gramStart"/>
      <w:r w:rsidRPr="002760ED">
        <w:rPr>
          <w:rFonts w:ascii="Arial" w:eastAsia="Arial" w:hAnsi="Arial" w:cs="Arial"/>
          <w:sz w:val="24"/>
          <w:szCs w:val="24"/>
        </w:rPr>
        <w:t>more and more</w:t>
      </w:r>
      <w:proofErr w:type="gramEnd"/>
      <w:r w:rsidRPr="002760ED">
        <w:rPr>
          <w:rFonts w:ascii="Arial" w:eastAsia="Arial" w:hAnsi="Arial" w:cs="Arial"/>
          <w:sz w:val="24"/>
          <w:szCs w:val="24"/>
        </w:rPr>
        <w:t xml:space="preserve"> emotionally charged, brand authentic, and perceived social value as opposed to being merely driven by functional product attributes (Rather et al., 2023). With consumers increasingly demanding brands that resonate with their values, community involvement and storytelling becomes essential in influencing the long-term loyalty results.</w:t>
      </w:r>
    </w:p>
    <w:p w14:paraId="1CD598BB" w14:textId="77777777" w:rsidR="002760ED" w:rsidRPr="002760ED" w:rsidRDefault="002760ED" w:rsidP="002760ED">
      <w:pPr>
        <w:spacing w:line="360" w:lineRule="auto"/>
        <w:jc w:val="both"/>
        <w:rPr>
          <w:rFonts w:ascii="Arial" w:eastAsia="Arial" w:hAnsi="Arial" w:cs="Arial"/>
          <w:sz w:val="24"/>
          <w:szCs w:val="24"/>
        </w:rPr>
      </w:pPr>
    </w:p>
    <w:p w14:paraId="495111DA" w14:textId="77777777"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lastRenderedPageBreak/>
        <w:t>Nike is a good example of the dynamics that should be studied. Since Nike is one of the most successful sportswear brands in the world, it has been able to leverage digital storytelling and community platforms, such as Nike Run Club, Nike Training Club, and social media campaigns, to foster a strong emotional connection with its global consumers (Nike, 2024). It has aligned itself not just as a product supplier but a way of life and a cultural trend through its narratives that focus on empowerment, inclusiveness, and athletic success. This paper, thus, explores how Nike digital storytelling and community building initiatives can help in increasing brand loyalty in the modern digital marketing setting.</w:t>
      </w:r>
    </w:p>
    <w:p w14:paraId="4626C2D1" w14:textId="77777777" w:rsidR="002760ED" w:rsidRPr="002760ED" w:rsidRDefault="002760ED" w:rsidP="00C65ABC">
      <w:pPr>
        <w:pStyle w:val="Heading2"/>
      </w:pPr>
      <w:bookmarkStart w:id="2" w:name="_Toc228731003"/>
      <w:r w:rsidRPr="002760ED">
        <w:t>1.2 Problem Statement</w:t>
      </w:r>
      <w:bookmarkEnd w:id="2"/>
    </w:p>
    <w:p w14:paraId="580CB7F9" w14:textId="77777777" w:rsidR="002760ED" w:rsidRPr="002760ED" w:rsidRDefault="002760ED" w:rsidP="002760ED">
      <w:pPr>
        <w:spacing w:line="360" w:lineRule="auto"/>
        <w:jc w:val="both"/>
        <w:rPr>
          <w:rFonts w:ascii="Arial" w:eastAsia="Arial" w:hAnsi="Arial" w:cs="Arial"/>
          <w:sz w:val="24"/>
          <w:szCs w:val="24"/>
        </w:rPr>
      </w:pPr>
      <w:proofErr w:type="gramStart"/>
      <w:r w:rsidRPr="002760ED">
        <w:rPr>
          <w:rFonts w:ascii="Arial" w:eastAsia="Arial" w:hAnsi="Arial" w:cs="Arial"/>
          <w:sz w:val="24"/>
          <w:szCs w:val="24"/>
        </w:rPr>
        <w:t>In spite of</w:t>
      </w:r>
      <w:proofErr w:type="gramEnd"/>
      <w:r w:rsidRPr="002760ED">
        <w:rPr>
          <w:rFonts w:ascii="Arial" w:eastAsia="Arial" w:hAnsi="Arial" w:cs="Arial"/>
          <w:sz w:val="24"/>
          <w:szCs w:val="24"/>
        </w:rPr>
        <w:t xml:space="preserve"> the massive investment in digital marketing, most brands have a difficult time in transforming digital interaction to long-term brand loyalty. Although metrics like likes, shares, and views reflect the short-term interaction, they do not always translate into the long-term consumer commitment and repeat purchasing behaviour (</w:t>
      </w:r>
      <w:proofErr w:type="spellStart"/>
      <w:r w:rsidRPr="002760ED">
        <w:rPr>
          <w:rFonts w:ascii="Arial" w:eastAsia="Arial" w:hAnsi="Arial" w:cs="Arial"/>
          <w:sz w:val="24"/>
          <w:szCs w:val="24"/>
        </w:rPr>
        <w:t>Hollebeek</w:t>
      </w:r>
      <w:proofErr w:type="spellEnd"/>
      <w:r w:rsidRPr="002760ED">
        <w:rPr>
          <w:rFonts w:ascii="Arial" w:eastAsia="Arial" w:hAnsi="Arial" w:cs="Arial"/>
          <w:sz w:val="24"/>
          <w:szCs w:val="24"/>
        </w:rPr>
        <w:t xml:space="preserve"> and Macky, 2020). The existence of this gap reveals a major managerial dilemma, which is to comprehend which digital strategies </w:t>
      </w:r>
      <w:proofErr w:type="gramStart"/>
      <w:r w:rsidRPr="002760ED">
        <w:rPr>
          <w:rFonts w:ascii="Arial" w:eastAsia="Arial" w:hAnsi="Arial" w:cs="Arial"/>
          <w:sz w:val="24"/>
          <w:szCs w:val="24"/>
        </w:rPr>
        <w:t>actually lead</w:t>
      </w:r>
      <w:proofErr w:type="gramEnd"/>
      <w:r w:rsidRPr="002760ED">
        <w:rPr>
          <w:rFonts w:ascii="Arial" w:eastAsia="Arial" w:hAnsi="Arial" w:cs="Arial"/>
          <w:sz w:val="24"/>
          <w:szCs w:val="24"/>
        </w:rPr>
        <w:t xml:space="preserve"> to loyalty, and not to the superficial engagement.</w:t>
      </w:r>
    </w:p>
    <w:p w14:paraId="7AFAA272" w14:textId="77777777"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Though previous studies have already investigated digital storytelling and online brand communities separately, little empirical evidence has been provided that integrates these two concepts in improving the brand loyalty, and this is in the context of sportswear and lifestyle branding (Dessart et al., 2021). Also, current literature tends to concentrate on the generic digital engagement without examining how the emotionally oriented narratives and community involvement interact to change consumer attitudes and behaviours.</w:t>
      </w:r>
    </w:p>
    <w:p w14:paraId="61E9B9B3" w14:textId="7B0A5496"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The successful digital performance of Nike is well-known, yet there is a paucity of scholarly research that critically evaluates the collective contribution of its storytelling and community-building strategies to achieve brand loyalty outcomes. Lack of this understanding places both scholars and practitioners in a difficult situation of comprehending the mechanisms by which digital narratives and communities influence consumer-brand relationships. This paper will fill this gap by using Nike as a case study to determine the extent to which digital storytelling and community building helps build brand loyalty.</w:t>
      </w:r>
    </w:p>
    <w:p w14:paraId="5E85EE74" w14:textId="77777777" w:rsidR="002760ED" w:rsidRPr="002760ED" w:rsidRDefault="002760ED" w:rsidP="00C65ABC">
      <w:pPr>
        <w:pStyle w:val="Heading2"/>
      </w:pPr>
      <w:bookmarkStart w:id="3" w:name="_Toc228731004"/>
      <w:r w:rsidRPr="002760ED">
        <w:lastRenderedPageBreak/>
        <w:t>1.3 Aim of the Study</w:t>
      </w:r>
      <w:bookmarkEnd w:id="3"/>
    </w:p>
    <w:p w14:paraId="5319BD98" w14:textId="77777777"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The main objective of this research is:</w:t>
      </w:r>
    </w:p>
    <w:p w14:paraId="1D8B47D0" w14:textId="479DECEA" w:rsidR="002760ED" w:rsidRPr="002760ED"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 xml:space="preserve">To </w:t>
      </w:r>
      <w:r w:rsidR="00477382" w:rsidRPr="002760ED">
        <w:rPr>
          <w:rFonts w:ascii="Arial" w:eastAsia="Arial" w:hAnsi="Arial" w:cs="Arial"/>
          <w:sz w:val="24"/>
          <w:szCs w:val="24"/>
        </w:rPr>
        <w:t>analyse</w:t>
      </w:r>
      <w:r w:rsidRPr="002760ED">
        <w:rPr>
          <w:rFonts w:ascii="Arial" w:eastAsia="Arial" w:hAnsi="Arial" w:cs="Arial"/>
          <w:sz w:val="24"/>
          <w:szCs w:val="24"/>
        </w:rPr>
        <w:t xml:space="preserve"> how digital storytelling and community building help in increasing brand loyalty, Nike will be used as a case study.</w:t>
      </w:r>
    </w:p>
    <w:p w14:paraId="2D81F980" w14:textId="60CD11A4" w:rsidR="008B55C4" w:rsidRDefault="002760ED" w:rsidP="002760ED">
      <w:pPr>
        <w:spacing w:line="360" w:lineRule="auto"/>
        <w:jc w:val="both"/>
        <w:rPr>
          <w:rFonts w:ascii="Arial" w:eastAsia="Arial" w:hAnsi="Arial" w:cs="Arial"/>
          <w:sz w:val="24"/>
          <w:szCs w:val="24"/>
        </w:rPr>
      </w:pPr>
      <w:r w:rsidRPr="002760ED">
        <w:rPr>
          <w:rFonts w:ascii="Arial" w:eastAsia="Arial" w:hAnsi="Arial" w:cs="Arial"/>
          <w:sz w:val="24"/>
          <w:szCs w:val="24"/>
        </w:rPr>
        <w:t xml:space="preserve">This objective aims to establish the effects of narrative-driven digital content and online brand community on consumer perceptions, emotional attachment and long-term loyalty </w:t>
      </w:r>
      <w:r>
        <w:rPr>
          <w:rFonts w:ascii="Arial" w:eastAsia="Arial" w:hAnsi="Arial" w:cs="Arial"/>
          <w:sz w:val="24"/>
          <w:szCs w:val="24"/>
        </w:rPr>
        <w:t>towards the Nike brand</w:t>
      </w:r>
      <w:r w:rsidR="00035D2C">
        <w:rPr>
          <w:rFonts w:ascii="Arial" w:eastAsia="Arial" w:hAnsi="Arial" w:cs="Arial"/>
          <w:sz w:val="24"/>
          <w:szCs w:val="24"/>
        </w:rPr>
        <w:t>.</w:t>
      </w:r>
    </w:p>
    <w:p w14:paraId="6E4D5C38" w14:textId="77777777" w:rsidR="008B55C4" w:rsidRDefault="00035D2C" w:rsidP="008E730D">
      <w:pPr>
        <w:pStyle w:val="Heading2"/>
      </w:pPr>
      <w:bookmarkStart w:id="4" w:name="_Toc228731005"/>
      <w:r>
        <w:t>1.4 Objectives of the Research</w:t>
      </w:r>
      <w:bookmarkEnd w:id="4"/>
    </w:p>
    <w:p w14:paraId="28D7BD71" w14:textId="77777777" w:rsidR="008B55C4" w:rsidRDefault="00035D2C">
      <w:pPr>
        <w:spacing w:line="360" w:lineRule="auto"/>
        <w:jc w:val="both"/>
        <w:rPr>
          <w:rFonts w:ascii="Arial" w:eastAsia="Arial" w:hAnsi="Arial" w:cs="Arial"/>
          <w:sz w:val="24"/>
          <w:szCs w:val="24"/>
        </w:rPr>
      </w:pPr>
      <w:r>
        <w:rPr>
          <w:rFonts w:ascii="Arial" w:eastAsia="Arial" w:hAnsi="Arial" w:cs="Arial"/>
          <w:sz w:val="24"/>
          <w:szCs w:val="24"/>
        </w:rPr>
        <w:t>To achieve the stated aim, the study is guided by the following objectives:</w:t>
      </w:r>
    </w:p>
    <w:p w14:paraId="778B5D82" w14:textId="77777777" w:rsidR="008B55C4" w:rsidRDefault="00035D2C">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explore the concept and characteristics of digital storytelling in contemporary branding.</w:t>
      </w:r>
    </w:p>
    <w:p w14:paraId="388F2CAD" w14:textId="77777777" w:rsidR="008B55C4" w:rsidRDefault="00035D2C">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examine the role of digital brand communities in fostering consumer engagement and interaction.</w:t>
      </w:r>
    </w:p>
    <w:p w14:paraId="67B1CAC7" w14:textId="77777777" w:rsidR="008B55C4" w:rsidRDefault="00035D2C">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analyse Nike’s digital storytelling strategies across its digital platforms.</w:t>
      </w:r>
    </w:p>
    <w:p w14:paraId="2ABD1DA5" w14:textId="77777777" w:rsidR="008B55C4" w:rsidRDefault="00035D2C">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assess how Nike’s community-building initiatives influence consumer emotional attachment and trust.</w:t>
      </w:r>
    </w:p>
    <w:p w14:paraId="47A3EC3D" w14:textId="77777777" w:rsidR="008B55C4" w:rsidRDefault="00035D2C" w:rsidP="008E730D">
      <w:pPr>
        <w:pStyle w:val="Heading2"/>
      </w:pPr>
      <w:bookmarkStart w:id="5" w:name="_Toc228731006"/>
      <w:r>
        <w:t>1.5 Research Questions</w:t>
      </w:r>
      <w:bookmarkEnd w:id="5"/>
    </w:p>
    <w:p w14:paraId="76AAABD6" w14:textId="77777777" w:rsidR="008B55C4" w:rsidRDefault="00035D2C">
      <w:pPr>
        <w:spacing w:line="360" w:lineRule="auto"/>
        <w:jc w:val="both"/>
        <w:rPr>
          <w:rFonts w:ascii="Arial" w:eastAsia="Arial" w:hAnsi="Arial" w:cs="Arial"/>
          <w:sz w:val="24"/>
          <w:szCs w:val="24"/>
        </w:rPr>
      </w:pPr>
      <w:r>
        <w:rPr>
          <w:rFonts w:ascii="Arial" w:eastAsia="Arial" w:hAnsi="Arial" w:cs="Arial"/>
          <w:sz w:val="24"/>
          <w:szCs w:val="24"/>
        </w:rPr>
        <w:t>Based on the research aim and objectives, the study seeks to answer the following research questions:</w:t>
      </w:r>
    </w:p>
    <w:p w14:paraId="0C8F1C1E" w14:textId="77777777" w:rsidR="008B55C4" w:rsidRDefault="00035D2C">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How does Nike use digital storytelling to communicate its brand values and identity?</w:t>
      </w:r>
    </w:p>
    <w:p w14:paraId="6936699C" w14:textId="77777777" w:rsidR="008B55C4" w:rsidRDefault="00035D2C">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What types of digital communities has Nike developed to engage consumers?</w:t>
      </w:r>
    </w:p>
    <w:p w14:paraId="677E8725" w14:textId="77777777" w:rsidR="008B55C4" w:rsidRDefault="00035D2C">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How do consumers perceive Nike’s digital storytelling initiatives?</w:t>
      </w:r>
    </w:p>
    <w:p w14:paraId="7C1391D8" w14:textId="77777777" w:rsidR="008B55C4" w:rsidRDefault="00035D2C">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In what ways does community participation influence consumer emotional attachment to Nike?</w:t>
      </w:r>
    </w:p>
    <w:p w14:paraId="15CF11E5" w14:textId="77777777" w:rsidR="008B55C4" w:rsidRDefault="00035D2C">
      <w:pPr>
        <w:numPr>
          <w:ilvl w:val="0"/>
          <w:numId w:val="2"/>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How do digital storytelling and community building contribute to enhancing brand loyalty towards Nike?</w:t>
      </w:r>
    </w:p>
    <w:p w14:paraId="43EE2C92" w14:textId="77777777" w:rsidR="008B55C4" w:rsidRDefault="00035D2C" w:rsidP="008E730D">
      <w:pPr>
        <w:pStyle w:val="Heading2"/>
      </w:pPr>
      <w:bookmarkStart w:id="6" w:name="_Toc228731007"/>
      <w:r>
        <w:t>1.6 Significance of the Study</w:t>
      </w:r>
      <w:bookmarkEnd w:id="6"/>
    </w:p>
    <w:p w14:paraId="1C023B14" w14:textId="77777777" w:rsidR="000721DD" w:rsidRPr="000721DD" w:rsidRDefault="000721DD" w:rsidP="000721DD">
      <w:pPr>
        <w:spacing w:line="360" w:lineRule="auto"/>
        <w:jc w:val="both"/>
        <w:rPr>
          <w:rFonts w:ascii="Arial" w:eastAsia="Arial" w:hAnsi="Arial" w:cs="Arial"/>
          <w:sz w:val="24"/>
          <w:szCs w:val="24"/>
        </w:rPr>
      </w:pPr>
      <w:r w:rsidRPr="000721DD">
        <w:rPr>
          <w:rFonts w:ascii="Arial" w:eastAsia="Arial" w:hAnsi="Arial" w:cs="Arial"/>
          <w:sz w:val="24"/>
          <w:szCs w:val="24"/>
        </w:rPr>
        <w:lastRenderedPageBreak/>
        <w:t>The research study is important at theoretical, managerial and practical levels. Theoretically, the study aids the literature in digital branding that is growing by incorporating the concepts of digital storytelling and community-building within the concept of brand loyalty. The study complements the existing academic knowledge regarding the influence of emotional and social processes in fostering loyalty in online contexts (Rather et al., 2023).</w:t>
      </w:r>
    </w:p>
    <w:p w14:paraId="1CA13B12" w14:textId="77777777" w:rsidR="000721DD" w:rsidRPr="000721DD" w:rsidRDefault="000721DD" w:rsidP="000721DD">
      <w:pPr>
        <w:spacing w:line="360" w:lineRule="auto"/>
        <w:jc w:val="both"/>
        <w:rPr>
          <w:rFonts w:ascii="Arial" w:eastAsia="Arial" w:hAnsi="Arial" w:cs="Arial"/>
          <w:sz w:val="24"/>
          <w:szCs w:val="24"/>
        </w:rPr>
      </w:pPr>
      <w:r w:rsidRPr="000721DD">
        <w:rPr>
          <w:rFonts w:ascii="Arial" w:eastAsia="Arial" w:hAnsi="Arial" w:cs="Arial"/>
          <w:sz w:val="24"/>
          <w:szCs w:val="24"/>
        </w:rPr>
        <w:t>On the managerial side, the results have some great information to the marketing professionals and brand strategists. The insights that Nike can use storytelling and communities to effectively digitalize its marketing can be applied to other brands that are interested in developing long-term customer relationships. The research points out the best practices in developing emotionally resonant content and building active brand communities that go beyond transactional interactions.</w:t>
      </w:r>
    </w:p>
    <w:p w14:paraId="7063DBFB" w14:textId="77777777" w:rsidR="000721DD" w:rsidRPr="000721DD" w:rsidRDefault="000721DD" w:rsidP="000721DD">
      <w:pPr>
        <w:spacing w:line="360" w:lineRule="auto"/>
        <w:jc w:val="both"/>
        <w:rPr>
          <w:rFonts w:ascii="Arial" w:eastAsia="Arial" w:hAnsi="Arial" w:cs="Arial"/>
          <w:sz w:val="24"/>
          <w:szCs w:val="24"/>
        </w:rPr>
      </w:pPr>
      <w:r w:rsidRPr="000721DD">
        <w:rPr>
          <w:rFonts w:ascii="Arial" w:eastAsia="Arial" w:hAnsi="Arial" w:cs="Arial"/>
          <w:sz w:val="24"/>
          <w:szCs w:val="24"/>
        </w:rPr>
        <w:t>In real life, the study provides the best advice to any business that operates in competitive markets which are digitally saturated. With the growing level of fragmentation in consumer attention, the brands are forced to make a difference by engaging in meaningful interaction. This paper shows how storytelling and community building can be sustainable in improving brand loyalty, advocacy and customer lifetime value.</w:t>
      </w:r>
    </w:p>
    <w:p w14:paraId="41FB2019" w14:textId="77777777" w:rsidR="000721DD" w:rsidRPr="000721DD" w:rsidRDefault="000721DD" w:rsidP="007403BD">
      <w:pPr>
        <w:pStyle w:val="Heading2"/>
      </w:pPr>
      <w:bookmarkStart w:id="7" w:name="_Toc228731008"/>
      <w:r w:rsidRPr="000721DD">
        <w:t>1.7 Brief Research Methodology</w:t>
      </w:r>
      <w:bookmarkEnd w:id="7"/>
    </w:p>
    <w:p w14:paraId="5A0B38EB" w14:textId="77777777" w:rsidR="000721DD" w:rsidRPr="000721DD" w:rsidRDefault="000721DD" w:rsidP="000721DD">
      <w:pPr>
        <w:spacing w:line="360" w:lineRule="auto"/>
        <w:jc w:val="both"/>
        <w:rPr>
          <w:rFonts w:ascii="Arial" w:eastAsia="Arial" w:hAnsi="Arial" w:cs="Arial"/>
          <w:sz w:val="24"/>
          <w:szCs w:val="24"/>
        </w:rPr>
      </w:pPr>
      <w:r w:rsidRPr="000721DD">
        <w:rPr>
          <w:rFonts w:ascii="Arial" w:eastAsia="Arial" w:hAnsi="Arial" w:cs="Arial"/>
          <w:sz w:val="24"/>
          <w:szCs w:val="24"/>
        </w:rPr>
        <w:t>The proposed research uses the Systematic Literature Review (SLR) approach to examine the effects of digital storytelling and community building on brand loyalty with Nike as a case. The SLR approach is suitable because it allows a structured, transparent and replicable process of recognising, assessing and synthesising existing academic research instead of gathering primary data.</w:t>
      </w:r>
    </w:p>
    <w:p w14:paraId="36C4C771" w14:textId="0AFE87BC" w:rsidR="00673668" w:rsidRPr="00673668" w:rsidRDefault="000721DD" w:rsidP="000721DD">
      <w:pPr>
        <w:spacing w:line="360" w:lineRule="auto"/>
        <w:jc w:val="both"/>
        <w:rPr>
          <w:rFonts w:ascii="Arial" w:eastAsia="Arial" w:hAnsi="Arial" w:cs="Arial"/>
          <w:sz w:val="24"/>
          <w:szCs w:val="24"/>
        </w:rPr>
      </w:pPr>
      <w:r w:rsidRPr="000721DD">
        <w:rPr>
          <w:rFonts w:ascii="Arial" w:eastAsia="Arial" w:hAnsi="Arial" w:cs="Arial"/>
          <w:sz w:val="24"/>
          <w:szCs w:val="24"/>
        </w:rPr>
        <w:t>A total of 50 peer-reviewed journal articles published between 2019 and 2024 are chosen out of reputable academic databases like Google Scholar, Scopus, and Web of Science. Predefined inclusion and exclusion criteria guide the selection process and focus on the studies related to digital storytelling, online brand communities, consumer engagement, and brand loyalty. The relevance and quality of the publication will be ensured by excluding non-academic sources, duplicated st</w:t>
      </w:r>
      <w:r>
        <w:rPr>
          <w:rFonts w:ascii="Arial" w:eastAsia="Arial" w:hAnsi="Arial" w:cs="Arial"/>
          <w:sz w:val="24"/>
          <w:szCs w:val="24"/>
        </w:rPr>
        <w:t>udies and outdated publications</w:t>
      </w:r>
      <w:r w:rsidR="00673668">
        <w:rPr>
          <w:rFonts w:ascii="Arial" w:eastAsia="Arial" w:hAnsi="Arial" w:cs="Arial"/>
          <w:sz w:val="24"/>
          <w:szCs w:val="24"/>
        </w:rPr>
        <w:t>.</w:t>
      </w:r>
    </w:p>
    <w:p w14:paraId="62FC3F0D" w14:textId="56FDC2BA" w:rsidR="00E624DD" w:rsidRPr="00E624DD" w:rsidRDefault="00E624DD" w:rsidP="00E624DD">
      <w:pPr>
        <w:spacing w:line="360" w:lineRule="auto"/>
        <w:jc w:val="both"/>
        <w:rPr>
          <w:rFonts w:ascii="Arial" w:eastAsia="Arial" w:hAnsi="Arial" w:cs="Arial"/>
          <w:sz w:val="24"/>
          <w:szCs w:val="24"/>
        </w:rPr>
      </w:pPr>
      <w:r w:rsidRPr="00E624DD">
        <w:rPr>
          <w:rFonts w:ascii="Arial" w:eastAsia="Arial" w:hAnsi="Arial" w:cs="Arial"/>
          <w:sz w:val="24"/>
          <w:szCs w:val="24"/>
        </w:rPr>
        <w:lastRenderedPageBreak/>
        <w:t xml:space="preserve">They are </w:t>
      </w:r>
      <w:r w:rsidR="00B85563" w:rsidRPr="00E624DD">
        <w:rPr>
          <w:rFonts w:ascii="Arial" w:eastAsia="Arial" w:hAnsi="Arial" w:cs="Arial"/>
          <w:sz w:val="24"/>
          <w:szCs w:val="24"/>
        </w:rPr>
        <w:t>analysed</w:t>
      </w:r>
      <w:r w:rsidRPr="00E624DD">
        <w:rPr>
          <w:rFonts w:ascii="Arial" w:eastAsia="Arial" w:hAnsi="Arial" w:cs="Arial"/>
          <w:sz w:val="24"/>
          <w:szCs w:val="24"/>
        </w:rPr>
        <w:t xml:space="preserve"> with the help of thematic synthesis, which implies that recurrences and concepts may be identified throughout the chosen literature. Some of the most crucial themes are emotional engagement, community identity, brand advocacy, and consumer experience that are developed and critically </w:t>
      </w:r>
      <w:r w:rsidR="00B85563" w:rsidRPr="00E624DD">
        <w:rPr>
          <w:rFonts w:ascii="Arial" w:eastAsia="Arial" w:hAnsi="Arial" w:cs="Arial"/>
          <w:sz w:val="24"/>
          <w:szCs w:val="24"/>
        </w:rPr>
        <w:t>analysed</w:t>
      </w:r>
      <w:r w:rsidRPr="00E624DD">
        <w:rPr>
          <w:rFonts w:ascii="Arial" w:eastAsia="Arial" w:hAnsi="Arial" w:cs="Arial"/>
          <w:sz w:val="24"/>
          <w:szCs w:val="24"/>
        </w:rPr>
        <w:t>. Such an approach enables the incorporation of piecemeal findings into a meaningful framework that explains the role of digital storytelling and community building in brand loyalty.</w:t>
      </w:r>
    </w:p>
    <w:p w14:paraId="020BC286" w14:textId="77777777" w:rsidR="00E624DD" w:rsidRPr="00E624DD" w:rsidRDefault="00E624DD" w:rsidP="00E624DD">
      <w:pPr>
        <w:spacing w:line="360" w:lineRule="auto"/>
        <w:jc w:val="both"/>
        <w:rPr>
          <w:rFonts w:ascii="Arial" w:eastAsia="Arial" w:hAnsi="Arial" w:cs="Arial"/>
          <w:sz w:val="24"/>
          <w:szCs w:val="24"/>
        </w:rPr>
      </w:pPr>
      <w:r w:rsidRPr="00E624DD">
        <w:rPr>
          <w:rFonts w:ascii="Arial" w:eastAsia="Arial" w:hAnsi="Arial" w:cs="Arial"/>
          <w:sz w:val="24"/>
          <w:szCs w:val="24"/>
        </w:rPr>
        <w:t>Altogether, the SLR methodology will offer a solid background to make significant conclusions about the digital marketing approaches used by Nike.</w:t>
      </w:r>
    </w:p>
    <w:p w14:paraId="18323845" w14:textId="77777777" w:rsidR="00E624DD" w:rsidRPr="00E624DD" w:rsidRDefault="00E624DD" w:rsidP="00B85563">
      <w:pPr>
        <w:pStyle w:val="Heading2"/>
      </w:pPr>
      <w:bookmarkStart w:id="8" w:name="_Toc228731009"/>
      <w:r w:rsidRPr="00E624DD">
        <w:t>1.8 Structure of the Dissertation</w:t>
      </w:r>
      <w:bookmarkEnd w:id="8"/>
    </w:p>
    <w:p w14:paraId="4A0C2B52" w14:textId="14B5C52F" w:rsidR="00BC5AB3" w:rsidRDefault="00E624DD" w:rsidP="00E624DD">
      <w:pPr>
        <w:spacing w:line="360" w:lineRule="auto"/>
        <w:jc w:val="both"/>
        <w:rPr>
          <w:rFonts w:ascii="Arial" w:eastAsia="Arial" w:hAnsi="Arial" w:cs="Arial"/>
          <w:sz w:val="24"/>
          <w:szCs w:val="24"/>
        </w:rPr>
        <w:sectPr w:rsidR="00BC5AB3">
          <w:headerReference w:type="default" r:id="rId11"/>
          <w:footerReference w:type="default" r:id="rId12"/>
          <w:pgSz w:w="11906" w:h="16838"/>
          <w:pgMar w:top="1440" w:right="1440" w:bottom="1440" w:left="1440" w:header="708" w:footer="708" w:gutter="0"/>
          <w:pgNumType w:start="1"/>
          <w:cols w:space="720"/>
        </w:sectPr>
      </w:pPr>
      <w:r w:rsidRPr="00E624DD">
        <w:rPr>
          <w:rFonts w:ascii="Arial" w:eastAsia="Arial" w:hAnsi="Arial" w:cs="Arial"/>
          <w:sz w:val="24"/>
          <w:szCs w:val="24"/>
        </w:rPr>
        <w:t xml:space="preserve">This dissertation is designed to have five chapters. Chapter 1 begins with the research by stating the background, problem statement, research aim, objectives, questions, significance, and methodology. Chapter 2 provides a detailed literature review, exploring theories and empirical studies regarding digital storytelling, brand communities, as well as brand loyalty. Chapter 3 outlines the research methodology, which includes research design, data collection methods, sampling, and data analysis methods. Chapter 4 </w:t>
      </w:r>
      <w:proofErr w:type="gramStart"/>
      <w:r w:rsidRPr="00E624DD">
        <w:rPr>
          <w:rFonts w:ascii="Arial" w:eastAsia="Arial" w:hAnsi="Arial" w:cs="Arial"/>
          <w:sz w:val="24"/>
          <w:szCs w:val="24"/>
        </w:rPr>
        <w:t>compares and contrasts</w:t>
      </w:r>
      <w:proofErr w:type="gramEnd"/>
      <w:r w:rsidRPr="00E624DD">
        <w:rPr>
          <w:rFonts w:ascii="Arial" w:eastAsia="Arial" w:hAnsi="Arial" w:cs="Arial"/>
          <w:sz w:val="24"/>
          <w:szCs w:val="24"/>
        </w:rPr>
        <w:t xml:space="preserve"> the findings </w:t>
      </w:r>
      <w:proofErr w:type="gramStart"/>
      <w:r w:rsidRPr="00E624DD">
        <w:rPr>
          <w:rFonts w:ascii="Arial" w:eastAsia="Arial" w:hAnsi="Arial" w:cs="Arial"/>
          <w:sz w:val="24"/>
          <w:szCs w:val="24"/>
        </w:rPr>
        <w:t>with regard to</w:t>
      </w:r>
      <w:proofErr w:type="gramEnd"/>
      <w:r w:rsidRPr="00E624DD">
        <w:rPr>
          <w:rFonts w:ascii="Arial" w:eastAsia="Arial" w:hAnsi="Arial" w:cs="Arial"/>
          <w:sz w:val="24"/>
          <w:szCs w:val="24"/>
        </w:rPr>
        <w:t xml:space="preserve"> the research questions and the available literature. Lastly, Chapter 5 will provide a conclusion to the study summarising key findings, recommendations, limitations and suggeste</w:t>
      </w:r>
      <w:r>
        <w:rPr>
          <w:rFonts w:ascii="Arial" w:eastAsia="Arial" w:hAnsi="Arial" w:cs="Arial"/>
          <w:sz w:val="24"/>
          <w:szCs w:val="24"/>
        </w:rPr>
        <w:t>d directions of future research</w:t>
      </w:r>
      <w:r w:rsidR="00035D2C">
        <w:rPr>
          <w:rFonts w:ascii="Arial" w:eastAsia="Arial" w:hAnsi="Arial" w:cs="Arial"/>
          <w:sz w:val="24"/>
          <w:szCs w:val="24"/>
        </w:rPr>
        <w:t>.</w:t>
      </w:r>
    </w:p>
    <w:p w14:paraId="1B88687E" w14:textId="6F61597C" w:rsidR="008B55C4" w:rsidRDefault="00035D2C" w:rsidP="00BC5AB3">
      <w:pPr>
        <w:pStyle w:val="Heading1"/>
      </w:pPr>
      <w:bookmarkStart w:id="9" w:name="_Toc228731010"/>
      <w:r>
        <w:lastRenderedPageBreak/>
        <w:t>CHAPTER 2: LITERATURE REVIEW</w:t>
      </w:r>
      <w:bookmarkEnd w:id="9"/>
    </w:p>
    <w:p w14:paraId="5B1D7A9F" w14:textId="49A3951C" w:rsidR="008B55C4" w:rsidRDefault="00035D2C" w:rsidP="008E730D">
      <w:pPr>
        <w:pStyle w:val="Heading2"/>
      </w:pPr>
      <w:bookmarkStart w:id="10" w:name="_Toc228731011"/>
      <w:r>
        <w:t>2.</w:t>
      </w:r>
      <w:r w:rsidR="004C290E">
        <w:t>1</w:t>
      </w:r>
      <w:r>
        <w:t xml:space="preserve"> Introduction</w:t>
      </w:r>
      <w:bookmarkEnd w:id="10"/>
    </w:p>
    <w:p w14:paraId="4D2E032F" w14:textId="77777777" w:rsidR="00B72C05" w:rsidRPr="00B72C05" w:rsidRDefault="00B72C05" w:rsidP="00B72C05">
      <w:pPr>
        <w:spacing w:before="240" w:after="240" w:line="360" w:lineRule="auto"/>
        <w:jc w:val="both"/>
        <w:rPr>
          <w:rFonts w:ascii="Arial" w:eastAsia="Arial" w:hAnsi="Arial" w:cs="Arial"/>
          <w:sz w:val="24"/>
          <w:szCs w:val="24"/>
        </w:rPr>
      </w:pPr>
      <w:r w:rsidRPr="00B72C05">
        <w:rPr>
          <w:rFonts w:ascii="Arial" w:eastAsia="Arial" w:hAnsi="Arial" w:cs="Arial"/>
          <w:sz w:val="24"/>
          <w:szCs w:val="24"/>
        </w:rPr>
        <w:t xml:space="preserve">The chapter is a critical review of the existing literature on digital storytelling, community building and brand loyalty </w:t>
      </w:r>
      <w:proofErr w:type="gramStart"/>
      <w:r w:rsidRPr="00B72C05">
        <w:rPr>
          <w:rFonts w:ascii="Arial" w:eastAsia="Arial" w:hAnsi="Arial" w:cs="Arial"/>
          <w:sz w:val="24"/>
          <w:szCs w:val="24"/>
        </w:rPr>
        <w:t>in order to</w:t>
      </w:r>
      <w:proofErr w:type="gramEnd"/>
      <w:r w:rsidRPr="00B72C05">
        <w:rPr>
          <w:rFonts w:ascii="Arial" w:eastAsia="Arial" w:hAnsi="Arial" w:cs="Arial"/>
          <w:sz w:val="24"/>
          <w:szCs w:val="24"/>
        </w:rPr>
        <w:t xml:space="preserve"> develop a strong theoretical and conceptual basis of the study. Digital storytelling has become a core strategy in modern-day marketing, allowing brands to tell stories that emotionally resonate with the audience as well as effectively communicate brand values (Smith and Anderson, 2022). According to the literature, compelling stories have the potential to impact consumer perception, create emotional attachment, and increase brand loyalty over the long-term, especially in highly competitive markets like sportswear and athletic footwear.</w:t>
      </w:r>
    </w:p>
    <w:p w14:paraId="793D0128" w14:textId="77777777" w:rsidR="00B72C05" w:rsidRPr="00B72C05" w:rsidRDefault="00B72C05" w:rsidP="00B72C05">
      <w:pPr>
        <w:spacing w:before="240" w:after="240" w:line="360" w:lineRule="auto"/>
        <w:jc w:val="both"/>
        <w:rPr>
          <w:rFonts w:ascii="Arial" w:eastAsia="Arial" w:hAnsi="Arial" w:cs="Arial"/>
          <w:sz w:val="24"/>
          <w:szCs w:val="24"/>
        </w:rPr>
      </w:pPr>
      <w:r w:rsidRPr="00B72C05">
        <w:rPr>
          <w:rFonts w:ascii="Arial" w:eastAsia="Arial" w:hAnsi="Arial" w:cs="Arial"/>
          <w:sz w:val="24"/>
          <w:szCs w:val="24"/>
        </w:rPr>
        <w:t>Community building, especially the use of online platforms and social media, is a complement to digital storytelling, as it helps to create space in which consumers can engage with the brand and with one another. Research studies suggest that active engagement in brand communities enhances engagement, builds trust, and influences brand advocacy (Johnson et al., 2021). Such communities can be used as a means through which consumers can co-create value and have genuine experiences, which builds loyalty far beyond transactional relationships.</w:t>
      </w:r>
    </w:p>
    <w:p w14:paraId="346248A1" w14:textId="77777777" w:rsidR="00B72C05" w:rsidRPr="00B72C05" w:rsidRDefault="00B72C05" w:rsidP="00B72C05">
      <w:pPr>
        <w:spacing w:before="240" w:after="240" w:line="360" w:lineRule="auto"/>
        <w:jc w:val="both"/>
        <w:rPr>
          <w:rFonts w:ascii="Arial" w:eastAsia="Arial" w:hAnsi="Arial" w:cs="Arial"/>
          <w:sz w:val="24"/>
          <w:szCs w:val="24"/>
        </w:rPr>
      </w:pPr>
      <w:r w:rsidRPr="00B72C05">
        <w:rPr>
          <w:rFonts w:ascii="Arial" w:eastAsia="Arial" w:hAnsi="Arial" w:cs="Arial"/>
          <w:sz w:val="24"/>
          <w:szCs w:val="24"/>
        </w:rPr>
        <w:t>However, literature indicates that there is a significant gap in the literature on the combined effects of digital storytelling and community building on brand loyalty in certain contexts, such as global recognised brands such as Nike. Although individual studies are done to explore these phenomena separately, there is a lack of empirical evidence that focuses on how narrative strategies are combined with the influence of an interactive online community to determine influence loyalty behaviours in real world settings.</w:t>
      </w:r>
    </w:p>
    <w:p w14:paraId="59E8E55D" w14:textId="4381CE75" w:rsidR="00B72C05" w:rsidRPr="00B72C05" w:rsidRDefault="00B72C05" w:rsidP="00B72C05">
      <w:pPr>
        <w:spacing w:before="240" w:after="240" w:line="360" w:lineRule="auto"/>
        <w:jc w:val="both"/>
        <w:rPr>
          <w:rFonts w:ascii="Arial" w:eastAsia="Arial" w:hAnsi="Arial" w:cs="Arial"/>
          <w:sz w:val="24"/>
          <w:szCs w:val="24"/>
        </w:rPr>
      </w:pPr>
      <w:r w:rsidRPr="00B72C05">
        <w:rPr>
          <w:rFonts w:ascii="Arial" w:eastAsia="Arial" w:hAnsi="Arial" w:cs="Arial"/>
          <w:sz w:val="24"/>
          <w:szCs w:val="24"/>
        </w:rPr>
        <w:t xml:space="preserve">This chapter outlines theoretical points of view, emerging trends, and empirical data that will be used in the study by synthesising recent research published in 20192024. It sets the stage towards the formulation of an abstract conceptual framework of interconnectedness between storytelling, online communities, and brand loyalty, thus </w:t>
      </w:r>
      <w:r w:rsidRPr="00B72C05">
        <w:rPr>
          <w:rFonts w:ascii="Arial" w:eastAsia="Arial" w:hAnsi="Arial" w:cs="Arial"/>
          <w:sz w:val="24"/>
          <w:szCs w:val="24"/>
        </w:rPr>
        <w:lastRenderedPageBreak/>
        <w:t>creating a clear rationale behind the current investigation of Nik</w:t>
      </w:r>
      <w:r w:rsidR="00B85563">
        <w:rPr>
          <w:rFonts w:ascii="Arial" w:eastAsia="Arial" w:hAnsi="Arial" w:cs="Arial"/>
          <w:sz w:val="24"/>
          <w:szCs w:val="24"/>
        </w:rPr>
        <w:t>e digital marketing strategies.</w:t>
      </w:r>
    </w:p>
    <w:p w14:paraId="56B40291" w14:textId="77777777" w:rsidR="00B72C05" w:rsidRPr="00B72C05" w:rsidRDefault="00B72C05" w:rsidP="00B85563">
      <w:pPr>
        <w:pStyle w:val="Heading2"/>
      </w:pPr>
      <w:bookmarkStart w:id="11" w:name="_Toc228731012"/>
      <w:r w:rsidRPr="00B72C05">
        <w:t>2.2 Digital Storytelling in Branding.</w:t>
      </w:r>
      <w:bookmarkEnd w:id="11"/>
    </w:p>
    <w:p w14:paraId="52D35016" w14:textId="77777777" w:rsidR="00B72C05" w:rsidRPr="00E644FF" w:rsidRDefault="00B72C05" w:rsidP="00E644FF">
      <w:pPr>
        <w:pStyle w:val="ListParagraph"/>
        <w:numPr>
          <w:ilvl w:val="0"/>
          <w:numId w:val="31"/>
        </w:numPr>
        <w:spacing w:before="240" w:after="240" w:line="360" w:lineRule="auto"/>
        <w:jc w:val="both"/>
        <w:rPr>
          <w:rFonts w:ascii="Arial" w:eastAsia="Arial" w:hAnsi="Arial" w:cs="Arial"/>
          <w:sz w:val="24"/>
          <w:szCs w:val="24"/>
        </w:rPr>
      </w:pPr>
      <w:r w:rsidRPr="00E644FF">
        <w:rPr>
          <w:rFonts w:ascii="Arial" w:eastAsia="Arial" w:hAnsi="Arial" w:cs="Arial"/>
          <w:b/>
          <w:sz w:val="24"/>
          <w:szCs w:val="24"/>
        </w:rPr>
        <w:t>2.2.1 Definition and Significance of Digital Storytelling:</w:t>
      </w:r>
      <w:r w:rsidRPr="00E644FF">
        <w:rPr>
          <w:rFonts w:ascii="Arial" w:eastAsia="Arial" w:hAnsi="Arial" w:cs="Arial"/>
          <w:sz w:val="24"/>
          <w:szCs w:val="24"/>
        </w:rPr>
        <w:t xml:space="preserve"> Digital storytelling has become a revolutionary marketing tool that allows brands to communicate their identity, values, and purpose by telling compelling stories. In contrast to traditional advertising, which mostly focuses on the functional attributes of a product, digital storytelling focuses on the emotional appeal, consumer experience, and brand perception (Lund et al., 2020). Through the creation of relatable and immersive stories, brands </w:t>
      </w:r>
      <w:proofErr w:type="gramStart"/>
      <w:r w:rsidRPr="00E644FF">
        <w:rPr>
          <w:rFonts w:ascii="Arial" w:eastAsia="Arial" w:hAnsi="Arial" w:cs="Arial"/>
          <w:sz w:val="24"/>
          <w:szCs w:val="24"/>
        </w:rPr>
        <w:t>are able to</w:t>
      </w:r>
      <w:proofErr w:type="gramEnd"/>
      <w:r w:rsidRPr="00E644FF">
        <w:rPr>
          <w:rFonts w:ascii="Arial" w:eastAsia="Arial" w:hAnsi="Arial" w:cs="Arial"/>
          <w:sz w:val="24"/>
          <w:szCs w:val="24"/>
        </w:rPr>
        <w:t xml:space="preserve"> communicate beyond the transactional interactions and establish meaningful relationships with their audience. Storytelling enables consumers to experience that they too are a part of the brand story, which facilitates identification and emotional attachment, which are important triggers of brand loyalty.</w:t>
      </w:r>
    </w:p>
    <w:p w14:paraId="0FB44CEA" w14:textId="77777777" w:rsidR="00B72C05" w:rsidRPr="00E644FF" w:rsidRDefault="00B72C05" w:rsidP="00E644FF">
      <w:pPr>
        <w:pStyle w:val="ListParagraph"/>
        <w:numPr>
          <w:ilvl w:val="0"/>
          <w:numId w:val="31"/>
        </w:numPr>
        <w:spacing w:before="240" w:after="240" w:line="360" w:lineRule="auto"/>
        <w:jc w:val="both"/>
        <w:rPr>
          <w:rFonts w:ascii="Arial" w:eastAsia="Arial" w:hAnsi="Arial" w:cs="Arial"/>
          <w:sz w:val="24"/>
          <w:szCs w:val="24"/>
        </w:rPr>
      </w:pPr>
      <w:r w:rsidRPr="00E644FF">
        <w:rPr>
          <w:rFonts w:ascii="Arial" w:eastAsia="Arial" w:hAnsi="Arial" w:cs="Arial"/>
          <w:b/>
          <w:sz w:val="24"/>
          <w:szCs w:val="24"/>
        </w:rPr>
        <w:t>2.2.2 Mechanisms of Consumer Engagement:</w:t>
      </w:r>
      <w:r w:rsidRPr="00E644FF">
        <w:rPr>
          <w:rFonts w:ascii="Arial" w:eastAsia="Arial" w:hAnsi="Arial" w:cs="Arial"/>
          <w:sz w:val="24"/>
          <w:szCs w:val="24"/>
        </w:rPr>
        <w:t xml:space="preserve"> Recent studies highlight that digital storytelling significantly enhances emotional engagement, a key determinant of consumer behaviour (Singh &amp; Sonnenburg, 2022). Authentic, relatable and culturally resonant narratives prompt consumers to internalize brand messages and build trust towards the brand. In particular, the campaigns conducted by Nike seem to be targeted at both personal desires and the shared social interests. The digital platforms, such as social media, branded websites, and video-sharing platforms, also help a brand to reach a global audience and provide continuous engagement.</w:t>
      </w:r>
    </w:p>
    <w:p w14:paraId="12F75639" w14:textId="77777777" w:rsidR="00B72C05" w:rsidRPr="00E644FF" w:rsidRDefault="00B72C05" w:rsidP="00E644FF">
      <w:pPr>
        <w:pStyle w:val="ListParagraph"/>
        <w:numPr>
          <w:ilvl w:val="0"/>
          <w:numId w:val="31"/>
        </w:numPr>
        <w:spacing w:before="240" w:after="240" w:line="360" w:lineRule="auto"/>
        <w:jc w:val="both"/>
        <w:rPr>
          <w:rFonts w:ascii="Arial" w:eastAsia="Arial" w:hAnsi="Arial" w:cs="Arial"/>
          <w:sz w:val="24"/>
          <w:szCs w:val="24"/>
        </w:rPr>
      </w:pPr>
      <w:r w:rsidRPr="00E644FF">
        <w:rPr>
          <w:rFonts w:ascii="Arial" w:eastAsia="Arial" w:hAnsi="Arial" w:cs="Arial"/>
          <w:b/>
          <w:sz w:val="24"/>
          <w:szCs w:val="24"/>
        </w:rPr>
        <w:t>2.2.3 Construction of Brand Meaning:</w:t>
      </w:r>
      <w:r w:rsidRPr="00E644FF">
        <w:rPr>
          <w:rFonts w:ascii="Arial" w:eastAsia="Arial" w:hAnsi="Arial" w:cs="Arial"/>
          <w:sz w:val="24"/>
          <w:szCs w:val="24"/>
        </w:rPr>
        <w:t xml:space="preserve"> Digital storytelling is involved in co-creation of brand meaning, where consumers actively interpret, evaluate, and internalise brand messages (Kumar and Kaushik, 2022). This mental and emotional processing enhances the psychological connection between the consumer and the brand, which could lead to long-term commitment and recommendation. Storytelling in the case of Nike enables the brand to position itself as not just a sportswear provider but a symbol of motivation, social responsibility and cultural relevance.</w:t>
      </w:r>
    </w:p>
    <w:p w14:paraId="35B37870" w14:textId="77777777" w:rsidR="00B72C05" w:rsidRPr="00E644FF" w:rsidRDefault="00B72C05" w:rsidP="00E644FF">
      <w:pPr>
        <w:pStyle w:val="ListParagraph"/>
        <w:numPr>
          <w:ilvl w:val="0"/>
          <w:numId w:val="31"/>
        </w:numPr>
        <w:spacing w:before="240" w:after="240" w:line="360" w:lineRule="auto"/>
        <w:jc w:val="both"/>
        <w:rPr>
          <w:rFonts w:ascii="Arial" w:eastAsia="Arial" w:hAnsi="Arial" w:cs="Arial"/>
          <w:sz w:val="24"/>
          <w:szCs w:val="24"/>
        </w:rPr>
      </w:pPr>
      <w:r w:rsidRPr="00E644FF">
        <w:rPr>
          <w:rFonts w:ascii="Arial" w:eastAsia="Arial" w:hAnsi="Arial" w:cs="Arial"/>
          <w:b/>
          <w:sz w:val="24"/>
          <w:szCs w:val="24"/>
        </w:rPr>
        <w:lastRenderedPageBreak/>
        <w:t>2.2.4 Challenges and Considerations:</w:t>
      </w:r>
      <w:r w:rsidRPr="00E644FF">
        <w:rPr>
          <w:rFonts w:ascii="Arial" w:eastAsia="Arial" w:hAnsi="Arial" w:cs="Arial"/>
          <w:sz w:val="24"/>
          <w:szCs w:val="24"/>
        </w:rPr>
        <w:t xml:space="preserve"> Although it has its advantages, digital stories telling is not devoid of difficulties. Researchers observe that overly aggressive, repetitive, or false narratives can result in consumer scepticism, less trust and engagement (Dwivedi et al., 2021). Consistency and authenticity in the various channels of communication are thus crucial in ensuring that storytelling is appealing and in tandem with consumer expectations. Brands should maintain a balance of creativity and credibility whereby the storytelling is based on the real values of the brand and not simply to push a product.</w:t>
      </w:r>
    </w:p>
    <w:p w14:paraId="41202F36" w14:textId="77777777" w:rsidR="00B72C05" w:rsidRPr="00E644FF" w:rsidRDefault="00B72C05" w:rsidP="00E644FF">
      <w:pPr>
        <w:pStyle w:val="ListParagraph"/>
        <w:numPr>
          <w:ilvl w:val="0"/>
          <w:numId w:val="31"/>
        </w:numPr>
        <w:spacing w:before="240" w:after="240" w:line="360" w:lineRule="auto"/>
        <w:jc w:val="both"/>
        <w:rPr>
          <w:rFonts w:ascii="Arial" w:eastAsia="Arial" w:hAnsi="Arial" w:cs="Arial"/>
          <w:sz w:val="24"/>
          <w:szCs w:val="24"/>
        </w:rPr>
      </w:pPr>
      <w:r w:rsidRPr="00E644FF">
        <w:rPr>
          <w:rFonts w:ascii="Arial" w:eastAsia="Arial" w:hAnsi="Arial" w:cs="Arial"/>
          <w:b/>
          <w:sz w:val="24"/>
          <w:szCs w:val="24"/>
        </w:rPr>
        <w:t>2.2.5 Implications on Marketing Strategy:</w:t>
      </w:r>
      <w:r w:rsidRPr="00E644FF">
        <w:rPr>
          <w:rFonts w:ascii="Arial" w:eastAsia="Arial" w:hAnsi="Arial" w:cs="Arial"/>
          <w:sz w:val="24"/>
          <w:szCs w:val="24"/>
        </w:rPr>
        <w:t xml:space="preserve"> Incorporating storytelling into the larger digital marketing strategies offers a competitive edge by differentiating brands in a saturated market. With Nike, strategic employment of storytelling has facilitated brand loyalty, heightened emotional attachment, as well as cultivated vibrant online communities that support co-creation of content. The storytelling platform also presents a social engagement platform whereby consumers would engage, share experiences, and reinforce collective brand identities.</w:t>
      </w:r>
    </w:p>
    <w:p w14:paraId="0B20E421" w14:textId="72E6EF4A" w:rsidR="008B55C4" w:rsidRDefault="00B72C05" w:rsidP="00B72C05">
      <w:pPr>
        <w:spacing w:before="240" w:after="240" w:line="360" w:lineRule="auto"/>
        <w:jc w:val="both"/>
        <w:rPr>
          <w:rFonts w:ascii="Arial" w:eastAsia="Arial" w:hAnsi="Arial" w:cs="Arial"/>
          <w:sz w:val="24"/>
          <w:szCs w:val="24"/>
        </w:rPr>
      </w:pPr>
      <w:r w:rsidRPr="00B72C05">
        <w:rPr>
          <w:rFonts w:ascii="Arial" w:eastAsia="Arial" w:hAnsi="Arial" w:cs="Arial"/>
          <w:sz w:val="24"/>
          <w:szCs w:val="24"/>
        </w:rPr>
        <w:t>In short, digital stories in branding transcend the boundaries of advertising to create emotional resonance, influence the perception of consumers, and help generate loyalty. Although the issues of authenticity and audience acceptance are present, effective storytelling is a strategic necessity of global brands, especially in the domain of sportswear where identity, culture, and values play a crucial role in</w:t>
      </w:r>
      <w:r>
        <w:rPr>
          <w:rFonts w:ascii="Arial" w:eastAsia="Arial" w:hAnsi="Arial" w:cs="Arial"/>
          <w:sz w:val="24"/>
          <w:szCs w:val="24"/>
        </w:rPr>
        <w:t xml:space="preserve"> influencing consumer decisions</w:t>
      </w:r>
      <w:r w:rsidR="00115F86" w:rsidRPr="00115F86">
        <w:rPr>
          <w:rFonts w:ascii="Arial" w:eastAsia="Arial" w:hAnsi="Arial" w:cs="Arial"/>
          <w:sz w:val="24"/>
          <w:szCs w:val="24"/>
        </w:rPr>
        <w:t>.</w:t>
      </w:r>
    </w:p>
    <w:p w14:paraId="07DC8370" w14:textId="47B6E98E" w:rsidR="008B55C4" w:rsidRDefault="00035D2C" w:rsidP="008E730D">
      <w:pPr>
        <w:pStyle w:val="Heading2"/>
      </w:pPr>
      <w:bookmarkStart w:id="12" w:name="_Toc228731013"/>
      <w:r>
        <w:t>2.</w:t>
      </w:r>
      <w:r w:rsidR="00D712D3">
        <w:t>3</w:t>
      </w:r>
      <w:r>
        <w:t xml:space="preserve"> Community Building in Digital Marketing</w:t>
      </w:r>
      <w:bookmarkEnd w:id="12"/>
    </w:p>
    <w:p w14:paraId="5484BE67" w14:textId="77777777" w:rsidR="000726EA" w:rsidRPr="00DF6ED8" w:rsidRDefault="00E83E0C" w:rsidP="00DF6ED8">
      <w:pPr>
        <w:pStyle w:val="ListParagraph"/>
        <w:numPr>
          <w:ilvl w:val="0"/>
          <w:numId w:val="32"/>
        </w:numPr>
        <w:spacing w:before="240" w:after="240" w:line="360" w:lineRule="auto"/>
        <w:jc w:val="both"/>
        <w:rPr>
          <w:rFonts w:ascii="Arial" w:eastAsia="Arial" w:hAnsi="Arial" w:cs="Arial"/>
          <w:sz w:val="24"/>
          <w:szCs w:val="24"/>
        </w:rPr>
      </w:pPr>
      <w:r w:rsidRPr="00DF6ED8">
        <w:rPr>
          <w:rFonts w:ascii="Arial" w:eastAsia="Arial" w:hAnsi="Arial" w:cs="Arial"/>
          <w:b/>
          <w:sz w:val="24"/>
          <w:szCs w:val="24"/>
        </w:rPr>
        <w:t>2.3</w:t>
      </w:r>
      <w:r w:rsidR="00256BFC" w:rsidRPr="00DF6ED8">
        <w:rPr>
          <w:rFonts w:ascii="Arial" w:eastAsia="Arial" w:hAnsi="Arial" w:cs="Arial"/>
          <w:b/>
          <w:sz w:val="24"/>
          <w:szCs w:val="24"/>
        </w:rPr>
        <w:t xml:space="preserve">.1 </w:t>
      </w:r>
      <w:r w:rsidR="00BF4044" w:rsidRPr="00DF6ED8">
        <w:rPr>
          <w:rFonts w:ascii="Arial" w:eastAsia="Arial" w:hAnsi="Arial" w:cs="Arial"/>
          <w:b/>
          <w:sz w:val="24"/>
          <w:szCs w:val="24"/>
        </w:rPr>
        <w:t>Role and Importance of Online Brand Communiti</w:t>
      </w:r>
      <w:r w:rsidR="00765615" w:rsidRPr="00DF6ED8">
        <w:rPr>
          <w:rFonts w:ascii="Arial" w:eastAsia="Arial" w:hAnsi="Arial" w:cs="Arial"/>
          <w:b/>
          <w:sz w:val="24"/>
          <w:szCs w:val="24"/>
        </w:rPr>
        <w:t>es</w:t>
      </w:r>
      <w:r w:rsidR="00256BFC" w:rsidRPr="00DF6ED8">
        <w:rPr>
          <w:rFonts w:ascii="Arial" w:eastAsia="Arial" w:hAnsi="Arial" w:cs="Arial"/>
          <w:b/>
          <w:sz w:val="24"/>
          <w:szCs w:val="24"/>
        </w:rPr>
        <w:t xml:space="preserve">: </w:t>
      </w:r>
      <w:r w:rsidR="000726EA" w:rsidRPr="00DF6ED8">
        <w:rPr>
          <w:rFonts w:ascii="Arial" w:eastAsia="Arial" w:hAnsi="Arial" w:cs="Arial"/>
          <w:sz w:val="24"/>
          <w:szCs w:val="24"/>
        </w:rPr>
        <w:t xml:space="preserve">Online brand communities are now becoming a central feature of modern online marketing approaches, as it offers a platform on which consumers can communicate with one another, and with the brand itself (Dessart et al., 2020). These communities make it easier to form a shared identity and sense of belonging, allowing consumers to feel connected to the brand and to other like-minded individuals. On top of transactional interaction, communities provide a social layer to consumer-brand relations, which leads to long-term loyalty and emotional </w:t>
      </w:r>
      <w:r w:rsidR="000726EA" w:rsidRPr="00DF6ED8">
        <w:rPr>
          <w:rFonts w:ascii="Arial" w:eastAsia="Arial" w:hAnsi="Arial" w:cs="Arial"/>
          <w:sz w:val="24"/>
          <w:szCs w:val="24"/>
        </w:rPr>
        <w:lastRenderedPageBreak/>
        <w:t>connection. In the case of global brands such as Nike, online communities enable fans, athletes and casual users to interact, exchange experiences and engage in activities related to the brand, and fortify individual and collective brand relationships.</w:t>
      </w:r>
    </w:p>
    <w:p w14:paraId="03896511" w14:textId="17ECC27C" w:rsidR="000726EA" w:rsidRPr="00DF6ED8" w:rsidRDefault="000726EA" w:rsidP="00DF6ED8">
      <w:pPr>
        <w:pStyle w:val="ListParagraph"/>
        <w:numPr>
          <w:ilvl w:val="0"/>
          <w:numId w:val="32"/>
        </w:numPr>
        <w:spacing w:before="240" w:after="240" w:line="360" w:lineRule="auto"/>
        <w:jc w:val="both"/>
        <w:rPr>
          <w:rFonts w:ascii="Arial" w:eastAsia="Arial" w:hAnsi="Arial" w:cs="Arial"/>
          <w:sz w:val="24"/>
          <w:szCs w:val="24"/>
        </w:rPr>
      </w:pPr>
      <w:r w:rsidRPr="00DF6ED8">
        <w:rPr>
          <w:rFonts w:ascii="Arial" w:eastAsia="Arial" w:hAnsi="Arial" w:cs="Arial"/>
          <w:b/>
          <w:sz w:val="24"/>
          <w:szCs w:val="24"/>
        </w:rPr>
        <w:t>2.3.2 Customer Engagement by Community Participation:</w:t>
      </w:r>
      <w:r w:rsidRPr="00DF6ED8">
        <w:rPr>
          <w:rFonts w:ascii="Arial" w:eastAsia="Arial" w:hAnsi="Arial" w:cs="Arial"/>
          <w:sz w:val="24"/>
          <w:szCs w:val="24"/>
        </w:rPr>
        <w:t xml:space="preserve"> Community building increases customer participation, which includes emotional, cognitive and behavioural participation. Engaged members would be more likely to promote the brand, co-create content, and impact other </w:t>
      </w:r>
      <w:r w:rsidR="00DF6ED8" w:rsidRPr="00DF6ED8">
        <w:rPr>
          <w:rFonts w:ascii="Arial" w:eastAsia="Arial" w:hAnsi="Arial" w:cs="Arial"/>
          <w:sz w:val="24"/>
          <w:szCs w:val="24"/>
        </w:rPr>
        <w:t>consumer’s</w:t>
      </w:r>
      <w:r w:rsidRPr="00DF6ED8">
        <w:rPr>
          <w:rFonts w:ascii="Arial" w:eastAsia="Arial" w:hAnsi="Arial" w:cs="Arial"/>
          <w:sz w:val="24"/>
          <w:szCs w:val="24"/>
        </w:rPr>
        <w:t xml:space="preserve"> perceptions (</w:t>
      </w:r>
      <w:proofErr w:type="spellStart"/>
      <w:r w:rsidRPr="00DF6ED8">
        <w:rPr>
          <w:rFonts w:ascii="Arial" w:eastAsia="Arial" w:hAnsi="Arial" w:cs="Arial"/>
          <w:sz w:val="24"/>
          <w:szCs w:val="24"/>
        </w:rPr>
        <w:t>Pansari</w:t>
      </w:r>
      <w:proofErr w:type="spellEnd"/>
      <w:r w:rsidRPr="00DF6ED8">
        <w:rPr>
          <w:rFonts w:ascii="Arial" w:eastAsia="Arial" w:hAnsi="Arial" w:cs="Arial"/>
          <w:sz w:val="24"/>
          <w:szCs w:val="24"/>
        </w:rPr>
        <w:t xml:space="preserve"> and Kumar, 2021). Online communities enable the brands to have consistent communication with the consumers and have a chance to listen to the consumers, support and have a shared experience. An example of this strategy is the Nike apps, like Nike Run Club and Nike Training Club, which encourage users to monitor their progress, celebrate achievements, and tackle challenges, which in turn promote engagement and loyalty.</w:t>
      </w:r>
    </w:p>
    <w:p w14:paraId="48F6E304" w14:textId="77777777" w:rsidR="000726EA" w:rsidRPr="00DF6ED8" w:rsidRDefault="000726EA" w:rsidP="00DF6ED8">
      <w:pPr>
        <w:pStyle w:val="ListParagraph"/>
        <w:numPr>
          <w:ilvl w:val="0"/>
          <w:numId w:val="32"/>
        </w:numPr>
        <w:spacing w:before="240" w:after="240" w:line="360" w:lineRule="auto"/>
        <w:jc w:val="both"/>
        <w:rPr>
          <w:rFonts w:ascii="Arial" w:eastAsia="Arial" w:hAnsi="Arial" w:cs="Arial"/>
          <w:sz w:val="24"/>
          <w:szCs w:val="24"/>
        </w:rPr>
      </w:pPr>
      <w:r w:rsidRPr="00DF6ED8">
        <w:rPr>
          <w:rFonts w:ascii="Arial" w:eastAsia="Arial" w:hAnsi="Arial" w:cs="Arial"/>
          <w:b/>
          <w:sz w:val="24"/>
          <w:szCs w:val="24"/>
        </w:rPr>
        <w:t>2.3.3 Theoretical Perspectives:</w:t>
      </w:r>
      <w:r w:rsidRPr="00DF6ED8">
        <w:rPr>
          <w:rFonts w:ascii="Arial" w:eastAsia="Arial" w:hAnsi="Arial" w:cs="Arial"/>
          <w:sz w:val="24"/>
          <w:szCs w:val="24"/>
        </w:rPr>
        <w:t xml:space="preserve"> Social Identity and Loyalty: The social identity theory is a theoretical approach that can be used to understand the dynamics of online communities. The connection with a brand community provides consumers with a sense of identity and self-concept, which consequently reinforces loyalty and emotional attachment (</w:t>
      </w:r>
      <w:proofErr w:type="spellStart"/>
      <w:r w:rsidRPr="00DF6ED8">
        <w:rPr>
          <w:rFonts w:ascii="Arial" w:eastAsia="Arial" w:hAnsi="Arial" w:cs="Arial"/>
          <w:sz w:val="24"/>
          <w:szCs w:val="24"/>
        </w:rPr>
        <w:t>Algesheimer</w:t>
      </w:r>
      <w:proofErr w:type="spellEnd"/>
      <w:r w:rsidRPr="00DF6ED8">
        <w:rPr>
          <w:rFonts w:ascii="Arial" w:eastAsia="Arial" w:hAnsi="Arial" w:cs="Arial"/>
          <w:sz w:val="24"/>
          <w:szCs w:val="24"/>
        </w:rPr>
        <w:t xml:space="preserve"> et al., 2020). By identifying personal identity with membership of the community, consumers gain a psychological sense of ownership of the brand, inspiring them to actively participate in and recommend the brand. This is supported by Nike digital platforms that offer spaces where users can showcase individual feats, engage in a contest, and interact with other followers, effectively connecting personal accomplishments and brand values.</w:t>
      </w:r>
    </w:p>
    <w:p w14:paraId="426FDFE1" w14:textId="77777777" w:rsidR="000726EA" w:rsidRPr="00DF6ED8" w:rsidRDefault="000726EA" w:rsidP="00DF6ED8">
      <w:pPr>
        <w:pStyle w:val="ListParagraph"/>
        <w:numPr>
          <w:ilvl w:val="0"/>
          <w:numId w:val="32"/>
        </w:numPr>
        <w:spacing w:before="240" w:after="240" w:line="360" w:lineRule="auto"/>
        <w:jc w:val="both"/>
        <w:rPr>
          <w:rFonts w:ascii="Arial" w:eastAsia="Arial" w:hAnsi="Arial" w:cs="Arial"/>
          <w:sz w:val="24"/>
          <w:szCs w:val="24"/>
        </w:rPr>
      </w:pPr>
      <w:r w:rsidRPr="00DF6ED8">
        <w:rPr>
          <w:rFonts w:ascii="Arial" w:eastAsia="Arial" w:hAnsi="Arial" w:cs="Arial"/>
          <w:b/>
          <w:sz w:val="24"/>
          <w:szCs w:val="24"/>
        </w:rPr>
        <w:t>2.3.4 Community Management Issues:</w:t>
      </w:r>
      <w:r w:rsidRPr="00DF6ED8">
        <w:rPr>
          <w:rFonts w:ascii="Arial" w:eastAsia="Arial" w:hAnsi="Arial" w:cs="Arial"/>
          <w:sz w:val="24"/>
          <w:szCs w:val="24"/>
        </w:rPr>
        <w:t xml:space="preserve"> </w:t>
      </w:r>
      <w:proofErr w:type="gramStart"/>
      <w:r w:rsidRPr="00DF6ED8">
        <w:rPr>
          <w:rFonts w:ascii="Arial" w:eastAsia="Arial" w:hAnsi="Arial" w:cs="Arial"/>
          <w:sz w:val="24"/>
          <w:szCs w:val="24"/>
        </w:rPr>
        <w:t>In spite of</w:t>
      </w:r>
      <w:proofErr w:type="gramEnd"/>
      <w:r w:rsidRPr="00DF6ED8">
        <w:rPr>
          <w:rFonts w:ascii="Arial" w:eastAsia="Arial" w:hAnsi="Arial" w:cs="Arial"/>
          <w:sz w:val="24"/>
          <w:szCs w:val="24"/>
        </w:rPr>
        <w:t xml:space="preserve"> the advantages, there are challenges in management of online communities. The lack of activity or the inadequate regulation of communities can result in the decrease of engagement, frustration of community members, and the negative attitude towards the brand (</w:t>
      </w:r>
      <w:proofErr w:type="spellStart"/>
      <w:r w:rsidRPr="00DF6ED8">
        <w:rPr>
          <w:rFonts w:ascii="Arial" w:eastAsia="Arial" w:hAnsi="Arial" w:cs="Arial"/>
          <w:sz w:val="24"/>
          <w:szCs w:val="24"/>
        </w:rPr>
        <w:t>Hollebeek</w:t>
      </w:r>
      <w:proofErr w:type="spellEnd"/>
      <w:r w:rsidRPr="00DF6ED8">
        <w:rPr>
          <w:rFonts w:ascii="Arial" w:eastAsia="Arial" w:hAnsi="Arial" w:cs="Arial"/>
          <w:sz w:val="24"/>
          <w:szCs w:val="24"/>
        </w:rPr>
        <w:t xml:space="preserve"> et al., 2022). The key to sustaining participation is to maintain authenticity, relevancy, and constant value creation. The brands will have to invest in content curation, interactive campaigns, and responsive engagement, making sure the communities are vibrant and meaningful. Secondly, there is a need to strike a balance between commercial messages </w:t>
      </w:r>
      <w:r w:rsidRPr="00DF6ED8">
        <w:rPr>
          <w:rFonts w:ascii="Arial" w:eastAsia="Arial" w:hAnsi="Arial" w:cs="Arial"/>
          <w:sz w:val="24"/>
          <w:szCs w:val="24"/>
        </w:rPr>
        <w:lastRenderedPageBreak/>
        <w:t>and user-generated content to avoid the perception that the company is being manipulative or over-promoting.</w:t>
      </w:r>
    </w:p>
    <w:p w14:paraId="58EC82E5" w14:textId="58D103F2" w:rsidR="000726EA" w:rsidRPr="00DF6ED8" w:rsidRDefault="00DF6ED8" w:rsidP="00DF6ED8">
      <w:pPr>
        <w:pStyle w:val="ListParagraph"/>
        <w:numPr>
          <w:ilvl w:val="0"/>
          <w:numId w:val="32"/>
        </w:numPr>
        <w:spacing w:before="240" w:after="240" w:line="360" w:lineRule="auto"/>
        <w:jc w:val="both"/>
        <w:rPr>
          <w:rFonts w:ascii="Arial" w:eastAsia="Arial" w:hAnsi="Arial" w:cs="Arial"/>
          <w:sz w:val="24"/>
          <w:szCs w:val="24"/>
        </w:rPr>
      </w:pPr>
      <w:r w:rsidRPr="00DF6ED8">
        <w:rPr>
          <w:rFonts w:ascii="Arial" w:eastAsia="Arial" w:hAnsi="Arial" w:cs="Arial"/>
          <w:b/>
          <w:sz w:val="24"/>
          <w:szCs w:val="24"/>
        </w:rPr>
        <w:t xml:space="preserve">2.3.5 </w:t>
      </w:r>
      <w:r w:rsidR="000726EA" w:rsidRPr="00DF6ED8">
        <w:rPr>
          <w:rFonts w:ascii="Arial" w:eastAsia="Arial" w:hAnsi="Arial" w:cs="Arial"/>
          <w:b/>
          <w:sz w:val="24"/>
          <w:szCs w:val="24"/>
        </w:rPr>
        <w:t>Implications of Community Building to Digital Marketing Strategy:</w:t>
      </w:r>
      <w:r w:rsidR="000726EA" w:rsidRPr="00DF6ED8">
        <w:rPr>
          <w:rFonts w:ascii="Arial" w:eastAsia="Arial" w:hAnsi="Arial" w:cs="Arial"/>
          <w:sz w:val="24"/>
          <w:szCs w:val="24"/>
        </w:rPr>
        <w:t xml:space="preserve"> The incorporation of community building into digital marketing strategies is very beneficial. It improves brand awareness, loyalty as well as consumer led promotion through word of mouth and social sharing. The strategy of Nike shows that effective digital communities must be aligned with brand values, engage continuously, and have platforms that enable users to share and collaborate. In addition, such communities enable the collection of data and understanding of consumers and allow brands to adjust their products and marketing activities to reflect the needs of the communities.</w:t>
      </w:r>
    </w:p>
    <w:p w14:paraId="046661F6" w14:textId="77777777" w:rsidR="000726EA" w:rsidRPr="000726EA" w:rsidRDefault="000726EA" w:rsidP="000726EA">
      <w:pPr>
        <w:spacing w:before="240" w:after="240" w:line="360" w:lineRule="auto"/>
        <w:jc w:val="both"/>
        <w:rPr>
          <w:rFonts w:ascii="Arial" w:eastAsia="Arial" w:hAnsi="Arial" w:cs="Arial"/>
          <w:sz w:val="24"/>
          <w:szCs w:val="24"/>
        </w:rPr>
      </w:pPr>
      <w:r w:rsidRPr="000726EA">
        <w:rPr>
          <w:rFonts w:ascii="Arial" w:eastAsia="Arial" w:hAnsi="Arial" w:cs="Arial"/>
          <w:sz w:val="24"/>
          <w:szCs w:val="24"/>
        </w:rPr>
        <w:t xml:space="preserve">To recap it all, community building in digital marketing is a strategic instrument that enhances engagement, loyalty, and brand identity. Through the active and real online communities, brands such as Nike </w:t>
      </w:r>
      <w:proofErr w:type="gramStart"/>
      <w:r w:rsidRPr="000726EA">
        <w:rPr>
          <w:rFonts w:ascii="Arial" w:eastAsia="Arial" w:hAnsi="Arial" w:cs="Arial"/>
          <w:sz w:val="24"/>
          <w:szCs w:val="24"/>
        </w:rPr>
        <w:t>are capable of creating</w:t>
      </w:r>
      <w:proofErr w:type="gramEnd"/>
      <w:r w:rsidRPr="000726EA">
        <w:rPr>
          <w:rFonts w:ascii="Arial" w:eastAsia="Arial" w:hAnsi="Arial" w:cs="Arial"/>
          <w:sz w:val="24"/>
          <w:szCs w:val="24"/>
        </w:rPr>
        <w:t xml:space="preserve"> a mutually beneficial ecosystem where consumers </w:t>
      </w:r>
      <w:proofErr w:type="gramStart"/>
      <w:r w:rsidRPr="000726EA">
        <w:rPr>
          <w:rFonts w:ascii="Arial" w:eastAsia="Arial" w:hAnsi="Arial" w:cs="Arial"/>
          <w:sz w:val="24"/>
          <w:szCs w:val="24"/>
        </w:rPr>
        <w:t>are able to</w:t>
      </w:r>
      <w:proofErr w:type="gramEnd"/>
      <w:r w:rsidRPr="000726EA">
        <w:rPr>
          <w:rFonts w:ascii="Arial" w:eastAsia="Arial" w:hAnsi="Arial" w:cs="Arial"/>
          <w:sz w:val="24"/>
          <w:szCs w:val="24"/>
        </w:rPr>
        <w:t xml:space="preserve"> contribute to the value co-creation and reinforce their attachment to the brand. The key to sustaining participation, long-term benefits are effective management and continuous innovation.</w:t>
      </w:r>
    </w:p>
    <w:p w14:paraId="66C8DAE1" w14:textId="77777777" w:rsidR="000726EA" w:rsidRPr="000726EA" w:rsidRDefault="000726EA" w:rsidP="0064361F">
      <w:pPr>
        <w:pStyle w:val="Heading2"/>
      </w:pPr>
      <w:bookmarkStart w:id="13" w:name="_Toc228731014"/>
      <w:r w:rsidRPr="000726EA">
        <w:t>2.4 Brand Loyalty in the Digital Age.</w:t>
      </w:r>
      <w:bookmarkEnd w:id="13"/>
    </w:p>
    <w:p w14:paraId="4281D2A3" w14:textId="77777777" w:rsidR="000726EA" w:rsidRPr="0064361F" w:rsidRDefault="000726EA" w:rsidP="0064361F">
      <w:pPr>
        <w:pStyle w:val="ListParagraph"/>
        <w:numPr>
          <w:ilvl w:val="0"/>
          <w:numId w:val="33"/>
        </w:numPr>
        <w:spacing w:before="240" w:after="240" w:line="360" w:lineRule="auto"/>
        <w:jc w:val="both"/>
        <w:rPr>
          <w:rFonts w:ascii="Arial" w:eastAsia="Arial" w:hAnsi="Arial" w:cs="Arial"/>
          <w:sz w:val="24"/>
          <w:szCs w:val="24"/>
        </w:rPr>
      </w:pPr>
      <w:r w:rsidRPr="0064361F">
        <w:rPr>
          <w:rFonts w:ascii="Arial" w:eastAsia="Arial" w:hAnsi="Arial" w:cs="Arial"/>
          <w:b/>
          <w:sz w:val="24"/>
          <w:szCs w:val="24"/>
        </w:rPr>
        <w:t>2.4.1 Brand Loyalty:</w:t>
      </w:r>
      <w:r w:rsidRPr="0064361F">
        <w:rPr>
          <w:rFonts w:ascii="Arial" w:eastAsia="Arial" w:hAnsi="Arial" w:cs="Arial"/>
          <w:sz w:val="24"/>
          <w:szCs w:val="24"/>
        </w:rPr>
        <w:t xml:space="preserve"> Brand loyalty is the commitment of a consumer to regularly repurchase or have a relationship with a brand over an extended period. In the digital era, emotional, experiential, and social aspects have become more influential forms of loyalty than before; product quality and functional benefits remain the primary drivers of loyalty (Rather et al., 2022). In the current literature, the distinction between attitudinal and behavioural loyalty is made; attitudinal loyalty is defined as emotional attachment and preference towards a brand, whereas behavioural loyalty is defined as actual repeat purchasing behaviour. </w:t>
      </w:r>
      <w:proofErr w:type="gramStart"/>
      <w:r w:rsidRPr="0064361F">
        <w:rPr>
          <w:rFonts w:ascii="Arial" w:eastAsia="Arial" w:hAnsi="Arial" w:cs="Arial"/>
          <w:sz w:val="24"/>
          <w:szCs w:val="24"/>
        </w:rPr>
        <w:t>Both of these</w:t>
      </w:r>
      <w:proofErr w:type="gramEnd"/>
      <w:r w:rsidRPr="0064361F">
        <w:rPr>
          <w:rFonts w:ascii="Arial" w:eastAsia="Arial" w:hAnsi="Arial" w:cs="Arial"/>
          <w:sz w:val="24"/>
          <w:szCs w:val="24"/>
        </w:rPr>
        <w:t xml:space="preserve"> dimensions should be addressed by brands to ensure sustainable loyalty, especially in the context of highly competitive digital markets.</w:t>
      </w:r>
    </w:p>
    <w:p w14:paraId="097A9C72" w14:textId="77777777" w:rsidR="000726EA" w:rsidRPr="0064361F" w:rsidRDefault="000726EA" w:rsidP="0064361F">
      <w:pPr>
        <w:pStyle w:val="ListParagraph"/>
        <w:numPr>
          <w:ilvl w:val="0"/>
          <w:numId w:val="33"/>
        </w:numPr>
        <w:spacing w:before="240" w:after="240" w:line="360" w:lineRule="auto"/>
        <w:jc w:val="both"/>
        <w:rPr>
          <w:rFonts w:ascii="Arial" w:eastAsia="Arial" w:hAnsi="Arial" w:cs="Arial"/>
          <w:sz w:val="24"/>
          <w:szCs w:val="24"/>
        </w:rPr>
      </w:pPr>
      <w:r w:rsidRPr="0064361F">
        <w:rPr>
          <w:rFonts w:ascii="Arial" w:eastAsia="Arial" w:hAnsi="Arial" w:cs="Arial"/>
          <w:b/>
          <w:sz w:val="24"/>
          <w:szCs w:val="24"/>
        </w:rPr>
        <w:t>2.4.2 Impact of Digital Stories:</w:t>
      </w:r>
      <w:r w:rsidRPr="0064361F">
        <w:rPr>
          <w:rFonts w:ascii="Arial" w:eastAsia="Arial" w:hAnsi="Arial" w:cs="Arial"/>
          <w:sz w:val="24"/>
          <w:szCs w:val="24"/>
        </w:rPr>
        <w:t xml:space="preserve"> Digital storytelling is very important in improving attitudinal loyalty. Brands can build trust, empathy, and personal </w:t>
      </w:r>
      <w:r w:rsidRPr="0064361F">
        <w:rPr>
          <w:rFonts w:ascii="Arial" w:eastAsia="Arial" w:hAnsi="Arial" w:cs="Arial"/>
          <w:sz w:val="24"/>
          <w:szCs w:val="24"/>
        </w:rPr>
        <w:lastRenderedPageBreak/>
        <w:t>identification through authentic narrative conveying that a brand resonates with consumers at a deeper, more emotional level (Gómez-Suárez et al., 2021). Storytelling enables the brands to articulate their values, purpose, and social responsibility, which enhances consumer attachment as opposed to transactional engagement. As an example, the campaigns of Nike usually tend towards the empowerment, inclusiveness and perseverance, which create the emotional connection that pushes the consumers to remain loyal even in the face of the alternative options.</w:t>
      </w:r>
    </w:p>
    <w:p w14:paraId="3FD0841A" w14:textId="77777777" w:rsidR="000726EA" w:rsidRPr="0064361F" w:rsidRDefault="000726EA" w:rsidP="0064361F">
      <w:pPr>
        <w:pStyle w:val="ListParagraph"/>
        <w:numPr>
          <w:ilvl w:val="0"/>
          <w:numId w:val="33"/>
        </w:numPr>
        <w:spacing w:before="240" w:after="240" w:line="360" w:lineRule="auto"/>
        <w:jc w:val="both"/>
        <w:rPr>
          <w:rFonts w:ascii="Arial" w:eastAsia="Arial" w:hAnsi="Arial" w:cs="Arial"/>
          <w:sz w:val="24"/>
          <w:szCs w:val="24"/>
        </w:rPr>
      </w:pPr>
      <w:r w:rsidRPr="0064361F">
        <w:rPr>
          <w:rFonts w:ascii="Arial" w:eastAsia="Arial" w:hAnsi="Arial" w:cs="Arial"/>
          <w:b/>
          <w:sz w:val="24"/>
          <w:szCs w:val="24"/>
        </w:rPr>
        <w:t>2.4.3 Community Engagement and Loyalty:</w:t>
      </w:r>
      <w:r w:rsidRPr="0064361F">
        <w:rPr>
          <w:rFonts w:ascii="Arial" w:eastAsia="Arial" w:hAnsi="Arial" w:cs="Arial"/>
          <w:sz w:val="24"/>
          <w:szCs w:val="24"/>
        </w:rPr>
        <w:t xml:space="preserve"> Community engagement can help in both attitudinal and behavioural loyalty. Brand communities online offer interactive platforms on which consumers can use to share experiences, give pieces of advice and engage in co-creation activities. Active members of these communities have a higher chance of becoming brand advocates, recommending the brand to their colleagues, and making repeat purchases. These interactions are mediated by Nike platforms, such as fitness applications and social media communities, which encourage users to congratulate themselves on an achievement, take part in a challenge, and connect with other fans, thus strengthening both emotional attachment and purchase behaviour.</w:t>
      </w:r>
    </w:p>
    <w:p w14:paraId="3D68A63F" w14:textId="77777777" w:rsidR="000726EA" w:rsidRPr="0064361F" w:rsidRDefault="000726EA" w:rsidP="0064361F">
      <w:pPr>
        <w:pStyle w:val="ListParagraph"/>
        <w:numPr>
          <w:ilvl w:val="0"/>
          <w:numId w:val="33"/>
        </w:numPr>
        <w:spacing w:before="240" w:after="240" w:line="360" w:lineRule="auto"/>
        <w:jc w:val="both"/>
        <w:rPr>
          <w:rFonts w:ascii="Arial" w:eastAsia="Arial" w:hAnsi="Arial" w:cs="Arial"/>
          <w:sz w:val="24"/>
          <w:szCs w:val="24"/>
        </w:rPr>
      </w:pPr>
      <w:r w:rsidRPr="0064361F">
        <w:rPr>
          <w:rFonts w:ascii="Arial" w:eastAsia="Arial" w:hAnsi="Arial" w:cs="Arial"/>
          <w:b/>
          <w:sz w:val="24"/>
          <w:szCs w:val="24"/>
        </w:rPr>
        <w:t>2.4.4 New Dimensions in the Digital Era:</w:t>
      </w:r>
      <w:r w:rsidRPr="0064361F">
        <w:rPr>
          <w:rFonts w:ascii="Arial" w:eastAsia="Arial" w:hAnsi="Arial" w:cs="Arial"/>
          <w:sz w:val="24"/>
          <w:szCs w:val="24"/>
        </w:rPr>
        <w:t xml:space="preserve"> The emergence of digital platforms has brought about new dimensions of loyalty like online engagement, user-generated content, and brand advocacy. Consumers now engage with brands across </w:t>
      </w:r>
      <w:proofErr w:type="gramStart"/>
      <w:r w:rsidRPr="0064361F">
        <w:rPr>
          <w:rFonts w:ascii="Arial" w:eastAsia="Arial" w:hAnsi="Arial" w:cs="Arial"/>
          <w:sz w:val="24"/>
          <w:szCs w:val="24"/>
        </w:rPr>
        <w:t>a number of</w:t>
      </w:r>
      <w:proofErr w:type="gramEnd"/>
      <w:r w:rsidRPr="0064361F">
        <w:rPr>
          <w:rFonts w:ascii="Arial" w:eastAsia="Arial" w:hAnsi="Arial" w:cs="Arial"/>
          <w:sz w:val="24"/>
          <w:szCs w:val="24"/>
        </w:rPr>
        <w:t xml:space="preserve"> digital touchpoints, such as social media, mobile applications, and forums. By actively engaging in such channels, brand visibility, reputation and market position can be enhanced as the loyal consumers become advocates influencing peers through online recommendations and sharing of content. It is a multidimensional loyalty where brands must combine storytelling, engagement, and digital innovation in a cohesive manner that will allow the brand to retain consumer commitment.</w:t>
      </w:r>
    </w:p>
    <w:p w14:paraId="72BE9FB1" w14:textId="3FDB5EF1" w:rsidR="000726EA" w:rsidRPr="0064361F" w:rsidRDefault="000726EA" w:rsidP="0064361F">
      <w:pPr>
        <w:pStyle w:val="ListParagraph"/>
        <w:numPr>
          <w:ilvl w:val="0"/>
          <w:numId w:val="33"/>
        </w:numPr>
        <w:spacing w:before="240" w:after="240" w:line="360" w:lineRule="auto"/>
        <w:jc w:val="both"/>
        <w:rPr>
          <w:rFonts w:ascii="Arial" w:eastAsia="Arial" w:hAnsi="Arial" w:cs="Arial"/>
          <w:sz w:val="24"/>
          <w:szCs w:val="24"/>
        </w:rPr>
      </w:pPr>
      <w:r w:rsidRPr="0064361F">
        <w:rPr>
          <w:rFonts w:ascii="Arial" w:eastAsia="Arial" w:hAnsi="Arial" w:cs="Arial"/>
          <w:b/>
          <w:sz w:val="24"/>
          <w:szCs w:val="24"/>
        </w:rPr>
        <w:t>2.4.5 Threats to Maintaining Digital Loyalty:</w:t>
      </w:r>
      <w:r w:rsidRPr="0064361F">
        <w:rPr>
          <w:rFonts w:ascii="Arial" w:eastAsia="Arial" w:hAnsi="Arial" w:cs="Arial"/>
          <w:sz w:val="24"/>
          <w:szCs w:val="24"/>
        </w:rPr>
        <w:t xml:space="preserve"> Although there are advantages, it is becoming more difficult to maintain brand loyalty in the digital realm. Consumers are </w:t>
      </w:r>
      <w:r w:rsidR="0064361F" w:rsidRPr="0064361F">
        <w:rPr>
          <w:rFonts w:ascii="Arial" w:eastAsia="Arial" w:hAnsi="Arial" w:cs="Arial"/>
          <w:sz w:val="24"/>
          <w:szCs w:val="24"/>
        </w:rPr>
        <w:t>choosier</w:t>
      </w:r>
      <w:r w:rsidRPr="0064361F">
        <w:rPr>
          <w:rFonts w:ascii="Arial" w:eastAsia="Arial" w:hAnsi="Arial" w:cs="Arial"/>
          <w:sz w:val="24"/>
          <w:szCs w:val="24"/>
        </w:rPr>
        <w:t xml:space="preserve"> and less tolerant due to the high competition, overload of information, and the easy availability of alternative brands. New products or developments need to be promptly introduced and promoted by the brands to keep them relevant and avoid being replaced (</w:t>
      </w:r>
      <w:proofErr w:type="spellStart"/>
      <w:r w:rsidRPr="0064361F">
        <w:rPr>
          <w:rFonts w:ascii="Arial" w:eastAsia="Arial" w:hAnsi="Arial" w:cs="Arial"/>
          <w:sz w:val="24"/>
          <w:szCs w:val="24"/>
        </w:rPr>
        <w:t>Hanaysha</w:t>
      </w:r>
      <w:proofErr w:type="spellEnd"/>
      <w:r w:rsidRPr="0064361F">
        <w:rPr>
          <w:rFonts w:ascii="Arial" w:eastAsia="Arial" w:hAnsi="Arial" w:cs="Arial"/>
          <w:sz w:val="24"/>
          <w:szCs w:val="24"/>
        </w:rPr>
        <w:t xml:space="preserve">, 2022). </w:t>
      </w:r>
      <w:proofErr w:type="gramStart"/>
      <w:r w:rsidRPr="0064361F">
        <w:rPr>
          <w:rFonts w:ascii="Arial" w:eastAsia="Arial" w:hAnsi="Arial" w:cs="Arial"/>
          <w:sz w:val="24"/>
          <w:szCs w:val="24"/>
        </w:rPr>
        <w:t>Also</w:t>
      </w:r>
      <w:proofErr w:type="gramEnd"/>
      <w:r w:rsidRPr="0064361F">
        <w:rPr>
          <w:rFonts w:ascii="Arial" w:eastAsia="Arial" w:hAnsi="Arial" w:cs="Arial"/>
          <w:sz w:val="24"/>
          <w:szCs w:val="24"/>
        </w:rPr>
        <w:t xml:space="preserve"> the lack </w:t>
      </w:r>
      <w:r w:rsidRPr="0064361F">
        <w:rPr>
          <w:rFonts w:ascii="Arial" w:eastAsia="Arial" w:hAnsi="Arial" w:cs="Arial"/>
          <w:sz w:val="24"/>
          <w:szCs w:val="24"/>
        </w:rPr>
        <w:lastRenderedPageBreak/>
        <w:t>of trust can be destroyed by inauthentic or inconsistent messaging, which is why there should be strategic alignment between storytelling, community building, and product experience.</w:t>
      </w:r>
    </w:p>
    <w:p w14:paraId="766AAD60" w14:textId="354051E9" w:rsidR="003900B2" w:rsidRPr="0064361F" w:rsidRDefault="000726EA" w:rsidP="00595F32">
      <w:pPr>
        <w:pStyle w:val="ListParagraph"/>
        <w:numPr>
          <w:ilvl w:val="0"/>
          <w:numId w:val="33"/>
        </w:numPr>
        <w:spacing w:before="240" w:after="240" w:line="360" w:lineRule="auto"/>
        <w:jc w:val="both"/>
        <w:rPr>
          <w:rFonts w:ascii="Arial" w:eastAsia="Arial" w:hAnsi="Arial" w:cs="Arial"/>
          <w:sz w:val="24"/>
          <w:szCs w:val="24"/>
        </w:rPr>
      </w:pPr>
      <w:r w:rsidRPr="0064361F">
        <w:rPr>
          <w:rFonts w:ascii="Arial" w:eastAsia="Arial" w:hAnsi="Arial" w:cs="Arial"/>
          <w:b/>
          <w:sz w:val="24"/>
          <w:szCs w:val="24"/>
        </w:rPr>
        <w:t>2.4.6 Implications on Brand Strategy:</w:t>
      </w:r>
      <w:r w:rsidRPr="0064361F">
        <w:rPr>
          <w:rFonts w:ascii="Arial" w:eastAsia="Arial" w:hAnsi="Arial" w:cs="Arial"/>
          <w:sz w:val="24"/>
          <w:szCs w:val="24"/>
        </w:rPr>
        <w:t xml:space="preserve"> In short, brand loyalty in the digital age is determined by emotional connection, engagement and advocacy, in addition to traditional product satisfaction. Examples of brands such as Nike demonstrate the challenges of integrating storytelling and community participation </w:t>
      </w:r>
      <w:proofErr w:type="gramStart"/>
      <w:r w:rsidRPr="0064361F">
        <w:rPr>
          <w:rFonts w:ascii="Arial" w:eastAsia="Arial" w:hAnsi="Arial" w:cs="Arial"/>
          <w:sz w:val="24"/>
          <w:szCs w:val="24"/>
        </w:rPr>
        <w:t>as a means to</w:t>
      </w:r>
      <w:proofErr w:type="gramEnd"/>
      <w:r w:rsidRPr="0064361F">
        <w:rPr>
          <w:rFonts w:ascii="Arial" w:eastAsia="Arial" w:hAnsi="Arial" w:cs="Arial"/>
          <w:sz w:val="24"/>
          <w:szCs w:val="24"/>
        </w:rPr>
        <w:t xml:space="preserve"> enhance loyalty both in terms of attitude and behaviour. What marketers should learn is that to maintain loyalty, one needs to have consistent, authentic and interactive experiences that appeal at the emotional level </w:t>
      </w:r>
      <w:proofErr w:type="gramStart"/>
      <w:r w:rsidRPr="0064361F">
        <w:rPr>
          <w:rFonts w:ascii="Arial" w:eastAsia="Arial" w:hAnsi="Arial" w:cs="Arial"/>
          <w:sz w:val="24"/>
          <w:szCs w:val="24"/>
        </w:rPr>
        <w:t>as long as</w:t>
      </w:r>
      <w:proofErr w:type="gramEnd"/>
      <w:r w:rsidRPr="0064361F">
        <w:rPr>
          <w:rFonts w:ascii="Arial" w:eastAsia="Arial" w:hAnsi="Arial" w:cs="Arial"/>
          <w:sz w:val="24"/>
          <w:szCs w:val="24"/>
        </w:rPr>
        <w:t xml:space="preserve"> one remains</w:t>
      </w:r>
      <w:r w:rsidR="00035D2C" w:rsidRPr="0064361F">
        <w:rPr>
          <w:rFonts w:ascii="Arial" w:eastAsia="Arial" w:hAnsi="Arial" w:cs="Arial"/>
          <w:sz w:val="24"/>
          <w:szCs w:val="24"/>
        </w:rPr>
        <w:t>.</w:t>
      </w:r>
    </w:p>
    <w:p w14:paraId="7B38B015" w14:textId="77777777" w:rsidR="008B55C4" w:rsidRPr="008E730D" w:rsidRDefault="00035D2C" w:rsidP="008E730D">
      <w:pPr>
        <w:pStyle w:val="Heading2"/>
      </w:pPr>
      <w:bookmarkStart w:id="14" w:name="_Toc228731015"/>
      <w:r w:rsidRPr="008E730D">
        <w:t>2.5 Relationship Between Digital Storytelling, Community Building, and Brand Loyalty</w:t>
      </w:r>
      <w:bookmarkEnd w:id="14"/>
    </w:p>
    <w:p w14:paraId="0D068C4A" w14:textId="77777777" w:rsidR="00E4174D" w:rsidRPr="00EC39E7" w:rsidRDefault="00E4174D" w:rsidP="00EC39E7">
      <w:pPr>
        <w:pStyle w:val="ListParagraph"/>
        <w:numPr>
          <w:ilvl w:val="0"/>
          <w:numId w:val="34"/>
        </w:numPr>
        <w:spacing w:before="240" w:after="240" w:line="360" w:lineRule="auto"/>
        <w:jc w:val="both"/>
        <w:rPr>
          <w:rFonts w:ascii="Arial" w:eastAsia="Arial" w:hAnsi="Arial" w:cs="Arial"/>
          <w:sz w:val="24"/>
          <w:szCs w:val="24"/>
        </w:rPr>
      </w:pPr>
      <w:r w:rsidRPr="00EC39E7">
        <w:rPr>
          <w:rFonts w:ascii="Arial" w:eastAsia="Arial" w:hAnsi="Arial" w:cs="Arial"/>
          <w:b/>
          <w:sz w:val="24"/>
          <w:szCs w:val="24"/>
        </w:rPr>
        <w:t>2.5.1 Interrelatedness of Major Aspects:</w:t>
      </w:r>
      <w:r w:rsidRPr="00EC39E7">
        <w:rPr>
          <w:rFonts w:ascii="Arial" w:eastAsia="Arial" w:hAnsi="Arial" w:cs="Arial"/>
          <w:sz w:val="24"/>
          <w:szCs w:val="24"/>
        </w:rPr>
        <w:t xml:space="preserve"> Recent literature shows how digital stories, community building, and brand loyalty are interrelated. These factors play a synergistic role and not independent of each other but together affect consumer perceptions, engagement, and long-term commitment to a brand (</w:t>
      </w:r>
      <w:proofErr w:type="spellStart"/>
      <w:r w:rsidRPr="00EC39E7">
        <w:rPr>
          <w:rFonts w:ascii="Arial" w:eastAsia="Arial" w:hAnsi="Arial" w:cs="Arial"/>
          <w:sz w:val="24"/>
          <w:szCs w:val="24"/>
        </w:rPr>
        <w:t>Bilro</w:t>
      </w:r>
      <w:proofErr w:type="spellEnd"/>
      <w:r w:rsidRPr="00EC39E7">
        <w:rPr>
          <w:rFonts w:ascii="Arial" w:eastAsia="Arial" w:hAnsi="Arial" w:cs="Arial"/>
          <w:sz w:val="24"/>
          <w:szCs w:val="24"/>
        </w:rPr>
        <w:t xml:space="preserve"> &amp; Loureiro, 2021). Digital storytelling creates a certain first emotional resonance, getting the attention of consumers and building a memorable brand identity. This emotional basis motivates consumers to want to have additional interaction with the brand and this is made possible through community platforms.</w:t>
      </w:r>
    </w:p>
    <w:p w14:paraId="4F40BCD6" w14:textId="7D66013A" w:rsidR="00E4174D" w:rsidRPr="00EC39E7" w:rsidRDefault="00E4174D" w:rsidP="00EC39E7">
      <w:pPr>
        <w:pStyle w:val="ListParagraph"/>
        <w:numPr>
          <w:ilvl w:val="0"/>
          <w:numId w:val="34"/>
        </w:numPr>
        <w:spacing w:before="240" w:after="240" w:line="360" w:lineRule="auto"/>
        <w:jc w:val="both"/>
        <w:rPr>
          <w:rFonts w:ascii="Arial" w:eastAsia="Arial" w:hAnsi="Arial" w:cs="Arial"/>
          <w:sz w:val="24"/>
          <w:szCs w:val="24"/>
        </w:rPr>
      </w:pPr>
      <w:r w:rsidRPr="00EC39E7">
        <w:rPr>
          <w:rFonts w:ascii="Arial" w:eastAsia="Arial" w:hAnsi="Arial" w:cs="Arial"/>
          <w:b/>
          <w:sz w:val="24"/>
          <w:szCs w:val="24"/>
        </w:rPr>
        <w:t xml:space="preserve">2.5.2 Digital </w:t>
      </w:r>
      <w:r w:rsidR="00EC39E7" w:rsidRPr="00EC39E7">
        <w:rPr>
          <w:rFonts w:ascii="Arial" w:eastAsia="Arial" w:hAnsi="Arial" w:cs="Arial"/>
          <w:b/>
          <w:sz w:val="24"/>
          <w:szCs w:val="24"/>
        </w:rPr>
        <w:t>Stories telling</w:t>
      </w:r>
      <w:r w:rsidRPr="00EC39E7">
        <w:rPr>
          <w:rFonts w:ascii="Arial" w:eastAsia="Arial" w:hAnsi="Arial" w:cs="Arial"/>
          <w:b/>
          <w:sz w:val="24"/>
          <w:szCs w:val="24"/>
        </w:rPr>
        <w:t xml:space="preserve"> as an engine of engagement:</w:t>
      </w:r>
      <w:r w:rsidRPr="00EC39E7">
        <w:rPr>
          <w:rFonts w:ascii="Arial" w:eastAsia="Arial" w:hAnsi="Arial" w:cs="Arial"/>
          <w:sz w:val="24"/>
          <w:szCs w:val="24"/>
        </w:rPr>
        <w:t xml:space="preserve"> Digital storytelling is not only a means of conveying brand values but also a catalyst to engage communities. Authentic, relatable, and emotionally engaging narratives make consumers share, comment, and discuss content in online brand communities. This involvement solidifies the brand message and creates a sense of belonging. </w:t>
      </w:r>
      <w:proofErr w:type="spellStart"/>
      <w:r w:rsidRPr="00EC39E7">
        <w:rPr>
          <w:rFonts w:ascii="Arial" w:eastAsia="Arial" w:hAnsi="Arial" w:cs="Arial"/>
          <w:sz w:val="24"/>
          <w:szCs w:val="24"/>
        </w:rPr>
        <w:t>Bilro</w:t>
      </w:r>
      <w:proofErr w:type="spellEnd"/>
      <w:r w:rsidRPr="00EC39E7">
        <w:rPr>
          <w:rFonts w:ascii="Arial" w:eastAsia="Arial" w:hAnsi="Arial" w:cs="Arial"/>
          <w:sz w:val="24"/>
          <w:szCs w:val="24"/>
        </w:rPr>
        <w:t xml:space="preserve"> and Loureiro (2021) note that storytelling and active engagement are the best approaches to raise brand trust, which is a necessary step to long-term loyalty.</w:t>
      </w:r>
    </w:p>
    <w:p w14:paraId="0199424D" w14:textId="77777777" w:rsidR="00E4174D" w:rsidRPr="00EC39E7" w:rsidRDefault="00E4174D" w:rsidP="00EC39E7">
      <w:pPr>
        <w:pStyle w:val="ListParagraph"/>
        <w:numPr>
          <w:ilvl w:val="0"/>
          <w:numId w:val="34"/>
        </w:numPr>
        <w:spacing w:before="240" w:after="240" w:line="360" w:lineRule="auto"/>
        <w:jc w:val="both"/>
        <w:rPr>
          <w:rFonts w:ascii="Arial" w:eastAsia="Arial" w:hAnsi="Arial" w:cs="Arial"/>
          <w:sz w:val="24"/>
          <w:szCs w:val="24"/>
        </w:rPr>
      </w:pPr>
      <w:r w:rsidRPr="00EC39E7">
        <w:rPr>
          <w:rFonts w:ascii="Arial" w:eastAsia="Arial" w:hAnsi="Arial" w:cs="Arial"/>
          <w:b/>
          <w:sz w:val="24"/>
          <w:szCs w:val="24"/>
        </w:rPr>
        <w:t>2.5.3 Community Building Strengthens Emotional Bonding:</w:t>
      </w:r>
      <w:r w:rsidRPr="00EC39E7">
        <w:rPr>
          <w:rFonts w:ascii="Arial" w:eastAsia="Arial" w:hAnsi="Arial" w:cs="Arial"/>
          <w:sz w:val="24"/>
          <w:szCs w:val="24"/>
        </w:rPr>
        <w:t xml:space="preserve"> Community building continues to bond the consumer emotionally and reconnect them to the </w:t>
      </w:r>
      <w:r w:rsidRPr="00EC39E7">
        <w:rPr>
          <w:rFonts w:ascii="Arial" w:eastAsia="Arial" w:hAnsi="Arial" w:cs="Arial"/>
          <w:sz w:val="24"/>
          <w:szCs w:val="24"/>
        </w:rPr>
        <w:lastRenderedPageBreak/>
        <w:t xml:space="preserve">brand. Providing a place where consumers </w:t>
      </w:r>
      <w:proofErr w:type="gramStart"/>
      <w:r w:rsidRPr="00EC39E7">
        <w:rPr>
          <w:rFonts w:ascii="Arial" w:eastAsia="Arial" w:hAnsi="Arial" w:cs="Arial"/>
          <w:sz w:val="24"/>
          <w:szCs w:val="24"/>
        </w:rPr>
        <w:t>are able to</w:t>
      </w:r>
      <w:proofErr w:type="gramEnd"/>
      <w:r w:rsidRPr="00EC39E7">
        <w:rPr>
          <w:rFonts w:ascii="Arial" w:eastAsia="Arial" w:hAnsi="Arial" w:cs="Arial"/>
          <w:sz w:val="24"/>
          <w:szCs w:val="24"/>
        </w:rPr>
        <w:t xml:space="preserve"> interact with the brand and the other members, brand communities create a shared experience and social connection (Dessart et al., 2020). These interactions enhance the customer experience, making the brand more personally meaningful and socially relevant. Community engagement also allows the brands to co-create value with consumers, enhancing attitudinal and behavioural loyalty (</w:t>
      </w:r>
      <w:proofErr w:type="spellStart"/>
      <w:r w:rsidRPr="00EC39E7">
        <w:rPr>
          <w:rFonts w:ascii="Arial" w:eastAsia="Arial" w:hAnsi="Arial" w:cs="Arial"/>
          <w:sz w:val="24"/>
          <w:szCs w:val="24"/>
        </w:rPr>
        <w:t>Pansari</w:t>
      </w:r>
      <w:proofErr w:type="spellEnd"/>
      <w:r w:rsidRPr="00EC39E7">
        <w:rPr>
          <w:rFonts w:ascii="Arial" w:eastAsia="Arial" w:hAnsi="Arial" w:cs="Arial"/>
          <w:sz w:val="24"/>
          <w:szCs w:val="24"/>
        </w:rPr>
        <w:t xml:space="preserve"> and Kumar, 2021).</w:t>
      </w:r>
    </w:p>
    <w:p w14:paraId="6F912E4E" w14:textId="77777777" w:rsidR="00E4174D" w:rsidRPr="00EC39E7" w:rsidRDefault="00E4174D" w:rsidP="00EC39E7">
      <w:pPr>
        <w:pStyle w:val="ListParagraph"/>
        <w:numPr>
          <w:ilvl w:val="0"/>
          <w:numId w:val="34"/>
        </w:numPr>
        <w:spacing w:before="240" w:after="240" w:line="360" w:lineRule="auto"/>
        <w:jc w:val="both"/>
        <w:rPr>
          <w:rFonts w:ascii="Arial" w:eastAsia="Arial" w:hAnsi="Arial" w:cs="Arial"/>
          <w:sz w:val="24"/>
          <w:szCs w:val="24"/>
        </w:rPr>
      </w:pPr>
      <w:r w:rsidRPr="00EC39E7">
        <w:rPr>
          <w:rFonts w:ascii="Arial" w:eastAsia="Arial" w:hAnsi="Arial" w:cs="Arial"/>
          <w:b/>
          <w:sz w:val="24"/>
          <w:szCs w:val="24"/>
        </w:rPr>
        <w:t>2.5.4 Storytelling and Community to gain Loyalty:</w:t>
      </w:r>
      <w:r w:rsidRPr="00EC39E7">
        <w:rPr>
          <w:rFonts w:ascii="Arial" w:eastAsia="Arial" w:hAnsi="Arial" w:cs="Arial"/>
          <w:sz w:val="24"/>
          <w:szCs w:val="24"/>
        </w:rPr>
        <w:t xml:space="preserve"> The combination of digital storytelling and community development creates a whole-brain experience, where the narratives and social interaction support each other. As an example, the campaigns of Nike are often a combination of motivating stories of athletes, and interactive challenges and social media activities. Consumers are encouraged to engage in such stories using fitness apps, social media hashtags, or online forums. This synergy has the benefit of increasing brand meaning, encouraging repetition, and creating advocacy, which cumulatively leads to brand loyalty in the long term.</w:t>
      </w:r>
    </w:p>
    <w:p w14:paraId="2FAA583B" w14:textId="77777777" w:rsidR="00E4174D" w:rsidRPr="00EC39E7" w:rsidRDefault="00E4174D" w:rsidP="00EC39E7">
      <w:pPr>
        <w:pStyle w:val="ListParagraph"/>
        <w:numPr>
          <w:ilvl w:val="0"/>
          <w:numId w:val="34"/>
        </w:numPr>
        <w:spacing w:before="240" w:after="240" w:line="360" w:lineRule="auto"/>
        <w:jc w:val="both"/>
        <w:rPr>
          <w:rFonts w:ascii="Arial" w:eastAsia="Arial" w:hAnsi="Arial" w:cs="Arial"/>
          <w:sz w:val="24"/>
          <w:szCs w:val="24"/>
        </w:rPr>
      </w:pPr>
      <w:r w:rsidRPr="00EC39E7">
        <w:rPr>
          <w:rFonts w:ascii="Arial" w:eastAsia="Arial" w:hAnsi="Arial" w:cs="Arial"/>
          <w:b/>
          <w:sz w:val="24"/>
          <w:szCs w:val="24"/>
        </w:rPr>
        <w:t>2.5.5 Implications of the Consumer Behaviour:</w:t>
      </w:r>
      <w:r w:rsidRPr="00EC39E7">
        <w:rPr>
          <w:rFonts w:ascii="Arial" w:eastAsia="Arial" w:hAnsi="Arial" w:cs="Arial"/>
          <w:sz w:val="24"/>
          <w:szCs w:val="24"/>
        </w:rPr>
        <w:t xml:space="preserve"> The psychological and social processes that underlie consumer commitment are illustrated through the relationship that exists between storytelling, community and loyalty. Emotional attachment is brought about by storytelling, whereas community engagement </w:t>
      </w:r>
      <w:proofErr w:type="spellStart"/>
      <w:r w:rsidRPr="00EC39E7">
        <w:rPr>
          <w:rFonts w:ascii="Arial" w:eastAsia="Arial" w:hAnsi="Arial" w:cs="Arial"/>
          <w:sz w:val="24"/>
          <w:szCs w:val="24"/>
        </w:rPr>
        <w:t>fulfills</w:t>
      </w:r>
      <w:proofErr w:type="spellEnd"/>
      <w:r w:rsidRPr="00EC39E7">
        <w:rPr>
          <w:rFonts w:ascii="Arial" w:eastAsia="Arial" w:hAnsi="Arial" w:cs="Arial"/>
          <w:sz w:val="24"/>
          <w:szCs w:val="24"/>
        </w:rPr>
        <w:t xml:space="preserve"> the social identity needs. Combined, they add more perceived value and authenticity of the brand, increasing the likelihood of consumers re-purchasing, recommending and advocating the brand. These combined tactics are especially helpful in the digital age where consumers can find a variety of substitutes and require a level of engagement that is more significant than a transaction.</w:t>
      </w:r>
    </w:p>
    <w:p w14:paraId="3507920C" w14:textId="77777777" w:rsidR="00E4174D" w:rsidRPr="00E4174D" w:rsidRDefault="00E4174D" w:rsidP="00E4174D">
      <w:pPr>
        <w:spacing w:before="240" w:after="240" w:line="360" w:lineRule="auto"/>
        <w:jc w:val="both"/>
        <w:rPr>
          <w:rFonts w:ascii="Arial" w:eastAsia="Arial" w:hAnsi="Arial" w:cs="Arial"/>
          <w:sz w:val="24"/>
          <w:szCs w:val="24"/>
        </w:rPr>
      </w:pPr>
      <w:r w:rsidRPr="00E4174D">
        <w:rPr>
          <w:rFonts w:ascii="Arial" w:eastAsia="Arial" w:hAnsi="Arial" w:cs="Arial"/>
          <w:sz w:val="24"/>
          <w:szCs w:val="24"/>
        </w:rPr>
        <w:t>To sum it up, digital stories and community building are mutually supporting processes that largely affect brand loyalty. Through both engaging storytelling and interactive communal platforms, brands can develop immersive experiences that can enhance emotional connections, social bonds and advocacy behaviours. In the case of Nike, this integrated strategy forms the core of the brand in sustaining a faithful consumer base in the competitive and highly connected digital marketplace.</w:t>
      </w:r>
    </w:p>
    <w:p w14:paraId="7E7A9C30" w14:textId="77777777" w:rsidR="00E4174D" w:rsidRPr="00E4174D" w:rsidRDefault="00E4174D" w:rsidP="00EC39E7">
      <w:pPr>
        <w:pStyle w:val="Heading2"/>
      </w:pPr>
      <w:bookmarkStart w:id="15" w:name="_Toc228731016"/>
      <w:r w:rsidRPr="00E4174D">
        <w:lastRenderedPageBreak/>
        <w:t>2.6 Theoretical Framework</w:t>
      </w:r>
      <w:bookmarkEnd w:id="15"/>
    </w:p>
    <w:p w14:paraId="40C6E8BB" w14:textId="77777777" w:rsidR="00E4174D" w:rsidRPr="00E4174D" w:rsidRDefault="00E4174D" w:rsidP="00E4174D">
      <w:pPr>
        <w:spacing w:before="240" w:after="240" w:line="360" w:lineRule="auto"/>
        <w:jc w:val="both"/>
        <w:rPr>
          <w:rFonts w:ascii="Arial" w:eastAsia="Arial" w:hAnsi="Arial" w:cs="Arial"/>
          <w:sz w:val="24"/>
          <w:szCs w:val="24"/>
        </w:rPr>
      </w:pPr>
      <w:r w:rsidRPr="00E4174D">
        <w:rPr>
          <w:rFonts w:ascii="Arial" w:eastAsia="Arial" w:hAnsi="Arial" w:cs="Arial"/>
          <w:sz w:val="24"/>
          <w:szCs w:val="24"/>
        </w:rPr>
        <w:t xml:space="preserve">The theoretical backgrounds underpinning the present study include </w:t>
      </w:r>
      <w:proofErr w:type="gramStart"/>
      <w:r w:rsidRPr="00E4174D">
        <w:rPr>
          <w:rFonts w:ascii="Arial" w:eastAsia="Arial" w:hAnsi="Arial" w:cs="Arial"/>
          <w:sz w:val="24"/>
          <w:szCs w:val="24"/>
        </w:rPr>
        <w:t>a number of</w:t>
      </w:r>
      <w:proofErr w:type="gramEnd"/>
      <w:r w:rsidRPr="00E4174D">
        <w:rPr>
          <w:rFonts w:ascii="Arial" w:eastAsia="Arial" w:hAnsi="Arial" w:cs="Arial"/>
          <w:sz w:val="24"/>
          <w:szCs w:val="24"/>
        </w:rPr>
        <w:t xml:space="preserve"> interrelated theoretical perspectives, which explain how digital storytelling and community building impact brand loyalty. These frameworks offer a conceptual prism under which mechanisms by which brands impact consumers in the digital era can be understood.</w:t>
      </w:r>
    </w:p>
    <w:p w14:paraId="29DB1B30" w14:textId="77777777" w:rsidR="00E4174D" w:rsidRPr="00EC39E7" w:rsidRDefault="00E4174D" w:rsidP="00E4174D">
      <w:pPr>
        <w:spacing w:before="240" w:after="240" w:line="360" w:lineRule="auto"/>
        <w:jc w:val="both"/>
        <w:rPr>
          <w:rFonts w:ascii="Arial" w:eastAsia="Arial" w:hAnsi="Arial" w:cs="Arial"/>
          <w:b/>
          <w:sz w:val="24"/>
          <w:szCs w:val="24"/>
        </w:rPr>
      </w:pPr>
      <w:r w:rsidRPr="00EC39E7">
        <w:rPr>
          <w:rFonts w:ascii="Arial" w:eastAsia="Arial" w:hAnsi="Arial" w:cs="Arial"/>
          <w:b/>
          <w:sz w:val="24"/>
          <w:szCs w:val="24"/>
        </w:rPr>
        <w:t>2.6.1 Relationship Marketing Theory</w:t>
      </w:r>
    </w:p>
    <w:p w14:paraId="55AEBE54" w14:textId="77777777" w:rsidR="00E4174D" w:rsidRPr="00E4174D" w:rsidRDefault="00E4174D" w:rsidP="00E4174D">
      <w:pPr>
        <w:spacing w:before="240" w:after="240" w:line="360" w:lineRule="auto"/>
        <w:jc w:val="both"/>
        <w:rPr>
          <w:rFonts w:ascii="Arial" w:eastAsia="Arial" w:hAnsi="Arial" w:cs="Arial"/>
          <w:sz w:val="24"/>
          <w:szCs w:val="24"/>
        </w:rPr>
      </w:pPr>
      <w:r w:rsidRPr="00E4174D">
        <w:rPr>
          <w:rFonts w:ascii="Arial" w:eastAsia="Arial" w:hAnsi="Arial" w:cs="Arial"/>
          <w:sz w:val="24"/>
          <w:szCs w:val="24"/>
        </w:rPr>
        <w:t xml:space="preserve">The Relationship Marketing Theory reveals the significance of long-term relationships, which are mutually beneficial between the brands and consumers as opposed to concentrating on short-term transactions alone (Morgan and Hunt, 1994). Relationship marketing is especially applicable to digital marketing </w:t>
      </w:r>
      <w:proofErr w:type="gramStart"/>
      <w:r w:rsidRPr="00E4174D">
        <w:rPr>
          <w:rFonts w:ascii="Arial" w:eastAsia="Arial" w:hAnsi="Arial" w:cs="Arial"/>
          <w:sz w:val="24"/>
          <w:szCs w:val="24"/>
        </w:rPr>
        <w:t>due to the fact that</w:t>
      </w:r>
      <w:proofErr w:type="gramEnd"/>
      <w:r w:rsidRPr="00E4174D">
        <w:rPr>
          <w:rFonts w:ascii="Arial" w:eastAsia="Arial" w:hAnsi="Arial" w:cs="Arial"/>
          <w:sz w:val="24"/>
          <w:szCs w:val="24"/>
        </w:rPr>
        <w:t xml:space="preserve"> online platforms enable brands to ensure that there is an unbroken interaction between themselves and their audience. Brands can improve trust, satisfaction, and commitment, which are major predictors of brand commitment in the long run, through regular storytelling and interactive community involvement. An example of this is the digital campaigns conducted by Nike which use storytelling, engagement with apps to form lasting emotional relationships with customers.</w:t>
      </w:r>
    </w:p>
    <w:p w14:paraId="2BC877B4" w14:textId="77777777" w:rsidR="00E4174D" w:rsidRPr="00EC39E7" w:rsidRDefault="00E4174D" w:rsidP="00E4174D">
      <w:pPr>
        <w:spacing w:before="240" w:after="240" w:line="360" w:lineRule="auto"/>
        <w:jc w:val="both"/>
        <w:rPr>
          <w:rFonts w:ascii="Arial" w:eastAsia="Arial" w:hAnsi="Arial" w:cs="Arial"/>
          <w:b/>
          <w:sz w:val="24"/>
          <w:szCs w:val="24"/>
        </w:rPr>
      </w:pPr>
      <w:r w:rsidRPr="00EC39E7">
        <w:rPr>
          <w:rFonts w:ascii="Arial" w:eastAsia="Arial" w:hAnsi="Arial" w:cs="Arial"/>
          <w:b/>
          <w:sz w:val="24"/>
          <w:szCs w:val="24"/>
        </w:rPr>
        <w:t>2.6.2 Social Identity Theory</w:t>
      </w:r>
    </w:p>
    <w:p w14:paraId="44A51067" w14:textId="01FE868A" w:rsidR="00E4174D" w:rsidRDefault="00E4174D" w:rsidP="00E4174D">
      <w:pPr>
        <w:spacing w:before="240" w:after="240" w:line="360" w:lineRule="auto"/>
        <w:jc w:val="both"/>
        <w:rPr>
          <w:rFonts w:ascii="Arial" w:eastAsia="Arial" w:hAnsi="Arial" w:cs="Arial"/>
          <w:sz w:val="24"/>
          <w:szCs w:val="24"/>
        </w:rPr>
      </w:pPr>
      <w:r w:rsidRPr="00E4174D">
        <w:rPr>
          <w:rFonts w:ascii="Arial" w:eastAsia="Arial" w:hAnsi="Arial" w:cs="Arial"/>
          <w:sz w:val="24"/>
          <w:szCs w:val="24"/>
        </w:rPr>
        <w:t>Social Identity Theory is a theory that describes how people find a sense of identity and belonging through their membership in social groups (Tajfel and Turner, 1979). Online brand communities are social networks in which consumers can identify with the brand and its values. This recognition reinforces loyalty as consumers develop a sense of an association with the brand as part of their personal and social identity (</w:t>
      </w:r>
      <w:proofErr w:type="spellStart"/>
      <w:r w:rsidRPr="00E4174D">
        <w:rPr>
          <w:rFonts w:ascii="Arial" w:eastAsia="Arial" w:hAnsi="Arial" w:cs="Arial"/>
          <w:sz w:val="24"/>
          <w:szCs w:val="24"/>
        </w:rPr>
        <w:t>Algesheimer</w:t>
      </w:r>
      <w:proofErr w:type="spellEnd"/>
      <w:r w:rsidRPr="00E4174D">
        <w:rPr>
          <w:rFonts w:ascii="Arial" w:eastAsia="Arial" w:hAnsi="Arial" w:cs="Arial"/>
          <w:sz w:val="24"/>
          <w:szCs w:val="24"/>
        </w:rPr>
        <w:t xml:space="preserve"> et al., 2005). Online, storytelling is a collective narrative that strengthens a sense of belonging, whereas the engagement activities enable the consumers to actively engage and feel connected. The two processes make the relationship emotional and the behavioural loyalty.</w:t>
      </w:r>
    </w:p>
    <w:p w14:paraId="1C7C11A2" w14:textId="1E54EC60" w:rsidR="00EC39E7" w:rsidRDefault="00EC39E7" w:rsidP="00E4174D">
      <w:pPr>
        <w:spacing w:before="240" w:after="240" w:line="360" w:lineRule="auto"/>
        <w:jc w:val="both"/>
        <w:rPr>
          <w:rFonts w:ascii="Arial" w:eastAsia="Arial" w:hAnsi="Arial" w:cs="Arial"/>
          <w:sz w:val="24"/>
          <w:szCs w:val="24"/>
        </w:rPr>
      </w:pPr>
    </w:p>
    <w:p w14:paraId="3AFCDBB8" w14:textId="77777777" w:rsidR="00EC39E7" w:rsidRPr="00E4174D" w:rsidRDefault="00EC39E7" w:rsidP="00E4174D">
      <w:pPr>
        <w:spacing w:before="240" w:after="240" w:line="360" w:lineRule="auto"/>
        <w:jc w:val="both"/>
        <w:rPr>
          <w:rFonts w:ascii="Arial" w:eastAsia="Arial" w:hAnsi="Arial" w:cs="Arial"/>
          <w:sz w:val="24"/>
          <w:szCs w:val="24"/>
        </w:rPr>
      </w:pPr>
    </w:p>
    <w:p w14:paraId="0B731B5C" w14:textId="77777777" w:rsidR="00E4174D" w:rsidRPr="00EC39E7" w:rsidRDefault="00E4174D" w:rsidP="00E4174D">
      <w:pPr>
        <w:spacing w:before="240" w:after="240" w:line="360" w:lineRule="auto"/>
        <w:jc w:val="both"/>
        <w:rPr>
          <w:rFonts w:ascii="Arial" w:eastAsia="Arial" w:hAnsi="Arial" w:cs="Arial"/>
          <w:b/>
          <w:sz w:val="24"/>
          <w:szCs w:val="24"/>
        </w:rPr>
      </w:pPr>
      <w:r w:rsidRPr="00EC39E7">
        <w:rPr>
          <w:rFonts w:ascii="Arial" w:eastAsia="Arial" w:hAnsi="Arial" w:cs="Arial"/>
          <w:b/>
          <w:sz w:val="24"/>
          <w:szCs w:val="24"/>
        </w:rPr>
        <w:lastRenderedPageBreak/>
        <w:t>2.6.3 Customer Engagement Theory</w:t>
      </w:r>
    </w:p>
    <w:p w14:paraId="59ED4707" w14:textId="77777777" w:rsidR="00E4174D" w:rsidRPr="00E4174D" w:rsidRDefault="00E4174D" w:rsidP="00E4174D">
      <w:pPr>
        <w:spacing w:before="240" w:after="240" w:line="360" w:lineRule="auto"/>
        <w:jc w:val="both"/>
        <w:rPr>
          <w:rFonts w:ascii="Arial" w:eastAsia="Arial" w:hAnsi="Arial" w:cs="Arial"/>
          <w:sz w:val="24"/>
          <w:szCs w:val="24"/>
        </w:rPr>
      </w:pPr>
      <w:r w:rsidRPr="00E4174D">
        <w:rPr>
          <w:rFonts w:ascii="Arial" w:eastAsia="Arial" w:hAnsi="Arial" w:cs="Arial"/>
          <w:sz w:val="24"/>
          <w:szCs w:val="24"/>
        </w:rPr>
        <w:t>Customer Engagement Theory concentrates on the multidimensional feature of consumer contact, such as emotional, cognitive, and behavioural involvement (Brodie et al., 2011). Engagement is no longer just the passive consumption of content but is instead an active contribution, co-creation, and advocacy. The digital stories offer impactful content that is appealing and emotionally stimulating, whereas brand communities provide an interactive platform to engage in the long run. The combination of these mechanisms enhances the consumer-brand relationship, encouraging repetitive interactions, word-of-mouth, and loyalty.</w:t>
      </w:r>
    </w:p>
    <w:p w14:paraId="7ECAB0A1" w14:textId="36C08C21" w:rsidR="00E4174D" w:rsidRPr="00EC39E7" w:rsidRDefault="00EC39E7" w:rsidP="00E4174D">
      <w:pPr>
        <w:spacing w:before="240" w:after="240" w:line="360" w:lineRule="auto"/>
        <w:jc w:val="both"/>
        <w:rPr>
          <w:rFonts w:ascii="Arial" w:eastAsia="Arial" w:hAnsi="Arial" w:cs="Arial"/>
          <w:b/>
          <w:sz w:val="24"/>
          <w:szCs w:val="24"/>
        </w:rPr>
      </w:pPr>
      <w:r w:rsidRPr="00EC39E7">
        <w:rPr>
          <w:rFonts w:ascii="Arial" w:eastAsia="Arial" w:hAnsi="Arial" w:cs="Arial"/>
          <w:b/>
          <w:sz w:val="24"/>
          <w:szCs w:val="24"/>
        </w:rPr>
        <w:t xml:space="preserve">2.6.4 </w:t>
      </w:r>
      <w:r w:rsidR="00E4174D" w:rsidRPr="00EC39E7">
        <w:rPr>
          <w:rFonts w:ascii="Arial" w:eastAsia="Arial" w:hAnsi="Arial" w:cs="Arial"/>
          <w:b/>
          <w:sz w:val="24"/>
          <w:szCs w:val="24"/>
        </w:rPr>
        <w:t>Integration of Theories</w:t>
      </w:r>
    </w:p>
    <w:p w14:paraId="160CFD88" w14:textId="2D6F6AE5" w:rsidR="008B55C4" w:rsidRDefault="00E4174D" w:rsidP="00E4174D">
      <w:pPr>
        <w:spacing w:before="240" w:after="240" w:line="360" w:lineRule="auto"/>
        <w:jc w:val="both"/>
        <w:rPr>
          <w:rFonts w:ascii="Arial" w:eastAsia="Arial" w:hAnsi="Arial" w:cs="Arial"/>
          <w:sz w:val="24"/>
          <w:szCs w:val="24"/>
        </w:rPr>
      </w:pPr>
      <w:r w:rsidRPr="00E4174D">
        <w:rPr>
          <w:rFonts w:ascii="Arial" w:eastAsia="Arial" w:hAnsi="Arial" w:cs="Arial"/>
          <w:sz w:val="24"/>
          <w:szCs w:val="24"/>
        </w:rPr>
        <w:t xml:space="preserve">All these theoretical perspectives lead to the argument that digital storytelling and community building boosts both emotional and behavioural components of brand loyalty. The Relationship Marketing Theory emphasizes the significance of the sustained interactions, the Social Identity Theory explains the impact of membership of a group on its loyalty, and the Customer Engagement Theory demonstrates the role of active participation in strengthening these relationships. With a combination of these frameworks, this research will provide a strong platform upon which one can </w:t>
      </w:r>
      <w:r w:rsidR="00FC4A43" w:rsidRPr="00E4174D">
        <w:rPr>
          <w:rFonts w:ascii="Arial" w:eastAsia="Arial" w:hAnsi="Arial" w:cs="Arial"/>
          <w:sz w:val="24"/>
          <w:szCs w:val="24"/>
        </w:rPr>
        <w:t>analyse</w:t>
      </w:r>
      <w:r w:rsidRPr="00E4174D">
        <w:rPr>
          <w:rFonts w:ascii="Arial" w:eastAsia="Arial" w:hAnsi="Arial" w:cs="Arial"/>
          <w:sz w:val="24"/>
          <w:szCs w:val="24"/>
        </w:rPr>
        <w:t xml:space="preserve"> how Nike uses digital marketing strate</w:t>
      </w:r>
      <w:r>
        <w:rPr>
          <w:rFonts w:ascii="Arial" w:eastAsia="Arial" w:hAnsi="Arial" w:cs="Arial"/>
          <w:sz w:val="24"/>
          <w:szCs w:val="24"/>
        </w:rPr>
        <w:t>gies to develop loyal consumers</w:t>
      </w:r>
      <w:r w:rsidR="00035D2C">
        <w:rPr>
          <w:rFonts w:ascii="Arial" w:eastAsia="Arial" w:hAnsi="Arial" w:cs="Arial"/>
          <w:sz w:val="24"/>
          <w:szCs w:val="24"/>
        </w:rPr>
        <w:t>.</w:t>
      </w:r>
    </w:p>
    <w:p w14:paraId="0B67090D" w14:textId="77777777" w:rsidR="008B55C4" w:rsidRDefault="00035D2C" w:rsidP="008E730D">
      <w:pPr>
        <w:pStyle w:val="Heading2"/>
      </w:pPr>
      <w:bookmarkStart w:id="16" w:name="_Toc228731017"/>
      <w:r>
        <w:t>2.7 Research Gap</w:t>
      </w:r>
      <w:bookmarkEnd w:id="16"/>
    </w:p>
    <w:p w14:paraId="3469948E" w14:textId="786B2839"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 xml:space="preserve">Although there is an increasing literature on digital marketing, there are still </w:t>
      </w:r>
      <w:proofErr w:type="gramStart"/>
      <w:r w:rsidRPr="0022526E">
        <w:rPr>
          <w:rFonts w:ascii="Arial" w:eastAsia="Arial" w:hAnsi="Arial" w:cs="Arial"/>
          <w:sz w:val="24"/>
          <w:szCs w:val="24"/>
        </w:rPr>
        <w:t>a number of</w:t>
      </w:r>
      <w:proofErr w:type="gramEnd"/>
      <w:r w:rsidRPr="0022526E">
        <w:rPr>
          <w:rFonts w:ascii="Arial" w:eastAsia="Arial" w:hAnsi="Arial" w:cs="Arial"/>
          <w:sz w:val="24"/>
          <w:szCs w:val="24"/>
        </w:rPr>
        <w:t xml:space="preserve"> gaps that this study aims to fill. One, in a lot of the existing studies, digital storytelling is treated as a </w:t>
      </w:r>
      <w:r w:rsidR="00D21D22" w:rsidRPr="0022526E">
        <w:rPr>
          <w:rFonts w:ascii="Arial" w:eastAsia="Arial" w:hAnsi="Arial" w:cs="Arial"/>
          <w:sz w:val="24"/>
          <w:szCs w:val="24"/>
        </w:rPr>
        <w:t>separate</w:t>
      </w:r>
      <w:r w:rsidRPr="0022526E">
        <w:rPr>
          <w:rFonts w:ascii="Arial" w:eastAsia="Arial" w:hAnsi="Arial" w:cs="Arial"/>
          <w:sz w:val="24"/>
          <w:szCs w:val="24"/>
        </w:rPr>
        <w:t xml:space="preserve"> construct, along with community building, which is rarely explored as to how they interact to produce brand loyalty. Although storytelling is concerned with the establishment of emotional connections, and </w:t>
      </w:r>
      <w:proofErr w:type="gramStart"/>
      <w:r w:rsidRPr="0022526E">
        <w:rPr>
          <w:rFonts w:ascii="Arial" w:eastAsia="Arial" w:hAnsi="Arial" w:cs="Arial"/>
          <w:sz w:val="24"/>
          <w:szCs w:val="24"/>
        </w:rPr>
        <w:t>communities</w:t>
      </w:r>
      <w:proofErr w:type="gramEnd"/>
      <w:r w:rsidRPr="0022526E">
        <w:rPr>
          <w:rFonts w:ascii="Arial" w:eastAsia="Arial" w:hAnsi="Arial" w:cs="Arial"/>
          <w:sz w:val="24"/>
          <w:szCs w:val="24"/>
        </w:rPr>
        <w:t xml:space="preserve"> foster connection, there is little research on how the two interact in influencing consumer behaviour, especially when it comes to global brands.</w:t>
      </w:r>
    </w:p>
    <w:p w14:paraId="5174E893" w14:textId="77777777"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 xml:space="preserve">Second, very few detailed case studies on the major global brands that successfully combine the two approaches are available. In </w:t>
      </w:r>
      <w:proofErr w:type="gramStart"/>
      <w:r w:rsidRPr="0022526E">
        <w:rPr>
          <w:rFonts w:ascii="Arial" w:eastAsia="Arial" w:hAnsi="Arial" w:cs="Arial"/>
          <w:sz w:val="24"/>
          <w:szCs w:val="24"/>
        </w:rPr>
        <w:t>the majority of</w:t>
      </w:r>
      <w:proofErr w:type="gramEnd"/>
      <w:r w:rsidRPr="0022526E">
        <w:rPr>
          <w:rFonts w:ascii="Arial" w:eastAsia="Arial" w:hAnsi="Arial" w:cs="Arial"/>
          <w:sz w:val="24"/>
          <w:szCs w:val="24"/>
        </w:rPr>
        <w:t xml:space="preserve"> studies, the analysis is conducted based on surveys or general analysis, which do not give sufficient information about the practical work and contextual specifics. Such brands as Nike </w:t>
      </w:r>
      <w:r w:rsidRPr="0022526E">
        <w:rPr>
          <w:rFonts w:ascii="Arial" w:eastAsia="Arial" w:hAnsi="Arial" w:cs="Arial"/>
          <w:sz w:val="24"/>
          <w:szCs w:val="24"/>
        </w:rPr>
        <w:lastRenderedPageBreak/>
        <w:t xml:space="preserve">provide a unique chance to explore how storytelling and community involvement are strategically interlaced </w:t>
      </w:r>
      <w:proofErr w:type="gramStart"/>
      <w:r w:rsidRPr="0022526E">
        <w:rPr>
          <w:rFonts w:ascii="Arial" w:eastAsia="Arial" w:hAnsi="Arial" w:cs="Arial"/>
          <w:sz w:val="24"/>
          <w:szCs w:val="24"/>
        </w:rPr>
        <w:t>in order to</w:t>
      </w:r>
      <w:proofErr w:type="gramEnd"/>
      <w:r w:rsidRPr="0022526E">
        <w:rPr>
          <w:rFonts w:ascii="Arial" w:eastAsia="Arial" w:hAnsi="Arial" w:cs="Arial"/>
          <w:sz w:val="24"/>
          <w:szCs w:val="24"/>
        </w:rPr>
        <w:t xml:space="preserve"> help foster loyalty in various digital platforms.</w:t>
      </w:r>
    </w:p>
    <w:p w14:paraId="0D0B1E58" w14:textId="77777777"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Third, the current research is mostly quantitative, which measures such aspects as engagement rates, likes, or purchase intention. Although useful, such methods frequently do not provide any qualitative information, such as consumer perceptions and emotional reactions and narrative interpretation, which are essential in understanding the effectiveness of digital marketing strategies.</w:t>
      </w:r>
    </w:p>
    <w:p w14:paraId="7E97C3F9" w14:textId="77FD6F35"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 xml:space="preserve">In </w:t>
      </w:r>
      <w:r w:rsidR="00D21D22" w:rsidRPr="0022526E">
        <w:rPr>
          <w:rFonts w:ascii="Arial" w:eastAsia="Arial" w:hAnsi="Arial" w:cs="Arial"/>
          <w:sz w:val="24"/>
          <w:szCs w:val="24"/>
        </w:rPr>
        <w:t>addition,</w:t>
      </w:r>
      <w:r w:rsidRPr="0022526E">
        <w:rPr>
          <w:rFonts w:ascii="Arial" w:eastAsia="Arial" w:hAnsi="Arial" w:cs="Arial"/>
          <w:sz w:val="24"/>
          <w:szCs w:val="24"/>
        </w:rPr>
        <w:t xml:space="preserve"> only little focus has been put on the use of digital communities as active storytelling space and not just the space in which the interaction takes place. Not only do communities enable </w:t>
      </w:r>
      <w:proofErr w:type="gramStart"/>
      <w:r w:rsidRPr="0022526E">
        <w:rPr>
          <w:rFonts w:ascii="Arial" w:eastAsia="Arial" w:hAnsi="Arial" w:cs="Arial"/>
          <w:sz w:val="24"/>
          <w:szCs w:val="24"/>
        </w:rPr>
        <w:t>participation, but</w:t>
      </w:r>
      <w:proofErr w:type="gramEnd"/>
      <w:r w:rsidRPr="0022526E">
        <w:rPr>
          <w:rFonts w:ascii="Arial" w:eastAsia="Arial" w:hAnsi="Arial" w:cs="Arial"/>
          <w:sz w:val="24"/>
          <w:szCs w:val="24"/>
        </w:rPr>
        <w:t xml:space="preserve"> also amplify brand stories with consumer-generated content and peer-to-peer communication, which in turn can further strengthen loyalty.</w:t>
      </w:r>
    </w:p>
    <w:p w14:paraId="54BB3BE5" w14:textId="5E56D7AE"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Within the given study, the gaps are filled in and, consequently, the current study offers a full analysis of digital storytelling and community building in the same framework with Nike being taken as a case study. It intertwines both qualitative and quantitative approaches to the discovery of how these approaches combine to drive brand loyalty and provide both theoretical and practical contributions to</w:t>
      </w:r>
      <w:r w:rsidR="00D21D22">
        <w:rPr>
          <w:rFonts w:ascii="Arial" w:eastAsia="Arial" w:hAnsi="Arial" w:cs="Arial"/>
          <w:sz w:val="24"/>
          <w:szCs w:val="24"/>
        </w:rPr>
        <w:t xml:space="preserve"> the area of digital marketing.</w:t>
      </w:r>
    </w:p>
    <w:p w14:paraId="2DF5A2B9" w14:textId="77777777" w:rsidR="0022526E" w:rsidRPr="0022526E" w:rsidRDefault="0022526E" w:rsidP="00D21D22">
      <w:pPr>
        <w:pStyle w:val="Heading2"/>
      </w:pPr>
      <w:bookmarkStart w:id="17" w:name="_Toc228731018"/>
      <w:r w:rsidRPr="0022526E">
        <w:t>2.8 Conclusion</w:t>
      </w:r>
      <w:bookmarkEnd w:id="17"/>
    </w:p>
    <w:p w14:paraId="43706794" w14:textId="72DE4EB4"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 xml:space="preserve">This chapter has critically </w:t>
      </w:r>
      <w:r w:rsidR="00D21D22" w:rsidRPr="0022526E">
        <w:rPr>
          <w:rFonts w:ascii="Arial" w:eastAsia="Arial" w:hAnsi="Arial" w:cs="Arial"/>
          <w:sz w:val="24"/>
          <w:szCs w:val="24"/>
        </w:rPr>
        <w:t>analysed</w:t>
      </w:r>
      <w:r w:rsidRPr="0022526E">
        <w:rPr>
          <w:rFonts w:ascii="Arial" w:eastAsia="Arial" w:hAnsi="Arial" w:cs="Arial"/>
          <w:sz w:val="24"/>
          <w:szCs w:val="24"/>
        </w:rPr>
        <w:t xml:space="preserve"> the current literature on digital storytelling, community building and brand loyalty and how these three concepts are interdependent in the current digital marketing. The review indicates that digital storytelling is an effective tool in creating emotional appeal and thus a brand can communicate its values, purpose and identity in a manner that will have a strong emotional appeal to the consumer. Storytelling not only improves the attitudinal </w:t>
      </w:r>
      <w:proofErr w:type="gramStart"/>
      <w:r w:rsidRPr="0022526E">
        <w:rPr>
          <w:rFonts w:ascii="Arial" w:eastAsia="Arial" w:hAnsi="Arial" w:cs="Arial"/>
          <w:sz w:val="24"/>
          <w:szCs w:val="24"/>
        </w:rPr>
        <w:t>loyalty, but</w:t>
      </w:r>
      <w:proofErr w:type="gramEnd"/>
      <w:r w:rsidRPr="0022526E">
        <w:rPr>
          <w:rFonts w:ascii="Arial" w:eastAsia="Arial" w:hAnsi="Arial" w:cs="Arial"/>
          <w:sz w:val="24"/>
          <w:szCs w:val="24"/>
        </w:rPr>
        <w:t xml:space="preserve"> also improves trust and psychological attachment to the brand.</w:t>
      </w:r>
    </w:p>
    <w:p w14:paraId="4A426079" w14:textId="57B6CF57" w:rsidR="0022526E" w:rsidRPr="0022526E" w:rsidRDefault="0022526E" w:rsidP="0022526E">
      <w:pPr>
        <w:spacing w:before="240" w:after="240" w:line="360" w:lineRule="auto"/>
        <w:jc w:val="both"/>
        <w:rPr>
          <w:rFonts w:ascii="Arial" w:eastAsia="Arial" w:hAnsi="Arial" w:cs="Arial"/>
          <w:sz w:val="24"/>
          <w:szCs w:val="24"/>
        </w:rPr>
      </w:pPr>
      <w:r w:rsidRPr="0022526E">
        <w:rPr>
          <w:rFonts w:ascii="Arial" w:eastAsia="Arial" w:hAnsi="Arial" w:cs="Arial"/>
          <w:sz w:val="24"/>
          <w:szCs w:val="24"/>
        </w:rPr>
        <w:t xml:space="preserve">On the same note, community building has become a critical approach to enhance interaction, sense of identity, and sense of belonging among consumers. Online brand communities enable the consumer to get engaged through discussions, peer-to-peer interactions, and engagement in brand programs, all of which contribute to building consumer loyalty. The literature also suggests that these effects are enhanced when </w:t>
      </w:r>
      <w:r w:rsidRPr="0022526E">
        <w:rPr>
          <w:rFonts w:ascii="Arial" w:eastAsia="Arial" w:hAnsi="Arial" w:cs="Arial"/>
          <w:sz w:val="24"/>
          <w:szCs w:val="24"/>
        </w:rPr>
        <w:lastRenderedPageBreak/>
        <w:t xml:space="preserve">storytelling and community engagement is integrated, as narratives tend to be catalysts to community interaction, thus creating immersive experiences that drive both emotional and behavioural loyalty. Although these insights are made, the literature indicates significant gaps in research. These strategies are studied separately </w:t>
      </w:r>
      <w:proofErr w:type="gramStart"/>
      <w:r w:rsidRPr="0022526E">
        <w:rPr>
          <w:rFonts w:ascii="Arial" w:eastAsia="Arial" w:hAnsi="Arial" w:cs="Arial"/>
          <w:sz w:val="24"/>
          <w:szCs w:val="24"/>
        </w:rPr>
        <w:t>and in many cases,</w:t>
      </w:r>
      <w:proofErr w:type="gramEnd"/>
      <w:r w:rsidRPr="0022526E">
        <w:rPr>
          <w:rFonts w:ascii="Arial" w:eastAsia="Arial" w:hAnsi="Arial" w:cs="Arial"/>
          <w:sz w:val="24"/>
          <w:szCs w:val="24"/>
        </w:rPr>
        <w:t xml:space="preserve"> these studies demonstrate quantitative results and ignore qualitative insights into consumer experiences. Moreover, it is lacking in-depth case studies that concentrate on international brands that effectively apply both strategies in a co-ordinated manner. By filling these gaps, the current study is devoted to Nike, discussing the interaction of digital storytelling and community-building efforts to create brand loyalty. Through the combination of qualitative and quantitative methods, the study will </w:t>
      </w:r>
      <w:r w:rsidR="00D21D22" w:rsidRPr="0022526E">
        <w:rPr>
          <w:rFonts w:ascii="Arial" w:eastAsia="Arial" w:hAnsi="Arial" w:cs="Arial"/>
          <w:sz w:val="24"/>
          <w:szCs w:val="24"/>
        </w:rPr>
        <w:t>endeavour</w:t>
      </w:r>
      <w:r w:rsidRPr="0022526E">
        <w:rPr>
          <w:rFonts w:ascii="Arial" w:eastAsia="Arial" w:hAnsi="Arial" w:cs="Arial"/>
          <w:sz w:val="24"/>
          <w:szCs w:val="24"/>
        </w:rPr>
        <w:t xml:space="preserve"> to give a holistic picture of these strategies in practice and make both theoretical and practical contributions to the digital marketing research. </w:t>
      </w:r>
    </w:p>
    <w:p w14:paraId="1AEC3BFA" w14:textId="58B120C9" w:rsidR="00BC5AB3" w:rsidRDefault="0022526E" w:rsidP="0022526E">
      <w:pPr>
        <w:spacing w:before="240" w:after="240" w:line="360" w:lineRule="auto"/>
        <w:jc w:val="both"/>
        <w:rPr>
          <w:rFonts w:ascii="Arial" w:eastAsia="Arial" w:hAnsi="Arial" w:cs="Arial"/>
          <w:sz w:val="24"/>
          <w:szCs w:val="24"/>
        </w:rPr>
        <w:sectPr w:rsidR="00BC5AB3">
          <w:pgSz w:w="11906" w:h="16838"/>
          <w:pgMar w:top="1440" w:right="1440" w:bottom="1440" w:left="1440" w:header="708" w:footer="708" w:gutter="0"/>
          <w:pgNumType w:start="1"/>
          <w:cols w:space="720"/>
        </w:sectPr>
      </w:pPr>
      <w:r w:rsidRPr="0022526E">
        <w:rPr>
          <w:rFonts w:ascii="Arial" w:eastAsia="Arial" w:hAnsi="Arial" w:cs="Arial"/>
          <w:sz w:val="24"/>
          <w:szCs w:val="24"/>
        </w:rPr>
        <w:t>The next chapter discuss the selected research techniques and discusses research philosophy. It accomplishes this by discussing research designs, data collection, sampling techniques and ethical issues.</w:t>
      </w:r>
      <w:r w:rsidR="00644FE9">
        <w:rPr>
          <w:rFonts w:ascii="Arial" w:eastAsia="Arial" w:hAnsi="Arial" w:cs="Arial"/>
          <w:sz w:val="24"/>
          <w:szCs w:val="24"/>
        </w:rPr>
        <w:t xml:space="preserve"> </w:t>
      </w:r>
    </w:p>
    <w:p w14:paraId="694A7EDD" w14:textId="0BF9D2D4" w:rsidR="003619B0" w:rsidRDefault="00B00851" w:rsidP="00BC5AB3">
      <w:pPr>
        <w:pStyle w:val="Heading1"/>
      </w:pPr>
      <w:bookmarkStart w:id="18" w:name="_Toc228731019"/>
      <w:r w:rsidRPr="00B00851">
        <w:lastRenderedPageBreak/>
        <w:t>CHAPTER 3: RESEARCH METHODOLOGY</w:t>
      </w:r>
      <w:bookmarkEnd w:id="18"/>
    </w:p>
    <w:p w14:paraId="69F1C072" w14:textId="77777777" w:rsidR="003619B0" w:rsidRPr="003619B0" w:rsidRDefault="003619B0" w:rsidP="003619B0"/>
    <w:p w14:paraId="7A70BF49" w14:textId="77777777" w:rsidR="004F65DF" w:rsidRPr="004F65DF" w:rsidRDefault="004F65DF" w:rsidP="00724DEE">
      <w:pPr>
        <w:pStyle w:val="Heading2"/>
      </w:pPr>
      <w:bookmarkStart w:id="19" w:name="_Toc228731020"/>
      <w:r w:rsidRPr="004F65DF">
        <w:t>3.1 Introduction</w:t>
      </w:r>
      <w:bookmarkEnd w:id="19"/>
      <w:r w:rsidRPr="004F65DF">
        <w:t xml:space="preserve"> </w:t>
      </w:r>
    </w:p>
    <w:p w14:paraId="5267469C"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This chapter presents the research design that will be used in this study, which is a Systematic Literature Review (SLR) on digital storytelling, community building and brand loyalty relative to Nike. The research does not entail the collection of primary data like surveys, interviews, and focus groups. Instead, it is completely based on the use of secondary data based on peer-reviewed academic literature.</w:t>
      </w:r>
    </w:p>
    <w:p w14:paraId="5F0CA882"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The SLR methodology guarantees an organised and open procedure of recognising, choosing, and integrating current research results (Paul &amp; Criado, 2020). To gain insight into the impact of digital storytelling and online brand communities on consumer loyalty, 50 scholarly articles published in 2019 to 2024 were reviewed.</w:t>
      </w:r>
    </w:p>
    <w:p w14:paraId="03A97B44"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This approach is suitable because it allows combining scattered studies into a theoretical structure to gain more conceptual knowledge about digital marketing strategies (Snyder, 2019). This chapter describes the philosophical position, research design, data collection method, sampling approach, and the process of thematic synthesis of the study.</w:t>
      </w:r>
    </w:p>
    <w:p w14:paraId="17EA92BB" w14:textId="77777777" w:rsidR="004F65DF" w:rsidRPr="004F65DF" w:rsidRDefault="004F65DF" w:rsidP="00724DEE">
      <w:pPr>
        <w:pStyle w:val="Heading2"/>
      </w:pPr>
      <w:bookmarkStart w:id="20" w:name="_Toc228731021"/>
      <w:r w:rsidRPr="004F65DF">
        <w:t>3.2 Research Philosophy</w:t>
      </w:r>
      <w:bookmarkEnd w:id="20"/>
      <w:r w:rsidRPr="004F65DF">
        <w:t xml:space="preserve"> </w:t>
      </w:r>
    </w:p>
    <w:p w14:paraId="1D0BDE29"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The research is based on the interpretivist research philosophy where it is assumed that reality is constructed socially and that it should be best comprehended by making meaning in texts and contexts. Academic literature, in the framework of this study, symbolizes the understanding of consumer behaviour, branding strategies a</w:t>
      </w:r>
      <w:r w:rsidR="00724DEE">
        <w:rPr>
          <w:rFonts w:ascii="Arial" w:hAnsi="Arial" w:cs="Arial"/>
          <w:sz w:val="24"/>
          <w:szCs w:val="24"/>
        </w:rPr>
        <w:t>nd digital engagement patterns.</w:t>
      </w:r>
    </w:p>
    <w:p w14:paraId="6B5696A5"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The use of interpretivism is justified due to the absence of a goal to measure numeric relationships in this study but rather to comprehend how meaning is made in digital storytelling and community building research (Saunders et al., 2019). It enables the researcher to delve into subjective views that are reflected in scholarly research and establish trends in various settings.</w:t>
      </w:r>
    </w:p>
    <w:p w14:paraId="73DE2A47"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lastRenderedPageBreak/>
        <w:t>Also, some aspects of pragmatism are included since the research combines several points of view of current literature to produce practical findings on the formation of brand loyalty. Pragmatism advocates engaging varied sources to find practical knowledge of marketing strategies (Kaushik &amp; Walsh, 2019).</w:t>
      </w:r>
    </w:p>
    <w:p w14:paraId="2D08ED31" w14:textId="77777777" w:rsidR="00724DEE" w:rsidRPr="00724DEE" w:rsidRDefault="004F65DF" w:rsidP="00724DEE">
      <w:pPr>
        <w:spacing w:before="240" w:line="360" w:lineRule="auto"/>
        <w:jc w:val="both"/>
        <w:rPr>
          <w:rFonts w:ascii="Arial" w:hAnsi="Arial" w:cs="Arial"/>
          <w:sz w:val="24"/>
          <w:szCs w:val="24"/>
        </w:rPr>
      </w:pPr>
      <w:r w:rsidRPr="004F65DF">
        <w:rPr>
          <w:rFonts w:ascii="Arial" w:hAnsi="Arial" w:cs="Arial"/>
          <w:sz w:val="24"/>
          <w:szCs w:val="24"/>
        </w:rPr>
        <w:t xml:space="preserve">Regarding Nike, interpretivism allows examining the impact of branding discourses and online communities on consumer attitudes and emotional involvement. This philosophical view promotes a more in-depth investigation of the role of storytelling and community interaction in promoting long-term brand loyalty in digital settings as it does not rely on measurement but instead </w:t>
      </w:r>
      <w:r w:rsidR="00724DEE" w:rsidRPr="004F65DF">
        <w:rPr>
          <w:rFonts w:ascii="Arial" w:hAnsi="Arial" w:cs="Arial"/>
          <w:sz w:val="24"/>
          <w:szCs w:val="24"/>
        </w:rPr>
        <w:t>centres</w:t>
      </w:r>
      <w:r w:rsidRPr="004F65DF">
        <w:rPr>
          <w:rFonts w:ascii="Arial" w:hAnsi="Arial" w:cs="Arial"/>
          <w:sz w:val="24"/>
          <w:szCs w:val="24"/>
        </w:rPr>
        <w:t xml:space="preserve"> around meaning (Dwivedi et al., 2021).</w:t>
      </w:r>
    </w:p>
    <w:p w14:paraId="4A802CF8" w14:textId="1375DA88" w:rsidR="00724DEE" w:rsidRDefault="00724DEE" w:rsidP="00724DEE">
      <w:pPr>
        <w:pStyle w:val="Caption"/>
        <w:keepNext/>
      </w:pPr>
      <w:bookmarkStart w:id="21" w:name="_Toc228725925"/>
      <w:r>
        <w:t xml:space="preserve">Table </w:t>
      </w:r>
      <w:fldSimple w:instr=" SEQ Table \* ARABIC ">
        <w:r w:rsidR="007F3659">
          <w:rPr>
            <w:noProof/>
          </w:rPr>
          <w:t>1</w:t>
        </w:r>
      </w:fldSimple>
      <w:r w:rsidRPr="00560983">
        <w:t>: Research Philosophy Summary</w:t>
      </w:r>
      <w:r w:rsidR="007E518B">
        <w:t>.</w:t>
      </w:r>
      <w:r w:rsidR="007E518B" w:rsidRPr="007E518B">
        <w:t xml:space="preserve"> (adapted from Saunders et al., 2019; Creswell, 2014; Bryman, 2016)</w:t>
      </w:r>
      <w:bookmarkEnd w:id="21"/>
    </w:p>
    <w:tbl>
      <w:tblPr>
        <w:tblStyle w:val="TableGrid"/>
        <w:tblW w:w="0" w:type="auto"/>
        <w:tblLook w:val="04A0" w:firstRow="1" w:lastRow="0" w:firstColumn="1" w:lastColumn="0" w:noHBand="0" w:noVBand="1"/>
      </w:tblPr>
      <w:tblGrid>
        <w:gridCol w:w="3005"/>
        <w:gridCol w:w="3005"/>
        <w:gridCol w:w="3006"/>
      </w:tblGrid>
      <w:tr w:rsidR="00724DEE" w:rsidRPr="00724DEE" w14:paraId="56CC1477" w14:textId="77777777" w:rsidTr="00724DEE">
        <w:tc>
          <w:tcPr>
            <w:tcW w:w="3005" w:type="dxa"/>
          </w:tcPr>
          <w:p w14:paraId="3249FA77"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Philosophy</w:t>
            </w:r>
          </w:p>
        </w:tc>
        <w:tc>
          <w:tcPr>
            <w:tcW w:w="3005" w:type="dxa"/>
          </w:tcPr>
          <w:p w14:paraId="5B1A6EEF"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Key Idea</w:t>
            </w:r>
          </w:p>
        </w:tc>
        <w:tc>
          <w:tcPr>
            <w:tcW w:w="3006" w:type="dxa"/>
          </w:tcPr>
          <w:p w14:paraId="201EC083"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Application</w:t>
            </w:r>
          </w:p>
        </w:tc>
      </w:tr>
      <w:tr w:rsidR="00724DEE" w:rsidRPr="00724DEE" w14:paraId="27077D7F" w14:textId="77777777" w:rsidTr="00724DEE">
        <w:tc>
          <w:tcPr>
            <w:tcW w:w="3005" w:type="dxa"/>
          </w:tcPr>
          <w:p w14:paraId="6E39FFE1"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Interpretivism</w:t>
            </w:r>
          </w:p>
        </w:tc>
        <w:tc>
          <w:tcPr>
            <w:tcW w:w="3005" w:type="dxa"/>
          </w:tcPr>
          <w:p w14:paraId="421A5519"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Reality is socially constructed through meanings and interpretations</w:t>
            </w:r>
          </w:p>
        </w:tc>
        <w:tc>
          <w:tcPr>
            <w:tcW w:w="3006" w:type="dxa"/>
          </w:tcPr>
          <w:p w14:paraId="073F6B64"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Used to interpret findings from academic literature on consumer behaviour, storytelling, and brand communities</w:t>
            </w:r>
          </w:p>
        </w:tc>
      </w:tr>
      <w:tr w:rsidR="00724DEE" w:rsidRPr="00724DEE" w14:paraId="1D9270A4" w14:textId="77777777" w:rsidTr="00724DEE">
        <w:tc>
          <w:tcPr>
            <w:tcW w:w="3005" w:type="dxa"/>
          </w:tcPr>
          <w:p w14:paraId="65664461"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Pragmatism</w:t>
            </w:r>
          </w:p>
        </w:tc>
        <w:tc>
          <w:tcPr>
            <w:tcW w:w="3005" w:type="dxa"/>
          </w:tcPr>
          <w:p w14:paraId="1F5A35E0"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Focus on practical outcomes and combining perspectives</w:t>
            </w:r>
          </w:p>
        </w:tc>
        <w:tc>
          <w:tcPr>
            <w:tcW w:w="3006" w:type="dxa"/>
          </w:tcPr>
          <w:p w14:paraId="62D196C8"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Supports integrating multiple research findings to develop practical insights on brand loyalty</w:t>
            </w:r>
          </w:p>
        </w:tc>
      </w:tr>
      <w:tr w:rsidR="00724DEE" w:rsidRPr="00724DEE" w14:paraId="761408AD" w14:textId="77777777" w:rsidTr="00724DEE">
        <w:tc>
          <w:tcPr>
            <w:tcW w:w="3005" w:type="dxa"/>
          </w:tcPr>
          <w:p w14:paraId="15F81255"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Positivism (Not Used)</w:t>
            </w:r>
          </w:p>
        </w:tc>
        <w:tc>
          <w:tcPr>
            <w:tcW w:w="3005" w:type="dxa"/>
          </w:tcPr>
          <w:p w14:paraId="68E3F6AE"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Focus on measurable, objective reality</w:t>
            </w:r>
          </w:p>
        </w:tc>
        <w:tc>
          <w:tcPr>
            <w:tcW w:w="3006" w:type="dxa"/>
          </w:tcPr>
          <w:p w14:paraId="0C7B6D12" w14:textId="77777777" w:rsidR="00724DEE" w:rsidRPr="00724DEE" w:rsidRDefault="00724DEE" w:rsidP="00CC796F">
            <w:pPr>
              <w:spacing w:before="240" w:line="360" w:lineRule="auto"/>
              <w:jc w:val="both"/>
              <w:rPr>
                <w:rFonts w:ascii="Arial" w:hAnsi="Arial" w:cs="Arial"/>
                <w:sz w:val="24"/>
                <w:szCs w:val="24"/>
              </w:rPr>
            </w:pPr>
            <w:r w:rsidRPr="00724DEE">
              <w:rPr>
                <w:rFonts w:ascii="Arial" w:hAnsi="Arial" w:cs="Arial"/>
                <w:sz w:val="24"/>
                <w:szCs w:val="24"/>
              </w:rPr>
              <w:t>Not applied as the study does not involve quantitative or primary data</w:t>
            </w:r>
          </w:p>
        </w:tc>
      </w:tr>
    </w:tbl>
    <w:p w14:paraId="799DDD70" w14:textId="77777777" w:rsidR="004F65DF" w:rsidRPr="004F65DF" w:rsidRDefault="004F65DF" w:rsidP="00724DEE">
      <w:pPr>
        <w:pStyle w:val="Heading2"/>
      </w:pPr>
      <w:bookmarkStart w:id="22" w:name="_Toc228731022"/>
      <w:r w:rsidRPr="004F65DF">
        <w:t>3.3 Research Approach</w:t>
      </w:r>
      <w:bookmarkEnd w:id="22"/>
      <w:r w:rsidRPr="004F65DF">
        <w:t xml:space="preserve"> </w:t>
      </w:r>
    </w:p>
    <w:p w14:paraId="384516FC"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 xml:space="preserve">The research approach employed in this study is </w:t>
      </w:r>
      <w:proofErr w:type="gramStart"/>
      <w:r w:rsidRPr="004F65DF">
        <w:rPr>
          <w:rFonts w:ascii="Arial" w:hAnsi="Arial" w:cs="Arial"/>
          <w:sz w:val="24"/>
          <w:szCs w:val="24"/>
        </w:rPr>
        <w:t>an inductive research</w:t>
      </w:r>
      <w:proofErr w:type="gramEnd"/>
      <w:r w:rsidRPr="004F65DF">
        <w:rPr>
          <w:rFonts w:ascii="Arial" w:hAnsi="Arial" w:cs="Arial"/>
          <w:sz w:val="24"/>
          <w:szCs w:val="24"/>
        </w:rPr>
        <w:t xml:space="preserve">, that is, one that builds up insights and patterns based on the existing body of literature as opposed </w:t>
      </w:r>
      <w:r w:rsidRPr="004F65DF">
        <w:rPr>
          <w:rFonts w:ascii="Arial" w:hAnsi="Arial" w:cs="Arial"/>
          <w:sz w:val="24"/>
          <w:szCs w:val="24"/>
        </w:rPr>
        <w:lastRenderedPageBreak/>
        <w:t>to a pre-tested hypothesis. Inductive methodology would be best applied to systematic literature reviews, where the results would simply be obtained as the results of the analysis of scholarly works (Thomas, 2021).</w:t>
      </w:r>
    </w:p>
    <w:p w14:paraId="12095837" w14:textId="77777777" w:rsidR="004F6A67" w:rsidRPr="004F6A67" w:rsidRDefault="004F6A67" w:rsidP="004F6A67">
      <w:pPr>
        <w:spacing w:before="240" w:line="360" w:lineRule="auto"/>
        <w:jc w:val="both"/>
        <w:rPr>
          <w:rFonts w:ascii="Arial" w:hAnsi="Arial" w:cs="Arial"/>
          <w:sz w:val="24"/>
          <w:szCs w:val="24"/>
        </w:rPr>
      </w:pPr>
      <w:r w:rsidRPr="004F6A67">
        <w:rPr>
          <w:rFonts w:ascii="Arial" w:hAnsi="Arial" w:cs="Arial"/>
          <w:sz w:val="24"/>
          <w:szCs w:val="24"/>
        </w:rPr>
        <w:t>Under the analysis of 50 peer-reviewed articles, the study reveals some common themes such as emotional involvement, consumer identity formation, online community involvement and brand advocacy. These are then cross-fertilised to create a broader perspective on the effect of digital storytelling and community building on brand loyalty.</w:t>
      </w:r>
    </w:p>
    <w:p w14:paraId="0B89DEF8" w14:textId="77777777" w:rsidR="004F6A67" w:rsidRPr="004F6A67" w:rsidRDefault="004F6A67" w:rsidP="004F6A67">
      <w:pPr>
        <w:spacing w:before="240" w:line="360" w:lineRule="auto"/>
        <w:jc w:val="both"/>
        <w:rPr>
          <w:rFonts w:ascii="Arial" w:hAnsi="Arial" w:cs="Arial"/>
          <w:sz w:val="24"/>
          <w:szCs w:val="24"/>
        </w:rPr>
      </w:pPr>
      <w:r w:rsidRPr="004F6A67">
        <w:rPr>
          <w:rFonts w:ascii="Arial" w:hAnsi="Arial" w:cs="Arial"/>
          <w:sz w:val="24"/>
          <w:szCs w:val="24"/>
        </w:rPr>
        <w:t xml:space="preserve">The inductive method is premised on the formulation of </w:t>
      </w:r>
      <w:proofErr w:type="gramStart"/>
      <w:r w:rsidRPr="004F6A67">
        <w:rPr>
          <w:rFonts w:ascii="Arial" w:hAnsi="Arial" w:cs="Arial"/>
          <w:sz w:val="24"/>
          <w:szCs w:val="24"/>
        </w:rPr>
        <w:t>theories</w:t>
      </w:r>
      <w:proofErr w:type="gramEnd"/>
      <w:r w:rsidRPr="004F6A67">
        <w:rPr>
          <w:rFonts w:ascii="Arial" w:hAnsi="Arial" w:cs="Arial"/>
          <w:sz w:val="24"/>
          <w:szCs w:val="24"/>
        </w:rPr>
        <w:t xml:space="preserve"> and it offers the researcher the chance to </w:t>
      </w:r>
      <w:proofErr w:type="gramStart"/>
      <w:r w:rsidRPr="004F6A67">
        <w:rPr>
          <w:rFonts w:ascii="Arial" w:hAnsi="Arial" w:cs="Arial"/>
          <w:sz w:val="24"/>
          <w:szCs w:val="24"/>
        </w:rPr>
        <w:t>make generalizations</w:t>
      </w:r>
      <w:proofErr w:type="gramEnd"/>
      <w:r w:rsidRPr="004F6A67">
        <w:rPr>
          <w:rFonts w:ascii="Arial" w:hAnsi="Arial" w:cs="Arial"/>
          <w:sz w:val="24"/>
          <w:szCs w:val="24"/>
        </w:rPr>
        <w:t xml:space="preserve"> on the grounds of specific observations that are identified in the literature (Bryman, 2021). It may be used particularly in those areas where research is diverse such as in digital marketing and consumer interaction.</w:t>
      </w:r>
    </w:p>
    <w:p w14:paraId="22F86CBC" w14:textId="46E95E6D" w:rsidR="004F65DF" w:rsidRPr="004F65DF" w:rsidRDefault="004F6A67" w:rsidP="004F6A67">
      <w:pPr>
        <w:spacing w:before="240" w:line="360" w:lineRule="auto"/>
        <w:jc w:val="both"/>
        <w:rPr>
          <w:rFonts w:ascii="Arial" w:hAnsi="Arial" w:cs="Arial"/>
          <w:sz w:val="24"/>
          <w:szCs w:val="24"/>
        </w:rPr>
      </w:pPr>
      <w:r w:rsidRPr="004F6A67">
        <w:rPr>
          <w:rFonts w:ascii="Arial" w:hAnsi="Arial" w:cs="Arial"/>
          <w:sz w:val="24"/>
          <w:szCs w:val="24"/>
        </w:rPr>
        <w:t>The inductive approach to the study in this work enables the integration of the outcomes of different sectors and situations</w:t>
      </w:r>
      <w:r>
        <w:rPr>
          <w:rFonts w:ascii="Arial" w:hAnsi="Arial" w:cs="Arial"/>
          <w:sz w:val="24"/>
          <w:szCs w:val="24"/>
        </w:rPr>
        <w:t xml:space="preserve"> into one model devoted to Nike</w:t>
      </w:r>
      <w:r w:rsidR="004F65DF" w:rsidRPr="004F65DF">
        <w:rPr>
          <w:rFonts w:ascii="Arial" w:hAnsi="Arial" w:cs="Arial"/>
          <w:sz w:val="24"/>
          <w:szCs w:val="24"/>
        </w:rPr>
        <w:t>. This guarantees data-driven, evidence-based, and evidence-based conclusions based on current academic knowledge, as opposed to presumptions.</w:t>
      </w:r>
    </w:p>
    <w:p w14:paraId="2F702B22" w14:textId="77777777" w:rsidR="004F65DF" w:rsidRPr="004F65DF" w:rsidRDefault="004F65DF" w:rsidP="00724DEE">
      <w:pPr>
        <w:pStyle w:val="Heading2"/>
      </w:pPr>
      <w:bookmarkStart w:id="23" w:name="_Toc228731023"/>
      <w:r w:rsidRPr="004F65DF">
        <w:t>3.4 Research Design</w:t>
      </w:r>
      <w:bookmarkEnd w:id="23"/>
      <w:r w:rsidRPr="004F65DF">
        <w:t xml:space="preserve"> </w:t>
      </w:r>
    </w:p>
    <w:p w14:paraId="545FE364" w14:textId="77777777" w:rsidR="00E07FFE" w:rsidRPr="00E07FFE" w:rsidRDefault="00E07FFE" w:rsidP="00E07FFE">
      <w:pPr>
        <w:spacing w:before="240" w:line="360" w:lineRule="auto"/>
        <w:jc w:val="both"/>
        <w:rPr>
          <w:rFonts w:ascii="Arial" w:hAnsi="Arial" w:cs="Arial"/>
          <w:sz w:val="24"/>
          <w:szCs w:val="24"/>
        </w:rPr>
      </w:pPr>
      <w:r w:rsidRPr="00E07FFE">
        <w:rPr>
          <w:rFonts w:ascii="Arial" w:hAnsi="Arial" w:cs="Arial"/>
          <w:sz w:val="24"/>
          <w:szCs w:val="24"/>
        </w:rPr>
        <w:t>The study design employed in the study is a Systematic Literature Review (SLR), which offers a methodological and coherent approach to a review of the academic literature available. It is well known that the SLR helps reduce the effects of bias and guarantees research synthesis replicability (</w:t>
      </w:r>
      <w:proofErr w:type="spellStart"/>
      <w:r w:rsidRPr="00E07FFE">
        <w:rPr>
          <w:rFonts w:ascii="Arial" w:hAnsi="Arial" w:cs="Arial"/>
          <w:sz w:val="24"/>
          <w:szCs w:val="24"/>
        </w:rPr>
        <w:t>Tranfield</w:t>
      </w:r>
      <w:proofErr w:type="spellEnd"/>
      <w:r w:rsidRPr="00E07FFE">
        <w:rPr>
          <w:rFonts w:ascii="Arial" w:hAnsi="Arial" w:cs="Arial"/>
          <w:sz w:val="24"/>
          <w:szCs w:val="24"/>
        </w:rPr>
        <w:t xml:space="preserve"> et al., 2020).</w:t>
      </w:r>
    </w:p>
    <w:p w14:paraId="7DA36597" w14:textId="77777777" w:rsidR="00E07FFE" w:rsidRPr="00E07FFE" w:rsidRDefault="00E07FFE" w:rsidP="00E07FFE">
      <w:pPr>
        <w:spacing w:before="240" w:line="360" w:lineRule="auto"/>
        <w:jc w:val="both"/>
        <w:rPr>
          <w:rFonts w:ascii="Arial" w:hAnsi="Arial" w:cs="Arial"/>
          <w:sz w:val="24"/>
          <w:szCs w:val="24"/>
        </w:rPr>
      </w:pPr>
      <w:r w:rsidRPr="00E07FFE">
        <w:rPr>
          <w:rFonts w:ascii="Arial" w:hAnsi="Arial" w:cs="Arial"/>
          <w:sz w:val="24"/>
          <w:szCs w:val="24"/>
        </w:rPr>
        <w:t>The design is organized into a process that consists of five major steps such as identification of the literature, screening, eligibility, final selection and thematic synthesis. This will make sure that only quality and relevant studies are incorporated in the analysis.</w:t>
      </w:r>
    </w:p>
    <w:p w14:paraId="295EB030" w14:textId="60DC9C23" w:rsidR="004F65DF" w:rsidRPr="004F65DF" w:rsidRDefault="00E07FFE" w:rsidP="00E07FFE">
      <w:pPr>
        <w:spacing w:before="240" w:line="360" w:lineRule="auto"/>
        <w:jc w:val="both"/>
        <w:rPr>
          <w:rFonts w:ascii="Arial" w:hAnsi="Arial" w:cs="Arial"/>
          <w:sz w:val="24"/>
          <w:szCs w:val="24"/>
        </w:rPr>
      </w:pPr>
      <w:r w:rsidRPr="00E07FFE">
        <w:rPr>
          <w:rFonts w:ascii="Arial" w:hAnsi="Arial" w:cs="Arial"/>
          <w:sz w:val="24"/>
          <w:szCs w:val="24"/>
        </w:rPr>
        <w:t xml:space="preserve">The research is based on peer-reviewed journal articles published in 2019-2024 to make sure that they reflect current digital marketing practices. The final dataset will </w:t>
      </w:r>
      <w:r w:rsidRPr="00E07FFE">
        <w:rPr>
          <w:rFonts w:ascii="Arial" w:hAnsi="Arial" w:cs="Arial"/>
          <w:sz w:val="24"/>
          <w:szCs w:val="24"/>
        </w:rPr>
        <w:lastRenderedPageBreak/>
        <w:t xml:space="preserve">consist of 50 articles </w:t>
      </w:r>
      <w:proofErr w:type="gramStart"/>
      <w:r w:rsidRPr="00E07FFE">
        <w:rPr>
          <w:rFonts w:ascii="Arial" w:hAnsi="Arial" w:cs="Arial"/>
          <w:sz w:val="24"/>
          <w:szCs w:val="24"/>
        </w:rPr>
        <w:t>on the subject of digital</w:t>
      </w:r>
      <w:proofErr w:type="gramEnd"/>
      <w:r w:rsidRPr="00E07FFE">
        <w:rPr>
          <w:rFonts w:ascii="Arial" w:hAnsi="Arial" w:cs="Arial"/>
          <w:sz w:val="24"/>
          <w:szCs w:val="24"/>
        </w:rPr>
        <w:t xml:space="preserve"> storytelling, commu</w:t>
      </w:r>
      <w:r>
        <w:rPr>
          <w:rFonts w:ascii="Arial" w:hAnsi="Arial" w:cs="Arial"/>
          <w:sz w:val="24"/>
          <w:szCs w:val="24"/>
        </w:rPr>
        <w:t>nity building and brand loyalty</w:t>
      </w:r>
      <w:r w:rsidR="004F65DF" w:rsidRPr="004F65DF">
        <w:rPr>
          <w:rFonts w:ascii="Arial" w:hAnsi="Arial" w:cs="Arial"/>
          <w:sz w:val="24"/>
          <w:szCs w:val="24"/>
        </w:rPr>
        <w:t>.</w:t>
      </w:r>
    </w:p>
    <w:p w14:paraId="3099DBBC"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The SLR also has a pre-defined protocol unlike the traditional narrative reviews, which guarantees transparency in the article selection and analysis. This minimizes researcher bias, and improves academic rigour (Page et al., 2021).</w:t>
      </w:r>
    </w:p>
    <w:p w14:paraId="198F7AEA"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The research design is especially appropriate to examine the intricate marketing phenomena, like the storytelling and community engagement, since it enables the incorporation of various opinions into one framework. Applying the SLR design to the Nike scenario, it can be used to determine the impact of global branding strategies on consumer loyalty via digital channels and community engagement.</w:t>
      </w:r>
    </w:p>
    <w:p w14:paraId="306B1EA7"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In general, the SLR design offers a systematic, structured and academically sound base to synthes</w:t>
      </w:r>
      <w:r w:rsidR="00724DEE">
        <w:rPr>
          <w:rFonts w:ascii="Arial" w:hAnsi="Arial" w:cs="Arial"/>
          <w:sz w:val="24"/>
          <w:szCs w:val="24"/>
        </w:rPr>
        <w:t>ise existing research evidence.</w:t>
      </w:r>
    </w:p>
    <w:p w14:paraId="1883B6A0" w14:textId="77777777" w:rsidR="004F65DF" w:rsidRPr="004F65DF" w:rsidRDefault="004F65DF" w:rsidP="00724DEE">
      <w:pPr>
        <w:pStyle w:val="Heading2"/>
      </w:pPr>
      <w:bookmarkStart w:id="24" w:name="_Toc228731024"/>
      <w:r w:rsidRPr="004F65DF">
        <w:t>3.5 Data Collection Methods</w:t>
      </w:r>
      <w:bookmarkEnd w:id="24"/>
      <w:r w:rsidRPr="004F65DF">
        <w:t xml:space="preserve"> </w:t>
      </w:r>
    </w:p>
    <w:p w14:paraId="1001D652"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The methodology used in this study is all about secondary data collection that is in form of peer-reviewed academic journal articles. There is no main data collection tool, i.e. surveys, interviews, or focus group. Secondary data should be used when conducting systematic literature review, since it enables the researcher to analyse the existing knowledge without including participants in the study (Xiao &amp; Watson, 2019).</w:t>
      </w:r>
    </w:p>
    <w:p w14:paraId="3187B220"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 xml:space="preserve">Information sources were found in well-established academic databases, such as Google scholar, Scopus, Web of Science, and </w:t>
      </w:r>
      <w:r w:rsidR="00724DEE" w:rsidRPr="004F65DF">
        <w:rPr>
          <w:rFonts w:ascii="Arial" w:hAnsi="Arial" w:cs="Arial"/>
          <w:sz w:val="24"/>
          <w:szCs w:val="24"/>
        </w:rPr>
        <w:t>Science Direct</w:t>
      </w:r>
      <w:r w:rsidRPr="004F65DF">
        <w:rPr>
          <w:rFonts w:ascii="Arial" w:hAnsi="Arial" w:cs="Arial"/>
          <w:sz w:val="24"/>
          <w:szCs w:val="24"/>
        </w:rPr>
        <w:t>. These databases were chosen because of their validity and broadness in covering peer-reviewed studies on marketing and consumer behaviour.</w:t>
      </w:r>
    </w:p>
    <w:p w14:paraId="3DC94127"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A systematic search strategy of keywords was carried out with the help of such terms as digital stories telling branding, brand loyalty online engagement, online brand communities, Nike marketing strategy. This guaranteed a wide coverage of pertinent literature.</w:t>
      </w:r>
    </w:p>
    <w:p w14:paraId="6CD5529A" w14:textId="77777777" w:rsidR="004F65DF" w:rsidRPr="00724DEE" w:rsidRDefault="004F65DF" w:rsidP="004F65DF">
      <w:pPr>
        <w:spacing w:before="240" w:line="360" w:lineRule="auto"/>
        <w:jc w:val="both"/>
        <w:rPr>
          <w:rFonts w:ascii="Arial" w:hAnsi="Arial" w:cs="Arial"/>
          <w:b/>
          <w:sz w:val="24"/>
          <w:szCs w:val="24"/>
        </w:rPr>
      </w:pPr>
      <w:r w:rsidRPr="00724DEE">
        <w:rPr>
          <w:rFonts w:ascii="Arial" w:hAnsi="Arial" w:cs="Arial"/>
          <w:b/>
          <w:sz w:val="24"/>
          <w:szCs w:val="24"/>
        </w:rPr>
        <w:t>Inclusion criteria were:</w:t>
      </w:r>
    </w:p>
    <w:p w14:paraId="4ECECB31" w14:textId="77777777" w:rsidR="004F65DF" w:rsidRPr="00724DEE" w:rsidRDefault="004F65DF" w:rsidP="00724DEE">
      <w:pPr>
        <w:pStyle w:val="ListParagraph"/>
        <w:numPr>
          <w:ilvl w:val="0"/>
          <w:numId w:val="21"/>
        </w:numPr>
        <w:spacing w:before="240" w:line="360" w:lineRule="auto"/>
        <w:jc w:val="both"/>
        <w:rPr>
          <w:rFonts w:ascii="Arial" w:hAnsi="Arial" w:cs="Arial"/>
          <w:sz w:val="24"/>
          <w:szCs w:val="24"/>
        </w:rPr>
      </w:pPr>
      <w:r w:rsidRPr="00724DEE">
        <w:rPr>
          <w:rFonts w:ascii="Arial" w:hAnsi="Arial" w:cs="Arial"/>
          <w:sz w:val="24"/>
          <w:szCs w:val="24"/>
        </w:rPr>
        <w:t>Peer-reviewed journal articles</w:t>
      </w:r>
    </w:p>
    <w:p w14:paraId="6E55EA58" w14:textId="77777777" w:rsidR="004F65DF" w:rsidRPr="00724DEE" w:rsidRDefault="004F65DF" w:rsidP="00724DEE">
      <w:pPr>
        <w:pStyle w:val="ListParagraph"/>
        <w:numPr>
          <w:ilvl w:val="0"/>
          <w:numId w:val="21"/>
        </w:numPr>
        <w:spacing w:before="240" w:line="360" w:lineRule="auto"/>
        <w:jc w:val="both"/>
        <w:rPr>
          <w:rFonts w:ascii="Arial" w:hAnsi="Arial" w:cs="Arial"/>
          <w:sz w:val="24"/>
          <w:szCs w:val="24"/>
        </w:rPr>
      </w:pPr>
      <w:r w:rsidRPr="00724DEE">
        <w:rPr>
          <w:rFonts w:ascii="Arial" w:hAnsi="Arial" w:cs="Arial"/>
          <w:sz w:val="24"/>
          <w:szCs w:val="24"/>
        </w:rPr>
        <w:lastRenderedPageBreak/>
        <w:t>Published between 2019–2024</w:t>
      </w:r>
    </w:p>
    <w:p w14:paraId="710C201C" w14:textId="77777777" w:rsidR="004F65DF" w:rsidRPr="00724DEE" w:rsidRDefault="004F65DF" w:rsidP="00724DEE">
      <w:pPr>
        <w:pStyle w:val="ListParagraph"/>
        <w:numPr>
          <w:ilvl w:val="0"/>
          <w:numId w:val="21"/>
        </w:numPr>
        <w:spacing w:before="240" w:line="360" w:lineRule="auto"/>
        <w:jc w:val="both"/>
        <w:rPr>
          <w:rFonts w:ascii="Arial" w:hAnsi="Arial" w:cs="Arial"/>
          <w:sz w:val="24"/>
          <w:szCs w:val="24"/>
        </w:rPr>
      </w:pPr>
      <w:r w:rsidRPr="00724DEE">
        <w:rPr>
          <w:rFonts w:ascii="Arial" w:hAnsi="Arial" w:cs="Arial"/>
          <w:sz w:val="24"/>
          <w:szCs w:val="24"/>
        </w:rPr>
        <w:t>English language studies</w:t>
      </w:r>
    </w:p>
    <w:p w14:paraId="7938D2F8" w14:textId="77777777" w:rsidR="004F65DF" w:rsidRPr="00724DEE" w:rsidRDefault="004F65DF" w:rsidP="00724DEE">
      <w:pPr>
        <w:pStyle w:val="ListParagraph"/>
        <w:numPr>
          <w:ilvl w:val="0"/>
          <w:numId w:val="21"/>
        </w:numPr>
        <w:spacing w:before="240" w:line="360" w:lineRule="auto"/>
        <w:jc w:val="both"/>
        <w:rPr>
          <w:rFonts w:ascii="Arial" w:hAnsi="Arial" w:cs="Arial"/>
          <w:sz w:val="24"/>
          <w:szCs w:val="24"/>
        </w:rPr>
      </w:pPr>
      <w:r w:rsidRPr="00724DEE">
        <w:rPr>
          <w:rFonts w:ascii="Arial" w:hAnsi="Arial" w:cs="Arial"/>
          <w:sz w:val="24"/>
          <w:szCs w:val="24"/>
        </w:rPr>
        <w:t>The studies, which are based on branding, storytelling, or consumer engagement.</w:t>
      </w:r>
    </w:p>
    <w:p w14:paraId="14027D97" w14:textId="77777777" w:rsidR="004F65DF" w:rsidRPr="00724DEE" w:rsidRDefault="004F65DF" w:rsidP="004F65DF">
      <w:pPr>
        <w:spacing w:before="240" w:line="360" w:lineRule="auto"/>
        <w:jc w:val="both"/>
        <w:rPr>
          <w:rFonts w:ascii="Arial" w:hAnsi="Arial" w:cs="Arial"/>
          <w:b/>
          <w:sz w:val="24"/>
          <w:szCs w:val="24"/>
        </w:rPr>
      </w:pPr>
      <w:r w:rsidRPr="00724DEE">
        <w:rPr>
          <w:rFonts w:ascii="Arial" w:hAnsi="Arial" w:cs="Arial"/>
          <w:b/>
          <w:sz w:val="24"/>
          <w:szCs w:val="24"/>
        </w:rPr>
        <w:t>The exclusion criteria were:</w:t>
      </w:r>
    </w:p>
    <w:p w14:paraId="3E98C952" w14:textId="77777777" w:rsidR="004F65DF" w:rsidRPr="00724DEE" w:rsidRDefault="004F65DF" w:rsidP="00724DEE">
      <w:pPr>
        <w:pStyle w:val="ListParagraph"/>
        <w:numPr>
          <w:ilvl w:val="0"/>
          <w:numId w:val="22"/>
        </w:numPr>
        <w:spacing w:before="240" w:line="360" w:lineRule="auto"/>
        <w:jc w:val="both"/>
        <w:rPr>
          <w:rFonts w:ascii="Arial" w:hAnsi="Arial" w:cs="Arial"/>
          <w:sz w:val="24"/>
          <w:szCs w:val="24"/>
        </w:rPr>
      </w:pPr>
      <w:r w:rsidRPr="00724DEE">
        <w:rPr>
          <w:rFonts w:ascii="Arial" w:hAnsi="Arial" w:cs="Arial"/>
          <w:sz w:val="24"/>
          <w:szCs w:val="24"/>
        </w:rPr>
        <w:t>Non-academic sources such as blogs and reports</w:t>
      </w:r>
    </w:p>
    <w:p w14:paraId="067022DD" w14:textId="77777777" w:rsidR="004F65DF" w:rsidRPr="00724DEE" w:rsidRDefault="004F65DF" w:rsidP="00724DEE">
      <w:pPr>
        <w:pStyle w:val="ListParagraph"/>
        <w:numPr>
          <w:ilvl w:val="0"/>
          <w:numId w:val="22"/>
        </w:numPr>
        <w:spacing w:before="240" w:line="360" w:lineRule="auto"/>
        <w:jc w:val="both"/>
        <w:rPr>
          <w:rFonts w:ascii="Arial" w:hAnsi="Arial" w:cs="Arial"/>
          <w:sz w:val="24"/>
          <w:szCs w:val="24"/>
        </w:rPr>
      </w:pPr>
      <w:r w:rsidRPr="00724DEE">
        <w:rPr>
          <w:rFonts w:ascii="Arial" w:hAnsi="Arial" w:cs="Arial"/>
          <w:sz w:val="24"/>
          <w:szCs w:val="24"/>
        </w:rPr>
        <w:t>Duplicate studies</w:t>
      </w:r>
    </w:p>
    <w:p w14:paraId="16F6241F" w14:textId="77777777" w:rsidR="004F65DF" w:rsidRPr="00724DEE" w:rsidRDefault="004F65DF" w:rsidP="00724DEE">
      <w:pPr>
        <w:pStyle w:val="ListParagraph"/>
        <w:numPr>
          <w:ilvl w:val="0"/>
          <w:numId w:val="22"/>
        </w:numPr>
        <w:spacing w:before="240" w:line="360" w:lineRule="auto"/>
        <w:jc w:val="both"/>
        <w:rPr>
          <w:rFonts w:ascii="Arial" w:hAnsi="Arial" w:cs="Arial"/>
          <w:sz w:val="24"/>
          <w:szCs w:val="24"/>
        </w:rPr>
      </w:pPr>
      <w:r w:rsidRPr="00724DEE">
        <w:rPr>
          <w:rFonts w:ascii="Arial" w:hAnsi="Arial" w:cs="Arial"/>
          <w:sz w:val="24"/>
          <w:szCs w:val="24"/>
        </w:rPr>
        <w:t>Articles which are not within the stipulated period.</w:t>
      </w:r>
    </w:p>
    <w:p w14:paraId="7BD476B3" w14:textId="77777777" w:rsidR="004F65DF" w:rsidRPr="00033D66" w:rsidRDefault="004F65DF" w:rsidP="004F65DF">
      <w:pPr>
        <w:pStyle w:val="ListParagraph"/>
        <w:numPr>
          <w:ilvl w:val="0"/>
          <w:numId w:val="22"/>
        </w:numPr>
        <w:spacing w:before="240" w:line="360" w:lineRule="auto"/>
        <w:jc w:val="both"/>
        <w:rPr>
          <w:rFonts w:ascii="Arial" w:hAnsi="Arial" w:cs="Arial"/>
          <w:sz w:val="24"/>
          <w:szCs w:val="24"/>
        </w:rPr>
      </w:pPr>
      <w:r w:rsidRPr="00724DEE">
        <w:rPr>
          <w:rFonts w:ascii="Arial" w:hAnsi="Arial" w:cs="Arial"/>
          <w:sz w:val="24"/>
          <w:szCs w:val="24"/>
        </w:rPr>
        <w:t>Research not related to marketing or consumer behaviour.</w:t>
      </w:r>
    </w:p>
    <w:p w14:paraId="20DAAF22" w14:textId="77777777" w:rsidR="004F65DF" w:rsidRPr="004F65DF" w:rsidRDefault="004F65DF" w:rsidP="004F65DF">
      <w:pPr>
        <w:spacing w:before="240" w:line="360" w:lineRule="auto"/>
        <w:jc w:val="both"/>
        <w:rPr>
          <w:rFonts w:ascii="Arial" w:hAnsi="Arial" w:cs="Arial"/>
          <w:sz w:val="24"/>
          <w:szCs w:val="24"/>
        </w:rPr>
      </w:pPr>
      <w:r w:rsidRPr="004F65DF">
        <w:rPr>
          <w:rFonts w:ascii="Arial" w:hAnsi="Arial" w:cs="Arial"/>
          <w:sz w:val="24"/>
          <w:szCs w:val="24"/>
        </w:rPr>
        <w:t xml:space="preserve">Following the implementation of these criteria, a final sample of 50 academic articles was chosen to </w:t>
      </w:r>
      <w:r w:rsidR="00724DEE" w:rsidRPr="004F65DF">
        <w:rPr>
          <w:rFonts w:ascii="Arial" w:hAnsi="Arial" w:cs="Arial"/>
          <w:sz w:val="24"/>
          <w:szCs w:val="24"/>
        </w:rPr>
        <w:t>analyse</w:t>
      </w:r>
      <w:r w:rsidRPr="004F65DF">
        <w:rPr>
          <w:rFonts w:ascii="Arial" w:hAnsi="Arial" w:cs="Arial"/>
          <w:sz w:val="24"/>
          <w:szCs w:val="24"/>
        </w:rPr>
        <w:t xml:space="preserve"> them. This is to make sure that the data utilized is relevant and of quality research.</w:t>
      </w:r>
    </w:p>
    <w:p w14:paraId="007D79CE" w14:textId="77777777" w:rsidR="00033D66" w:rsidRPr="00033D66" w:rsidRDefault="004F65DF" w:rsidP="00033D66">
      <w:pPr>
        <w:spacing w:before="240" w:line="360" w:lineRule="auto"/>
        <w:jc w:val="both"/>
        <w:rPr>
          <w:rFonts w:ascii="Arial" w:hAnsi="Arial" w:cs="Arial"/>
          <w:sz w:val="24"/>
          <w:szCs w:val="24"/>
        </w:rPr>
      </w:pPr>
      <w:r w:rsidRPr="004F65DF">
        <w:rPr>
          <w:rFonts w:ascii="Arial" w:hAnsi="Arial" w:cs="Arial"/>
          <w:sz w:val="24"/>
          <w:szCs w:val="24"/>
        </w:rPr>
        <w:t>The benefits of secondary data collection include that it can access a large amount of existing research results, thus giving a comprehensive view of the topic without restrictions in time, cost, or participant recruitment (Johnston, 2019).</w:t>
      </w:r>
    </w:p>
    <w:p w14:paraId="68B68E21" w14:textId="748041DF" w:rsidR="00033D66" w:rsidRDefault="00033D66" w:rsidP="00033D66">
      <w:pPr>
        <w:pStyle w:val="Caption"/>
        <w:keepNext/>
      </w:pPr>
      <w:bookmarkStart w:id="25" w:name="_Toc228725926"/>
      <w:r>
        <w:t xml:space="preserve">Table </w:t>
      </w:r>
      <w:fldSimple w:instr=" SEQ Table \* ARABIC ">
        <w:r w:rsidR="007F3659">
          <w:rPr>
            <w:noProof/>
          </w:rPr>
          <w:t>2</w:t>
        </w:r>
      </w:fldSimple>
      <w:r w:rsidRPr="00571E15">
        <w:t>: Research Databases and Search Strategy</w:t>
      </w:r>
      <w:r w:rsidR="0079668E">
        <w:t>.</w:t>
      </w:r>
      <w:r w:rsidR="0079668E" w:rsidRPr="0079668E">
        <w:t xml:space="preserve"> adapted from Google Scholar, Scopus, Web of Science, ScienceDirect, and Taylor &amp; Francis.</w:t>
      </w:r>
      <w:bookmarkEnd w:id="25"/>
    </w:p>
    <w:tbl>
      <w:tblPr>
        <w:tblStyle w:val="TableGrid"/>
        <w:tblW w:w="0" w:type="auto"/>
        <w:tblLook w:val="04A0" w:firstRow="1" w:lastRow="0" w:firstColumn="1" w:lastColumn="0" w:noHBand="0" w:noVBand="1"/>
      </w:tblPr>
      <w:tblGrid>
        <w:gridCol w:w="3005"/>
        <w:gridCol w:w="3005"/>
        <w:gridCol w:w="3006"/>
      </w:tblGrid>
      <w:tr w:rsidR="00033D66" w:rsidRPr="00033D66" w14:paraId="630BCEDC" w14:textId="77777777" w:rsidTr="00033D66">
        <w:tc>
          <w:tcPr>
            <w:tcW w:w="3005" w:type="dxa"/>
          </w:tcPr>
          <w:p w14:paraId="3E776DF8" w14:textId="77777777" w:rsidR="00033D66" w:rsidRPr="00033D66" w:rsidRDefault="00033D66" w:rsidP="00CC796F">
            <w:pPr>
              <w:spacing w:before="240" w:line="360" w:lineRule="auto"/>
              <w:jc w:val="both"/>
              <w:rPr>
                <w:rFonts w:ascii="Arial" w:hAnsi="Arial" w:cs="Arial"/>
                <w:b/>
                <w:sz w:val="24"/>
                <w:szCs w:val="24"/>
              </w:rPr>
            </w:pPr>
            <w:r w:rsidRPr="00033D66">
              <w:rPr>
                <w:rFonts w:ascii="Arial" w:hAnsi="Arial" w:cs="Arial"/>
                <w:b/>
                <w:sz w:val="24"/>
                <w:szCs w:val="24"/>
              </w:rPr>
              <w:t>Database</w:t>
            </w:r>
          </w:p>
        </w:tc>
        <w:tc>
          <w:tcPr>
            <w:tcW w:w="3005" w:type="dxa"/>
          </w:tcPr>
          <w:p w14:paraId="06C28A34" w14:textId="77777777" w:rsidR="00033D66" w:rsidRPr="00033D66" w:rsidRDefault="00033D66" w:rsidP="00CC796F">
            <w:pPr>
              <w:spacing w:before="240" w:line="360" w:lineRule="auto"/>
              <w:jc w:val="both"/>
              <w:rPr>
                <w:rFonts w:ascii="Arial" w:hAnsi="Arial" w:cs="Arial"/>
                <w:b/>
                <w:sz w:val="24"/>
                <w:szCs w:val="24"/>
              </w:rPr>
            </w:pPr>
            <w:r w:rsidRPr="00033D66">
              <w:rPr>
                <w:rFonts w:ascii="Arial" w:hAnsi="Arial" w:cs="Arial"/>
                <w:b/>
                <w:sz w:val="24"/>
                <w:szCs w:val="24"/>
              </w:rPr>
              <w:t>Purpose</w:t>
            </w:r>
          </w:p>
        </w:tc>
        <w:tc>
          <w:tcPr>
            <w:tcW w:w="3006" w:type="dxa"/>
          </w:tcPr>
          <w:p w14:paraId="703CAED3" w14:textId="77777777" w:rsidR="00033D66" w:rsidRPr="00033D66" w:rsidRDefault="00033D66" w:rsidP="00CC796F">
            <w:pPr>
              <w:spacing w:before="240" w:line="360" w:lineRule="auto"/>
              <w:jc w:val="both"/>
              <w:rPr>
                <w:rFonts w:ascii="Arial" w:hAnsi="Arial" w:cs="Arial"/>
                <w:b/>
                <w:sz w:val="24"/>
                <w:szCs w:val="24"/>
              </w:rPr>
            </w:pPr>
            <w:r w:rsidRPr="00033D66">
              <w:rPr>
                <w:rFonts w:ascii="Arial" w:hAnsi="Arial" w:cs="Arial"/>
                <w:b/>
                <w:sz w:val="24"/>
                <w:szCs w:val="24"/>
              </w:rPr>
              <w:t>Coverage</w:t>
            </w:r>
          </w:p>
        </w:tc>
      </w:tr>
      <w:tr w:rsidR="00033D66" w:rsidRPr="00033D66" w14:paraId="418A3540" w14:textId="77777777" w:rsidTr="00033D66">
        <w:tc>
          <w:tcPr>
            <w:tcW w:w="3005" w:type="dxa"/>
          </w:tcPr>
          <w:p w14:paraId="570BB1A6"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Google Scholar</w:t>
            </w:r>
          </w:p>
        </w:tc>
        <w:tc>
          <w:tcPr>
            <w:tcW w:w="3005" w:type="dxa"/>
          </w:tcPr>
          <w:p w14:paraId="76AB2470"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Broad academic search across disciplines</w:t>
            </w:r>
          </w:p>
        </w:tc>
        <w:tc>
          <w:tcPr>
            <w:tcW w:w="3006" w:type="dxa"/>
          </w:tcPr>
          <w:p w14:paraId="1EA1D58D"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Wide range of journals, conference papers, and citations</w:t>
            </w:r>
          </w:p>
        </w:tc>
      </w:tr>
      <w:tr w:rsidR="00033D66" w:rsidRPr="00033D66" w14:paraId="6DE2FE7D" w14:textId="77777777" w:rsidTr="00033D66">
        <w:tc>
          <w:tcPr>
            <w:tcW w:w="3005" w:type="dxa"/>
          </w:tcPr>
          <w:p w14:paraId="6E29A679"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Scopus</w:t>
            </w:r>
          </w:p>
        </w:tc>
        <w:tc>
          <w:tcPr>
            <w:tcW w:w="3005" w:type="dxa"/>
          </w:tcPr>
          <w:p w14:paraId="4EE46212"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High-quality peer-reviewed sources</w:t>
            </w:r>
          </w:p>
        </w:tc>
        <w:tc>
          <w:tcPr>
            <w:tcW w:w="3006" w:type="dxa"/>
          </w:tcPr>
          <w:p w14:paraId="2A933EF5"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Strong coverage of business, marketing, and management journals</w:t>
            </w:r>
          </w:p>
        </w:tc>
      </w:tr>
      <w:tr w:rsidR="00033D66" w:rsidRPr="00033D66" w14:paraId="3FFFDC02" w14:textId="77777777" w:rsidTr="00033D66">
        <w:tc>
          <w:tcPr>
            <w:tcW w:w="3005" w:type="dxa"/>
          </w:tcPr>
          <w:p w14:paraId="3849F82C"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Web of Science</w:t>
            </w:r>
          </w:p>
        </w:tc>
        <w:tc>
          <w:tcPr>
            <w:tcW w:w="3005" w:type="dxa"/>
          </w:tcPr>
          <w:p w14:paraId="08C28615"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Reliable indexing of top journals</w:t>
            </w:r>
          </w:p>
        </w:tc>
        <w:tc>
          <w:tcPr>
            <w:tcW w:w="3006" w:type="dxa"/>
          </w:tcPr>
          <w:p w14:paraId="299E7BCB"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Focus on high-impact academic research</w:t>
            </w:r>
          </w:p>
        </w:tc>
      </w:tr>
      <w:tr w:rsidR="00033D66" w:rsidRPr="00033D66" w14:paraId="4B5F6621" w14:textId="77777777" w:rsidTr="00033D66">
        <w:tc>
          <w:tcPr>
            <w:tcW w:w="3005" w:type="dxa"/>
          </w:tcPr>
          <w:p w14:paraId="55A81A95"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lastRenderedPageBreak/>
              <w:t>Science Direct</w:t>
            </w:r>
          </w:p>
        </w:tc>
        <w:tc>
          <w:tcPr>
            <w:tcW w:w="3005" w:type="dxa"/>
          </w:tcPr>
          <w:p w14:paraId="2D10A883"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Access to full-text journal articles</w:t>
            </w:r>
          </w:p>
        </w:tc>
        <w:tc>
          <w:tcPr>
            <w:tcW w:w="3006" w:type="dxa"/>
          </w:tcPr>
          <w:p w14:paraId="731D7005"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Strong in business, marketing, and social sciences</w:t>
            </w:r>
          </w:p>
        </w:tc>
      </w:tr>
      <w:tr w:rsidR="00033D66" w:rsidRPr="00033D66" w14:paraId="22CE0947" w14:textId="77777777" w:rsidTr="00033D66">
        <w:tc>
          <w:tcPr>
            <w:tcW w:w="3005" w:type="dxa"/>
          </w:tcPr>
          <w:p w14:paraId="25DDD2A3"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Taylor &amp; Francis</w:t>
            </w:r>
          </w:p>
        </w:tc>
        <w:tc>
          <w:tcPr>
            <w:tcW w:w="3005" w:type="dxa"/>
          </w:tcPr>
          <w:p w14:paraId="49E6781A"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Specialist academic publisher</w:t>
            </w:r>
          </w:p>
        </w:tc>
        <w:tc>
          <w:tcPr>
            <w:tcW w:w="3006" w:type="dxa"/>
          </w:tcPr>
          <w:p w14:paraId="299A62D3" w14:textId="77777777" w:rsidR="00033D66" w:rsidRPr="00033D66" w:rsidRDefault="00033D66" w:rsidP="00CC796F">
            <w:pPr>
              <w:spacing w:before="240" w:line="360" w:lineRule="auto"/>
              <w:jc w:val="both"/>
              <w:rPr>
                <w:rFonts w:ascii="Arial" w:hAnsi="Arial" w:cs="Arial"/>
                <w:sz w:val="24"/>
                <w:szCs w:val="24"/>
              </w:rPr>
            </w:pPr>
            <w:r w:rsidRPr="00033D66">
              <w:rPr>
                <w:rFonts w:ascii="Arial" w:hAnsi="Arial" w:cs="Arial"/>
                <w:sz w:val="24"/>
                <w:szCs w:val="24"/>
              </w:rPr>
              <w:t>Marketing, branding, and consumer research journals</w:t>
            </w:r>
          </w:p>
        </w:tc>
      </w:tr>
    </w:tbl>
    <w:p w14:paraId="5546AD5A" w14:textId="77777777" w:rsidR="001F27BC" w:rsidRDefault="001F27BC" w:rsidP="001F27BC">
      <w:pPr>
        <w:pStyle w:val="NoSpacing"/>
      </w:pPr>
    </w:p>
    <w:p w14:paraId="12D57F20" w14:textId="6A028272" w:rsidR="001F27BC" w:rsidRDefault="001F27BC" w:rsidP="001F27BC">
      <w:pPr>
        <w:pStyle w:val="NoSpacing"/>
      </w:pPr>
    </w:p>
    <w:p w14:paraId="237A9F2E" w14:textId="463E20E8" w:rsidR="001F27BC" w:rsidRDefault="001F27BC" w:rsidP="001F27BC">
      <w:pPr>
        <w:pStyle w:val="Caption"/>
        <w:keepNext/>
      </w:pPr>
      <w:bookmarkStart w:id="26" w:name="_Toc228725927"/>
      <w:r>
        <w:t xml:space="preserve">Table </w:t>
      </w:r>
      <w:fldSimple w:instr=" SEQ Table \* ARABIC ">
        <w:r w:rsidR="007F3659">
          <w:rPr>
            <w:noProof/>
          </w:rPr>
          <w:t>3</w:t>
        </w:r>
      </w:fldSimple>
      <w:r w:rsidRPr="002119DF">
        <w:t>: Keywords Used for Literature Search</w:t>
      </w:r>
      <w:r w:rsidR="007235BA">
        <w:t>.</w:t>
      </w:r>
      <w:r w:rsidR="007235BA" w:rsidRPr="007235BA">
        <w:t xml:space="preserve"> (adapted from Saunders et al., 2019; Creswell, 2014; Bryman, 2016)</w:t>
      </w:r>
      <w:bookmarkEnd w:id="26"/>
    </w:p>
    <w:tbl>
      <w:tblPr>
        <w:tblStyle w:val="TableGrid"/>
        <w:tblW w:w="0" w:type="auto"/>
        <w:tblLook w:val="04A0" w:firstRow="1" w:lastRow="0" w:firstColumn="1" w:lastColumn="0" w:noHBand="0" w:noVBand="1"/>
      </w:tblPr>
      <w:tblGrid>
        <w:gridCol w:w="4508"/>
        <w:gridCol w:w="4508"/>
      </w:tblGrid>
      <w:tr w:rsidR="001F27BC" w:rsidRPr="001F27BC" w14:paraId="29047E34" w14:textId="77777777" w:rsidTr="001F27BC">
        <w:tc>
          <w:tcPr>
            <w:tcW w:w="4508" w:type="dxa"/>
          </w:tcPr>
          <w:p w14:paraId="32397629" w14:textId="77777777" w:rsidR="001F27BC" w:rsidRPr="001F27BC" w:rsidRDefault="001F27BC" w:rsidP="001F27BC">
            <w:pPr>
              <w:pStyle w:val="NoSpacing"/>
              <w:spacing w:line="360" w:lineRule="auto"/>
              <w:jc w:val="both"/>
              <w:rPr>
                <w:rFonts w:ascii="Arial" w:hAnsi="Arial" w:cs="Arial"/>
                <w:b/>
                <w:sz w:val="24"/>
              </w:rPr>
            </w:pPr>
            <w:r w:rsidRPr="001F27BC">
              <w:rPr>
                <w:rFonts w:ascii="Arial" w:hAnsi="Arial" w:cs="Arial"/>
                <w:b/>
                <w:sz w:val="24"/>
              </w:rPr>
              <w:t>Theme</w:t>
            </w:r>
          </w:p>
        </w:tc>
        <w:tc>
          <w:tcPr>
            <w:tcW w:w="4508" w:type="dxa"/>
          </w:tcPr>
          <w:p w14:paraId="6176E38D" w14:textId="77777777" w:rsidR="001F27BC" w:rsidRPr="001F27BC" w:rsidRDefault="001F27BC" w:rsidP="001F27BC">
            <w:pPr>
              <w:pStyle w:val="NoSpacing"/>
              <w:spacing w:line="360" w:lineRule="auto"/>
              <w:jc w:val="both"/>
              <w:rPr>
                <w:rFonts w:ascii="Arial" w:hAnsi="Arial" w:cs="Arial"/>
                <w:b/>
                <w:sz w:val="24"/>
              </w:rPr>
            </w:pPr>
            <w:r w:rsidRPr="001F27BC">
              <w:rPr>
                <w:rFonts w:ascii="Arial" w:hAnsi="Arial" w:cs="Arial"/>
                <w:b/>
                <w:sz w:val="24"/>
              </w:rPr>
              <w:t>Keywords</w:t>
            </w:r>
          </w:p>
        </w:tc>
      </w:tr>
      <w:tr w:rsidR="001F27BC" w:rsidRPr="001F27BC" w14:paraId="75DAB6C2" w14:textId="77777777" w:rsidTr="001F27BC">
        <w:tc>
          <w:tcPr>
            <w:tcW w:w="4508" w:type="dxa"/>
          </w:tcPr>
          <w:p w14:paraId="2C6A4C89"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Digital Storytelling</w:t>
            </w:r>
          </w:p>
        </w:tc>
        <w:tc>
          <w:tcPr>
            <w:tcW w:w="4508" w:type="dxa"/>
          </w:tcPr>
          <w:p w14:paraId="0506EDBA"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w:t>
            </w:r>
            <w:proofErr w:type="gramStart"/>
            <w:r w:rsidRPr="001F27BC">
              <w:rPr>
                <w:rFonts w:ascii="Arial" w:hAnsi="Arial" w:cs="Arial"/>
                <w:sz w:val="24"/>
              </w:rPr>
              <w:t>digital</w:t>
            </w:r>
            <w:proofErr w:type="gramEnd"/>
            <w:r w:rsidRPr="001F27BC">
              <w:rPr>
                <w:rFonts w:ascii="Arial" w:hAnsi="Arial" w:cs="Arial"/>
                <w:sz w:val="24"/>
              </w:rPr>
              <w:t xml:space="preserve"> storytelling”, “brand storytelling”, “narrative marketing”, “emotional branding”</w:t>
            </w:r>
          </w:p>
        </w:tc>
      </w:tr>
      <w:tr w:rsidR="001F27BC" w:rsidRPr="001F27BC" w14:paraId="2F63A4B4" w14:textId="77777777" w:rsidTr="001F27BC">
        <w:tc>
          <w:tcPr>
            <w:tcW w:w="4508" w:type="dxa"/>
          </w:tcPr>
          <w:p w14:paraId="62A22789"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Brand Loyalty</w:t>
            </w:r>
          </w:p>
        </w:tc>
        <w:tc>
          <w:tcPr>
            <w:tcW w:w="4508" w:type="dxa"/>
          </w:tcPr>
          <w:p w14:paraId="01D3A4BD"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w:t>
            </w:r>
            <w:proofErr w:type="gramStart"/>
            <w:r w:rsidRPr="001F27BC">
              <w:rPr>
                <w:rFonts w:ascii="Arial" w:hAnsi="Arial" w:cs="Arial"/>
                <w:sz w:val="24"/>
              </w:rPr>
              <w:t>brand</w:t>
            </w:r>
            <w:proofErr w:type="gramEnd"/>
            <w:r w:rsidRPr="001F27BC">
              <w:rPr>
                <w:rFonts w:ascii="Arial" w:hAnsi="Arial" w:cs="Arial"/>
                <w:sz w:val="24"/>
              </w:rPr>
              <w:t xml:space="preserve"> loyalty”, “customer loyalty”, “consumer loyalty”, “brand commitment”</w:t>
            </w:r>
          </w:p>
        </w:tc>
      </w:tr>
      <w:tr w:rsidR="001F27BC" w:rsidRPr="001F27BC" w14:paraId="16DE3B2C" w14:textId="77777777" w:rsidTr="001F27BC">
        <w:tc>
          <w:tcPr>
            <w:tcW w:w="4508" w:type="dxa"/>
          </w:tcPr>
          <w:p w14:paraId="1CB25028"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Nike Marketing</w:t>
            </w:r>
          </w:p>
        </w:tc>
        <w:tc>
          <w:tcPr>
            <w:tcW w:w="4508" w:type="dxa"/>
          </w:tcPr>
          <w:p w14:paraId="7FB9D2F0"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“Nike digital marketing”, “Nike branding strategy”, “Nike campaigns”, “Nike community”</w:t>
            </w:r>
          </w:p>
        </w:tc>
      </w:tr>
      <w:tr w:rsidR="001F27BC" w:rsidRPr="001F27BC" w14:paraId="6F48A1B9" w14:textId="77777777" w:rsidTr="001F27BC">
        <w:tc>
          <w:tcPr>
            <w:tcW w:w="4508" w:type="dxa"/>
          </w:tcPr>
          <w:p w14:paraId="6690D5BB"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Community Engagement</w:t>
            </w:r>
          </w:p>
        </w:tc>
        <w:tc>
          <w:tcPr>
            <w:tcW w:w="4508" w:type="dxa"/>
          </w:tcPr>
          <w:p w14:paraId="5D646377" w14:textId="77777777" w:rsidR="001F27BC" w:rsidRPr="001F27BC" w:rsidRDefault="001F27BC" w:rsidP="001F27BC">
            <w:pPr>
              <w:pStyle w:val="NoSpacing"/>
              <w:spacing w:line="360" w:lineRule="auto"/>
              <w:jc w:val="both"/>
              <w:rPr>
                <w:rFonts w:ascii="Arial" w:hAnsi="Arial" w:cs="Arial"/>
                <w:sz w:val="24"/>
              </w:rPr>
            </w:pPr>
            <w:r w:rsidRPr="001F27BC">
              <w:rPr>
                <w:rFonts w:ascii="Arial" w:hAnsi="Arial" w:cs="Arial"/>
                <w:sz w:val="24"/>
              </w:rPr>
              <w:t>“</w:t>
            </w:r>
            <w:proofErr w:type="gramStart"/>
            <w:r w:rsidRPr="001F27BC">
              <w:rPr>
                <w:rFonts w:ascii="Arial" w:hAnsi="Arial" w:cs="Arial"/>
                <w:sz w:val="24"/>
              </w:rPr>
              <w:t>online</w:t>
            </w:r>
            <w:proofErr w:type="gramEnd"/>
            <w:r w:rsidRPr="001F27BC">
              <w:rPr>
                <w:rFonts w:ascii="Arial" w:hAnsi="Arial" w:cs="Arial"/>
                <w:sz w:val="24"/>
              </w:rPr>
              <w:t xml:space="preserve"> brand communities”, “consumer engagement”, “social media engagement”, “brand communities”</w:t>
            </w:r>
          </w:p>
        </w:tc>
      </w:tr>
    </w:tbl>
    <w:p w14:paraId="3DE25E31" w14:textId="0DBAFFD1" w:rsidR="00630EBE" w:rsidRPr="00630EBE" w:rsidRDefault="00630EBE" w:rsidP="00724DEE">
      <w:pPr>
        <w:pStyle w:val="Heading2"/>
      </w:pPr>
      <w:bookmarkStart w:id="27" w:name="_Toc228731025"/>
      <w:r w:rsidRPr="00630EBE">
        <w:t>3.6 Sampling Strategy</w:t>
      </w:r>
      <w:bookmarkEnd w:id="27"/>
      <w:r w:rsidRPr="00630EBE">
        <w:t xml:space="preserve"> </w:t>
      </w:r>
    </w:p>
    <w:p w14:paraId="304455FE"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In this research, sampling does not mean the human subjects but rather a choice of academic literature. A purposive sampling approach was utilized to make sure that only useful and quality research was incorporated in the review.</w:t>
      </w:r>
    </w:p>
    <w:p w14:paraId="48A3C318"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 first database search provided more than 120 articles. Potentially, 90 articles were left after the elimination of duplicates. They were then filtered by the title and abstract leaving 65 articles. After conducting a full-text eligibility check, the narrowed sample was 50 academic studies that were peer-reviewed.</w:t>
      </w:r>
    </w:p>
    <w:p w14:paraId="4D80570B"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lastRenderedPageBreak/>
        <w:t>This systematic filtering process allows to include in the analysis only the most relevant studies. The sampling plan increases reliability and validity of the review as it is consistent in selection criteria.</w:t>
      </w:r>
    </w:p>
    <w:p w14:paraId="4F982D57"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Systematic literature reviews can use purposive sampling as it enables the researcher to concentrate on studies that are relevant to the research goals (</w:t>
      </w:r>
      <w:r w:rsidR="00724DEE" w:rsidRPr="00630EBE">
        <w:rPr>
          <w:rFonts w:ascii="Arial" w:hAnsi="Arial" w:cs="Arial"/>
          <w:sz w:val="24"/>
          <w:szCs w:val="24"/>
        </w:rPr>
        <w:t>Pettigrew</w:t>
      </w:r>
      <w:r w:rsidRPr="00630EBE">
        <w:rPr>
          <w:rFonts w:ascii="Arial" w:hAnsi="Arial" w:cs="Arial"/>
          <w:sz w:val="24"/>
          <w:szCs w:val="24"/>
        </w:rPr>
        <w:t xml:space="preserve"> &amp; Roberts, 2019).</w:t>
      </w:r>
    </w:p>
    <w:p w14:paraId="1C105579" w14:textId="77777777" w:rsidR="00764D47" w:rsidRPr="00764D47" w:rsidRDefault="00630EBE" w:rsidP="00764D47">
      <w:pPr>
        <w:spacing w:before="240" w:line="360" w:lineRule="auto"/>
        <w:jc w:val="both"/>
        <w:rPr>
          <w:rFonts w:ascii="Arial" w:hAnsi="Arial" w:cs="Arial"/>
          <w:sz w:val="24"/>
          <w:szCs w:val="24"/>
        </w:rPr>
      </w:pPr>
      <w:r w:rsidRPr="00630EBE">
        <w:rPr>
          <w:rFonts w:ascii="Arial" w:hAnsi="Arial" w:cs="Arial"/>
          <w:sz w:val="24"/>
          <w:szCs w:val="24"/>
        </w:rPr>
        <w:t>The articles chosen in the framework of this study are particularly related to the topics of digital storytelling, community building, and brand loyalty, which guarantees the correspondence to the research purpose. The systematic method enhances the believability of the results and promotes m</w:t>
      </w:r>
      <w:r w:rsidR="00724DEE">
        <w:rPr>
          <w:rFonts w:ascii="Arial" w:hAnsi="Arial" w:cs="Arial"/>
          <w:sz w:val="24"/>
          <w:szCs w:val="24"/>
        </w:rPr>
        <w:t>eaningful literature synthesis.</w:t>
      </w:r>
    </w:p>
    <w:p w14:paraId="39ABC7E4" w14:textId="2354152F" w:rsidR="00764D47" w:rsidRDefault="00764D47" w:rsidP="00764D47">
      <w:pPr>
        <w:pStyle w:val="Caption"/>
        <w:keepNext/>
      </w:pPr>
      <w:bookmarkStart w:id="28" w:name="_Toc228725928"/>
      <w:r>
        <w:t xml:space="preserve">Table </w:t>
      </w:r>
      <w:fldSimple w:instr=" SEQ Table \* ARABIC ">
        <w:r w:rsidR="007F3659">
          <w:rPr>
            <w:noProof/>
          </w:rPr>
          <w:t>4</w:t>
        </w:r>
      </w:fldSimple>
      <w:r w:rsidRPr="00711690">
        <w:t>: Article Selection Stages</w:t>
      </w:r>
      <w:r w:rsidR="00117574">
        <w:t>.</w:t>
      </w:r>
      <w:r w:rsidR="00117574" w:rsidRPr="00117574">
        <w:t xml:space="preserve"> (adapted from PRISMA guidelines: Moher et al., 2009; Page et al., 2021)</w:t>
      </w:r>
      <w:bookmarkEnd w:id="28"/>
    </w:p>
    <w:tbl>
      <w:tblPr>
        <w:tblStyle w:val="TableGrid"/>
        <w:tblW w:w="0" w:type="auto"/>
        <w:tblLook w:val="04A0" w:firstRow="1" w:lastRow="0" w:firstColumn="1" w:lastColumn="0" w:noHBand="0" w:noVBand="1"/>
      </w:tblPr>
      <w:tblGrid>
        <w:gridCol w:w="4508"/>
        <w:gridCol w:w="4508"/>
      </w:tblGrid>
      <w:tr w:rsidR="00764D47" w:rsidRPr="00764D47" w14:paraId="2F008304" w14:textId="77777777" w:rsidTr="00764D47">
        <w:tc>
          <w:tcPr>
            <w:tcW w:w="4508" w:type="dxa"/>
          </w:tcPr>
          <w:p w14:paraId="0E2053DE"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Stage</w:t>
            </w:r>
          </w:p>
        </w:tc>
        <w:tc>
          <w:tcPr>
            <w:tcW w:w="4508" w:type="dxa"/>
          </w:tcPr>
          <w:p w14:paraId="093E1D8E"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Number of Articles</w:t>
            </w:r>
          </w:p>
        </w:tc>
      </w:tr>
      <w:tr w:rsidR="00764D47" w:rsidRPr="00764D47" w14:paraId="135FED14" w14:textId="77777777" w:rsidTr="00764D47">
        <w:tc>
          <w:tcPr>
            <w:tcW w:w="4508" w:type="dxa"/>
          </w:tcPr>
          <w:p w14:paraId="41AEED4C"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Initial database search</w:t>
            </w:r>
          </w:p>
        </w:tc>
        <w:tc>
          <w:tcPr>
            <w:tcW w:w="4508" w:type="dxa"/>
          </w:tcPr>
          <w:p w14:paraId="6ED242F7"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120+</w:t>
            </w:r>
          </w:p>
        </w:tc>
      </w:tr>
      <w:tr w:rsidR="00764D47" w:rsidRPr="00764D47" w14:paraId="2BE73F6E" w14:textId="77777777" w:rsidTr="00764D47">
        <w:tc>
          <w:tcPr>
            <w:tcW w:w="4508" w:type="dxa"/>
          </w:tcPr>
          <w:p w14:paraId="6216C8BE"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After removing duplicates</w:t>
            </w:r>
          </w:p>
        </w:tc>
        <w:tc>
          <w:tcPr>
            <w:tcW w:w="4508" w:type="dxa"/>
          </w:tcPr>
          <w:p w14:paraId="1F200EDF"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90</w:t>
            </w:r>
          </w:p>
        </w:tc>
      </w:tr>
      <w:tr w:rsidR="00764D47" w:rsidRPr="00764D47" w14:paraId="533FA7A5" w14:textId="77777777" w:rsidTr="00764D47">
        <w:tc>
          <w:tcPr>
            <w:tcW w:w="4508" w:type="dxa"/>
          </w:tcPr>
          <w:p w14:paraId="61791E33"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Title and abstract screening</w:t>
            </w:r>
          </w:p>
        </w:tc>
        <w:tc>
          <w:tcPr>
            <w:tcW w:w="4508" w:type="dxa"/>
          </w:tcPr>
          <w:p w14:paraId="7E88700D"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65</w:t>
            </w:r>
          </w:p>
        </w:tc>
      </w:tr>
      <w:tr w:rsidR="00764D47" w:rsidRPr="00764D47" w14:paraId="3F6022C9" w14:textId="77777777" w:rsidTr="00764D47">
        <w:tc>
          <w:tcPr>
            <w:tcW w:w="4508" w:type="dxa"/>
          </w:tcPr>
          <w:p w14:paraId="4C0F47C5"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Full-text eligibility review</w:t>
            </w:r>
          </w:p>
        </w:tc>
        <w:tc>
          <w:tcPr>
            <w:tcW w:w="4508" w:type="dxa"/>
          </w:tcPr>
          <w:p w14:paraId="014140D0"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55</w:t>
            </w:r>
          </w:p>
        </w:tc>
      </w:tr>
      <w:tr w:rsidR="00764D47" w:rsidRPr="00764D47" w14:paraId="5F2B1D25" w14:textId="77777777" w:rsidTr="00764D47">
        <w:tc>
          <w:tcPr>
            <w:tcW w:w="4508" w:type="dxa"/>
          </w:tcPr>
          <w:p w14:paraId="66234DD6"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Final included studies</w:t>
            </w:r>
          </w:p>
        </w:tc>
        <w:tc>
          <w:tcPr>
            <w:tcW w:w="4508" w:type="dxa"/>
          </w:tcPr>
          <w:p w14:paraId="736E07B8" w14:textId="77777777" w:rsidR="00764D47" w:rsidRPr="00764D47" w:rsidRDefault="00764D47" w:rsidP="00CC796F">
            <w:pPr>
              <w:spacing w:before="240" w:line="360" w:lineRule="auto"/>
              <w:jc w:val="both"/>
              <w:rPr>
                <w:rFonts w:ascii="Arial" w:hAnsi="Arial" w:cs="Arial"/>
                <w:sz w:val="24"/>
                <w:szCs w:val="24"/>
              </w:rPr>
            </w:pPr>
            <w:r w:rsidRPr="00764D47">
              <w:rPr>
                <w:rFonts w:ascii="Arial" w:hAnsi="Arial" w:cs="Arial"/>
                <w:sz w:val="24"/>
                <w:szCs w:val="24"/>
              </w:rPr>
              <w:t>50</w:t>
            </w:r>
          </w:p>
        </w:tc>
      </w:tr>
    </w:tbl>
    <w:p w14:paraId="140A05A9" w14:textId="77777777" w:rsidR="00630EBE" w:rsidRPr="00630EBE" w:rsidRDefault="00630EBE" w:rsidP="00724DEE">
      <w:pPr>
        <w:pStyle w:val="Heading2"/>
      </w:pPr>
      <w:bookmarkStart w:id="29" w:name="_Toc228731026"/>
      <w:r w:rsidRPr="00630EBE">
        <w:t>3.7 Data Analysis Method</w:t>
      </w:r>
      <w:bookmarkEnd w:id="29"/>
      <w:r w:rsidRPr="00630EBE">
        <w:t xml:space="preserve"> </w:t>
      </w:r>
    </w:p>
    <w:p w14:paraId="5F87E97A"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 thematic synthesis method of data analysis is employed in this research, and it is a common qualitative research method of interpreting and synthesising the results of numerous studies. Thematic synthesis is especially applicable to systematic literature reviews because it enables the detection of common patterns and themes in various materials (Braun and Clarke, 2021).</w:t>
      </w:r>
    </w:p>
    <w:p w14:paraId="7C14D94A"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 xml:space="preserve">Three main steps were used in the analysis </w:t>
      </w:r>
      <w:proofErr w:type="gramStart"/>
      <w:r w:rsidRPr="00630EBE">
        <w:rPr>
          <w:rFonts w:ascii="Arial" w:hAnsi="Arial" w:cs="Arial"/>
          <w:sz w:val="24"/>
          <w:szCs w:val="24"/>
        </w:rPr>
        <w:t>process;</w:t>
      </w:r>
      <w:proofErr w:type="gramEnd"/>
      <w:r w:rsidRPr="00630EBE">
        <w:rPr>
          <w:rFonts w:ascii="Arial" w:hAnsi="Arial" w:cs="Arial"/>
          <w:sz w:val="24"/>
          <w:szCs w:val="24"/>
        </w:rPr>
        <w:t xml:space="preserve"> coding of data, formation of descriptive themes and formation of analytical themes.</w:t>
      </w:r>
    </w:p>
    <w:p w14:paraId="46E0E245"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lastRenderedPageBreak/>
        <w:t xml:space="preserve">To begin with, all the 50 chosen articles were thoroughly </w:t>
      </w:r>
      <w:r w:rsidR="00724DEE" w:rsidRPr="00630EBE">
        <w:rPr>
          <w:rFonts w:ascii="Arial" w:hAnsi="Arial" w:cs="Arial"/>
          <w:sz w:val="24"/>
          <w:szCs w:val="24"/>
        </w:rPr>
        <w:t>analysed</w:t>
      </w:r>
      <w:r w:rsidRPr="00630EBE">
        <w:rPr>
          <w:rFonts w:ascii="Arial" w:hAnsi="Arial" w:cs="Arial"/>
          <w:sz w:val="24"/>
          <w:szCs w:val="24"/>
        </w:rPr>
        <w:t xml:space="preserve"> to pinpoint major concepts which had to do with the digital storytelling, community building, brand loyalty. Some of the key findings were given initial codes which included emotional engagement, consumer identity and brand advocacy.</w:t>
      </w:r>
    </w:p>
    <w:p w14:paraId="3C554A9B"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 xml:space="preserve">Second, codes with similarities were summarized into general themes to create descriptive themes. These were emotional </w:t>
      </w:r>
      <w:r w:rsidR="00724DEE" w:rsidRPr="00630EBE">
        <w:rPr>
          <w:rFonts w:ascii="Arial" w:hAnsi="Arial" w:cs="Arial"/>
          <w:sz w:val="24"/>
          <w:szCs w:val="24"/>
        </w:rPr>
        <w:t>storytelling</w:t>
      </w:r>
      <w:r w:rsidRPr="00630EBE">
        <w:rPr>
          <w:rFonts w:ascii="Arial" w:hAnsi="Arial" w:cs="Arial"/>
          <w:sz w:val="24"/>
          <w:szCs w:val="24"/>
        </w:rPr>
        <w:t>, participation in communities online, consumer-brand relationships and digital engagement strategies.</w:t>
      </w:r>
    </w:p>
    <w:p w14:paraId="2F1BF879"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Third, the interpretation of relationships between descriptive themes led to the development of analytical themes. These included:</w:t>
      </w:r>
    </w:p>
    <w:p w14:paraId="5F17FD77" w14:textId="77777777" w:rsidR="00630EBE" w:rsidRPr="00724DEE" w:rsidRDefault="00630EBE" w:rsidP="00724DEE">
      <w:pPr>
        <w:pStyle w:val="ListParagraph"/>
        <w:numPr>
          <w:ilvl w:val="0"/>
          <w:numId w:val="23"/>
        </w:numPr>
        <w:spacing w:before="240" w:line="360" w:lineRule="auto"/>
        <w:jc w:val="both"/>
        <w:rPr>
          <w:rFonts w:ascii="Arial" w:hAnsi="Arial" w:cs="Arial"/>
          <w:sz w:val="24"/>
          <w:szCs w:val="24"/>
        </w:rPr>
      </w:pPr>
      <w:r w:rsidRPr="00724DEE">
        <w:rPr>
          <w:rFonts w:ascii="Arial" w:hAnsi="Arial" w:cs="Arial"/>
          <w:sz w:val="24"/>
          <w:szCs w:val="24"/>
        </w:rPr>
        <w:t>Emotional attachment as a source of loyalty.</w:t>
      </w:r>
    </w:p>
    <w:p w14:paraId="3663B152" w14:textId="77777777" w:rsidR="00630EBE" w:rsidRPr="00724DEE" w:rsidRDefault="00630EBE" w:rsidP="00724DEE">
      <w:pPr>
        <w:pStyle w:val="ListParagraph"/>
        <w:numPr>
          <w:ilvl w:val="0"/>
          <w:numId w:val="23"/>
        </w:numPr>
        <w:spacing w:before="240" w:line="360" w:lineRule="auto"/>
        <w:jc w:val="both"/>
        <w:rPr>
          <w:rFonts w:ascii="Arial" w:hAnsi="Arial" w:cs="Arial"/>
          <w:sz w:val="24"/>
          <w:szCs w:val="24"/>
        </w:rPr>
      </w:pPr>
      <w:r w:rsidRPr="00724DEE">
        <w:rPr>
          <w:rFonts w:ascii="Arial" w:hAnsi="Arial" w:cs="Arial"/>
          <w:sz w:val="24"/>
          <w:szCs w:val="24"/>
        </w:rPr>
        <w:t>Engaging the community to increase brand advocacy.</w:t>
      </w:r>
    </w:p>
    <w:p w14:paraId="299670A1" w14:textId="77777777" w:rsidR="00630EBE" w:rsidRPr="00724DEE" w:rsidRDefault="00630EBE" w:rsidP="00724DEE">
      <w:pPr>
        <w:pStyle w:val="ListParagraph"/>
        <w:numPr>
          <w:ilvl w:val="0"/>
          <w:numId w:val="23"/>
        </w:numPr>
        <w:spacing w:before="240" w:line="360" w:lineRule="auto"/>
        <w:jc w:val="both"/>
        <w:rPr>
          <w:rFonts w:ascii="Arial" w:hAnsi="Arial" w:cs="Arial"/>
          <w:sz w:val="24"/>
          <w:szCs w:val="24"/>
        </w:rPr>
      </w:pPr>
      <w:r w:rsidRPr="00724DEE">
        <w:rPr>
          <w:rFonts w:ascii="Arial" w:hAnsi="Arial" w:cs="Arial"/>
          <w:sz w:val="24"/>
          <w:szCs w:val="24"/>
        </w:rPr>
        <w:t>Storytelling as an identity-creating tool.</w:t>
      </w:r>
    </w:p>
    <w:p w14:paraId="0B6BA22A" w14:textId="77777777" w:rsidR="00630EBE" w:rsidRPr="00724DEE" w:rsidRDefault="00630EBE" w:rsidP="00724DEE">
      <w:pPr>
        <w:pStyle w:val="ListParagraph"/>
        <w:numPr>
          <w:ilvl w:val="0"/>
          <w:numId w:val="23"/>
        </w:numPr>
        <w:spacing w:before="240" w:line="360" w:lineRule="auto"/>
        <w:jc w:val="both"/>
        <w:rPr>
          <w:rFonts w:ascii="Arial" w:hAnsi="Arial" w:cs="Arial"/>
          <w:sz w:val="24"/>
          <w:szCs w:val="24"/>
        </w:rPr>
      </w:pPr>
      <w:r w:rsidRPr="00724DEE">
        <w:rPr>
          <w:rFonts w:ascii="Arial" w:hAnsi="Arial" w:cs="Arial"/>
          <w:sz w:val="24"/>
          <w:szCs w:val="24"/>
        </w:rPr>
        <w:t>Online communication that influences customer experience.</w:t>
      </w:r>
    </w:p>
    <w:p w14:paraId="3B38D849"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Thematic synthesis enables consolidating fragmented research results into a coherent structure, which makes it especially useful in interpreting the intricate marketing phenomena (Thomas and Harden, 2020).</w:t>
      </w:r>
    </w:p>
    <w:p w14:paraId="0ECE36BF"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 xml:space="preserve">Thematic synthesis, in this study, can be used to determine the interaction between digital storytelling and community building to affect brand loyalty, specifically in the case of Nike. The analysis offers a richer conceptual insight, as opposed to individual insights, through the </w:t>
      </w:r>
      <w:r w:rsidR="00724DEE" w:rsidRPr="00630EBE">
        <w:rPr>
          <w:rFonts w:ascii="Arial" w:hAnsi="Arial" w:cs="Arial"/>
          <w:sz w:val="24"/>
          <w:szCs w:val="24"/>
        </w:rPr>
        <w:t>synthetisation</w:t>
      </w:r>
      <w:r w:rsidRPr="00630EBE">
        <w:rPr>
          <w:rFonts w:ascii="Arial" w:hAnsi="Arial" w:cs="Arial"/>
          <w:sz w:val="24"/>
          <w:szCs w:val="24"/>
        </w:rPr>
        <w:t xml:space="preserve"> of findings of several studies.</w:t>
      </w:r>
    </w:p>
    <w:p w14:paraId="46C6760E" w14:textId="168CB368" w:rsidR="00724DE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 approach will make the final conclusions evidence-based, structured, and based on the existing literature, which increases the academic rigor of the research.</w:t>
      </w:r>
    </w:p>
    <w:p w14:paraId="46ABD7F8" w14:textId="77777777" w:rsidR="00630EBE" w:rsidRPr="00630EBE" w:rsidRDefault="00630EBE" w:rsidP="00724DEE">
      <w:pPr>
        <w:pStyle w:val="Heading2"/>
      </w:pPr>
      <w:bookmarkStart w:id="30" w:name="_Toc228731027"/>
      <w:r w:rsidRPr="00630EBE">
        <w:t>3.8 Quality and Rigour</w:t>
      </w:r>
      <w:bookmarkEnd w:id="30"/>
      <w:r w:rsidRPr="00630EBE">
        <w:t xml:space="preserve"> </w:t>
      </w:r>
    </w:p>
    <w:p w14:paraId="4989199D" w14:textId="77777777" w:rsidR="00630EBE" w:rsidRPr="00630EBE" w:rsidRDefault="00630EBE" w:rsidP="00630EBE">
      <w:pPr>
        <w:spacing w:before="240" w:line="360" w:lineRule="auto"/>
        <w:jc w:val="both"/>
        <w:rPr>
          <w:rFonts w:ascii="Arial" w:hAnsi="Arial" w:cs="Arial"/>
          <w:sz w:val="24"/>
          <w:szCs w:val="24"/>
        </w:rPr>
      </w:pPr>
      <w:proofErr w:type="gramStart"/>
      <w:r w:rsidRPr="00630EBE">
        <w:rPr>
          <w:rFonts w:ascii="Arial" w:hAnsi="Arial" w:cs="Arial"/>
          <w:sz w:val="24"/>
          <w:szCs w:val="24"/>
        </w:rPr>
        <w:t>As a means to</w:t>
      </w:r>
      <w:proofErr w:type="gramEnd"/>
      <w:r w:rsidRPr="00630EBE">
        <w:rPr>
          <w:rFonts w:ascii="Arial" w:hAnsi="Arial" w:cs="Arial"/>
          <w:sz w:val="24"/>
          <w:szCs w:val="24"/>
        </w:rPr>
        <w:t xml:space="preserve"> guarantee academic quality and rigour, this research uses existing standards of paying attention to systematic literature review. Chosen studies are evaluated in terms of credibility, reliability, and topicality to the research aims. Peer-reviewed journal articles are only used to ensure academic validity (Page et al., 2021).</w:t>
      </w:r>
    </w:p>
    <w:p w14:paraId="2BA871AE"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lastRenderedPageBreak/>
        <w:t>A clear and well-documented search strategy comprising of database choice, use of keywords, inclusion and exclusion criteria are used to ensure dependability. This enables the researchers to replicate the study in the future.</w:t>
      </w:r>
    </w:p>
    <w:p w14:paraId="781DEB49"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Confirmability is ensured by making sure that the findings are not based on researcher bias but directly on the literature. Most interpretations are backed up by various sources of academic literature.</w:t>
      </w:r>
    </w:p>
    <w:p w14:paraId="2ED84FE0"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 transferability is attained through the selection of the studies representing different industries and contexts to which the findings can be applied in the wider contexts of digital marketing.</w:t>
      </w:r>
    </w:p>
    <w:p w14:paraId="3B7CFDB2"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Secondly, conclusions are reinforced through synthesis of the results of several independent studies, thus enhancing the reliability of triangulation. This adds strength to the understanding of digital storytelling and community building practices.</w:t>
      </w:r>
    </w:p>
    <w:p w14:paraId="451D6DC8" w14:textId="3F1CE192" w:rsidR="00630EBE" w:rsidRPr="00630EBE" w:rsidRDefault="00E166F2" w:rsidP="00630EBE">
      <w:pPr>
        <w:spacing w:before="240" w:line="360" w:lineRule="auto"/>
        <w:jc w:val="both"/>
        <w:rPr>
          <w:rFonts w:ascii="Arial" w:hAnsi="Arial" w:cs="Arial"/>
          <w:sz w:val="24"/>
          <w:szCs w:val="24"/>
        </w:rPr>
      </w:pPr>
      <w:r w:rsidRPr="00E166F2">
        <w:rPr>
          <w:rFonts w:ascii="Arial" w:hAnsi="Arial" w:cs="Arial"/>
          <w:sz w:val="24"/>
          <w:szCs w:val="24"/>
        </w:rPr>
        <w:t xml:space="preserve">All these measures will ensure that the study will be of high academic standards of validity, reliability and transparency and the findings will be reliable and useful in </w:t>
      </w:r>
      <w:r>
        <w:rPr>
          <w:rFonts w:ascii="Arial" w:hAnsi="Arial" w:cs="Arial"/>
          <w:sz w:val="24"/>
          <w:szCs w:val="24"/>
        </w:rPr>
        <w:t>both academic and practical use</w:t>
      </w:r>
      <w:r w:rsidR="00630EBE" w:rsidRPr="00630EBE">
        <w:rPr>
          <w:rFonts w:ascii="Arial" w:hAnsi="Arial" w:cs="Arial"/>
          <w:sz w:val="24"/>
          <w:szCs w:val="24"/>
        </w:rPr>
        <w:t>.</w:t>
      </w:r>
    </w:p>
    <w:p w14:paraId="15095C83" w14:textId="77777777" w:rsidR="00630EBE" w:rsidRPr="00630EBE" w:rsidRDefault="00630EBE" w:rsidP="00724DEE">
      <w:pPr>
        <w:pStyle w:val="Heading2"/>
      </w:pPr>
      <w:bookmarkStart w:id="31" w:name="_Toc228731028"/>
      <w:r w:rsidRPr="00630EBE">
        <w:t>3.9 Ethical Considerations</w:t>
      </w:r>
      <w:bookmarkEnd w:id="31"/>
      <w:r w:rsidRPr="00630EBE">
        <w:t xml:space="preserve"> </w:t>
      </w:r>
    </w:p>
    <w:p w14:paraId="5654FC74" w14:textId="2926965C"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Since the study is purely secondary data based, there are no human subjects in the study. Thus, there are no ethical concerns of consent, confidentiality, or harm to the participants. Nevertheless, there is still a necessity of ethical considerations in the way of academic integrity.</w:t>
      </w:r>
    </w:p>
    <w:p w14:paraId="1565E488"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Sources employed in this study have been referenced appropriately to prevent plagiarism and the need to credit originality. The study is thoroughly referenced in scholarly terms in a manner that upholds transparency and credibility.</w:t>
      </w:r>
    </w:p>
    <w:p w14:paraId="00FCE896"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 information that will be utilized in this research is publicly accessible in academic databases, and thus it will not violate any ethical research standards. No access to any personal or confidential information.</w:t>
      </w:r>
    </w:p>
    <w:p w14:paraId="0173784B"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lastRenderedPageBreak/>
        <w:t>In addition, the research avoids distortion of research findings or biased reporting of research results. Ethical research practice is upheld by giving balanced and objective representations of literature.</w:t>
      </w:r>
    </w:p>
    <w:p w14:paraId="45DA98C2"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 xml:space="preserve">Following the principles of research ethics, this research adheres to the principles of responsible utilization of secondary </w:t>
      </w:r>
      <w:proofErr w:type="gramStart"/>
      <w:r w:rsidRPr="00630EBE">
        <w:rPr>
          <w:rFonts w:ascii="Arial" w:hAnsi="Arial" w:cs="Arial"/>
          <w:sz w:val="24"/>
          <w:szCs w:val="24"/>
        </w:rPr>
        <w:t>data</w:t>
      </w:r>
      <w:proofErr w:type="gramEnd"/>
      <w:r w:rsidRPr="00630EBE">
        <w:rPr>
          <w:rFonts w:ascii="Arial" w:hAnsi="Arial" w:cs="Arial"/>
          <w:sz w:val="24"/>
          <w:szCs w:val="24"/>
        </w:rPr>
        <w:t xml:space="preserve"> and its academic integrity is observed during the research (Bryman, 2021).</w:t>
      </w:r>
    </w:p>
    <w:p w14:paraId="6E2322B3" w14:textId="77777777" w:rsidR="00630EBE" w:rsidRPr="00630EBE" w:rsidRDefault="00630EBE" w:rsidP="00724DEE">
      <w:pPr>
        <w:pStyle w:val="Heading2"/>
      </w:pPr>
      <w:bookmarkStart w:id="32" w:name="_Toc228731029"/>
      <w:r w:rsidRPr="00630EBE">
        <w:t>3.10 Study Limitations.</w:t>
      </w:r>
      <w:bookmarkEnd w:id="32"/>
      <w:r w:rsidRPr="00630EBE">
        <w:t xml:space="preserve"> </w:t>
      </w:r>
    </w:p>
    <w:p w14:paraId="54F724E9"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Although it has strengths, the systematic literature review method has some limitations. A major weakness is the use of published scholarly research, as it will have publication bias because positive results tend to be published more than negative ones.</w:t>
      </w:r>
    </w:p>
    <w:p w14:paraId="284FF076"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 xml:space="preserve">The other limitation is that it does not capture real-time consumer data and, therefore, hinders the possibility of capturing the current trends in behaviour. Access to and availability of academic literature pertaining to the topic of the study in the chosen </w:t>
      </w:r>
      <w:proofErr w:type="gramStart"/>
      <w:r w:rsidRPr="00630EBE">
        <w:rPr>
          <w:rFonts w:ascii="Arial" w:hAnsi="Arial" w:cs="Arial"/>
          <w:sz w:val="24"/>
          <w:szCs w:val="24"/>
        </w:rPr>
        <w:t>period of time</w:t>
      </w:r>
      <w:proofErr w:type="gramEnd"/>
      <w:r w:rsidRPr="00630EBE">
        <w:rPr>
          <w:rFonts w:ascii="Arial" w:hAnsi="Arial" w:cs="Arial"/>
          <w:sz w:val="24"/>
          <w:szCs w:val="24"/>
        </w:rPr>
        <w:t xml:space="preserve"> is also a limitation.</w:t>
      </w:r>
    </w:p>
    <w:p w14:paraId="1DC8B556"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Also, interpretations of literature can be subjective to some extent in their thematic synthesis although structured techniques are applied to reduce biases.</w:t>
      </w:r>
    </w:p>
    <w:p w14:paraId="37E16F3F"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 researchers also do not include any industry reports and grey literature as it might have some valuable practical insights that are not described in scholarly journals.</w:t>
      </w:r>
    </w:p>
    <w:p w14:paraId="5E7596E8" w14:textId="77777777" w:rsidR="00630EBE" w:rsidRPr="00630EBE" w:rsidRDefault="00630EBE" w:rsidP="00630EBE">
      <w:pPr>
        <w:spacing w:before="240" w:line="360" w:lineRule="auto"/>
        <w:jc w:val="both"/>
        <w:rPr>
          <w:rFonts w:ascii="Arial" w:hAnsi="Arial" w:cs="Arial"/>
          <w:sz w:val="24"/>
          <w:szCs w:val="24"/>
        </w:rPr>
      </w:pPr>
      <w:r w:rsidRPr="00630EBE">
        <w:rPr>
          <w:rFonts w:ascii="Arial" w:hAnsi="Arial" w:cs="Arial"/>
          <w:sz w:val="24"/>
          <w:szCs w:val="24"/>
        </w:rPr>
        <w:t>These are however alleviated through a systematic and transparent methodology, strict inclusion criteria and multiple databases to achieve overall coverage.</w:t>
      </w:r>
    </w:p>
    <w:p w14:paraId="602B2602" w14:textId="77777777" w:rsidR="00630EBE" w:rsidRPr="00630EBE" w:rsidRDefault="00630EBE" w:rsidP="00724DEE">
      <w:pPr>
        <w:pStyle w:val="Heading2"/>
      </w:pPr>
      <w:bookmarkStart w:id="33" w:name="_Toc228731030"/>
      <w:r w:rsidRPr="00630EBE">
        <w:t>3.11 Summary</w:t>
      </w:r>
      <w:bookmarkEnd w:id="33"/>
      <w:r w:rsidRPr="00630EBE">
        <w:t xml:space="preserve"> </w:t>
      </w:r>
    </w:p>
    <w:p w14:paraId="01D69244" w14:textId="7301F694" w:rsidR="00FC1F5C" w:rsidRDefault="00630EBE" w:rsidP="00630EBE">
      <w:pPr>
        <w:spacing w:before="240" w:line="360" w:lineRule="auto"/>
        <w:jc w:val="both"/>
        <w:rPr>
          <w:rFonts w:ascii="Arial" w:hAnsi="Arial" w:cs="Arial"/>
          <w:sz w:val="24"/>
          <w:szCs w:val="24"/>
        </w:rPr>
        <w:sectPr w:rsidR="00FC1F5C">
          <w:pgSz w:w="11906" w:h="16838"/>
          <w:pgMar w:top="1440" w:right="1440" w:bottom="1440" w:left="1440" w:header="708" w:footer="708" w:gutter="0"/>
          <w:pgNumType w:start="1"/>
          <w:cols w:space="720"/>
        </w:sectPr>
      </w:pPr>
      <w:r w:rsidRPr="00630EBE">
        <w:rPr>
          <w:rFonts w:ascii="Arial" w:hAnsi="Arial" w:cs="Arial"/>
          <w:sz w:val="24"/>
          <w:szCs w:val="24"/>
        </w:rPr>
        <w:t xml:space="preserve">This chapter has outlined the Systematic Literature Review methodology used in this study. The study is grounded on the review of 50 scholarly articles that were published in peer-reviewed articles in 2019-2024. The study applies interpretivist philosophy, an inductive approach and thematic synthesis to systematically investigate digital storytelling and community building as they relate to brand </w:t>
      </w:r>
      <w:r w:rsidR="00FC1F5C">
        <w:rPr>
          <w:rFonts w:ascii="Arial" w:hAnsi="Arial" w:cs="Arial"/>
          <w:sz w:val="24"/>
          <w:szCs w:val="24"/>
        </w:rPr>
        <w:t>loyalty</w:t>
      </w:r>
    </w:p>
    <w:p w14:paraId="1DE01DC9" w14:textId="12EDEA75" w:rsidR="00853C3D" w:rsidRPr="00B45DD5" w:rsidRDefault="00853C3D" w:rsidP="00FC1F5C">
      <w:pPr>
        <w:pStyle w:val="Heading1"/>
        <w:rPr>
          <w:rFonts w:eastAsia="Calibri"/>
        </w:rPr>
      </w:pPr>
      <w:bookmarkStart w:id="34" w:name="_Toc228731031"/>
      <w:r w:rsidRPr="00B45DD5">
        <w:lastRenderedPageBreak/>
        <w:t>CHAPTER 4: FINDINGS, ANALYSIS AND DISCUSSION</w:t>
      </w:r>
      <w:bookmarkEnd w:id="34"/>
    </w:p>
    <w:p w14:paraId="39E35B0C" w14:textId="77777777" w:rsidR="00853C3D" w:rsidRDefault="00853C3D" w:rsidP="007D27F4">
      <w:pPr>
        <w:pStyle w:val="Heading2"/>
      </w:pPr>
      <w:bookmarkStart w:id="35" w:name="_Toc228731032"/>
      <w:r w:rsidRPr="00B45DD5">
        <w:t>4.1 Introduction</w:t>
      </w:r>
      <w:bookmarkEnd w:id="35"/>
      <w:r w:rsidR="00B45DD5" w:rsidRPr="00B45DD5">
        <w:t xml:space="preserve"> </w:t>
      </w:r>
    </w:p>
    <w:p w14:paraId="6228A995" w14:textId="6687B695" w:rsidR="007D27F4" w:rsidRPr="007D27F4" w:rsidRDefault="007D27F4" w:rsidP="007D27F4">
      <w:pPr>
        <w:pStyle w:val="NoSpacing"/>
        <w:spacing w:line="360" w:lineRule="auto"/>
        <w:jc w:val="both"/>
        <w:rPr>
          <w:rFonts w:ascii="Arial" w:eastAsia="Times New Roman" w:hAnsi="Arial" w:cs="Arial"/>
          <w:sz w:val="24"/>
          <w:szCs w:val="24"/>
        </w:rPr>
      </w:pPr>
      <w:r w:rsidRPr="007D27F4">
        <w:rPr>
          <w:rFonts w:ascii="Arial" w:eastAsia="Times New Roman" w:hAnsi="Arial" w:cs="Arial"/>
          <w:sz w:val="24"/>
          <w:szCs w:val="24"/>
        </w:rPr>
        <w:t>It is a chapter based on a Systematic Literature Review (SLR) of 50 scholarly articles in peer-reviewed journals published from 2019 to 2024. The review is aimed at comprehending how digital storytelling and community building are being utilized as a means of brand loyalty within the digital marketing la</w:t>
      </w:r>
      <w:r w:rsidR="00E826C6">
        <w:rPr>
          <w:rFonts w:ascii="Arial" w:eastAsia="Times New Roman" w:hAnsi="Arial" w:cs="Arial"/>
          <w:sz w:val="24"/>
          <w:szCs w:val="24"/>
        </w:rPr>
        <w:t xml:space="preserve">ndscape and Nike in particular. </w:t>
      </w:r>
      <w:r w:rsidRPr="007D27F4">
        <w:rPr>
          <w:rFonts w:ascii="Arial" w:eastAsia="Times New Roman" w:hAnsi="Arial" w:cs="Arial"/>
          <w:sz w:val="24"/>
          <w:szCs w:val="24"/>
        </w:rPr>
        <w:t xml:space="preserve">There is no primary data (surveys, interviews, or focus groups) in the study. Rather, it critically examines the available scholarly resources with the view of establishing major trends, connections, and themes. </w:t>
      </w:r>
      <w:r w:rsidR="007A2622" w:rsidRPr="007A2622">
        <w:rPr>
          <w:rFonts w:ascii="Arial" w:eastAsia="Times New Roman" w:hAnsi="Arial" w:cs="Arial"/>
          <w:sz w:val="24"/>
          <w:szCs w:val="24"/>
        </w:rPr>
        <w:t xml:space="preserve">This approach will ensure clarity and consistency and scholarly rigour in the synthesis of previous research results (Xiao and Watson, 2019). The data obtained in the selected studies are structured and analysed with the assistance of a thematic synthesis approach. This enables grouping of similar ideas into broader themes of analysis and helps to comprehend the interaction between storytelling, community engagement, and consumer behaviour in creating brand loyalty (Braun and Clarke, 2021). In this chapter, the literature review summary, presentation of thematic findings, synthesis of the results and critical reflection of the most significant findings </w:t>
      </w:r>
      <w:r w:rsidR="007A2622">
        <w:rPr>
          <w:rFonts w:ascii="Arial" w:eastAsia="Times New Roman" w:hAnsi="Arial" w:cs="Arial"/>
          <w:sz w:val="24"/>
          <w:szCs w:val="24"/>
        </w:rPr>
        <w:t>are divided into four key parts</w:t>
      </w:r>
      <w:r w:rsidRPr="007D27F4">
        <w:rPr>
          <w:rFonts w:ascii="Arial" w:eastAsia="Times New Roman" w:hAnsi="Arial" w:cs="Arial"/>
          <w:sz w:val="24"/>
          <w:szCs w:val="24"/>
        </w:rPr>
        <w:t xml:space="preserve">. </w:t>
      </w:r>
    </w:p>
    <w:p w14:paraId="4CFEAB3F" w14:textId="77777777" w:rsidR="007D27F4" w:rsidRPr="00E826C6" w:rsidRDefault="007D27F4" w:rsidP="00E826C6">
      <w:pPr>
        <w:pStyle w:val="Heading2"/>
      </w:pPr>
      <w:bookmarkStart w:id="36" w:name="_Toc228731033"/>
      <w:r w:rsidRPr="007D27F4">
        <w:t>4.2 Overview of Literature Reviewed</w:t>
      </w:r>
      <w:bookmarkEnd w:id="36"/>
      <w:r w:rsidRPr="007D27F4">
        <w:t xml:space="preserve"> </w:t>
      </w:r>
    </w:p>
    <w:p w14:paraId="696A33BC" w14:textId="77777777" w:rsidR="00CC0F10" w:rsidRPr="00CC0F10" w:rsidRDefault="00CC0F10" w:rsidP="00CC0F10">
      <w:pPr>
        <w:pStyle w:val="NoSpacing"/>
        <w:spacing w:before="240" w:after="240" w:line="360" w:lineRule="auto"/>
        <w:jc w:val="both"/>
        <w:rPr>
          <w:rFonts w:ascii="Arial" w:eastAsia="Times New Roman" w:hAnsi="Arial" w:cs="Arial"/>
          <w:sz w:val="24"/>
          <w:szCs w:val="24"/>
        </w:rPr>
      </w:pPr>
      <w:r w:rsidRPr="00CC0F10">
        <w:rPr>
          <w:rFonts w:ascii="Arial" w:eastAsia="Times New Roman" w:hAnsi="Arial" w:cs="Arial"/>
          <w:sz w:val="24"/>
          <w:szCs w:val="24"/>
        </w:rPr>
        <w:t>In this part, the authors provide the summary of the results of the systematic review of 50 peer-reviewed academic articles published in the years 2019-2024. The literature was acquired using a trustworthy database like Scopus, Web of Science, Google Scholar and Science Direct to get scholarly quality, credibility, and applicability of the current practices involved in digital marketing. The selected articles are about digital storytelling, community building, consumer engagement, and brand loyalty in the online environment.</w:t>
      </w:r>
    </w:p>
    <w:p w14:paraId="4C5D0E2B" w14:textId="2A4FAFFB" w:rsidR="007D27F4" w:rsidRPr="007D27F4" w:rsidRDefault="00CC0F10" w:rsidP="00CC0F10">
      <w:pPr>
        <w:pStyle w:val="NoSpacing"/>
        <w:spacing w:before="240" w:after="240" w:line="360" w:lineRule="auto"/>
        <w:jc w:val="both"/>
        <w:rPr>
          <w:rFonts w:ascii="Arial" w:eastAsia="Times New Roman" w:hAnsi="Arial" w:cs="Arial"/>
          <w:sz w:val="24"/>
          <w:szCs w:val="24"/>
        </w:rPr>
      </w:pPr>
      <w:r w:rsidRPr="00CC0F10">
        <w:rPr>
          <w:rFonts w:ascii="Arial" w:eastAsia="Times New Roman" w:hAnsi="Arial" w:cs="Arial"/>
          <w:sz w:val="24"/>
          <w:szCs w:val="24"/>
        </w:rPr>
        <w:t xml:space="preserve">The literature reviewed shows that researchers began to be interested in digital marketing strategies much more after 2020 due to the increased pace of digital transformation and the increase in the need to rely on social media platforms. Researchers continually emphasize that digital storytelling has emerged as an essential branding mechanism that produces emotional appeal and conveys brand </w:t>
      </w:r>
      <w:r w:rsidRPr="00CC0F10">
        <w:rPr>
          <w:rFonts w:ascii="Arial" w:eastAsia="Times New Roman" w:hAnsi="Arial" w:cs="Arial"/>
          <w:sz w:val="24"/>
          <w:szCs w:val="24"/>
        </w:rPr>
        <w:lastRenderedPageBreak/>
        <w:t>identity (Singh and Sonnenburg, 2022)</w:t>
      </w:r>
      <w:r w:rsidR="007D27F4" w:rsidRPr="007D27F4">
        <w:rPr>
          <w:rFonts w:ascii="Arial" w:eastAsia="Times New Roman" w:hAnsi="Arial" w:cs="Arial"/>
          <w:sz w:val="24"/>
          <w:szCs w:val="24"/>
        </w:rPr>
        <w:t>. Compared to conventional advertising, storytelling puts much more emphasis on meaning, values, and consumer experience as o</w:t>
      </w:r>
      <w:r w:rsidR="00E826C6">
        <w:rPr>
          <w:rFonts w:ascii="Arial" w:eastAsia="Times New Roman" w:hAnsi="Arial" w:cs="Arial"/>
          <w:sz w:val="24"/>
          <w:szCs w:val="24"/>
        </w:rPr>
        <w:t>pposed to the product features.</w:t>
      </w:r>
    </w:p>
    <w:p w14:paraId="28F55C24" w14:textId="77777777" w:rsidR="007D27F4" w:rsidRPr="007D27F4" w:rsidRDefault="007D27F4" w:rsidP="00E826C6">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Moreover, community building is also one of the most important elements in long-term customer relationships that are well known. Online brand communities help consumers to connect with the brand and other users, building common experiences and a sense of belonging (Dessart et al., 2020). Such interactions boost emotional, cognitive and behavioural involvement, which all lead t</w:t>
      </w:r>
      <w:r w:rsidR="00E826C6">
        <w:rPr>
          <w:rFonts w:ascii="Arial" w:eastAsia="Times New Roman" w:hAnsi="Arial" w:cs="Arial"/>
          <w:sz w:val="24"/>
          <w:szCs w:val="24"/>
        </w:rPr>
        <w:t>o better brand loyalty results.</w:t>
      </w:r>
    </w:p>
    <w:p w14:paraId="67DCA6B8" w14:textId="77777777" w:rsidR="007D27F4" w:rsidRPr="007D27F4" w:rsidRDefault="007D27F4" w:rsidP="00E826C6">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The literature also emphasizes the change in the brand loyalty study towards more attitudinal and emotional complexities instead of the purely behavioural approach (repeat purchase) (Rather et al., 2022). Consumers no longer just focus on the quality of the product but also on brand experience, alignment of identit</w:t>
      </w:r>
      <w:r w:rsidR="00E826C6">
        <w:rPr>
          <w:rFonts w:ascii="Arial" w:eastAsia="Times New Roman" w:hAnsi="Arial" w:cs="Arial"/>
          <w:sz w:val="24"/>
          <w:szCs w:val="24"/>
        </w:rPr>
        <w:t>y, and the digital interaction.</w:t>
      </w:r>
    </w:p>
    <w:p w14:paraId="16F4D24A" w14:textId="77777777" w:rsidR="007D27F4" w:rsidRPr="007D27F4" w:rsidRDefault="007D27F4" w:rsidP="00E826C6">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 xml:space="preserve">When referring to Nike, various </w:t>
      </w:r>
      <w:proofErr w:type="gramStart"/>
      <w:r w:rsidRPr="007D27F4">
        <w:rPr>
          <w:rFonts w:ascii="Arial" w:eastAsia="Times New Roman" w:hAnsi="Arial" w:cs="Arial"/>
          <w:sz w:val="24"/>
          <w:szCs w:val="24"/>
        </w:rPr>
        <w:t>researches</w:t>
      </w:r>
      <w:proofErr w:type="gramEnd"/>
      <w:r w:rsidRPr="007D27F4">
        <w:rPr>
          <w:rFonts w:ascii="Arial" w:eastAsia="Times New Roman" w:hAnsi="Arial" w:cs="Arial"/>
          <w:sz w:val="24"/>
          <w:szCs w:val="24"/>
        </w:rPr>
        <w:t xml:space="preserve"> can demonstrate how the brand successfully implements storytelling and community engagement strategies. The digital campaigns by Nike have a tendency of being empowering, persevering, and self-improving, whereas the digital platforms are inviting to part</w:t>
      </w:r>
      <w:r w:rsidR="000E08C4">
        <w:rPr>
          <w:rFonts w:ascii="Arial" w:eastAsia="Times New Roman" w:hAnsi="Arial" w:cs="Arial"/>
          <w:sz w:val="24"/>
          <w:szCs w:val="24"/>
        </w:rPr>
        <w:t>icipation and content creation.</w:t>
      </w:r>
    </w:p>
    <w:p w14:paraId="49341482" w14:textId="77777777" w:rsidR="007F3659" w:rsidRPr="007F3659" w:rsidRDefault="007D27F4" w:rsidP="007F3659">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Altogether, the literature reviewed proves that digital storytelling and community building are two related processes that complement each other to increase consumer engagement and brand loyalty. The thematic analysis presented in the following section has a robust theoretical basis based on this synthesis.</w:t>
      </w:r>
    </w:p>
    <w:p w14:paraId="6E039ED5" w14:textId="77777777" w:rsidR="007F3659" w:rsidRDefault="007F3659" w:rsidP="007F3659">
      <w:pPr>
        <w:pStyle w:val="Caption"/>
        <w:keepNext/>
      </w:pPr>
      <w:bookmarkStart w:id="37" w:name="_Toc228725929"/>
      <w:r>
        <w:t xml:space="preserve">Table </w:t>
      </w:r>
      <w:fldSimple w:instr=" SEQ Table \* ARABIC ">
        <w:r>
          <w:rPr>
            <w:noProof/>
          </w:rPr>
          <w:t>5</w:t>
        </w:r>
      </w:fldSimple>
      <w:r w:rsidRPr="00A16FE1">
        <w:t>: Summary of Key Literature Insights</w:t>
      </w:r>
      <w:bookmarkEnd w:id="37"/>
    </w:p>
    <w:tbl>
      <w:tblPr>
        <w:tblStyle w:val="TableGrid"/>
        <w:tblW w:w="0" w:type="auto"/>
        <w:tblLook w:val="04A0" w:firstRow="1" w:lastRow="0" w:firstColumn="1" w:lastColumn="0" w:noHBand="0" w:noVBand="1"/>
      </w:tblPr>
      <w:tblGrid>
        <w:gridCol w:w="3005"/>
        <w:gridCol w:w="3005"/>
        <w:gridCol w:w="3006"/>
      </w:tblGrid>
      <w:tr w:rsidR="007F3659" w:rsidRPr="007F3659" w14:paraId="13214DE2" w14:textId="77777777" w:rsidTr="007F3659">
        <w:tc>
          <w:tcPr>
            <w:tcW w:w="3005" w:type="dxa"/>
          </w:tcPr>
          <w:p w14:paraId="1BF148E4"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Area</w:t>
            </w:r>
          </w:p>
        </w:tc>
        <w:tc>
          <w:tcPr>
            <w:tcW w:w="3005" w:type="dxa"/>
          </w:tcPr>
          <w:p w14:paraId="128621E1"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Key Insight</w:t>
            </w:r>
          </w:p>
        </w:tc>
        <w:tc>
          <w:tcPr>
            <w:tcW w:w="3006" w:type="dxa"/>
          </w:tcPr>
          <w:p w14:paraId="3ECE806B"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Supporting Authors</w:t>
            </w:r>
          </w:p>
        </w:tc>
      </w:tr>
      <w:tr w:rsidR="007F3659" w:rsidRPr="007F3659" w14:paraId="3C661EA6" w14:textId="77777777" w:rsidTr="007F3659">
        <w:tc>
          <w:tcPr>
            <w:tcW w:w="3005" w:type="dxa"/>
          </w:tcPr>
          <w:p w14:paraId="7FB595BD"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Digital Storytelling</w:t>
            </w:r>
          </w:p>
        </w:tc>
        <w:tc>
          <w:tcPr>
            <w:tcW w:w="3005" w:type="dxa"/>
          </w:tcPr>
          <w:p w14:paraId="743E6E2A"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Emotional narratives improve engagement</w:t>
            </w:r>
          </w:p>
        </w:tc>
        <w:tc>
          <w:tcPr>
            <w:tcW w:w="3006" w:type="dxa"/>
          </w:tcPr>
          <w:p w14:paraId="1A1540DD"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Singh &amp; Sonnenburg (2022)</w:t>
            </w:r>
          </w:p>
        </w:tc>
      </w:tr>
      <w:tr w:rsidR="007F3659" w:rsidRPr="007F3659" w14:paraId="56BEF75D" w14:textId="77777777" w:rsidTr="007F3659">
        <w:tc>
          <w:tcPr>
            <w:tcW w:w="3005" w:type="dxa"/>
          </w:tcPr>
          <w:p w14:paraId="34B2A145"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lastRenderedPageBreak/>
              <w:t>Community Building</w:t>
            </w:r>
          </w:p>
        </w:tc>
        <w:tc>
          <w:tcPr>
            <w:tcW w:w="3005" w:type="dxa"/>
          </w:tcPr>
          <w:p w14:paraId="43E19B2C"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Participation strengthens loyalty</w:t>
            </w:r>
          </w:p>
        </w:tc>
        <w:tc>
          <w:tcPr>
            <w:tcW w:w="3006" w:type="dxa"/>
          </w:tcPr>
          <w:p w14:paraId="410ACF49"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Dessart et al. (2020)</w:t>
            </w:r>
          </w:p>
        </w:tc>
      </w:tr>
      <w:tr w:rsidR="007F3659" w:rsidRPr="007F3659" w14:paraId="3170BD29" w14:textId="77777777" w:rsidTr="007F3659">
        <w:tc>
          <w:tcPr>
            <w:tcW w:w="3005" w:type="dxa"/>
          </w:tcPr>
          <w:p w14:paraId="77248E70"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Brand Loyalty</w:t>
            </w:r>
          </w:p>
        </w:tc>
        <w:tc>
          <w:tcPr>
            <w:tcW w:w="3005" w:type="dxa"/>
          </w:tcPr>
          <w:p w14:paraId="50794EDB"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Shift from behavioural to emotional loyalty</w:t>
            </w:r>
          </w:p>
        </w:tc>
        <w:tc>
          <w:tcPr>
            <w:tcW w:w="3006" w:type="dxa"/>
          </w:tcPr>
          <w:p w14:paraId="58D2FE40"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Rather et al. (2022)</w:t>
            </w:r>
          </w:p>
        </w:tc>
      </w:tr>
      <w:tr w:rsidR="007F3659" w:rsidRPr="007F3659" w14:paraId="06482E5E" w14:textId="77777777" w:rsidTr="007F3659">
        <w:tc>
          <w:tcPr>
            <w:tcW w:w="3005" w:type="dxa"/>
          </w:tcPr>
          <w:p w14:paraId="4D15948D"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Digital Engagement</w:t>
            </w:r>
          </w:p>
        </w:tc>
        <w:tc>
          <w:tcPr>
            <w:tcW w:w="3005" w:type="dxa"/>
          </w:tcPr>
          <w:p w14:paraId="4FF0CA13"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r w:rsidRPr="007F3659">
              <w:rPr>
                <w:rFonts w:ascii="Arial" w:eastAsia="Times New Roman" w:hAnsi="Arial" w:cs="Arial"/>
                <w:sz w:val="24"/>
                <w:szCs w:val="24"/>
              </w:rPr>
              <w:t>Interaction improves consumer experience</w:t>
            </w:r>
          </w:p>
        </w:tc>
        <w:tc>
          <w:tcPr>
            <w:tcW w:w="3006" w:type="dxa"/>
          </w:tcPr>
          <w:p w14:paraId="63852779" w14:textId="77777777" w:rsidR="007F3659" w:rsidRPr="007F3659" w:rsidRDefault="007F3659" w:rsidP="00CC796F">
            <w:pPr>
              <w:pStyle w:val="NoSpacing"/>
              <w:spacing w:before="240" w:after="240" w:line="360" w:lineRule="auto"/>
              <w:jc w:val="both"/>
              <w:rPr>
                <w:rFonts w:ascii="Arial" w:eastAsia="Times New Roman" w:hAnsi="Arial" w:cs="Arial"/>
                <w:sz w:val="24"/>
                <w:szCs w:val="24"/>
              </w:rPr>
            </w:pPr>
            <w:proofErr w:type="spellStart"/>
            <w:r w:rsidRPr="007F3659">
              <w:rPr>
                <w:rFonts w:ascii="Arial" w:eastAsia="Times New Roman" w:hAnsi="Arial" w:cs="Arial"/>
                <w:sz w:val="24"/>
                <w:szCs w:val="24"/>
              </w:rPr>
              <w:t>Hanaysha</w:t>
            </w:r>
            <w:proofErr w:type="spellEnd"/>
            <w:r w:rsidRPr="007F3659">
              <w:rPr>
                <w:rFonts w:ascii="Arial" w:eastAsia="Times New Roman" w:hAnsi="Arial" w:cs="Arial"/>
                <w:sz w:val="24"/>
                <w:szCs w:val="24"/>
              </w:rPr>
              <w:t xml:space="preserve"> (2022)</w:t>
            </w:r>
          </w:p>
        </w:tc>
      </w:tr>
    </w:tbl>
    <w:p w14:paraId="1A2784B9" w14:textId="77777777" w:rsidR="007D27F4" w:rsidRPr="00250621" w:rsidRDefault="007D27F4" w:rsidP="00250621">
      <w:pPr>
        <w:pStyle w:val="Heading2"/>
      </w:pPr>
      <w:bookmarkStart w:id="38" w:name="_Toc228731034"/>
      <w:r w:rsidRPr="007D27F4">
        <w:t>4.3 SLR Thematic Findings.</w:t>
      </w:r>
      <w:bookmarkEnd w:id="38"/>
    </w:p>
    <w:p w14:paraId="791B6600"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Thematic analysis of 50 peer-reviewed articles published in 2019-2024 revealed five key themes on how digital storytelling and community building contribute to brand loyalty. All these themes show the interrelatedness of emotional, social, and experience factors when it comes to influencing consumer behaviour in the digital world, es</w:t>
      </w:r>
      <w:r w:rsidR="00250621">
        <w:rPr>
          <w:rFonts w:ascii="Arial" w:eastAsia="Times New Roman" w:hAnsi="Arial" w:cs="Arial"/>
          <w:sz w:val="24"/>
          <w:szCs w:val="24"/>
        </w:rPr>
        <w:t>pecially when it concerns Nike.</w:t>
      </w:r>
    </w:p>
    <w:p w14:paraId="2B250211" w14:textId="77777777" w:rsidR="007D27F4" w:rsidRPr="00250621" w:rsidRDefault="007D27F4" w:rsidP="00250621">
      <w:pPr>
        <w:pStyle w:val="Heading3"/>
        <w:spacing w:before="240" w:after="240"/>
      </w:pPr>
      <w:bookmarkStart w:id="39" w:name="_Toc228731035"/>
      <w:r w:rsidRPr="007D27F4">
        <w:t>4.3.1 Theme 1: Emotional Storytelling and Consumer Engagement.</w:t>
      </w:r>
      <w:bookmarkEnd w:id="39"/>
    </w:p>
    <w:p w14:paraId="45CD0797"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 xml:space="preserve">One of the most prevalent conclusions of the literature is that digital storytelling is instrumental in increasing emotional involvement. Emotional narratives have repeatedly been found to establish better consumer-brand relationships than conventional marketing strategies (Lund et al., 2020). Through storytelling, brands </w:t>
      </w:r>
      <w:proofErr w:type="gramStart"/>
      <w:r w:rsidRPr="007D27F4">
        <w:rPr>
          <w:rFonts w:ascii="Arial" w:eastAsia="Times New Roman" w:hAnsi="Arial" w:cs="Arial"/>
          <w:sz w:val="24"/>
          <w:szCs w:val="24"/>
        </w:rPr>
        <w:t>are able to</w:t>
      </w:r>
      <w:proofErr w:type="gramEnd"/>
      <w:r w:rsidRPr="007D27F4">
        <w:rPr>
          <w:rFonts w:ascii="Arial" w:eastAsia="Times New Roman" w:hAnsi="Arial" w:cs="Arial"/>
          <w:sz w:val="24"/>
          <w:szCs w:val="24"/>
        </w:rPr>
        <w:t xml:space="preserve"> convey values, identity and purpose in a manner that co</w:t>
      </w:r>
      <w:r w:rsidR="00250621">
        <w:rPr>
          <w:rFonts w:ascii="Arial" w:eastAsia="Times New Roman" w:hAnsi="Arial" w:cs="Arial"/>
          <w:sz w:val="24"/>
          <w:szCs w:val="24"/>
        </w:rPr>
        <w:t>nverts to consumer experiences.</w:t>
      </w:r>
    </w:p>
    <w:p w14:paraId="65A8F549"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One of the aspects of effective storytelling is identified as authenticity. Consumers will tend to trust and have an emotional connection to the brand when they perceive the narratives as true (Singh and Sonnenburg, 2022). The emotional involvement is hence not only the reaction to the content but also the display of perceived</w:t>
      </w:r>
      <w:r w:rsidR="00250621">
        <w:rPr>
          <w:rFonts w:ascii="Arial" w:eastAsia="Times New Roman" w:hAnsi="Arial" w:cs="Arial"/>
          <w:sz w:val="24"/>
          <w:szCs w:val="24"/>
        </w:rPr>
        <w:t xml:space="preserve"> authenticity and relatability.</w:t>
      </w:r>
    </w:p>
    <w:p w14:paraId="1DD6CBA9"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lastRenderedPageBreak/>
        <w:t xml:space="preserve">Themes of storytelling campaigns of Nike can include perseverance, self-belief, and overcoming challenges. These stories establish the brand as inspirational as opposed to </w:t>
      </w:r>
      <w:r w:rsidR="00250621">
        <w:rPr>
          <w:rFonts w:ascii="Arial" w:eastAsia="Times New Roman" w:hAnsi="Arial" w:cs="Arial"/>
          <w:sz w:val="24"/>
          <w:szCs w:val="24"/>
        </w:rPr>
        <w:t>a mere product delivery system.</w:t>
      </w:r>
    </w:p>
    <w:p w14:paraId="1B147909" w14:textId="4F8CAE95" w:rsidR="00224B4D" w:rsidRDefault="007D27F4" w:rsidP="00224B4D">
      <w:pPr>
        <w:pStyle w:val="NoSpacing"/>
        <w:numPr>
          <w:ilvl w:val="0"/>
          <w:numId w:val="26"/>
        </w:numPr>
        <w:spacing w:before="240" w:after="240" w:line="360" w:lineRule="auto"/>
        <w:jc w:val="both"/>
        <w:rPr>
          <w:rFonts w:ascii="Arial" w:eastAsia="Times New Roman" w:hAnsi="Arial" w:cs="Arial"/>
          <w:sz w:val="24"/>
          <w:szCs w:val="24"/>
        </w:rPr>
      </w:pPr>
      <w:r w:rsidRPr="00250621">
        <w:rPr>
          <w:rFonts w:ascii="Arial" w:eastAsia="Times New Roman" w:hAnsi="Arial" w:cs="Arial"/>
          <w:b/>
          <w:sz w:val="24"/>
          <w:szCs w:val="24"/>
        </w:rPr>
        <w:t>Interpretation:</w:t>
      </w:r>
      <w:r w:rsidRPr="007D27F4">
        <w:rPr>
          <w:rFonts w:ascii="Arial" w:eastAsia="Times New Roman" w:hAnsi="Arial" w:cs="Arial"/>
          <w:sz w:val="24"/>
          <w:szCs w:val="24"/>
        </w:rPr>
        <w:t xml:space="preserve"> Emotional storytelling serves as the pillar of brand engagement in that it forms consumer attitudes and creates psychological attachment resulting to attitudinal loyalty.</w:t>
      </w:r>
    </w:p>
    <w:p w14:paraId="63126816" w14:textId="74DECFB2" w:rsidR="00224B4D" w:rsidRPr="00224B4D" w:rsidRDefault="00224B4D" w:rsidP="00224B4D">
      <w:pPr>
        <w:pStyle w:val="NoSpacing"/>
        <w:spacing w:before="240" w:after="240" w:line="360" w:lineRule="auto"/>
        <w:jc w:val="both"/>
        <w:rPr>
          <w:rFonts w:ascii="Arial" w:eastAsia="Times New Roman" w:hAnsi="Arial" w:cs="Arial"/>
          <w:sz w:val="24"/>
          <w:szCs w:val="24"/>
        </w:rPr>
      </w:pPr>
      <w:r w:rsidRPr="00224B4D">
        <w:rPr>
          <w:rFonts w:ascii="Arial" w:eastAsia="Times New Roman" w:hAnsi="Arial" w:cs="Arial"/>
          <w:sz w:val="24"/>
          <w:szCs w:val="24"/>
        </w:rPr>
        <w:t>“However, this finding is limited because it focuses mainly on positive emotional responses and overlooks potential consumer scepticism identified in other studies (Dwivedi et al., 2021).”</w:t>
      </w:r>
    </w:p>
    <w:p w14:paraId="165ACBAC" w14:textId="77777777" w:rsidR="007D27F4" w:rsidRPr="00250621" w:rsidRDefault="007D27F4" w:rsidP="00250621">
      <w:pPr>
        <w:pStyle w:val="Heading3"/>
        <w:spacing w:before="240" w:after="240"/>
      </w:pPr>
      <w:bookmarkStart w:id="40" w:name="_Toc228731036"/>
      <w:r w:rsidRPr="007D27F4">
        <w:t>4.3.2 Theme 2: Building Community and Consumer involvement.</w:t>
      </w:r>
      <w:bookmarkEnd w:id="40"/>
    </w:p>
    <w:p w14:paraId="34445536"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The second key theme highlights the importance of online brand communities in fostering engagement and loyalty. Studies indicate that brand communities are offering consumers a platform through which they can communicate, exchange experience, and have a co-creation o</w:t>
      </w:r>
      <w:r w:rsidR="00250621">
        <w:rPr>
          <w:rFonts w:ascii="Arial" w:eastAsia="Times New Roman" w:hAnsi="Arial" w:cs="Arial"/>
          <w:sz w:val="24"/>
          <w:szCs w:val="24"/>
        </w:rPr>
        <w:t>f value (Dessart et al., 2020).</w:t>
      </w:r>
    </w:p>
    <w:p w14:paraId="3C85B649"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 xml:space="preserve">Community involvement boosts emotional, cognitive and behavioural involvement. As suggested by </w:t>
      </w:r>
      <w:proofErr w:type="spellStart"/>
      <w:r w:rsidRPr="007D27F4">
        <w:rPr>
          <w:rFonts w:ascii="Arial" w:eastAsia="Times New Roman" w:hAnsi="Arial" w:cs="Arial"/>
          <w:sz w:val="24"/>
          <w:szCs w:val="24"/>
        </w:rPr>
        <w:t>Pansari</w:t>
      </w:r>
      <w:proofErr w:type="spellEnd"/>
      <w:r w:rsidRPr="007D27F4">
        <w:rPr>
          <w:rFonts w:ascii="Arial" w:eastAsia="Times New Roman" w:hAnsi="Arial" w:cs="Arial"/>
          <w:sz w:val="24"/>
          <w:szCs w:val="24"/>
        </w:rPr>
        <w:t xml:space="preserve"> and Kumar (2021), highly engaged consumers will more likely exhibit loyalty behaviours, such as repeat intera</w:t>
      </w:r>
      <w:r w:rsidR="00250621">
        <w:rPr>
          <w:rFonts w:ascii="Arial" w:eastAsia="Times New Roman" w:hAnsi="Arial" w:cs="Arial"/>
          <w:sz w:val="24"/>
          <w:szCs w:val="24"/>
        </w:rPr>
        <w:t>ction and brand advocacy.</w:t>
      </w:r>
    </w:p>
    <w:p w14:paraId="70AED4CD" w14:textId="77777777" w:rsidR="007D27F4" w:rsidRPr="007D27F4" w:rsidRDefault="007D27F4" w:rsidP="00250621">
      <w:pPr>
        <w:pStyle w:val="NoSpacing"/>
        <w:spacing w:before="240" w:after="240" w:line="360" w:lineRule="auto"/>
        <w:jc w:val="both"/>
        <w:rPr>
          <w:rFonts w:ascii="Arial" w:eastAsia="Times New Roman" w:hAnsi="Arial" w:cs="Arial"/>
          <w:sz w:val="24"/>
          <w:szCs w:val="24"/>
        </w:rPr>
      </w:pPr>
      <w:r w:rsidRPr="007D27F4">
        <w:rPr>
          <w:rFonts w:ascii="Arial" w:eastAsia="Times New Roman" w:hAnsi="Arial" w:cs="Arial"/>
          <w:sz w:val="24"/>
          <w:szCs w:val="24"/>
        </w:rPr>
        <w:t>The Nike digital ecosystem, such as fitness apps and social networking, allows users to monitor progress, post successes, and reach communities worldwide. This ongoing engagement enhances the cons</w:t>
      </w:r>
      <w:r w:rsidR="00250621">
        <w:rPr>
          <w:rFonts w:ascii="Arial" w:eastAsia="Times New Roman" w:hAnsi="Arial" w:cs="Arial"/>
          <w:sz w:val="24"/>
          <w:szCs w:val="24"/>
        </w:rPr>
        <w:t>umer engagement with the brand.</w:t>
      </w:r>
    </w:p>
    <w:p w14:paraId="7E26A4D8" w14:textId="7CDCE2D0" w:rsidR="00CF4656" w:rsidRDefault="007D27F4" w:rsidP="00250621">
      <w:pPr>
        <w:pStyle w:val="NoSpacing"/>
        <w:numPr>
          <w:ilvl w:val="0"/>
          <w:numId w:val="26"/>
        </w:numPr>
        <w:spacing w:before="240" w:after="240" w:line="360" w:lineRule="auto"/>
        <w:jc w:val="both"/>
        <w:rPr>
          <w:rFonts w:ascii="Arial" w:eastAsia="Times New Roman" w:hAnsi="Arial" w:cs="Arial"/>
          <w:sz w:val="24"/>
          <w:szCs w:val="24"/>
        </w:rPr>
      </w:pPr>
      <w:r w:rsidRPr="00250621">
        <w:rPr>
          <w:rFonts w:ascii="Arial" w:eastAsia="Times New Roman" w:hAnsi="Arial" w:cs="Arial"/>
          <w:b/>
          <w:sz w:val="24"/>
          <w:szCs w:val="24"/>
        </w:rPr>
        <w:t>Interpretation:</w:t>
      </w:r>
      <w:r w:rsidRPr="007D27F4">
        <w:rPr>
          <w:rFonts w:ascii="Arial" w:eastAsia="Times New Roman" w:hAnsi="Arial" w:cs="Arial"/>
          <w:sz w:val="24"/>
          <w:szCs w:val="24"/>
        </w:rPr>
        <w:t xml:space="preserve"> Community building will convert individual interaction into collective interaction and loyalty to behaviour is enhanced through continuous </w:t>
      </w:r>
      <w:r>
        <w:rPr>
          <w:rFonts w:ascii="Arial" w:eastAsia="Times New Roman" w:hAnsi="Arial" w:cs="Arial"/>
          <w:sz w:val="24"/>
          <w:szCs w:val="24"/>
        </w:rPr>
        <w:t>interaction and shared identity</w:t>
      </w:r>
      <w:r w:rsidR="00CF4656" w:rsidRPr="00CF4656">
        <w:rPr>
          <w:rFonts w:ascii="Arial" w:eastAsia="Times New Roman" w:hAnsi="Arial" w:cs="Arial"/>
          <w:sz w:val="24"/>
          <w:szCs w:val="24"/>
        </w:rPr>
        <w:t>.</w:t>
      </w:r>
    </w:p>
    <w:p w14:paraId="40F63714" w14:textId="29057337" w:rsidR="007900D2" w:rsidRPr="00250621" w:rsidRDefault="007900D2" w:rsidP="007900D2">
      <w:pPr>
        <w:pStyle w:val="NoSpacing"/>
        <w:spacing w:before="240" w:after="240" w:line="360" w:lineRule="auto"/>
        <w:jc w:val="both"/>
        <w:rPr>
          <w:rFonts w:ascii="Arial" w:eastAsia="Times New Roman" w:hAnsi="Arial" w:cs="Arial"/>
          <w:sz w:val="24"/>
          <w:szCs w:val="24"/>
        </w:rPr>
      </w:pPr>
      <w:r w:rsidRPr="007900D2">
        <w:rPr>
          <w:rFonts w:ascii="Arial" w:eastAsia="Times New Roman" w:hAnsi="Arial" w:cs="Arial"/>
          <w:sz w:val="24"/>
          <w:szCs w:val="24"/>
        </w:rPr>
        <w:t xml:space="preserve">“This contrasts with </w:t>
      </w:r>
      <w:proofErr w:type="spellStart"/>
      <w:r w:rsidRPr="007900D2">
        <w:rPr>
          <w:rFonts w:ascii="Arial" w:eastAsia="Times New Roman" w:hAnsi="Arial" w:cs="Arial"/>
          <w:sz w:val="24"/>
          <w:szCs w:val="24"/>
        </w:rPr>
        <w:t>Hollebeek</w:t>
      </w:r>
      <w:proofErr w:type="spellEnd"/>
      <w:r w:rsidRPr="007900D2">
        <w:rPr>
          <w:rFonts w:ascii="Arial" w:eastAsia="Times New Roman" w:hAnsi="Arial" w:cs="Arial"/>
          <w:sz w:val="24"/>
          <w:szCs w:val="24"/>
        </w:rPr>
        <w:t xml:space="preserve"> et al. (2022), who argue that online communities often suffer from low sustained engagement, suggesting that Nike’s success may not be generalisable across all digital platforms.”</w:t>
      </w:r>
    </w:p>
    <w:p w14:paraId="2B8EF3B9" w14:textId="77777777" w:rsidR="00CF4656" w:rsidRPr="00250621" w:rsidRDefault="00CF4656" w:rsidP="00250621">
      <w:pPr>
        <w:pStyle w:val="Heading3"/>
        <w:spacing w:before="240" w:after="240"/>
      </w:pPr>
      <w:bookmarkStart w:id="41" w:name="_Toc228731037"/>
      <w:r w:rsidRPr="00CF4656">
        <w:lastRenderedPageBreak/>
        <w:t>4.3.3 Theme 3: Consumer Identity Formation</w:t>
      </w:r>
      <w:bookmarkEnd w:id="41"/>
    </w:p>
    <w:p w14:paraId="2628C06C"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The other important discovery is that consumers tend to have strong identity association with brands. The theory of social identity posits that people identify with groups that are valued and represent their dre</w:t>
      </w:r>
      <w:r w:rsidR="00250621">
        <w:rPr>
          <w:rFonts w:ascii="Arial" w:eastAsia="Times New Roman" w:hAnsi="Arial" w:cs="Arial"/>
          <w:sz w:val="24"/>
          <w:szCs w:val="24"/>
        </w:rPr>
        <w:t>ams (</w:t>
      </w:r>
      <w:proofErr w:type="spellStart"/>
      <w:r w:rsidR="00250621">
        <w:rPr>
          <w:rFonts w:ascii="Arial" w:eastAsia="Times New Roman" w:hAnsi="Arial" w:cs="Arial"/>
          <w:sz w:val="24"/>
          <w:szCs w:val="24"/>
        </w:rPr>
        <w:t>Algesheimer</w:t>
      </w:r>
      <w:proofErr w:type="spellEnd"/>
      <w:r w:rsidR="00250621">
        <w:rPr>
          <w:rFonts w:ascii="Arial" w:eastAsia="Times New Roman" w:hAnsi="Arial" w:cs="Arial"/>
          <w:sz w:val="24"/>
          <w:szCs w:val="24"/>
        </w:rPr>
        <w:t xml:space="preserve"> et al., 2020).</w:t>
      </w:r>
    </w:p>
    <w:p w14:paraId="046ABC44"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Nike manages to capitalize on identity-based branding by branding itself as a source of inspiration, success, and strength. When consumers relate themselves to these values, there are high chances that consumers will incorporate t</w:t>
      </w:r>
      <w:r w:rsidR="00250621">
        <w:rPr>
          <w:rFonts w:ascii="Arial" w:eastAsia="Times New Roman" w:hAnsi="Arial" w:cs="Arial"/>
          <w:sz w:val="24"/>
          <w:szCs w:val="24"/>
        </w:rPr>
        <w:t>he brand into his self-concept.</w:t>
      </w:r>
    </w:p>
    <w:p w14:paraId="0DC525B1"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This identity congruence reinforces the psychological attachment and heighten</w:t>
      </w:r>
      <w:r w:rsidR="00250621">
        <w:rPr>
          <w:rFonts w:ascii="Arial" w:eastAsia="Times New Roman" w:hAnsi="Arial" w:cs="Arial"/>
          <w:sz w:val="24"/>
          <w:szCs w:val="24"/>
        </w:rPr>
        <w:t>s against competitor influence.</w:t>
      </w:r>
    </w:p>
    <w:p w14:paraId="5F43B87D" w14:textId="636A3F59" w:rsidR="00703E54" w:rsidRDefault="00703E54" w:rsidP="00250621">
      <w:pPr>
        <w:pStyle w:val="NoSpacing"/>
        <w:numPr>
          <w:ilvl w:val="0"/>
          <w:numId w:val="26"/>
        </w:numPr>
        <w:spacing w:before="240" w:after="240" w:line="360" w:lineRule="auto"/>
        <w:jc w:val="both"/>
        <w:rPr>
          <w:rFonts w:ascii="Arial" w:eastAsia="Times New Roman" w:hAnsi="Arial" w:cs="Arial"/>
          <w:sz w:val="24"/>
          <w:szCs w:val="24"/>
        </w:rPr>
      </w:pPr>
      <w:r w:rsidRPr="00250621">
        <w:rPr>
          <w:rFonts w:ascii="Arial" w:eastAsia="Times New Roman" w:hAnsi="Arial" w:cs="Arial"/>
          <w:b/>
          <w:sz w:val="24"/>
          <w:szCs w:val="24"/>
        </w:rPr>
        <w:t>Interpretation</w:t>
      </w:r>
      <w:r w:rsidRPr="00703E54">
        <w:rPr>
          <w:rFonts w:ascii="Arial" w:eastAsia="Times New Roman" w:hAnsi="Arial" w:cs="Arial"/>
          <w:sz w:val="24"/>
          <w:szCs w:val="24"/>
        </w:rPr>
        <w:t xml:space="preserve">: Brand loyalty is strong and deep rooted in </w:t>
      </w:r>
      <w:r w:rsidR="00250621" w:rsidRPr="00703E54">
        <w:rPr>
          <w:rFonts w:ascii="Arial" w:eastAsia="Times New Roman" w:hAnsi="Arial" w:cs="Arial"/>
          <w:sz w:val="24"/>
          <w:szCs w:val="24"/>
        </w:rPr>
        <w:t>self-identity</w:t>
      </w:r>
      <w:r w:rsidRPr="00703E54">
        <w:rPr>
          <w:rFonts w:ascii="Arial" w:eastAsia="Times New Roman" w:hAnsi="Arial" w:cs="Arial"/>
          <w:sz w:val="24"/>
          <w:szCs w:val="24"/>
        </w:rPr>
        <w:t>, which makes it to be not a behavioural effect but a psychological commitment.</w:t>
      </w:r>
    </w:p>
    <w:p w14:paraId="7E0D1A36" w14:textId="47C1CDDA" w:rsidR="005C50D7" w:rsidRPr="00250621" w:rsidRDefault="005C50D7" w:rsidP="005C50D7">
      <w:pPr>
        <w:pStyle w:val="NoSpacing"/>
        <w:spacing w:before="240" w:after="240" w:line="360" w:lineRule="auto"/>
        <w:jc w:val="both"/>
        <w:rPr>
          <w:rFonts w:ascii="Arial" w:eastAsia="Times New Roman" w:hAnsi="Arial" w:cs="Arial"/>
          <w:sz w:val="24"/>
          <w:szCs w:val="24"/>
        </w:rPr>
      </w:pPr>
      <w:r w:rsidRPr="005C50D7">
        <w:rPr>
          <w:rFonts w:ascii="Arial" w:eastAsia="Times New Roman" w:hAnsi="Arial" w:cs="Arial"/>
          <w:sz w:val="24"/>
          <w:szCs w:val="24"/>
        </w:rPr>
        <w:t>“This indicates that consumer identity is strongly influenced by brand association, particularly in sports branding contexts such as Nike.”</w:t>
      </w:r>
    </w:p>
    <w:p w14:paraId="44096E4C" w14:textId="77777777" w:rsidR="00703E54" w:rsidRPr="00250621" w:rsidRDefault="00703E54" w:rsidP="00250621">
      <w:pPr>
        <w:pStyle w:val="Heading3"/>
        <w:spacing w:before="240" w:after="240"/>
      </w:pPr>
      <w:bookmarkStart w:id="42" w:name="_Toc228731038"/>
      <w:r w:rsidRPr="00703E54">
        <w:t>4.3.4 Theme 4: Brand Advocacy and Loyalty Behaviour.</w:t>
      </w:r>
      <w:bookmarkEnd w:id="42"/>
    </w:p>
    <w:p w14:paraId="38D9401D"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Another aspect raised in the literature is that consumers who are satisfied and engaged can become brand advocates. They are prolific in marketing brands by word-of-mouth, using social media, and through recommendatio</w:t>
      </w:r>
      <w:r w:rsidR="00250621">
        <w:rPr>
          <w:rFonts w:ascii="Arial" w:eastAsia="Times New Roman" w:hAnsi="Arial" w:cs="Arial"/>
          <w:sz w:val="24"/>
          <w:szCs w:val="24"/>
        </w:rPr>
        <w:t>ns (Gomez-Suarez et al., 2021).</w:t>
      </w:r>
    </w:p>
    <w:p w14:paraId="017D5E99"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 xml:space="preserve">Emotional engagement and community involvement are key factors in brand advocacy. Consumers with strong bond with a brand will be more likely to persuade other consumers in their purchasing </w:t>
      </w:r>
      <w:proofErr w:type="spellStart"/>
      <w:r w:rsidRPr="00703E54">
        <w:rPr>
          <w:rFonts w:ascii="Arial" w:eastAsia="Times New Roman" w:hAnsi="Arial" w:cs="Arial"/>
          <w:sz w:val="24"/>
          <w:szCs w:val="24"/>
        </w:rPr>
        <w:t>behaviors</w:t>
      </w:r>
      <w:proofErr w:type="spellEnd"/>
      <w:r w:rsidRPr="00703E54">
        <w:rPr>
          <w:rFonts w:ascii="Arial" w:eastAsia="Times New Roman" w:hAnsi="Arial" w:cs="Arial"/>
          <w:sz w:val="24"/>
          <w:szCs w:val="24"/>
        </w:rPr>
        <w:t xml:space="preserve"> and protect t</w:t>
      </w:r>
      <w:r w:rsidR="00250621">
        <w:rPr>
          <w:rFonts w:ascii="Arial" w:eastAsia="Times New Roman" w:hAnsi="Arial" w:cs="Arial"/>
          <w:sz w:val="24"/>
          <w:szCs w:val="24"/>
        </w:rPr>
        <w:t>he brand in the online debates.</w:t>
      </w:r>
    </w:p>
    <w:p w14:paraId="41A2C0B0"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 xml:space="preserve">This is most likely to be the case with Nike where user-generated content and fitness challenges often prompt consumers to publicly give an account of their accomplishments, which </w:t>
      </w:r>
      <w:r w:rsidR="00250621">
        <w:rPr>
          <w:rFonts w:ascii="Arial" w:eastAsia="Times New Roman" w:hAnsi="Arial" w:cs="Arial"/>
          <w:sz w:val="24"/>
          <w:szCs w:val="24"/>
        </w:rPr>
        <w:t>strengthens advocacy behaviour.</w:t>
      </w:r>
    </w:p>
    <w:p w14:paraId="1BC7071E" w14:textId="0D0E55A1" w:rsidR="00703E54" w:rsidRDefault="00703E54" w:rsidP="00250621">
      <w:pPr>
        <w:pStyle w:val="NoSpacing"/>
        <w:numPr>
          <w:ilvl w:val="0"/>
          <w:numId w:val="26"/>
        </w:numPr>
        <w:spacing w:before="240" w:after="240" w:line="360" w:lineRule="auto"/>
        <w:jc w:val="both"/>
        <w:rPr>
          <w:rFonts w:ascii="Arial" w:eastAsia="Times New Roman" w:hAnsi="Arial" w:cs="Arial"/>
          <w:sz w:val="24"/>
          <w:szCs w:val="24"/>
        </w:rPr>
      </w:pPr>
      <w:r w:rsidRPr="00250621">
        <w:rPr>
          <w:rFonts w:ascii="Arial" w:eastAsia="Times New Roman" w:hAnsi="Arial" w:cs="Arial"/>
          <w:b/>
          <w:sz w:val="24"/>
          <w:szCs w:val="24"/>
        </w:rPr>
        <w:t>Interpretation:</w:t>
      </w:r>
      <w:r w:rsidRPr="00703E54">
        <w:rPr>
          <w:rFonts w:ascii="Arial" w:eastAsia="Times New Roman" w:hAnsi="Arial" w:cs="Arial"/>
          <w:sz w:val="24"/>
          <w:szCs w:val="24"/>
        </w:rPr>
        <w:t xml:space="preserve"> Brand advocacy goes further than the consumption and turns the consumers into voluntary brand promoters.</w:t>
      </w:r>
    </w:p>
    <w:p w14:paraId="79F7BAE1" w14:textId="7404439E" w:rsidR="007523A6" w:rsidRPr="00250621" w:rsidRDefault="007523A6" w:rsidP="007523A6">
      <w:pPr>
        <w:pStyle w:val="NoSpacing"/>
        <w:spacing w:before="240" w:after="240" w:line="360" w:lineRule="auto"/>
        <w:jc w:val="both"/>
        <w:rPr>
          <w:rFonts w:ascii="Arial" w:eastAsia="Times New Roman" w:hAnsi="Arial" w:cs="Arial"/>
          <w:sz w:val="24"/>
          <w:szCs w:val="24"/>
        </w:rPr>
      </w:pPr>
      <w:r w:rsidRPr="007523A6">
        <w:rPr>
          <w:rFonts w:ascii="Arial" w:eastAsia="Times New Roman" w:hAnsi="Arial" w:cs="Arial"/>
          <w:sz w:val="24"/>
          <w:szCs w:val="24"/>
        </w:rPr>
        <w:lastRenderedPageBreak/>
        <w:t>“Although strong evidence supports the role of advocacy in loyalty, there are concerns that user-generated content may not always reflect genuine consumer satisfaction.”</w:t>
      </w:r>
    </w:p>
    <w:p w14:paraId="3D68CD69" w14:textId="77777777" w:rsidR="00703E54" w:rsidRPr="00250621" w:rsidRDefault="00703E54" w:rsidP="00250621">
      <w:pPr>
        <w:pStyle w:val="Heading3"/>
        <w:spacing w:before="240" w:after="240"/>
      </w:pPr>
      <w:bookmarkStart w:id="43" w:name="_Toc228731039"/>
      <w:r w:rsidRPr="00703E54">
        <w:t>4.3.5 Theme 5: Value of Digital Interaction and Experiences.</w:t>
      </w:r>
      <w:bookmarkEnd w:id="43"/>
    </w:p>
    <w:p w14:paraId="789D01DE"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The last theme focuses on the role of digital interaction in consumer experience. Research indicates that interactive online platforms are more inclined to increase satisfaction and build brand relationships through personalised and engagin</w:t>
      </w:r>
      <w:r w:rsidR="00250621">
        <w:rPr>
          <w:rFonts w:ascii="Arial" w:eastAsia="Times New Roman" w:hAnsi="Arial" w:cs="Arial"/>
          <w:sz w:val="24"/>
          <w:szCs w:val="24"/>
        </w:rPr>
        <w:t>g experiences (</w:t>
      </w:r>
      <w:proofErr w:type="spellStart"/>
      <w:r w:rsidR="00250621">
        <w:rPr>
          <w:rFonts w:ascii="Arial" w:eastAsia="Times New Roman" w:hAnsi="Arial" w:cs="Arial"/>
          <w:sz w:val="24"/>
          <w:szCs w:val="24"/>
        </w:rPr>
        <w:t>Hanaysha</w:t>
      </w:r>
      <w:proofErr w:type="spellEnd"/>
      <w:r w:rsidR="00250621">
        <w:rPr>
          <w:rFonts w:ascii="Arial" w:eastAsia="Times New Roman" w:hAnsi="Arial" w:cs="Arial"/>
          <w:sz w:val="24"/>
          <w:szCs w:val="24"/>
        </w:rPr>
        <w:t>, 2022).</w:t>
      </w:r>
    </w:p>
    <w:p w14:paraId="3A5DA1DA" w14:textId="77777777" w:rsidR="00703E54" w:rsidRPr="00703E54" w:rsidRDefault="00703E54" w:rsidP="00250621">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The mobile apps and digital fitness ecosystems offer users personalised tracking, feedback and motivation tools in Nike that en</w:t>
      </w:r>
      <w:r w:rsidR="00250621">
        <w:rPr>
          <w:rFonts w:ascii="Arial" w:eastAsia="Times New Roman" w:hAnsi="Arial" w:cs="Arial"/>
          <w:sz w:val="24"/>
          <w:szCs w:val="24"/>
        </w:rPr>
        <w:t>hance the level of engagement.</w:t>
      </w:r>
    </w:p>
    <w:p w14:paraId="65E55E2D" w14:textId="67381484" w:rsidR="00644FE9" w:rsidRPr="00703E54" w:rsidRDefault="00703E54" w:rsidP="00250621">
      <w:pPr>
        <w:pStyle w:val="NoSpacing"/>
        <w:spacing w:before="240" w:after="240" w:line="360" w:lineRule="auto"/>
        <w:jc w:val="both"/>
        <w:rPr>
          <w:rFonts w:ascii="Arial" w:eastAsia="Times New Roman" w:hAnsi="Arial" w:cs="Arial"/>
          <w:sz w:val="24"/>
          <w:szCs w:val="24"/>
        </w:rPr>
      </w:pPr>
      <w:r w:rsidRPr="00250621">
        <w:rPr>
          <w:rFonts w:ascii="Arial" w:eastAsia="Times New Roman" w:hAnsi="Arial" w:cs="Arial"/>
          <w:b/>
          <w:sz w:val="24"/>
          <w:szCs w:val="24"/>
        </w:rPr>
        <w:t>Meaning:</w:t>
      </w:r>
      <w:r w:rsidRPr="00703E54">
        <w:rPr>
          <w:rFonts w:ascii="Arial" w:eastAsia="Times New Roman" w:hAnsi="Arial" w:cs="Arial"/>
          <w:sz w:val="24"/>
          <w:szCs w:val="24"/>
        </w:rPr>
        <w:t xml:space="preserve"> Digital interaction adds value to experience that directly leads to customer satisfaction, repeat eng</w:t>
      </w:r>
      <w:r w:rsidR="006C1699">
        <w:rPr>
          <w:rFonts w:ascii="Arial" w:eastAsia="Times New Roman" w:hAnsi="Arial" w:cs="Arial"/>
          <w:sz w:val="24"/>
          <w:szCs w:val="24"/>
        </w:rPr>
        <w:t>agement, and long-term loyalty.</w:t>
      </w:r>
    </w:p>
    <w:p w14:paraId="4D7F72E8" w14:textId="77777777" w:rsidR="00703E54" w:rsidRPr="00250621" w:rsidRDefault="00250621" w:rsidP="00250621">
      <w:pPr>
        <w:pStyle w:val="NoSpacing"/>
        <w:spacing w:before="240" w:after="240" w:line="360" w:lineRule="auto"/>
        <w:jc w:val="both"/>
        <w:rPr>
          <w:rFonts w:ascii="Arial" w:eastAsia="Times New Roman" w:hAnsi="Arial" w:cs="Arial"/>
          <w:b/>
          <w:sz w:val="24"/>
          <w:szCs w:val="24"/>
        </w:rPr>
      </w:pPr>
      <w:r>
        <w:rPr>
          <w:rFonts w:ascii="Arial" w:eastAsia="Times New Roman" w:hAnsi="Arial" w:cs="Arial"/>
          <w:b/>
          <w:sz w:val="24"/>
          <w:szCs w:val="24"/>
        </w:rPr>
        <w:t>Overall Thematic Insight</w:t>
      </w:r>
    </w:p>
    <w:p w14:paraId="2D681EC0" w14:textId="28142B0B" w:rsidR="007A1D17" w:rsidRPr="007A1D17" w:rsidRDefault="00E2569B" w:rsidP="007A1D17">
      <w:pPr>
        <w:pStyle w:val="NoSpacing"/>
        <w:spacing w:before="240" w:after="240" w:line="360" w:lineRule="auto"/>
        <w:jc w:val="both"/>
        <w:rPr>
          <w:rFonts w:ascii="Arial" w:eastAsia="Times New Roman" w:hAnsi="Arial" w:cs="Arial"/>
          <w:sz w:val="24"/>
          <w:szCs w:val="24"/>
        </w:rPr>
      </w:pPr>
      <w:r w:rsidRPr="00E2569B">
        <w:rPr>
          <w:rFonts w:ascii="Arial" w:eastAsia="Times New Roman" w:hAnsi="Arial" w:cs="Arial"/>
          <w:sz w:val="24"/>
          <w:szCs w:val="24"/>
        </w:rPr>
        <w:t>Collectively, these five themes suggest that the emotional involvement offered by digital storytelling, the persistence of participation occasioned by community building, identity, the value of experience occasioned by digital interaction all make digital storytelling an</w:t>
      </w:r>
      <w:r>
        <w:rPr>
          <w:rFonts w:ascii="Arial" w:eastAsia="Times New Roman" w:hAnsi="Arial" w:cs="Arial"/>
          <w:sz w:val="24"/>
          <w:szCs w:val="24"/>
        </w:rPr>
        <w:t xml:space="preserve"> interesting and effective tool</w:t>
      </w:r>
      <w:r w:rsidR="00703E54" w:rsidRPr="00703E54">
        <w:rPr>
          <w:rFonts w:ascii="Arial" w:eastAsia="Times New Roman" w:hAnsi="Arial" w:cs="Arial"/>
          <w:sz w:val="24"/>
          <w:szCs w:val="24"/>
        </w:rPr>
        <w:t>. Collectively, they constitute an inter-relational framework that propels brand loyalty in the digital age.</w:t>
      </w:r>
    </w:p>
    <w:p w14:paraId="0E7077E1" w14:textId="77777777" w:rsidR="007A1D17" w:rsidRDefault="007A1D17" w:rsidP="007A1D17">
      <w:pPr>
        <w:pStyle w:val="Caption"/>
        <w:keepNext/>
      </w:pPr>
      <w:bookmarkStart w:id="44" w:name="_Toc228725930"/>
      <w:r>
        <w:t xml:space="preserve">Table </w:t>
      </w:r>
      <w:fldSimple w:instr=" SEQ Table \* ARABIC ">
        <w:r w:rsidR="007F3659">
          <w:rPr>
            <w:noProof/>
          </w:rPr>
          <w:t>6</w:t>
        </w:r>
      </w:fldSimple>
      <w:r w:rsidRPr="00A106C0">
        <w:t>: Thematic Framework of Findings (SLR Results)</w:t>
      </w:r>
      <w:bookmarkEnd w:id="44"/>
    </w:p>
    <w:tbl>
      <w:tblPr>
        <w:tblStyle w:val="TableGrid"/>
        <w:tblW w:w="0" w:type="auto"/>
        <w:tblLook w:val="04A0" w:firstRow="1" w:lastRow="0" w:firstColumn="1" w:lastColumn="0" w:noHBand="0" w:noVBand="1"/>
      </w:tblPr>
      <w:tblGrid>
        <w:gridCol w:w="3005"/>
        <w:gridCol w:w="3005"/>
        <w:gridCol w:w="3006"/>
      </w:tblGrid>
      <w:tr w:rsidR="007A1D17" w:rsidRPr="007A1D17" w14:paraId="19572B74" w14:textId="77777777" w:rsidTr="007A1D17">
        <w:tc>
          <w:tcPr>
            <w:tcW w:w="3005" w:type="dxa"/>
          </w:tcPr>
          <w:p w14:paraId="0BB3BB33"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Theme</w:t>
            </w:r>
          </w:p>
        </w:tc>
        <w:tc>
          <w:tcPr>
            <w:tcW w:w="3005" w:type="dxa"/>
          </w:tcPr>
          <w:p w14:paraId="09213972"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Description</w:t>
            </w:r>
          </w:p>
        </w:tc>
        <w:tc>
          <w:tcPr>
            <w:tcW w:w="3006" w:type="dxa"/>
          </w:tcPr>
          <w:p w14:paraId="5AA57A71"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Link to Brand Loyalty</w:t>
            </w:r>
          </w:p>
        </w:tc>
      </w:tr>
      <w:tr w:rsidR="007A1D17" w:rsidRPr="007A1D17" w14:paraId="439CEB63" w14:textId="77777777" w:rsidTr="007A1D17">
        <w:tc>
          <w:tcPr>
            <w:tcW w:w="3005" w:type="dxa"/>
          </w:tcPr>
          <w:p w14:paraId="402AB1EB"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Emotional Storytelling</w:t>
            </w:r>
          </w:p>
        </w:tc>
        <w:tc>
          <w:tcPr>
            <w:tcW w:w="3005" w:type="dxa"/>
          </w:tcPr>
          <w:p w14:paraId="40F867BA"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Use of narratives to create emotional connection with consumers</w:t>
            </w:r>
          </w:p>
        </w:tc>
        <w:tc>
          <w:tcPr>
            <w:tcW w:w="3006" w:type="dxa"/>
          </w:tcPr>
          <w:p w14:paraId="14B01EDE"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Builds attitudinal loyalty and trust</w:t>
            </w:r>
          </w:p>
        </w:tc>
      </w:tr>
      <w:tr w:rsidR="007A1D17" w:rsidRPr="007A1D17" w14:paraId="59FF2EE0" w14:textId="77777777" w:rsidTr="007A1D17">
        <w:tc>
          <w:tcPr>
            <w:tcW w:w="3005" w:type="dxa"/>
          </w:tcPr>
          <w:p w14:paraId="75FF0C67"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Community Building</w:t>
            </w:r>
          </w:p>
        </w:tc>
        <w:tc>
          <w:tcPr>
            <w:tcW w:w="3005" w:type="dxa"/>
          </w:tcPr>
          <w:p w14:paraId="548BCAA5"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Online interaction and participation among consumers</w:t>
            </w:r>
          </w:p>
        </w:tc>
        <w:tc>
          <w:tcPr>
            <w:tcW w:w="3006" w:type="dxa"/>
          </w:tcPr>
          <w:p w14:paraId="11EA0645"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Strengthens behavioural loyalty and engagement</w:t>
            </w:r>
          </w:p>
        </w:tc>
      </w:tr>
      <w:tr w:rsidR="007A1D17" w:rsidRPr="007A1D17" w14:paraId="5144DE94" w14:textId="77777777" w:rsidTr="007A1D17">
        <w:tc>
          <w:tcPr>
            <w:tcW w:w="3005" w:type="dxa"/>
          </w:tcPr>
          <w:p w14:paraId="2DB62EDA"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lastRenderedPageBreak/>
              <w:t>Consumer Identity Formation</w:t>
            </w:r>
          </w:p>
        </w:tc>
        <w:tc>
          <w:tcPr>
            <w:tcW w:w="3005" w:type="dxa"/>
          </w:tcPr>
          <w:p w14:paraId="4130351E"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Alignment of consumer self-concept with brand values</w:t>
            </w:r>
          </w:p>
        </w:tc>
        <w:tc>
          <w:tcPr>
            <w:tcW w:w="3006" w:type="dxa"/>
          </w:tcPr>
          <w:p w14:paraId="71728428"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Creates psychological loyalty</w:t>
            </w:r>
          </w:p>
        </w:tc>
      </w:tr>
      <w:tr w:rsidR="007A1D17" w:rsidRPr="007A1D17" w14:paraId="1C5E7068" w14:textId="77777777" w:rsidTr="007A1D17">
        <w:tc>
          <w:tcPr>
            <w:tcW w:w="3005" w:type="dxa"/>
          </w:tcPr>
          <w:p w14:paraId="5A1BAAE8"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Brand Advocacy</w:t>
            </w:r>
          </w:p>
        </w:tc>
        <w:tc>
          <w:tcPr>
            <w:tcW w:w="3005" w:type="dxa"/>
          </w:tcPr>
          <w:p w14:paraId="727869A2"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Consumers promote brand voluntarily through sharing</w:t>
            </w:r>
          </w:p>
        </w:tc>
        <w:tc>
          <w:tcPr>
            <w:tcW w:w="3006" w:type="dxa"/>
          </w:tcPr>
          <w:p w14:paraId="10796683"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Enhances word-of-mouth loyalty</w:t>
            </w:r>
          </w:p>
        </w:tc>
      </w:tr>
      <w:tr w:rsidR="007A1D17" w:rsidRPr="007A1D17" w14:paraId="61B7A620" w14:textId="77777777" w:rsidTr="007A1D17">
        <w:tc>
          <w:tcPr>
            <w:tcW w:w="3005" w:type="dxa"/>
          </w:tcPr>
          <w:p w14:paraId="6E0AFDD3"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Digital Interaction</w:t>
            </w:r>
          </w:p>
        </w:tc>
        <w:tc>
          <w:tcPr>
            <w:tcW w:w="3005" w:type="dxa"/>
          </w:tcPr>
          <w:p w14:paraId="36B882C3"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Personalised digital engagement and experience</w:t>
            </w:r>
          </w:p>
        </w:tc>
        <w:tc>
          <w:tcPr>
            <w:tcW w:w="3006" w:type="dxa"/>
          </w:tcPr>
          <w:p w14:paraId="5F7D3719" w14:textId="77777777" w:rsidR="007A1D17" w:rsidRPr="007A1D17" w:rsidRDefault="007A1D17" w:rsidP="00CC796F">
            <w:pPr>
              <w:pStyle w:val="NoSpacing"/>
              <w:spacing w:before="240" w:after="240" w:line="360" w:lineRule="auto"/>
              <w:jc w:val="both"/>
              <w:rPr>
                <w:rFonts w:ascii="Arial" w:eastAsia="Times New Roman" w:hAnsi="Arial" w:cs="Arial"/>
                <w:sz w:val="24"/>
                <w:szCs w:val="24"/>
              </w:rPr>
            </w:pPr>
            <w:r w:rsidRPr="007A1D17">
              <w:rPr>
                <w:rFonts w:ascii="Arial" w:eastAsia="Times New Roman" w:hAnsi="Arial" w:cs="Arial"/>
                <w:sz w:val="24"/>
                <w:szCs w:val="24"/>
              </w:rPr>
              <w:t>Increases satisfaction and retention</w:t>
            </w:r>
          </w:p>
        </w:tc>
      </w:tr>
    </w:tbl>
    <w:p w14:paraId="5D6D16FB" w14:textId="77777777" w:rsidR="00703E54" w:rsidRPr="00703E54" w:rsidRDefault="00703E54" w:rsidP="00250D00">
      <w:pPr>
        <w:pStyle w:val="Heading2"/>
      </w:pPr>
      <w:bookmarkStart w:id="45" w:name="_Toc228731040"/>
      <w:r w:rsidRPr="00703E54">
        <w:t>4.4 Combined Interpretation of Results</w:t>
      </w:r>
      <w:bookmarkEnd w:id="45"/>
      <w:r w:rsidRPr="00703E54">
        <w:t xml:space="preserve"> </w:t>
      </w:r>
    </w:p>
    <w:p w14:paraId="3D17709A"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 xml:space="preserve">The systematic literature review results indicate that digital storytelling, community building and brand loyalty are inextricably </w:t>
      </w:r>
      <w:proofErr w:type="gramStart"/>
      <w:r w:rsidRPr="00703E54">
        <w:rPr>
          <w:rFonts w:ascii="Arial" w:eastAsia="Times New Roman" w:hAnsi="Arial" w:cs="Arial"/>
          <w:sz w:val="24"/>
          <w:szCs w:val="24"/>
        </w:rPr>
        <w:t>linked</w:t>
      </w:r>
      <w:proofErr w:type="gramEnd"/>
      <w:r w:rsidRPr="00703E54">
        <w:rPr>
          <w:rFonts w:ascii="Arial" w:eastAsia="Times New Roman" w:hAnsi="Arial" w:cs="Arial"/>
          <w:sz w:val="24"/>
          <w:szCs w:val="24"/>
        </w:rPr>
        <w:t xml:space="preserve"> and mutually supportive constructs as opposed to single-minded marketing concepts. Throughout the 50 studies reviewed, </w:t>
      </w:r>
      <w:proofErr w:type="gramStart"/>
      <w:r w:rsidRPr="00703E54">
        <w:rPr>
          <w:rFonts w:ascii="Arial" w:eastAsia="Times New Roman" w:hAnsi="Arial" w:cs="Arial"/>
          <w:sz w:val="24"/>
          <w:szCs w:val="24"/>
        </w:rPr>
        <w:t>it is clear that brand</w:t>
      </w:r>
      <w:proofErr w:type="gramEnd"/>
      <w:r w:rsidRPr="00703E54">
        <w:rPr>
          <w:rFonts w:ascii="Arial" w:eastAsia="Times New Roman" w:hAnsi="Arial" w:cs="Arial"/>
          <w:sz w:val="24"/>
          <w:szCs w:val="24"/>
        </w:rPr>
        <w:t xml:space="preserve"> loyalty in online settings is a multiplier of emotional, social, and experience i</w:t>
      </w:r>
      <w:r w:rsidR="00250D00">
        <w:rPr>
          <w:rFonts w:ascii="Arial" w:eastAsia="Times New Roman" w:hAnsi="Arial" w:cs="Arial"/>
          <w:sz w:val="24"/>
          <w:szCs w:val="24"/>
        </w:rPr>
        <w:t>nteraction that runs in a loop.</w:t>
      </w:r>
    </w:p>
    <w:p w14:paraId="4747A07B"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Digital storytelling is the first stimulus to consumer action because of the ability to develop emotionally charged and purposeful narratives. These stories shape the perception of consumers and create a psychological bond with the brands (Singh and Sonnenburg, 2022). After establishing the emotional engagement, online brand communities maintain this relationship through the ability to interact, participate, and co-create value with the co</w:t>
      </w:r>
      <w:r w:rsidR="00250D00">
        <w:rPr>
          <w:rFonts w:ascii="Arial" w:eastAsia="Times New Roman" w:hAnsi="Arial" w:cs="Arial"/>
          <w:sz w:val="24"/>
          <w:szCs w:val="24"/>
        </w:rPr>
        <w:t>nsumers (Dessart et al., 2020).</w:t>
      </w:r>
    </w:p>
    <w:p w14:paraId="21E4750A"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In addition, community involvement enhances identity alignment, in which the consumers start identifying with the brand values and meanings. This confirms Social Identity Theory that describes the development of self-concepts among group affiliation (</w:t>
      </w:r>
      <w:proofErr w:type="spellStart"/>
      <w:r w:rsidRPr="00703E54">
        <w:rPr>
          <w:rFonts w:ascii="Arial" w:eastAsia="Times New Roman" w:hAnsi="Arial" w:cs="Arial"/>
          <w:sz w:val="24"/>
          <w:szCs w:val="24"/>
        </w:rPr>
        <w:t>Algesheimer</w:t>
      </w:r>
      <w:proofErr w:type="spellEnd"/>
      <w:r w:rsidRPr="00703E54">
        <w:rPr>
          <w:rFonts w:ascii="Arial" w:eastAsia="Times New Roman" w:hAnsi="Arial" w:cs="Arial"/>
          <w:sz w:val="24"/>
          <w:szCs w:val="24"/>
        </w:rPr>
        <w:t xml:space="preserve"> et al., 2020). Within the branding context, such identity relation boosts long-term loyalty and decreases switching behaviour.</w:t>
      </w:r>
    </w:p>
    <w:p w14:paraId="546AB8C1"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lastRenderedPageBreak/>
        <w:t>Combined with these mechanisms, the ultimate result is brand advocacy where consumers actively promote the brand by spreading the word-of-mouth and sharing it online (Gómez-Suárez et al., 2021). Furthermore, experiential value is increased with the help of digital interaction via mobile apps and social networks that strengthen loya</w:t>
      </w:r>
      <w:r w:rsidR="00250D00">
        <w:rPr>
          <w:rFonts w:ascii="Arial" w:eastAsia="Times New Roman" w:hAnsi="Arial" w:cs="Arial"/>
          <w:sz w:val="24"/>
          <w:szCs w:val="24"/>
        </w:rPr>
        <w:t>lty behaviour (</w:t>
      </w:r>
      <w:proofErr w:type="spellStart"/>
      <w:r w:rsidR="00250D00">
        <w:rPr>
          <w:rFonts w:ascii="Arial" w:eastAsia="Times New Roman" w:hAnsi="Arial" w:cs="Arial"/>
          <w:sz w:val="24"/>
          <w:szCs w:val="24"/>
        </w:rPr>
        <w:t>Hanaysha</w:t>
      </w:r>
      <w:proofErr w:type="spellEnd"/>
      <w:r w:rsidR="00250D00">
        <w:rPr>
          <w:rFonts w:ascii="Arial" w:eastAsia="Times New Roman" w:hAnsi="Arial" w:cs="Arial"/>
          <w:sz w:val="24"/>
          <w:szCs w:val="24"/>
        </w:rPr>
        <w:t>, 2022).</w:t>
      </w:r>
    </w:p>
    <w:p w14:paraId="1D3E9FD4"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Regarding Nike, the literature indicates that the branding concept of the company is successful in terms of integrating storytelling and community as a single concept to ensure that the company continues to interact with consumers. The digital ecosystem of Nike makes sure that emotional engagement does not just last shortly but remains achieved with the continuous involvement and personalised expe</w:t>
      </w:r>
      <w:r w:rsidR="00250D00">
        <w:rPr>
          <w:rFonts w:ascii="Arial" w:eastAsia="Times New Roman" w:hAnsi="Arial" w:cs="Arial"/>
          <w:sz w:val="24"/>
          <w:szCs w:val="24"/>
        </w:rPr>
        <w:t>riences.</w:t>
      </w:r>
    </w:p>
    <w:p w14:paraId="06864815" w14:textId="70715502" w:rsid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All in all, the results indicate that brand loyalty in the digital age is a multi-phased process that includes emotional bonding, social interaction, identity establishment, and experience value-generation, that collaborate to enhance long-term customer business ties.</w:t>
      </w:r>
    </w:p>
    <w:p w14:paraId="46D71FEB" w14:textId="4D890564" w:rsidR="00C17E78" w:rsidRPr="00703E54" w:rsidRDefault="00C17E78" w:rsidP="00250D00">
      <w:pPr>
        <w:pStyle w:val="NoSpacing"/>
        <w:spacing w:before="240" w:after="240" w:line="360" w:lineRule="auto"/>
        <w:jc w:val="both"/>
        <w:rPr>
          <w:rFonts w:ascii="Arial" w:eastAsia="Times New Roman" w:hAnsi="Arial" w:cs="Arial"/>
          <w:sz w:val="24"/>
          <w:szCs w:val="24"/>
        </w:rPr>
      </w:pPr>
      <w:r w:rsidRPr="00C17E78">
        <w:rPr>
          <w:rFonts w:ascii="Arial" w:eastAsia="Times New Roman" w:hAnsi="Arial" w:cs="Arial"/>
          <w:sz w:val="24"/>
          <w:szCs w:val="24"/>
        </w:rPr>
        <w:t>“While digital storytelling enhances emotional engagement, its effectiveness is dependent on authenticity, as previous studies suggest that overly commercial narratives may reduce trust.”</w:t>
      </w:r>
    </w:p>
    <w:p w14:paraId="68880CB7" w14:textId="77777777" w:rsidR="00703E54" w:rsidRPr="00703E54" w:rsidRDefault="00703E54" w:rsidP="00250D00">
      <w:pPr>
        <w:pStyle w:val="Heading2"/>
      </w:pPr>
      <w:bookmarkStart w:id="46" w:name="_Toc228731041"/>
      <w:r w:rsidRPr="00703E54">
        <w:t>4.5 Critical Analysis of Results</w:t>
      </w:r>
      <w:bookmarkEnd w:id="46"/>
      <w:r w:rsidRPr="00703E54">
        <w:t xml:space="preserve"> </w:t>
      </w:r>
    </w:p>
    <w:p w14:paraId="465CC66F"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 xml:space="preserve">Although the results of the systematic literature review are highly convincing of the effectiveness of digital storytelling and community building in brand loyalty, </w:t>
      </w:r>
      <w:proofErr w:type="gramStart"/>
      <w:r w:rsidRPr="00703E54">
        <w:rPr>
          <w:rFonts w:ascii="Arial" w:eastAsia="Times New Roman" w:hAnsi="Arial" w:cs="Arial"/>
          <w:sz w:val="24"/>
          <w:szCs w:val="24"/>
        </w:rPr>
        <w:t>a number of</w:t>
      </w:r>
      <w:proofErr w:type="gramEnd"/>
      <w:r w:rsidRPr="00703E54">
        <w:rPr>
          <w:rFonts w:ascii="Arial" w:eastAsia="Times New Roman" w:hAnsi="Arial" w:cs="Arial"/>
          <w:sz w:val="24"/>
          <w:szCs w:val="24"/>
        </w:rPr>
        <w:t xml:space="preserve"> critical issues should be noted. To begin with, several studies emphasize that authenticity and credibility are crucial to the success of digital storytelling. In the case of storytelling being perceived as too commercialised or exaggerated, it can result in sceptics among consumers, as well as a lack of trust (Dwivedi et al., 2021). This implies that emotional stories will not be adequate unless they are perceived as authentic a</w:t>
      </w:r>
      <w:r w:rsidR="00250D00">
        <w:rPr>
          <w:rFonts w:ascii="Arial" w:eastAsia="Times New Roman" w:hAnsi="Arial" w:cs="Arial"/>
          <w:sz w:val="24"/>
          <w:szCs w:val="24"/>
        </w:rPr>
        <w:t>nd aligned with brand behaviour.</w:t>
      </w:r>
    </w:p>
    <w:p w14:paraId="70357720"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 xml:space="preserve">Secondly, despite the advantages of online brand communities, they do not always work well </w:t>
      </w:r>
      <w:proofErr w:type="gramStart"/>
      <w:r w:rsidRPr="00703E54">
        <w:rPr>
          <w:rFonts w:ascii="Arial" w:eastAsia="Times New Roman" w:hAnsi="Arial" w:cs="Arial"/>
          <w:sz w:val="24"/>
          <w:szCs w:val="24"/>
        </w:rPr>
        <w:t>as long as</w:t>
      </w:r>
      <w:proofErr w:type="gramEnd"/>
      <w:r w:rsidRPr="00703E54">
        <w:rPr>
          <w:rFonts w:ascii="Arial" w:eastAsia="Times New Roman" w:hAnsi="Arial" w:cs="Arial"/>
          <w:sz w:val="24"/>
          <w:szCs w:val="24"/>
        </w:rPr>
        <w:t xml:space="preserve"> they are maintained. It has been found that communities that are inactive or not moderated enough may decrease the level of participation and have a negative impact on brand perception (</w:t>
      </w:r>
      <w:proofErr w:type="spellStart"/>
      <w:r w:rsidRPr="00703E54">
        <w:rPr>
          <w:rFonts w:ascii="Arial" w:eastAsia="Times New Roman" w:hAnsi="Arial" w:cs="Arial"/>
          <w:sz w:val="24"/>
          <w:szCs w:val="24"/>
        </w:rPr>
        <w:t>Hollebeek</w:t>
      </w:r>
      <w:proofErr w:type="spellEnd"/>
      <w:r w:rsidRPr="00703E54">
        <w:rPr>
          <w:rFonts w:ascii="Arial" w:eastAsia="Times New Roman" w:hAnsi="Arial" w:cs="Arial"/>
          <w:sz w:val="24"/>
          <w:szCs w:val="24"/>
        </w:rPr>
        <w:t xml:space="preserve"> et al., 2022). This brings to light the </w:t>
      </w:r>
      <w:r w:rsidRPr="00703E54">
        <w:rPr>
          <w:rFonts w:ascii="Arial" w:eastAsia="Times New Roman" w:hAnsi="Arial" w:cs="Arial"/>
          <w:sz w:val="24"/>
          <w:szCs w:val="24"/>
        </w:rPr>
        <w:lastRenderedPageBreak/>
        <w:t>need of ongoing community management and value generation to build cons</w:t>
      </w:r>
      <w:r w:rsidR="00250D00">
        <w:rPr>
          <w:rFonts w:ascii="Arial" w:eastAsia="Times New Roman" w:hAnsi="Arial" w:cs="Arial"/>
          <w:sz w:val="24"/>
          <w:szCs w:val="24"/>
        </w:rPr>
        <w:t>umer interest in the long-term.</w:t>
      </w:r>
    </w:p>
    <w:p w14:paraId="4E27E88E"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 xml:space="preserve">Saturation of digital content is another weakness found in the literature. Cumulative branded content on various platforms exposes the consumers to volumes of content and may thus result in attention deficits, exhaustion, and avoidance self-selection of the marketing messages. Consequently, even properly designed storytelling campaigns can have a hard time sustaining any lasting effects without </w:t>
      </w:r>
      <w:r w:rsidR="00250D00">
        <w:rPr>
          <w:rFonts w:ascii="Arial" w:eastAsia="Times New Roman" w:hAnsi="Arial" w:cs="Arial"/>
          <w:sz w:val="24"/>
          <w:szCs w:val="24"/>
        </w:rPr>
        <w:t>differentiation and innovation.</w:t>
      </w:r>
    </w:p>
    <w:p w14:paraId="6C117902" w14:textId="77777777" w:rsidR="00703E54" w:rsidRPr="00703E54"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Moreover, a lot of research that is reviewed is based on cross-sectional data or conceptual model, so it is not possible to determine the long-term causal relationships between storytelling, community involvement, and the outcomes of loyalty. This limits the extrapolation of results related to other c</w:t>
      </w:r>
      <w:r w:rsidR="00250D00">
        <w:rPr>
          <w:rFonts w:ascii="Arial" w:eastAsia="Times New Roman" w:hAnsi="Arial" w:cs="Arial"/>
          <w:sz w:val="24"/>
          <w:szCs w:val="24"/>
        </w:rPr>
        <w:t>ultural and market backgrounds.</w:t>
      </w:r>
    </w:p>
    <w:p w14:paraId="755C315E" w14:textId="67AF273E" w:rsidR="00250D00" w:rsidRDefault="00703E54" w:rsidP="00250D00">
      <w:pPr>
        <w:pStyle w:val="NoSpacing"/>
        <w:spacing w:before="240" w:after="240" w:line="360" w:lineRule="auto"/>
        <w:jc w:val="both"/>
        <w:rPr>
          <w:rFonts w:ascii="Arial" w:eastAsia="Times New Roman" w:hAnsi="Arial" w:cs="Arial"/>
          <w:sz w:val="24"/>
          <w:szCs w:val="24"/>
        </w:rPr>
      </w:pPr>
      <w:r w:rsidRPr="00703E54">
        <w:rPr>
          <w:rFonts w:ascii="Arial" w:eastAsia="Times New Roman" w:hAnsi="Arial" w:cs="Arial"/>
          <w:sz w:val="24"/>
          <w:szCs w:val="24"/>
        </w:rPr>
        <w:t>Regardless of these constraints, there is still evidence that in cases where well-implemented, digital storytelling and community building are effective, brand loyalty is greatly boosted. In Nike, success will not be determined by creation of content alone, but rather the continued authenticity, community involvement and constant in</w:t>
      </w:r>
      <w:r>
        <w:rPr>
          <w:rFonts w:ascii="Arial" w:eastAsia="Times New Roman" w:hAnsi="Arial" w:cs="Arial"/>
          <w:sz w:val="24"/>
          <w:szCs w:val="24"/>
        </w:rPr>
        <w:t>novation in digital experiences</w:t>
      </w:r>
      <w:r w:rsidR="00010115" w:rsidRPr="00010115">
        <w:rPr>
          <w:rFonts w:ascii="Arial" w:eastAsia="Times New Roman" w:hAnsi="Arial" w:cs="Arial"/>
          <w:sz w:val="24"/>
          <w:szCs w:val="24"/>
        </w:rPr>
        <w:t>.</w:t>
      </w:r>
    </w:p>
    <w:p w14:paraId="458175BA" w14:textId="53F43FF1" w:rsidR="00BD338B" w:rsidRPr="00B45DD5" w:rsidRDefault="00BD338B" w:rsidP="00250D00">
      <w:pPr>
        <w:pStyle w:val="NoSpacing"/>
        <w:spacing w:before="240" w:after="240" w:line="360" w:lineRule="auto"/>
        <w:jc w:val="both"/>
        <w:rPr>
          <w:rFonts w:ascii="Arial" w:eastAsia="Times New Roman" w:hAnsi="Arial" w:cs="Arial"/>
          <w:sz w:val="24"/>
          <w:szCs w:val="24"/>
        </w:rPr>
      </w:pPr>
      <w:r w:rsidRPr="00BD338B">
        <w:rPr>
          <w:rFonts w:ascii="Arial" w:eastAsia="Times New Roman" w:hAnsi="Arial" w:cs="Arial"/>
          <w:sz w:val="24"/>
          <w:szCs w:val="24"/>
        </w:rPr>
        <w:t>“Although relationship marketing theory provides a strong explanation for loyalty development, it has been criticised for underestimating the role of digital communities in shaping consumer identity.”</w:t>
      </w:r>
    </w:p>
    <w:p w14:paraId="6CDED5DC" w14:textId="77777777" w:rsidR="00853C3D" w:rsidRPr="00B45DD5" w:rsidRDefault="00853C3D" w:rsidP="00250D00">
      <w:pPr>
        <w:pStyle w:val="Heading2"/>
      </w:pPr>
      <w:bookmarkStart w:id="47" w:name="_Toc228731042"/>
      <w:r w:rsidRPr="00B45DD5">
        <w:t>4.6 Comparison with Existing Literature</w:t>
      </w:r>
      <w:bookmarkEnd w:id="47"/>
      <w:r w:rsidR="00B45DD5" w:rsidRPr="00B45DD5">
        <w:t xml:space="preserve"> </w:t>
      </w:r>
    </w:p>
    <w:p w14:paraId="3BBF5CB9"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The results of this systematic literature review are mostly congruent with the current scholarly studies on digital storytelling, community building, and brand loyalty. In the previous literature, the significance of emotional branding and online interaction in consumer loyalty development has been constantly stressed in the modern marketing landscape (Rather et al., 2022). The current paper supports this argument by showing that emotional storytelling is one of the key motivations of consumer interaction and attitudinal commit</w:t>
      </w:r>
      <w:r w:rsidR="00250D00">
        <w:rPr>
          <w:rFonts w:ascii="Arial" w:eastAsia="Times New Roman" w:hAnsi="Arial" w:cs="Arial"/>
          <w:sz w:val="24"/>
          <w:szCs w:val="24"/>
        </w:rPr>
        <w:t>ment.</w:t>
      </w:r>
    </w:p>
    <w:p w14:paraId="3754EC2A"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lastRenderedPageBreak/>
        <w:t xml:space="preserve">Nevertheless, the work expands on the current literature by incorporating digital storytelling and community building into one cohesive framework as opposed to considering them as two distinct constructs. Although previous studies tend to </w:t>
      </w:r>
      <w:proofErr w:type="spellStart"/>
      <w:r w:rsidRPr="0080291E">
        <w:rPr>
          <w:rFonts w:ascii="Arial" w:eastAsia="Times New Roman" w:hAnsi="Arial" w:cs="Arial"/>
          <w:sz w:val="24"/>
          <w:szCs w:val="24"/>
        </w:rPr>
        <w:t>analyze</w:t>
      </w:r>
      <w:proofErr w:type="spellEnd"/>
      <w:r w:rsidRPr="0080291E">
        <w:rPr>
          <w:rFonts w:ascii="Arial" w:eastAsia="Times New Roman" w:hAnsi="Arial" w:cs="Arial"/>
          <w:sz w:val="24"/>
          <w:szCs w:val="24"/>
        </w:rPr>
        <w:t xml:space="preserve"> storytelling as an emotive communication instrument and community building as a relational engagement approach separately (Dessart et al., 2020), this review demonstrates that both aspects work in tandem in an ongoing engagement, reinforcement, and loyalty-building</w:t>
      </w:r>
      <w:r w:rsidR="00250D00">
        <w:rPr>
          <w:rFonts w:ascii="Arial" w:eastAsia="Times New Roman" w:hAnsi="Arial" w:cs="Arial"/>
          <w:sz w:val="24"/>
          <w:szCs w:val="24"/>
        </w:rPr>
        <w:t xml:space="preserve"> cycle.</w:t>
      </w:r>
    </w:p>
    <w:p w14:paraId="4FF4E19F"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Moreover, the results correspond to the Social Identity Theory that presupposes the individual acquisition of the self-concept based on the membership in a group (</w:t>
      </w:r>
      <w:proofErr w:type="spellStart"/>
      <w:r w:rsidRPr="0080291E">
        <w:rPr>
          <w:rFonts w:ascii="Arial" w:eastAsia="Times New Roman" w:hAnsi="Arial" w:cs="Arial"/>
          <w:sz w:val="24"/>
          <w:szCs w:val="24"/>
        </w:rPr>
        <w:t>Algesheimer</w:t>
      </w:r>
      <w:proofErr w:type="spellEnd"/>
      <w:r w:rsidRPr="0080291E">
        <w:rPr>
          <w:rFonts w:ascii="Arial" w:eastAsia="Times New Roman" w:hAnsi="Arial" w:cs="Arial"/>
          <w:sz w:val="24"/>
          <w:szCs w:val="24"/>
        </w:rPr>
        <w:t xml:space="preserve"> et al., 2020). The review confirms that online brand communities reinforce identity alignment that leads to increased loyalty behaviours. This substantiates the argument that brand loyalty is not just behavioural but ps</w:t>
      </w:r>
      <w:r w:rsidR="00250D00">
        <w:rPr>
          <w:rFonts w:ascii="Arial" w:eastAsia="Times New Roman" w:hAnsi="Arial" w:cs="Arial"/>
          <w:sz w:val="24"/>
          <w:szCs w:val="24"/>
        </w:rPr>
        <w:t xml:space="preserve">ychological and </w:t>
      </w:r>
      <w:proofErr w:type="gramStart"/>
      <w:r w:rsidR="00250D00">
        <w:rPr>
          <w:rFonts w:ascii="Arial" w:eastAsia="Times New Roman" w:hAnsi="Arial" w:cs="Arial"/>
          <w:sz w:val="24"/>
          <w:szCs w:val="24"/>
        </w:rPr>
        <w:t>identity-based</w:t>
      </w:r>
      <w:proofErr w:type="gramEnd"/>
      <w:r w:rsidR="00250D00">
        <w:rPr>
          <w:rFonts w:ascii="Arial" w:eastAsia="Times New Roman" w:hAnsi="Arial" w:cs="Arial"/>
          <w:sz w:val="24"/>
          <w:szCs w:val="24"/>
        </w:rPr>
        <w:t>.</w:t>
      </w:r>
    </w:p>
    <w:p w14:paraId="00806CDA"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 xml:space="preserve">Furthermore, this research confirms the Customer Engagement Theory that emphasizes the significance of interaction, participation, and co-creation in establishing </w:t>
      </w:r>
      <w:r w:rsidR="00250D00" w:rsidRPr="0080291E">
        <w:rPr>
          <w:rFonts w:ascii="Arial" w:eastAsia="Times New Roman" w:hAnsi="Arial" w:cs="Arial"/>
          <w:sz w:val="24"/>
          <w:szCs w:val="24"/>
        </w:rPr>
        <w:t>a strong brand relationship</w:t>
      </w:r>
      <w:r w:rsidRPr="0080291E">
        <w:rPr>
          <w:rFonts w:ascii="Arial" w:eastAsia="Times New Roman" w:hAnsi="Arial" w:cs="Arial"/>
          <w:sz w:val="24"/>
          <w:szCs w:val="24"/>
        </w:rPr>
        <w:t>. The results indicate that online communication improves experiential value and reinforces the long-term engagement outcomes (</w:t>
      </w:r>
      <w:proofErr w:type="spellStart"/>
      <w:r w:rsidRPr="0080291E">
        <w:rPr>
          <w:rFonts w:ascii="Arial" w:eastAsia="Times New Roman" w:hAnsi="Arial" w:cs="Arial"/>
          <w:sz w:val="24"/>
          <w:szCs w:val="24"/>
        </w:rPr>
        <w:t>Hanaysha</w:t>
      </w:r>
      <w:proofErr w:type="spellEnd"/>
      <w:r w:rsidRPr="0080291E">
        <w:rPr>
          <w:rFonts w:ascii="Arial" w:eastAsia="Times New Roman" w:hAnsi="Arial" w:cs="Arial"/>
          <w:sz w:val="24"/>
          <w:szCs w:val="24"/>
        </w:rPr>
        <w:t>, 2022</w:t>
      </w:r>
      <w:r w:rsidR="00250D00">
        <w:rPr>
          <w:rFonts w:ascii="Arial" w:eastAsia="Times New Roman" w:hAnsi="Arial" w:cs="Arial"/>
          <w:sz w:val="24"/>
          <w:szCs w:val="24"/>
        </w:rPr>
        <w:t>).</w:t>
      </w:r>
    </w:p>
    <w:p w14:paraId="59DCA3BC"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 xml:space="preserve">Regarding Nike, the work aligns with the literature that indicates that the branding strategy of Nike is effective in integrating emotional storytelling and community involvement. Nevertheless, this paper also highlights that the combination of these two factors is what makes one </w:t>
      </w:r>
      <w:proofErr w:type="gramStart"/>
      <w:r w:rsidRPr="0080291E">
        <w:rPr>
          <w:rFonts w:ascii="Arial" w:eastAsia="Times New Roman" w:hAnsi="Arial" w:cs="Arial"/>
          <w:sz w:val="24"/>
          <w:szCs w:val="24"/>
        </w:rPr>
        <w:t>really loyal</w:t>
      </w:r>
      <w:proofErr w:type="gramEnd"/>
      <w:r w:rsidR="00250D00">
        <w:rPr>
          <w:rFonts w:ascii="Arial" w:eastAsia="Times New Roman" w:hAnsi="Arial" w:cs="Arial"/>
          <w:sz w:val="24"/>
          <w:szCs w:val="24"/>
        </w:rPr>
        <w:t>, not either of the strategies.</w:t>
      </w:r>
    </w:p>
    <w:p w14:paraId="00825A83" w14:textId="20225EED" w:rsidR="00250D00"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In general, this study supports the existing theories through also adding a more coherent approach to how digital marketing strategies all play a role in brand loyalty in the digital era.</w:t>
      </w:r>
    </w:p>
    <w:p w14:paraId="61A06417" w14:textId="5135F236" w:rsidR="000320EE" w:rsidRDefault="000320EE" w:rsidP="00250D00">
      <w:pPr>
        <w:pStyle w:val="NoSpacing"/>
        <w:spacing w:before="240" w:after="240" w:line="360" w:lineRule="auto"/>
        <w:jc w:val="both"/>
        <w:rPr>
          <w:rFonts w:ascii="Arial" w:eastAsia="Times New Roman" w:hAnsi="Arial" w:cs="Arial"/>
          <w:sz w:val="24"/>
          <w:szCs w:val="24"/>
        </w:rPr>
      </w:pPr>
      <w:r w:rsidRPr="000320EE">
        <w:rPr>
          <w:rFonts w:ascii="Arial" w:eastAsia="Times New Roman" w:hAnsi="Arial" w:cs="Arial"/>
          <w:sz w:val="24"/>
          <w:szCs w:val="24"/>
        </w:rPr>
        <w:t>“This finding contrasts with Singh and Sonnenburg (2022), who argue that storytelling is the primary driver of engagement, whereas this study suggests that community interaction plays an equally important role.”</w:t>
      </w:r>
    </w:p>
    <w:p w14:paraId="1D99D70A" w14:textId="77777777" w:rsidR="006C1699" w:rsidRPr="0080291E" w:rsidRDefault="006C1699" w:rsidP="00250D00">
      <w:pPr>
        <w:pStyle w:val="NoSpacing"/>
        <w:spacing w:before="240" w:after="240" w:line="360" w:lineRule="auto"/>
        <w:jc w:val="both"/>
        <w:rPr>
          <w:rFonts w:ascii="Arial" w:eastAsia="Times New Roman" w:hAnsi="Arial" w:cs="Arial"/>
          <w:sz w:val="24"/>
          <w:szCs w:val="24"/>
        </w:rPr>
      </w:pPr>
    </w:p>
    <w:p w14:paraId="23D71228" w14:textId="77777777" w:rsidR="0080291E" w:rsidRPr="00250D00" w:rsidRDefault="0080291E" w:rsidP="00250D00">
      <w:pPr>
        <w:pStyle w:val="Heading2"/>
      </w:pPr>
      <w:bookmarkStart w:id="48" w:name="_Toc228731043"/>
      <w:r w:rsidRPr="0080291E">
        <w:lastRenderedPageBreak/>
        <w:t>4.7 Conceptual Insight (Nike Case Context)</w:t>
      </w:r>
      <w:bookmarkEnd w:id="48"/>
      <w:r w:rsidRPr="0080291E">
        <w:t xml:space="preserve"> </w:t>
      </w:r>
    </w:p>
    <w:p w14:paraId="0CE055B6"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 xml:space="preserve">The theoretical understanding that comes out of this systematic literature review is that brand loyalty in the digital age is constructed using an ecosystem of digital storytelling, community, identity formation, and creating a sense of experience. These aspects are a continuous and reinforcing loop and not isolated marketing </w:t>
      </w:r>
      <w:r w:rsidR="00250D00">
        <w:rPr>
          <w:rFonts w:ascii="Arial" w:eastAsia="Times New Roman" w:hAnsi="Arial" w:cs="Arial"/>
          <w:sz w:val="24"/>
          <w:szCs w:val="24"/>
        </w:rPr>
        <w:t>activities in the case of Nike.</w:t>
      </w:r>
    </w:p>
    <w:p w14:paraId="1544E98B"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 xml:space="preserve">Nike digital stories approach is </w:t>
      </w:r>
      <w:r w:rsidR="00250D00" w:rsidRPr="0080291E">
        <w:rPr>
          <w:rFonts w:ascii="Arial" w:eastAsia="Times New Roman" w:hAnsi="Arial" w:cs="Arial"/>
          <w:sz w:val="24"/>
          <w:szCs w:val="24"/>
        </w:rPr>
        <w:t>centred</w:t>
      </w:r>
      <w:r w:rsidRPr="0080291E">
        <w:rPr>
          <w:rFonts w:ascii="Arial" w:eastAsia="Times New Roman" w:hAnsi="Arial" w:cs="Arial"/>
          <w:sz w:val="24"/>
          <w:szCs w:val="24"/>
        </w:rPr>
        <w:t xml:space="preserve"> on narratives that are emotionally impactful and are concerned with perseverance, achievement, and self-belief. These stories have a powerful emotional appeal, which is appealing and captivating to consumers on a psychological level. As soon as the engagement is achieved, Nike online communities and digital platforms enable continuous participation via fitness tracking, user-generated c</w:t>
      </w:r>
      <w:r w:rsidR="00250D00">
        <w:rPr>
          <w:rFonts w:ascii="Arial" w:eastAsia="Times New Roman" w:hAnsi="Arial" w:cs="Arial"/>
          <w:sz w:val="24"/>
          <w:szCs w:val="24"/>
        </w:rPr>
        <w:t>ontent, and social interaction.</w:t>
      </w:r>
    </w:p>
    <w:p w14:paraId="0FC04118" w14:textId="77777777" w:rsidR="0080291E"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 xml:space="preserve">This engagement enhances the identification of consumer identity where persons start identifying themselves with the values of motivation and performance of Nike. This identity relationship eventually turns into behavioural loyalty and brand advocacy. Not only consumers do not stop buying them but also </w:t>
      </w:r>
      <w:r w:rsidR="00250D00">
        <w:rPr>
          <w:rFonts w:ascii="Arial" w:eastAsia="Times New Roman" w:hAnsi="Arial" w:cs="Arial"/>
          <w:sz w:val="24"/>
          <w:szCs w:val="24"/>
        </w:rPr>
        <w:t>recommend it to their networks.</w:t>
      </w:r>
    </w:p>
    <w:p w14:paraId="57CCB261" w14:textId="3CCE7790" w:rsidR="00BF1114" w:rsidRPr="0080291E"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Thus, the theoretical framework indicates that the multi-layered system of engagement, in which the storytelling is the starting point of emotional bonding, community platforms maintain engagement, and identity formation guarantees long-term loyalty and advocacy</w:t>
      </w:r>
      <w:r w:rsidR="00250D00">
        <w:rPr>
          <w:rFonts w:ascii="Arial" w:eastAsia="Times New Roman" w:hAnsi="Arial" w:cs="Arial"/>
          <w:sz w:val="24"/>
          <w:szCs w:val="24"/>
        </w:rPr>
        <w:t>, drives brand loyalty at Nike.</w:t>
      </w:r>
    </w:p>
    <w:p w14:paraId="288CC106" w14:textId="774537C3" w:rsidR="0080291E" w:rsidRPr="00250D00" w:rsidRDefault="00D01018" w:rsidP="00250D00">
      <w:pPr>
        <w:pStyle w:val="Heading2"/>
      </w:pPr>
      <w:bookmarkStart w:id="49" w:name="_Toc228731044"/>
      <w:r>
        <w:t>4.8</w:t>
      </w:r>
      <w:r w:rsidR="0080291E" w:rsidRPr="0080291E">
        <w:t xml:space="preserve"> Conclusion</w:t>
      </w:r>
      <w:bookmarkEnd w:id="49"/>
      <w:r w:rsidR="0080291E" w:rsidRPr="0080291E">
        <w:t xml:space="preserve"> </w:t>
      </w:r>
    </w:p>
    <w:p w14:paraId="204CCA6F" w14:textId="3E3F1AAF" w:rsidR="00644FE9" w:rsidRDefault="0080291E" w:rsidP="00250D00">
      <w:pPr>
        <w:pStyle w:val="NoSpacing"/>
        <w:spacing w:before="240" w:after="240" w:line="360" w:lineRule="auto"/>
        <w:jc w:val="both"/>
        <w:rPr>
          <w:rFonts w:ascii="Arial" w:eastAsia="Times New Roman" w:hAnsi="Arial" w:cs="Arial"/>
          <w:sz w:val="24"/>
          <w:szCs w:val="24"/>
        </w:rPr>
      </w:pPr>
      <w:r w:rsidRPr="0080291E">
        <w:rPr>
          <w:rFonts w:ascii="Arial" w:eastAsia="Times New Roman" w:hAnsi="Arial" w:cs="Arial"/>
          <w:sz w:val="24"/>
          <w:szCs w:val="24"/>
        </w:rPr>
        <w:t>This chapter has provided findings, analysis and discussion of systematic literature review of 50 academic studies. The study found five themes, namely, emotional storytelling, community involvement, identity formation, brand advocacy, and digital interaction. Combined, these themes clarify how digital storytelling and community building can help in building bran</w:t>
      </w:r>
      <w:r w:rsidR="00250D00">
        <w:rPr>
          <w:rFonts w:ascii="Arial" w:eastAsia="Times New Roman" w:hAnsi="Arial" w:cs="Arial"/>
          <w:sz w:val="24"/>
          <w:szCs w:val="24"/>
        </w:rPr>
        <w:t xml:space="preserve">d loyalty in the digital world. </w:t>
      </w:r>
      <w:r w:rsidRPr="0080291E">
        <w:rPr>
          <w:rFonts w:ascii="Arial" w:eastAsia="Times New Roman" w:hAnsi="Arial" w:cs="Arial"/>
          <w:sz w:val="24"/>
          <w:szCs w:val="24"/>
        </w:rPr>
        <w:t xml:space="preserve">The results show that brand loyalty is not purely dependent on product </w:t>
      </w:r>
      <w:proofErr w:type="gramStart"/>
      <w:r w:rsidRPr="0080291E">
        <w:rPr>
          <w:rFonts w:ascii="Arial" w:eastAsia="Times New Roman" w:hAnsi="Arial" w:cs="Arial"/>
          <w:sz w:val="24"/>
          <w:szCs w:val="24"/>
        </w:rPr>
        <w:t>quality</w:t>
      </w:r>
      <w:proofErr w:type="gramEnd"/>
      <w:r w:rsidRPr="0080291E">
        <w:rPr>
          <w:rFonts w:ascii="Arial" w:eastAsia="Times New Roman" w:hAnsi="Arial" w:cs="Arial"/>
          <w:sz w:val="24"/>
          <w:szCs w:val="24"/>
        </w:rPr>
        <w:t xml:space="preserve"> but it is an emotional, social and experiential construct. Community engagement and the incorporation of stories form an ongoing loop of consumer engagement that builds stronger relat</w:t>
      </w:r>
      <w:r w:rsidR="00250D00">
        <w:rPr>
          <w:rFonts w:ascii="Arial" w:eastAsia="Times New Roman" w:hAnsi="Arial" w:cs="Arial"/>
          <w:sz w:val="24"/>
          <w:szCs w:val="24"/>
        </w:rPr>
        <w:t xml:space="preserve">ionships over </w:t>
      </w:r>
      <w:r w:rsidR="00250D00">
        <w:rPr>
          <w:rFonts w:ascii="Arial" w:eastAsia="Times New Roman" w:hAnsi="Arial" w:cs="Arial"/>
          <w:sz w:val="24"/>
          <w:szCs w:val="24"/>
        </w:rPr>
        <w:lastRenderedPageBreak/>
        <w:t xml:space="preserve">time with brands. </w:t>
      </w:r>
      <w:r w:rsidRPr="0080291E">
        <w:rPr>
          <w:rFonts w:ascii="Arial" w:eastAsia="Times New Roman" w:hAnsi="Arial" w:cs="Arial"/>
          <w:sz w:val="24"/>
          <w:szCs w:val="24"/>
        </w:rPr>
        <w:t xml:space="preserve">Regarding Nike, </w:t>
      </w:r>
      <w:proofErr w:type="gramStart"/>
      <w:r w:rsidRPr="0080291E">
        <w:rPr>
          <w:rFonts w:ascii="Arial" w:eastAsia="Times New Roman" w:hAnsi="Arial" w:cs="Arial"/>
          <w:sz w:val="24"/>
          <w:szCs w:val="24"/>
        </w:rPr>
        <w:t>it can be seen that the</w:t>
      </w:r>
      <w:proofErr w:type="gramEnd"/>
      <w:r w:rsidRPr="0080291E">
        <w:rPr>
          <w:rFonts w:ascii="Arial" w:eastAsia="Times New Roman" w:hAnsi="Arial" w:cs="Arial"/>
          <w:sz w:val="24"/>
          <w:szCs w:val="24"/>
        </w:rPr>
        <w:t xml:space="preserve"> digital strategy of its use is successful in balancing emotional storytelling with interactive community-oriented platforms to maintain interest and loyalty. </w:t>
      </w:r>
      <w:proofErr w:type="gramStart"/>
      <w:r w:rsidRPr="0080291E">
        <w:rPr>
          <w:rFonts w:ascii="Arial" w:eastAsia="Times New Roman" w:hAnsi="Arial" w:cs="Arial"/>
          <w:sz w:val="24"/>
          <w:szCs w:val="24"/>
        </w:rPr>
        <w:t>On the whole</w:t>
      </w:r>
      <w:proofErr w:type="gramEnd"/>
      <w:r w:rsidRPr="0080291E">
        <w:rPr>
          <w:rFonts w:ascii="Arial" w:eastAsia="Times New Roman" w:hAnsi="Arial" w:cs="Arial"/>
          <w:sz w:val="24"/>
          <w:szCs w:val="24"/>
        </w:rPr>
        <w:t>, this chapter confirms that digital marketing is a vital part of the contemporary consumer-brand relationships.</w:t>
      </w:r>
    </w:p>
    <w:p w14:paraId="2A4A845F" w14:textId="666BD407" w:rsidR="00144539" w:rsidRDefault="00644FE9" w:rsidP="00250D00">
      <w:pPr>
        <w:pStyle w:val="NoSpacing"/>
        <w:spacing w:before="240" w:after="240" w:line="360" w:lineRule="auto"/>
        <w:jc w:val="both"/>
        <w:rPr>
          <w:rFonts w:ascii="Arial" w:eastAsia="Times New Roman" w:hAnsi="Arial" w:cs="Arial"/>
          <w:sz w:val="24"/>
          <w:szCs w:val="24"/>
        </w:rPr>
        <w:sectPr w:rsidR="00144539">
          <w:pgSz w:w="11906" w:h="16838"/>
          <w:pgMar w:top="1440" w:right="1440" w:bottom="1440" w:left="1440" w:header="708" w:footer="708" w:gutter="0"/>
          <w:pgNumType w:start="1"/>
          <w:cols w:space="720"/>
        </w:sectPr>
      </w:pPr>
      <w:r>
        <w:rPr>
          <w:rFonts w:ascii="Arial" w:eastAsia="Times New Roman" w:hAnsi="Arial" w:cs="Arial"/>
          <w:sz w:val="24"/>
          <w:szCs w:val="24"/>
        </w:rPr>
        <w:t xml:space="preserve">The conclusion chapter highlighted the discussed chapters in this these and address the limitations </w:t>
      </w:r>
      <w:proofErr w:type="gramStart"/>
      <w:r>
        <w:rPr>
          <w:rFonts w:ascii="Arial" w:eastAsia="Times New Roman" w:hAnsi="Arial" w:cs="Arial"/>
          <w:sz w:val="24"/>
          <w:szCs w:val="24"/>
        </w:rPr>
        <w:t>an</w:t>
      </w:r>
      <w:r w:rsidR="00144539">
        <w:rPr>
          <w:rFonts w:ascii="Arial" w:eastAsia="Times New Roman" w:hAnsi="Arial" w:cs="Arial"/>
          <w:sz w:val="24"/>
          <w:szCs w:val="24"/>
        </w:rPr>
        <w:t>d also</w:t>
      </w:r>
      <w:proofErr w:type="gramEnd"/>
      <w:r w:rsidR="00144539">
        <w:rPr>
          <w:rFonts w:ascii="Arial" w:eastAsia="Times New Roman" w:hAnsi="Arial" w:cs="Arial"/>
          <w:sz w:val="24"/>
          <w:szCs w:val="24"/>
        </w:rPr>
        <w:t xml:space="preserve"> provides recommendations</w:t>
      </w:r>
    </w:p>
    <w:p w14:paraId="1FBF2DCF" w14:textId="40DD1666" w:rsidR="00644FE9" w:rsidRDefault="00644FE9" w:rsidP="00144539">
      <w:pPr>
        <w:pStyle w:val="Heading1"/>
      </w:pPr>
      <w:bookmarkStart w:id="50" w:name="_Toc228731045"/>
      <w:r>
        <w:lastRenderedPageBreak/>
        <w:t>CHAPTER 5</w:t>
      </w:r>
      <w:r w:rsidR="003B29B1" w:rsidRPr="003B29B1">
        <w:t>:</w:t>
      </w:r>
      <w:r>
        <w:t xml:space="preserve"> Conclusion</w:t>
      </w:r>
      <w:bookmarkEnd w:id="50"/>
    </w:p>
    <w:p w14:paraId="3CBFCA71" w14:textId="18B7141D" w:rsidR="00C47976" w:rsidRPr="00C47976" w:rsidRDefault="00C47976" w:rsidP="009A6811">
      <w:pPr>
        <w:pStyle w:val="Heading2"/>
      </w:pPr>
      <w:bookmarkStart w:id="51" w:name="_Toc228731046"/>
      <w:r w:rsidRPr="00C47976">
        <w:t>5.1 Introduction</w:t>
      </w:r>
      <w:bookmarkEnd w:id="51"/>
      <w:r w:rsidRPr="00C47976">
        <w:t xml:space="preserve"> </w:t>
      </w:r>
    </w:p>
    <w:p w14:paraId="24C619E2"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This chapter gives the final discussion of the dissertation which is first titled as The Role of Digital stories and Community building in strengthening a brand Loyalty: A Study of Nike. It is an overview of the whole research process which includes introduction of the research problem, research aim and objectives, literature review, research methodology, findings of the systematic literature review (SLR) and the general conclusions of the study.</w:t>
      </w:r>
    </w:p>
    <w:p w14:paraId="5EDBBBDB"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The study followed the Systematic Literature Review (SLR) methodology and examined 50 scholarly articles published in 2019-2024. This approach allowed a systematic and clear synthesis of the current knowledge regarding digital storytelling, community building, and brand loyalty without applying primary data collection techniques (surveys, interviews, etc.). The SLR method is generally known to enhance reliability and minimise bias in the qualitative synthesis of research (Xiao and Watson, 2019).</w:t>
      </w:r>
    </w:p>
    <w:p w14:paraId="2EC2A8B6"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Its research was dedicated to the comprehension of the role of digital storytelling and community engagement in the long-term brand loyalty, especially when it comes to Nike. The thematic analysis and literature review showed that the contemporary brand loyalty is not solely based on the quality of the product or its price, but rather heavily depends on emotional bond, online communication, and involvement within the community.</w:t>
      </w:r>
    </w:p>
    <w:p w14:paraId="7CCF1406"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The results indicated that storytelling brings emotional involvement, community building maintains the interaction, and these two elements promote identity alignment and brand advocacy. Theoretical frameworks that were used to analyse these insights include Relationship Marketing Theory, Social Identity Theory and Customer Engagement Theory.</w:t>
      </w:r>
    </w:p>
    <w:p w14:paraId="2F401614"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 xml:space="preserve">The chapter will now conclude by summarising the main findings of the study, how the objectives of the research have been fulfilled and the general conclusions of the literature analysis </w:t>
      </w:r>
      <w:proofErr w:type="spellStart"/>
      <w:r w:rsidRPr="00C47976">
        <w:rPr>
          <w:rFonts w:ascii="Arial" w:eastAsia="Times New Roman" w:hAnsi="Arial" w:cs="Arial"/>
          <w:sz w:val="24"/>
          <w:szCs w:val="24"/>
        </w:rPr>
        <w:t>analysis</w:t>
      </w:r>
      <w:proofErr w:type="spellEnd"/>
      <w:r w:rsidRPr="00C47976">
        <w:rPr>
          <w:rFonts w:ascii="Arial" w:eastAsia="Times New Roman" w:hAnsi="Arial" w:cs="Arial"/>
          <w:sz w:val="24"/>
          <w:szCs w:val="24"/>
        </w:rPr>
        <w:t xml:space="preserve">. It will also comment on what the study has contributed to </w:t>
      </w:r>
      <w:r w:rsidRPr="00C47976">
        <w:rPr>
          <w:rFonts w:ascii="Arial" w:eastAsia="Times New Roman" w:hAnsi="Arial" w:cs="Arial"/>
          <w:sz w:val="24"/>
          <w:szCs w:val="24"/>
        </w:rPr>
        <w:lastRenderedPageBreak/>
        <w:t>the existing body of academic knowledge and comment on how the study has impacted on the practice of digital marketing and future studies.</w:t>
      </w:r>
    </w:p>
    <w:p w14:paraId="489BC652" w14:textId="0CD298B4" w:rsidR="00C47976" w:rsidRPr="00C47976" w:rsidRDefault="00C47976" w:rsidP="009A6811">
      <w:pPr>
        <w:pStyle w:val="Heading2"/>
      </w:pPr>
      <w:bookmarkStart w:id="52" w:name="_Toc228731047"/>
      <w:r w:rsidRPr="00C47976">
        <w:t xml:space="preserve">5.2 </w:t>
      </w:r>
      <w:r w:rsidR="009A6811" w:rsidRPr="009A6811">
        <w:t>Summary of Key Findings</w:t>
      </w:r>
      <w:bookmarkEnd w:id="52"/>
    </w:p>
    <w:p w14:paraId="1B141574"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This paper has validated that digital storytelling and community building are the key drivers of brand loyalty in the digital age. The systematic review has shown that there are five main themes: emotional storytelling, community participation, identity formation, brand advocacy and Digital interaction. All these themes help us understand how consumers become long-term brand loyal.</w:t>
      </w:r>
    </w:p>
    <w:p w14:paraId="6C87B890"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To begin with, it was discovered that emotional storytelling was an effective tool in consumer engagement. Studies have always revealed that stories built around authenticity, personal struggle, and inspirations create a greater emotional appeal than conventional marketing messages (Singh and Sonnenburg, 2022). Attitudinal loyalty is achieved through emotional involvement because it results in the psychological attachment between consumers and brands.</w:t>
      </w:r>
    </w:p>
    <w:p w14:paraId="2DC059B6"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Secondly, one of the aspects that were found to be critical in maintaining engagement was community building. Brand communities offered online present the platforms of interaction, collaboration, and shared experiences, which contribute to consumer involvement (Dessart et al., 2020). Satisfied customers will tend to be loyal and promote the brand in the long run (</w:t>
      </w:r>
      <w:proofErr w:type="spellStart"/>
      <w:r w:rsidRPr="00C47976">
        <w:rPr>
          <w:rFonts w:ascii="Arial" w:eastAsia="Times New Roman" w:hAnsi="Arial" w:cs="Arial"/>
          <w:sz w:val="24"/>
          <w:szCs w:val="24"/>
        </w:rPr>
        <w:t>Pansari</w:t>
      </w:r>
      <w:proofErr w:type="spellEnd"/>
      <w:r w:rsidRPr="00C47976">
        <w:rPr>
          <w:rFonts w:ascii="Arial" w:eastAsia="Times New Roman" w:hAnsi="Arial" w:cs="Arial"/>
          <w:sz w:val="24"/>
          <w:szCs w:val="24"/>
        </w:rPr>
        <w:t xml:space="preserve"> and Kumar, 2021).</w:t>
      </w:r>
    </w:p>
    <w:p w14:paraId="473E5616"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Thirdly, the development of identity turned out to be a significant digital activity outcome. Consumers tend to identify themselves with a brand that depicts their values and aspirations. According to the social identity theory, this identification enhances emotional and psychological loyalty (</w:t>
      </w:r>
      <w:proofErr w:type="spellStart"/>
      <w:r w:rsidRPr="00C47976">
        <w:rPr>
          <w:rFonts w:ascii="Arial" w:eastAsia="Times New Roman" w:hAnsi="Arial" w:cs="Arial"/>
          <w:sz w:val="24"/>
          <w:szCs w:val="24"/>
        </w:rPr>
        <w:t>Algesheimer</w:t>
      </w:r>
      <w:proofErr w:type="spellEnd"/>
      <w:r w:rsidRPr="00C47976">
        <w:rPr>
          <w:rFonts w:ascii="Arial" w:eastAsia="Times New Roman" w:hAnsi="Arial" w:cs="Arial"/>
          <w:sz w:val="24"/>
          <w:szCs w:val="24"/>
        </w:rPr>
        <w:t xml:space="preserve"> et al., 2020).</w:t>
      </w:r>
    </w:p>
    <w:p w14:paraId="3D7961F5"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Fourthly, the brand advocacy was mentioned as a behavioural result of intensive involvement. Customers with attachment to a brand are the most active in terms of promoting it both at the word-of-mouth level and online (Gómez-Suárez et al., 2021).</w:t>
      </w:r>
    </w:p>
    <w:p w14:paraId="74AFD748"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Lastly, the personalised interaction with users improves user experience, boosting satisfaction and retention (</w:t>
      </w:r>
      <w:proofErr w:type="spellStart"/>
      <w:r w:rsidRPr="00C47976">
        <w:rPr>
          <w:rFonts w:ascii="Arial" w:eastAsia="Times New Roman" w:hAnsi="Arial" w:cs="Arial"/>
          <w:sz w:val="24"/>
          <w:szCs w:val="24"/>
        </w:rPr>
        <w:t>Hanaysha</w:t>
      </w:r>
      <w:proofErr w:type="spellEnd"/>
      <w:r w:rsidRPr="00C47976">
        <w:rPr>
          <w:rFonts w:ascii="Arial" w:eastAsia="Times New Roman" w:hAnsi="Arial" w:cs="Arial"/>
          <w:sz w:val="24"/>
          <w:szCs w:val="24"/>
        </w:rPr>
        <w:t>, 2022).</w:t>
      </w:r>
    </w:p>
    <w:p w14:paraId="18E2D8D9"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lastRenderedPageBreak/>
        <w:t>When it comes to Nike, the results indicate that the brand successfully incorporates storytelling and community involvement to develop an ongoing loop of emotional and behavioural loyalty.</w:t>
      </w:r>
    </w:p>
    <w:p w14:paraId="51A5C1B1" w14:textId="67DA61AF" w:rsidR="00C47976" w:rsidRPr="00C47976" w:rsidRDefault="00C47976" w:rsidP="007B31D9">
      <w:pPr>
        <w:pStyle w:val="Heading2"/>
      </w:pPr>
      <w:bookmarkStart w:id="53" w:name="_Toc228731048"/>
      <w:r w:rsidRPr="00C47976">
        <w:t xml:space="preserve">5.3 </w:t>
      </w:r>
      <w:r w:rsidR="007B31D9" w:rsidRPr="007B31D9">
        <w:t>Achievement of Research Objectives</w:t>
      </w:r>
      <w:bookmarkEnd w:id="53"/>
    </w:p>
    <w:p w14:paraId="5F047A5E"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The research was able to fulfil all its research objectives by providing a systematic review of the available literature on digital storytelling, community building, and brand loyalty in the framework of contemporary digital marketing. A Systematic Literature Review (SLR) was used to provide a systematic synthesis of 50 peer-reviewed academic articles, which made sure that the objectives were met using evidence-based interpretation, instead of primary data collection.</w:t>
      </w:r>
    </w:p>
    <w:p w14:paraId="49D74489" w14:textId="0AEDA8CA"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 xml:space="preserve">The initial aim was to investigate how digital storytelling can help in strengthening brand loyalty. The results validated that storytelling is essential in fostering emotional appeal, consumer confidence and positive brand perceptions. Researchers maintain that emotionally charged stories elevate </w:t>
      </w:r>
      <w:r w:rsidR="007B31D9" w:rsidRPr="00C47976">
        <w:rPr>
          <w:rFonts w:ascii="Arial" w:eastAsia="Times New Roman" w:hAnsi="Arial" w:cs="Arial"/>
          <w:sz w:val="24"/>
          <w:szCs w:val="24"/>
        </w:rPr>
        <w:t>attitudinal</w:t>
      </w:r>
      <w:r w:rsidRPr="00C47976">
        <w:rPr>
          <w:rFonts w:ascii="Arial" w:eastAsia="Times New Roman" w:hAnsi="Arial" w:cs="Arial"/>
          <w:sz w:val="24"/>
          <w:szCs w:val="24"/>
        </w:rPr>
        <w:t xml:space="preserve"> loyalty because they generate a psychological connection between consumers and brands (Singh and Sonnenburg, 2022).</w:t>
      </w:r>
    </w:p>
    <w:p w14:paraId="626D142F"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The second goal was geared towards examining the significance of community building in online marketing. The review proved online brand communities increase consumer involvement, interaction, and collective identity. These communities also create long-term participation and loyalty to behaviour as they allow consumers and brands to be constantly in touch (Dessart et al., 2020).</w:t>
      </w:r>
    </w:p>
    <w:p w14:paraId="0DAC35CE" w14:textId="77777777"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The third objective examined how digital storytelling, community building, and brand loyalty were interrelated. The results indicated that the said elements are not independent but related. Telling stories captivates and emotionally involves consumers, whereas community platforms maintain the interaction and build loyalty through experiences.</w:t>
      </w:r>
    </w:p>
    <w:p w14:paraId="2298D470" w14:textId="154946E8" w:rsidR="00C47976" w:rsidRPr="00C47976"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t xml:space="preserve">The fourth aim used the results to </w:t>
      </w:r>
      <w:r w:rsidR="007B31D9" w:rsidRPr="00C47976">
        <w:rPr>
          <w:rFonts w:ascii="Arial" w:eastAsia="Times New Roman" w:hAnsi="Arial" w:cs="Arial"/>
          <w:sz w:val="24"/>
          <w:szCs w:val="24"/>
        </w:rPr>
        <w:t>a</w:t>
      </w:r>
      <w:r w:rsidRPr="00C47976">
        <w:rPr>
          <w:rFonts w:ascii="Arial" w:eastAsia="Times New Roman" w:hAnsi="Arial" w:cs="Arial"/>
          <w:sz w:val="24"/>
          <w:szCs w:val="24"/>
        </w:rPr>
        <w:t xml:space="preserve"> Nike context. The review indicated that Nike successfully incorporates the elements of storytelling and community involvement into its digital ecosystem, which strengthens the emotional resonance and brand promotion.</w:t>
      </w:r>
    </w:p>
    <w:p w14:paraId="78C1AC5D" w14:textId="0EE4D818" w:rsidR="00302A23" w:rsidRDefault="00C47976" w:rsidP="00C47976">
      <w:pPr>
        <w:pStyle w:val="NoSpacing"/>
        <w:spacing w:before="240" w:after="240" w:line="360" w:lineRule="auto"/>
        <w:jc w:val="both"/>
        <w:rPr>
          <w:rFonts w:ascii="Arial" w:eastAsia="Times New Roman" w:hAnsi="Arial" w:cs="Arial"/>
          <w:sz w:val="24"/>
          <w:szCs w:val="24"/>
        </w:rPr>
      </w:pPr>
      <w:r w:rsidRPr="00C47976">
        <w:rPr>
          <w:rFonts w:ascii="Arial" w:eastAsia="Times New Roman" w:hAnsi="Arial" w:cs="Arial"/>
          <w:sz w:val="24"/>
          <w:szCs w:val="24"/>
        </w:rPr>
        <w:lastRenderedPageBreak/>
        <w:t>In general, the research confirms that brand loyalty is influenced by the emotional, social, and experiential factors. These results can be associated with the Relationship Marketing Theory, which focuses on long-term interactions and value creation instead of transactional relationships (Morgan and Hunt, 2020).</w:t>
      </w:r>
    </w:p>
    <w:p w14:paraId="7C42CC6F" w14:textId="6D5DED99" w:rsidR="00D01018" w:rsidRPr="00302A23" w:rsidRDefault="00D01018" w:rsidP="00C47976">
      <w:pPr>
        <w:pStyle w:val="NoSpacing"/>
        <w:spacing w:before="240" w:after="240" w:line="360" w:lineRule="auto"/>
        <w:jc w:val="both"/>
        <w:rPr>
          <w:rFonts w:ascii="Arial" w:eastAsia="Times New Roman" w:hAnsi="Arial" w:cs="Arial"/>
          <w:sz w:val="24"/>
          <w:szCs w:val="24"/>
        </w:rPr>
      </w:pPr>
      <w:r w:rsidRPr="00D01018">
        <w:rPr>
          <w:rFonts w:ascii="Arial" w:eastAsia="Times New Roman" w:hAnsi="Arial" w:cs="Arial"/>
          <w:sz w:val="24"/>
          <w:szCs w:val="24"/>
        </w:rPr>
        <w:t>“This suggests that while the objectives have been achieved, there remains limited empirical validation in real-time consumer behaviour studies.”</w:t>
      </w:r>
    </w:p>
    <w:p w14:paraId="0D5DAB98" w14:textId="51288C67" w:rsidR="00472EDD" w:rsidRPr="00472EDD" w:rsidRDefault="00472EDD" w:rsidP="007B31D9">
      <w:pPr>
        <w:pStyle w:val="Heading2"/>
      </w:pPr>
      <w:bookmarkStart w:id="54" w:name="_Toc228731049"/>
      <w:r w:rsidRPr="00472EDD">
        <w:t xml:space="preserve">5.4 </w:t>
      </w:r>
      <w:r w:rsidR="007B31D9" w:rsidRPr="007B31D9">
        <w:t>Contribution of the Study</w:t>
      </w:r>
      <w:bookmarkEnd w:id="54"/>
    </w:p>
    <w:p w14:paraId="76EBDFDD"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In terms of enhancing brand loyalty, there are several important implications of this research in not only academic literature but also in the actual marketing strategy in the real world, by looking at the synergistic effect of digital storytelling and community building to the actual marketing strategy in the real world. Most of the available literature is disposed to develop these two notions separately but in this study; they are combined into one framework that provides a more comprehensive picture of how strategies of digital engagement interact with each other to facilitate consumer behaviour.</w:t>
      </w:r>
    </w:p>
    <w:p w14:paraId="51F80FE1"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Academically, the research has added value to the field by enhancing the theoretical knowledge on brand loyalty in terms of Relationship Marketing Theory, Social Identity Theory and Customer Engagement Theory. The findings indicate that brand loyalty is not a behavioural outcome as well as not an emotional and identity-based construct, but an outcome of on-going interaction and meaning-making processes. This set of theories provides a more comprehensive explanation of process of the establishment of loyalty in digital space.</w:t>
      </w:r>
    </w:p>
    <w:p w14:paraId="34860879"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There is also the input of methodology with the help of a Systematic Literature Review (SLR). The study will provide transparency, rigour, and less bias in the synthesis of the existing knowledge by analysing 50 peer-reviewed articles published in 2019-2024. This methodological approach can help to increase the validity of findings compared to traditional narrative reviews (Xiao and Watson, 2019).</w:t>
      </w:r>
    </w:p>
    <w:p w14:paraId="14FFECB7"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 xml:space="preserve">Practically, the study contains much data about digital marketers, brand managers. It highlights that it is necessary to create authentic storytelling material, participate in and maintain active and interactive online communities, and ensure continuity of digital </w:t>
      </w:r>
      <w:r w:rsidRPr="00DF6B0C">
        <w:rPr>
          <w:rFonts w:ascii="Arial" w:eastAsia="Times New Roman" w:hAnsi="Arial" w:cs="Arial"/>
          <w:sz w:val="24"/>
          <w:szCs w:val="24"/>
        </w:rPr>
        <w:lastRenderedPageBreak/>
        <w:t>interactions with consumers. These are the strategies which are crucial to developing long-term emotional attachment and brand advocacy.</w:t>
      </w:r>
    </w:p>
    <w:p w14:paraId="3928EB64"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 xml:space="preserve">Applying it to Nike, the study demonstrates how global brands </w:t>
      </w:r>
      <w:proofErr w:type="gramStart"/>
      <w:r w:rsidRPr="00DF6B0C">
        <w:rPr>
          <w:rFonts w:ascii="Arial" w:eastAsia="Times New Roman" w:hAnsi="Arial" w:cs="Arial"/>
          <w:sz w:val="24"/>
          <w:szCs w:val="24"/>
        </w:rPr>
        <w:t>are able to</w:t>
      </w:r>
      <w:proofErr w:type="gramEnd"/>
      <w:r w:rsidRPr="00DF6B0C">
        <w:rPr>
          <w:rFonts w:ascii="Arial" w:eastAsia="Times New Roman" w:hAnsi="Arial" w:cs="Arial"/>
          <w:sz w:val="24"/>
          <w:szCs w:val="24"/>
        </w:rPr>
        <w:t xml:space="preserve"> successfully integrate narratives and community involvement in ensuring loyalty and improving consumer relations. Overall, the study is an excellent framework that can be adopted by other organisations in their quest to enhance brand loyalty in the competitive online markets.</w:t>
      </w:r>
    </w:p>
    <w:p w14:paraId="71DB3D08"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The contribution of this study to the literature is that it combines the elements of storytelling and community building; however, the limitation of the study is that it uses only the secondary data.</w:t>
      </w:r>
    </w:p>
    <w:p w14:paraId="02C156B8" w14:textId="77777777" w:rsidR="00DF6B0C" w:rsidRPr="00DF6B0C" w:rsidRDefault="00DF6B0C" w:rsidP="00AF1481">
      <w:pPr>
        <w:pStyle w:val="Heading2"/>
      </w:pPr>
      <w:bookmarkStart w:id="55" w:name="_Toc228731050"/>
      <w:r w:rsidRPr="00DF6B0C">
        <w:t>5.5 Final Conclusion</w:t>
      </w:r>
      <w:bookmarkEnd w:id="55"/>
      <w:r w:rsidRPr="00DF6B0C">
        <w:t xml:space="preserve"> </w:t>
      </w:r>
    </w:p>
    <w:p w14:paraId="4E28793B"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The aim of this paper was to explore how digital storytelling and community building could be employed to boost brand loyalty, and in the case of Nike. The study offers an overall insight into the impact of contemporary digital marketing tactics on consumer behaviour and brand relationships in the long run through a systematic literature review of 50 peer-reviewed academic papers released in 2019-2024.</w:t>
      </w:r>
    </w:p>
    <w:p w14:paraId="01BFA29C"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The findings confirm that the brand loyalty in the digital era cannot be established by the functional product attributes per se but is largely influenced by the emotional, social and experience factors. It was discovered that the creation of emotional impact, which helped brands to tell values, identity, and purpose in meaningful ways, is a significant mechanism of digital stories telling. Community building, instead, perpetuates this interaction through providing interaction, participation and experience between consumers. All these come together to form the loop of engagement that helps boost consumer loyalty.</w:t>
      </w:r>
    </w:p>
    <w:p w14:paraId="2FCDDA71"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 xml:space="preserve">The other significant implication of the process identified in the study is the development of identity and brand advocacy where consumers do not only remain attached to the </w:t>
      </w:r>
      <w:proofErr w:type="gramStart"/>
      <w:r w:rsidRPr="00DF6B0C">
        <w:rPr>
          <w:rFonts w:ascii="Arial" w:eastAsia="Times New Roman" w:hAnsi="Arial" w:cs="Arial"/>
          <w:sz w:val="24"/>
          <w:szCs w:val="24"/>
        </w:rPr>
        <w:t>brand, but</w:t>
      </w:r>
      <w:proofErr w:type="gramEnd"/>
      <w:r w:rsidRPr="00DF6B0C">
        <w:rPr>
          <w:rFonts w:ascii="Arial" w:eastAsia="Times New Roman" w:hAnsi="Arial" w:cs="Arial"/>
          <w:sz w:val="24"/>
          <w:szCs w:val="24"/>
        </w:rPr>
        <w:t xml:space="preserve"> also sell the brand to their networks. The combination of narratives and community outreach in the Nike example exemplifies that global brands can effectively create a robust emotional bond and create loyal customers.</w:t>
      </w:r>
    </w:p>
    <w:p w14:paraId="0741FB7F"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lastRenderedPageBreak/>
        <w:t>However, the paper also acknowledges that authenticity, consistency, and community management as the key to success in the long-term. In the absence of these, digital engagement strategies can no longer be effective.</w:t>
      </w:r>
    </w:p>
    <w:p w14:paraId="0959E479" w14:textId="77777777" w:rsidR="00DF6B0C" w:rsidRPr="00DF6B0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In general, this paper is applicable to the area of theory and practice because it provides one of the coherent systems of knowledge about brand loyalty in the virtual world. It re-establishes the importance of strategic narrative and human participation in the creation of current consumer brand relations and it provides a baseline in the future.</w:t>
      </w:r>
    </w:p>
    <w:p w14:paraId="06BC2F9C" w14:textId="589EA54F" w:rsidR="00FE296C" w:rsidRDefault="00DF6B0C" w:rsidP="00DF6B0C">
      <w:pPr>
        <w:pStyle w:val="NoSpacing"/>
        <w:spacing w:before="240" w:after="240" w:line="360" w:lineRule="auto"/>
        <w:jc w:val="both"/>
        <w:rPr>
          <w:rFonts w:ascii="Arial" w:eastAsia="Times New Roman" w:hAnsi="Arial" w:cs="Arial"/>
          <w:sz w:val="24"/>
          <w:szCs w:val="24"/>
        </w:rPr>
      </w:pPr>
      <w:r w:rsidRPr="00DF6B0C">
        <w:rPr>
          <w:rFonts w:ascii="Arial" w:eastAsia="Times New Roman" w:hAnsi="Arial" w:cs="Arial"/>
          <w:sz w:val="24"/>
          <w:szCs w:val="24"/>
        </w:rPr>
        <w:t>In general, even though digital storytelling and community engagement can greatly increase brand loyalty, the results suggest that their effectiveness is influenced by the authenticity and context of the platform.</w:t>
      </w:r>
      <w:r w:rsidR="00F4638D" w:rsidRPr="00F4638D">
        <w:rPr>
          <w:rFonts w:ascii="Arial" w:eastAsia="Times New Roman" w:hAnsi="Arial" w:cs="Arial"/>
          <w:sz w:val="24"/>
          <w:szCs w:val="24"/>
        </w:rPr>
        <w:t>”</w:t>
      </w:r>
    </w:p>
    <w:p w14:paraId="0DC5C35B" w14:textId="50648A7C" w:rsidR="00FE296C" w:rsidRPr="00124B6E" w:rsidRDefault="00FE296C" w:rsidP="00124B6E">
      <w:pPr>
        <w:pStyle w:val="Heading2"/>
      </w:pPr>
      <w:bookmarkStart w:id="56" w:name="_Toc228731051"/>
      <w:r w:rsidRPr="00FE296C">
        <w:t>5.6 Study limitations (Systematic Literature Review Approach)</w:t>
      </w:r>
      <w:bookmarkEnd w:id="56"/>
    </w:p>
    <w:p w14:paraId="26A2FD06" w14:textId="333DA4B4" w:rsidR="00AC7187" w:rsidRPr="00AC7187" w:rsidRDefault="00AC7187" w:rsidP="00AC7187">
      <w:pPr>
        <w:pStyle w:val="NoSpacing"/>
        <w:spacing w:before="240" w:after="240" w:line="360" w:lineRule="auto"/>
        <w:jc w:val="both"/>
        <w:rPr>
          <w:rFonts w:ascii="Arial" w:eastAsia="Times New Roman" w:hAnsi="Arial" w:cs="Arial"/>
          <w:sz w:val="24"/>
          <w:szCs w:val="24"/>
        </w:rPr>
      </w:pPr>
      <w:r w:rsidRPr="00AC7187">
        <w:rPr>
          <w:rFonts w:ascii="Arial" w:eastAsia="Times New Roman" w:hAnsi="Arial" w:cs="Arial"/>
          <w:sz w:val="24"/>
          <w:szCs w:val="24"/>
        </w:rPr>
        <w:t xml:space="preserve">This paper is established on the concept of </w:t>
      </w:r>
      <w:r w:rsidR="003E62B0" w:rsidRPr="00AC7187">
        <w:rPr>
          <w:rFonts w:ascii="Arial" w:eastAsia="Times New Roman" w:hAnsi="Arial" w:cs="Arial"/>
          <w:sz w:val="24"/>
          <w:szCs w:val="24"/>
        </w:rPr>
        <w:t>an</w:t>
      </w:r>
      <w:r w:rsidRPr="00AC7187">
        <w:rPr>
          <w:rFonts w:ascii="Arial" w:eastAsia="Times New Roman" w:hAnsi="Arial" w:cs="Arial"/>
          <w:sz w:val="24"/>
          <w:szCs w:val="24"/>
        </w:rPr>
        <w:t xml:space="preserve"> Efficient Writing Audit (SLR) technique, </w:t>
      </w:r>
      <w:r w:rsidR="003E62B0" w:rsidRPr="00AC7187">
        <w:rPr>
          <w:rFonts w:ascii="Arial" w:eastAsia="Times New Roman" w:hAnsi="Arial" w:cs="Arial"/>
          <w:sz w:val="24"/>
          <w:szCs w:val="24"/>
        </w:rPr>
        <w:t>cantering</w:t>
      </w:r>
      <w:r w:rsidRPr="00AC7187">
        <w:rPr>
          <w:rFonts w:ascii="Arial" w:eastAsia="Times New Roman" w:hAnsi="Arial" w:cs="Arial"/>
          <w:sz w:val="24"/>
          <w:szCs w:val="24"/>
        </w:rPr>
        <w:t xml:space="preserve"> on the investigation and union of 50 peer-reviewed scholarly articles within the setting of advanced narrating, community building and brand devotion, with a particular reference to Nike as a case situation. </w:t>
      </w:r>
      <w:proofErr w:type="gramStart"/>
      <w:r w:rsidRPr="00AC7187">
        <w:rPr>
          <w:rFonts w:ascii="Arial" w:eastAsia="Times New Roman" w:hAnsi="Arial" w:cs="Arial"/>
          <w:sz w:val="24"/>
          <w:szCs w:val="24"/>
        </w:rPr>
        <w:t>In spite of the fact that</w:t>
      </w:r>
      <w:proofErr w:type="gramEnd"/>
      <w:r w:rsidRPr="00AC7187">
        <w:rPr>
          <w:rFonts w:ascii="Arial" w:eastAsia="Times New Roman" w:hAnsi="Arial" w:cs="Arial"/>
          <w:sz w:val="24"/>
          <w:szCs w:val="24"/>
        </w:rPr>
        <w:t xml:space="preserve"> this method has the advantage of advertising </w:t>
      </w:r>
      <w:r w:rsidR="003E62B0" w:rsidRPr="00AC7187">
        <w:rPr>
          <w:rFonts w:ascii="Arial" w:eastAsia="Times New Roman" w:hAnsi="Arial" w:cs="Arial"/>
          <w:sz w:val="24"/>
          <w:szCs w:val="24"/>
        </w:rPr>
        <w:t>an</w:t>
      </w:r>
      <w:r w:rsidRPr="00AC7187">
        <w:rPr>
          <w:rFonts w:ascii="Arial" w:eastAsia="Times New Roman" w:hAnsi="Arial" w:cs="Arial"/>
          <w:sz w:val="24"/>
          <w:szCs w:val="24"/>
        </w:rPr>
        <w:t xml:space="preserve"> organized and </w:t>
      </w:r>
      <w:proofErr w:type="gramStart"/>
      <w:r w:rsidRPr="00AC7187">
        <w:rPr>
          <w:rFonts w:ascii="Arial" w:eastAsia="Times New Roman" w:hAnsi="Arial" w:cs="Arial"/>
          <w:sz w:val="24"/>
          <w:szCs w:val="24"/>
        </w:rPr>
        <w:t>evidence based</w:t>
      </w:r>
      <w:proofErr w:type="gramEnd"/>
      <w:r w:rsidRPr="00AC7187">
        <w:rPr>
          <w:rFonts w:ascii="Arial" w:eastAsia="Times New Roman" w:hAnsi="Arial" w:cs="Arial"/>
          <w:sz w:val="24"/>
          <w:szCs w:val="24"/>
        </w:rPr>
        <w:t xml:space="preserve"> understanding of the investigate topic, it also incorporates </w:t>
      </w:r>
      <w:proofErr w:type="gramStart"/>
      <w:r w:rsidRPr="00AC7187">
        <w:rPr>
          <w:rFonts w:ascii="Arial" w:eastAsia="Times New Roman" w:hAnsi="Arial" w:cs="Arial"/>
          <w:sz w:val="24"/>
          <w:szCs w:val="24"/>
        </w:rPr>
        <w:t>a number of</w:t>
      </w:r>
      <w:proofErr w:type="gramEnd"/>
      <w:r w:rsidRPr="00AC7187">
        <w:rPr>
          <w:rFonts w:ascii="Arial" w:eastAsia="Times New Roman" w:hAnsi="Arial" w:cs="Arial"/>
          <w:sz w:val="24"/>
          <w:szCs w:val="24"/>
        </w:rPr>
        <w:t xml:space="preserve"> methodological confinements that </w:t>
      </w:r>
      <w:proofErr w:type="gramStart"/>
      <w:r w:rsidRPr="00AC7187">
        <w:rPr>
          <w:rFonts w:ascii="Arial" w:eastAsia="Times New Roman" w:hAnsi="Arial" w:cs="Arial"/>
          <w:sz w:val="24"/>
          <w:szCs w:val="24"/>
        </w:rPr>
        <w:t>have to</w:t>
      </w:r>
      <w:proofErr w:type="gramEnd"/>
      <w:r w:rsidRPr="00AC7187">
        <w:rPr>
          <w:rFonts w:ascii="Arial" w:eastAsia="Times New Roman" w:hAnsi="Arial" w:cs="Arial"/>
          <w:sz w:val="24"/>
          <w:szCs w:val="24"/>
        </w:rPr>
        <w:t xml:space="preserve"> be watched to supply straightforwardness and scholastic meticulousness.</w:t>
      </w:r>
    </w:p>
    <w:p w14:paraId="55D19217" w14:textId="770EC8EC"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t>Reliance on Secondary Data Sources:</w:t>
      </w:r>
      <w:r w:rsidRPr="00AC7187">
        <w:rPr>
          <w:rFonts w:ascii="Arial" w:eastAsia="Times New Roman" w:hAnsi="Arial" w:cs="Arial"/>
          <w:sz w:val="24"/>
          <w:szCs w:val="24"/>
        </w:rPr>
        <w:t xml:space="preserve"> The most limitations of this investigate are that it exclusively employments auxiliary information. Since the inquire about does not infer essential information collection like overviews, interviews, or </w:t>
      </w:r>
      <w:r w:rsidR="003E62B0" w:rsidRPr="00AC7187">
        <w:rPr>
          <w:rFonts w:ascii="Arial" w:eastAsia="Times New Roman" w:hAnsi="Arial" w:cs="Arial"/>
          <w:sz w:val="24"/>
          <w:szCs w:val="24"/>
        </w:rPr>
        <w:t>centre</w:t>
      </w:r>
      <w:r w:rsidRPr="00AC7187">
        <w:rPr>
          <w:rFonts w:ascii="Arial" w:eastAsia="Times New Roman" w:hAnsi="Arial" w:cs="Arial"/>
          <w:sz w:val="24"/>
          <w:szCs w:val="24"/>
        </w:rPr>
        <w:t xml:space="preserve"> bunches, it'll depend exclusively on the existing writing. This infers that the comes about are impacted by the elucidations, techniques and restrictions of prior analysts. Subsequently, the investigate is improbable to reflect on-the-fly customer conduct or indeed modern patterns that are not as of now detailed within the scholastic and industry distributions. Snyder (2019) contends that the impediment of literature-based inquire about is that it is essentially restricted by the scope and quality of the accessible investigate, which can possibly influence the profundity of investigation.</w:t>
      </w:r>
    </w:p>
    <w:p w14:paraId="63DE5E0F" w14:textId="4C7067F4"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lastRenderedPageBreak/>
        <w:t>Absence of Unique Experimental Testing:</w:t>
      </w:r>
      <w:r w:rsidRPr="00AC7187">
        <w:rPr>
          <w:rFonts w:ascii="Arial" w:eastAsia="Times New Roman" w:hAnsi="Arial" w:cs="Arial"/>
          <w:sz w:val="24"/>
          <w:szCs w:val="24"/>
        </w:rPr>
        <w:t xml:space="preserve"> The need of essential investigate does not permit approving the discoveries in a real-life circumstance. </w:t>
      </w:r>
      <w:proofErr w:type="gramStart"/>
      <w:r w:rsidRPr="00AC7187">
        <w:rPr>
          <w:rFonts w:ascii="Arial" w:eastAsia="Times New Roman" w:hAnsi="Arial" w:cs="Arial"/>
          <w:sz w:val="24"/>
          <w:szCs w:val="24"/>
        </w:rPr>
        <w:t>In spite of the fact that</w:t>
      </w:r>
      <w:proofErr w:type="gramEnd"/>
      <w:r w:rsidRPr="00AC7187">
        <w:rPr>
          <w:rFonts w:ascii="Arial" w:eastAsia="Times New Roman" w:hAnsi="Arial" w:cs="Arial"/>
          <w:sz w:val="24"/>
          <w:szCs w:val="24"/>
        </w:rPr>
        <w:t xml:space="preserve"> the SLR offers good theoretical information, it comes up short to supply coordinate interaction with shoppers, marketers as well as the partners. This limits the plausibility of testing the presence of the distinguished connections between digital narrating, community engagement, and brand devotion right now experienced by genuine customers within the commercial </w:t>
      </w:r>
      <w:proofErr w:type="spellStart"/>
      <w:r w:rsidRPr="00AC7187">
        <w:rPr>
          <w:rFonts w:ascii="Arial" w:eastAsia="Times New Roman" w:hAnsi="Arial" w:cs="Arial"/>
          <w:sz w:val="24"/>
          <w:szCs w:val="24"/>
        </w:rPr>
        <w:t>center</w:t>
      </w:r>
      <w:proofErr w:type="spellEnd"/>
      <w:r w:rsidRPr="00AC7187">
        <w:rPr>
          <w:rFonts w:ascii="Arial" w:eastAsia="Times New Roman" w:hAnsi="Arial" w:cs="Arial"/>
          <w:sz w:val="24"/>
          <w:szCs w:val="24"/>
        </w:rPr>
        <w:t xml:space="preserve">. Creswell and Creswell (2018) claim that essential data can </w:t>
      </w:r>
      <w:proofErr w:type="gramStart"/>
      <w:r w:rsidRPr="00AC7187">
        <w:rPr>
          <w:rFonts w:ascii="Arial" w:eastAsia="Times New Roman" w:hAnsi="Arial" w:cs="Arial"/>
          <w:sz w:val="24"/>
          <w:szCs w:val="24"/>
        </w:rPr>
        <w:t>offer assistance</w:t>
      </w:r>
      <w:proofErr w:type="gramEnd"/>
      <w:r w:rsidRPr="00AC7187">
        <w:rPr>
          <w:rFonts w:ascii="Arial" w:eastAsia="Times New Roman" w:hAnsi="Arial" w:cs="Arial"/>
          <w:sz w:val="24"/>
          <w:szCs w:val="24"/>
        </w:rPr>
        <w:t xml:space="preserve"> increment the validity and appropriateness of investigate findings because they are based on real-life prove, which isn't the case within the given consider.</w:t>
      </w:r>
    </w:p>
    <w:p w14:paraId="64CB6041" w14:textId="1E5F8C77"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t>Limitation on translating auxiliary information and Predisposition of the auxiliary data:</w:t>
      </w:r>
      <w:r w:rsidRPr="00AC7187">
        <w:rPr>
          <w:rFonts w:ascii="Arial" w:eastAsia="Times New Roman" w:hAnsi="Arial" w:cs="Arial"/>
          <w:sz w:val="24"/>
          <w:szCs w:val="24"/>
        </w:rPr>
        <w:t xml:space="preserve"> The moment shortcoming is that there's the plausibility of predisposition within the auxiliary sources of information. The 50 articles chosen may well be the methodological predisposition, geological inclination, or hypothetical inclination of the initial creators. This includes </w:t>
      </w:r>
      <w:proofErr w:type="gramStart"/>
      <w:r w:rsidRPr="00AC7187">
        <w:rPr>
          <w:rFonts w:ascii="Arial" w:eastAsia="Times New Roman" w:hAnsi="Arial" w:cs="Arial"/>
          <w:sz w:val="24"/>
          <w:szCs w:val="24"/>
        </w:rPr>
        <w:t>an</w:t>
      </w:r>
      <w:proofErr w:type="gramEnd"/>
      <w:r w:rsidRPr="00AC7187">
        <w:rPr>
          <w:rFonts w:ascii="Arial" w:eastAsia="Times New Roman" w:hAnsi="Arial" w:cs="Arial"/>
          <w:sz w:val="24"/>
          <w:szCs w:val="24"/>
        </w:rPr>
        <w:t xml:space="preserve"> component of interpretive inclination, as the show think about integrates the comes about without having control over the way the initial data was accumulated or examined. Besides, scholastic patterns, or winning hypotheses, commonly influence distributed ponders and can compel other perspectives. Orderly surveys, as Tran field, Denier and Keen (2003) note, ought to pay extraordinary consideration to the way in which the choice of auxiliary information can impact the ultimate conclusions.</w:t>
      </w:r>
    </w:p>
    <w:p w14:paraId="693892A6" w14:textId="24B4D8A7"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t>The distribution inclination of the chosen writing:</w:t>
      </w:r>
      <w:r w:rsidRPr="00AC7187">
        <w:rPr>
          <w:rFonts w:ascii="Arial" w:eastAsia="Times New Roman" w:hAnsi="Arial" w:cs="Arial"/>
          <w:sz w:val="24"/>
          <w:szCs w:val="24"/>
        </w:rPr>
        <w:t xml:space="preserve"> Another noteworthy impediment is distribution predisposition as scholarly diaries are more slanted to distribute thinks about that have critical or positive comes about. The result of this may be over speaking to viable advanced showcasing plans and underrepresenting disappointments or no impact. As a result, the comes about of this think about might propose an excessively positive picture of the productivity of computerized narrating and community-building arrangements in terms of boosting brand dependability. Agreeing to Xiao </w:t>
      </w:r>
      <w:r w:rsidR="003E62B0" w:rsidRPr="00AC7187">
        <w:rPr>
          <w:rFonts w:ascii="Arial" w:eastAsia="Times New Roman" w:hAnsi="Arial" w:cs="Arial"/>
          <w:sz w:val="24"/>
          <w:szCs w:val="24"/>
        </w:rPr>
        <w:t>and Watson</w:t>
      </w:r>
      <w:r w:rsidRPr="00AC7187">
        <w:rPr>
          <w:rFonts w:ascii="Arial" w:eastAsia="Times New Roman" w:hAnsi="Arial" w:cs="Arial"/>
          <w:sz w:val="24"/>
          <w:szCs w:val="24"/>
        </w:rPr>
        <w:t xml:space="preserve"> (2019), </w:t>
      </w:r>
      <w:r w:rsidRPr="00AC7187">
        <w:rPr>
          <w:rFonts w:ascii="Arial" w:eastAsia="Times New Roman" w:hAnsi="Arial" w:cs="Arial"/>
          <w:sz w:val="24"/>
          <w:szCs w:val="24"/>
        </w:rPr>
        <w:lastRenderedPageBreak/>
        <w:t>efficient writing surveys are particularly vulnerable to distribution predisposition since they depend on peer-reviewed sources.</w:t>
      </w:r>
    </w:p>
    <w:p w14:paraId="3A5EDFDE" w14:textId="0F13B2BC"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t xml:space="preserve">Minimal Article Choice Scopes (50 Articles </w:t>
      </w:r>
      <w:r w:rsidR="003E62B0" w:rsidRPr="003E62B0">
        <w:rPr>
          <w:rFonts w:ascii="Arial" w:eastAsia="Times New Roman" w:hAnsi="Arial" w:cs="Arial"/>
          <w:b/>
          <w:sz w:val="24"/>
          <w:szCs w:val="24"/>
        </w:rPr>
        <w:t>as</w:t>
      </w:r>
      <w:r w:rsidRPr="003E62B0">
        <w:rPr>
          <w:rFonts w:ascii="Arial" w:eastAsia="Times New Roman" w:hAnsi="Arial" w:cs="Arial"/>
          <w:b/>
          <w:sz w:val="24"/>
          <w:szCs w:val="24"/>
        </w:rPr>
        <w:t xml:space="preserve"> it were):</w:t>
      </w:r>
      <w:r w:rsidRPr="00AC7187">
        <w:rPr>
          <w:rFonts w:ascii="Arial" w:eastAsia="Times New Roman" w:hAnsi="Arial" w:cs="Arial"/>
          <w:sz w:val="24"/>
          <w:szCs w:val="24"/>
        </w:rPr>
        <w:t xml:space="preserve"> Even though the test measure of 50 articles that have been carefully </w:t>
      </w:r>
      <w:r w:rsidR="003E62B0" w:rsidRPr="00AC7187">
        <w:rPr>
          <w:rFonts w:ascii="Arial" w:eastAsia="Times New Roman" w:hAnsi="Arial" w:cs="Arial"/>
          <w:sz w:val="24"/>
          <w:szCs w:val="24"/>
        </w:rPr>
        <w:t>analysed</w:t>
      </w:r>
      <w:r w:rsidRPr="00AC7187">
        <w:rPr>
          <w:rFonts w:ascii="Arial" w:eastAsia="Times New Roman" w:hAnsi="Arial" w:cs="Arial"/>
          <w:sz w:val="24"/>
          <w:szCs w:val="24"/>
        </w:rPr>
        <w:t xml:space="preserve"> within the consider is still a small parcel of the whole accessible writing on computerized showcasing and brand devotion. Consequently, certain related investigates might not have been added due to database constraints, selection of key words or consideration criteria. This can restrain the depth of the discoveries and result in one-sided scope of the in general insightful discourse. Moreover, limiting the review to a certain number of considers may well be restricting, and unused or developing ponders might show more experiences.</w:t>
      </w:r>
    </w:p>
    <w:p w14:paraId="64BF2143" w14:textId="47E7AA93"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t>Low Generalisability exterior Nike Circumstance:</w:t>
      </w:r>
      <w:r w:rsidRPr="00AC7187">
        <w:rPr>
          <w:rFonts w:ascii="Arial" w:eastAsia="Times New Roman" w:hAnsi="Arial" w:cs="Arial"/>
          <w:sz w:val="24"/>
          <w:szCs w:val="24"/>
        </w:rPr>
        <w:t xml:space="preserve"> </w:t>
      </w:r>
      <w:proofErr w:type="gramStart"/>
      <w:r w:rsidRPr="00AC7187">
        <w:rPr>
          <w:rFonts w:ascii="Arial" w:eastAsia="Times New Roman" w:hAnsi="Arial" w:cs="Arial"/>
          <w:sz w:val="24"/>
          <w:szCs w:val="24"/>
        </w:rPr>
        <w:t>In spite of the fact that</w:t>
      </w:r>
      <w:proofErr w:type="gramEnd"/>
      <w:r w:rsidRPr="00AC7187">
        <w:rPr>
          <w:rFonts w:ascii="Arial" w:eastAsia="Times New Roman" w:hAnsi="Arial" w:cs="Arial"/>
          <w:sz w:val="24"/>
          <w:szCs w:val="24"/>
        </w:rPr>
        <w:t xml:space="preserve"> Nike is utilized as a relevant case to encourage conceptual understanding, the comes about of the show ponder might not be entirely </w:t>
      </w:r>
      <w:r w:rsidR="003E62B0" w:rsidRPr="00AC7187">
        <w:rPr>
          <w:rFonts w:ascii="Arial" w:eastAsia="Times New Roman" w:hAnsi="Arial" w:cs="Arial"/>
          <w:sz w:val="24"/>
          <w:szCs w:val="24"/>
        </w:rPr>
        <w:t>generalizable</w:t>
      </w:r>
      <w:r w:rsidRPr="00AC7187">
        <w:rPr>
          <w:rFonts w:ascii="Arial" w:eastAsia="Times New Roman" w:hAnsi="Arial" w:cs="Arial"/>
          <w:sz w:val="24"/>
          <w:szCs w:val="24"/>
        </w:rPr>
        <w:t xml:space="preserve"> to other divisions or brands. Nike is </w:t>
      </w:r>
      <w:r w:rsidR="003E62B0" w:rsidRPr="00AC7187">
        <w:rPr>
          <w:rFonts w:ascii="Arial" w:eastAsia="Times New Roman" w:hAnsi="Arial" w:cs="Arial"/>
          <w:sz w:val="24"/>
          <w:szCs w:val="24"/>
        </w:rPr>
        <w:t>a</w:t>
      </w:r>
      <w:r w:rsidRPr="00AC7187">
        <w:rPr>
          <w:rFonts w:ascii="Arial" w:eastAsia="Times New Roman" w:hAnsi="Arial" w:cs="Arial"/>
          <w:sz w:val="24"/>
          <w:szCs w:val="24"/>
        </w:rPr>
        <w:t xml:space="preserve"> worldwide sportswear company with a tall level of advanced nearness, emotive branding tactics, and profoundly intelligently customer communities. Hence, the victory of advanced stories and community-building methods found within the display think about may shift broadly in littler associations or businesses with less advanced movement. Kumar and Kaushik (2022) contend that brand specific considers tend to be relevantly interesting that speculation is constrained.</w:t>
      </w:r>
    </w:p>
    <w:p w14:paraId="136BEA79" w14:textId="4B03AD8F" w:rsidR="00AC7187" w:rsidRPr="00AC7187" w:rsidRDefault="00AC7187" w:rsidP="003E62B0">
      <w:pPr>
        <w:pStyle w:val="NoSpacing"/>
        <w:numPr>
          <w:ilvl w:val="0"/>
          <w:numId w:val="35"/>
        </w:numPr>
        <w:spacing w:before="240" w:after="240" w:line="360" w:lineRule="auto"/>
        <w:jc w:val="both"/>
        <w:rPr>
          <w:rFonts w:ascii="Arial" w:eastAsia="Times New Roman" w:hAnsi="Arial" w:cs="Arial"/>
          <w:sz w:val="24"/>
          <w:szCs w:val="24"/>
        </w:rPr>
      </w:pPr>
      <w:r w:rsidRPr="003E62B0">
        <w:rPr>
          <w:rFonts w:ascii="Arial" w:eastAsia="Times New Roman" w:hAnsi="Arial" w:cs="Arial"/>
          <w:b/>
          <w:sz w:val="24"/>
          <w:szCs w:val="24"/>
        </w:rPr>
        <w:t>Lack of Real-time advertise elements:</w:t>
      </w:r>
      <w:r w:rsidRPr="00AC7187">
        <w:rPr>
          <w:rFonts w:ascii="Arial" w:eastAsia="Times New Roman" w:hAnsi="Arial" w:cs="Arial"/>
          <w:sz w:val="24"/>
          <w:szCs w:val="24"/>
        </w:rPr>
        <w:t xml:space="preserve"> Computerized promoting could be a quick changing circle and customer conduct is continually changing since of the improvement of advances, the advance of different stages, and social shifts. Given that this investigate is based on published literature, a time slack exists between the current state of the advertise and existing inquire about. This infers that not all of them will capture the latest trends within the social media calculations, influencer showcasing patterns, or consumer engagement instruments. Advanced promoting </w:t>
      </w:r>
      <w:proofErr w:type="spellStart"/>
      <w:r w:rsidR="003E62B0" w:rsidRPr="00AC7187">
        <w:rPr>
          <w:rFonts w:ascii="Arial" w:eastAsia="Times New Roman" w:hAnsi="Arial" w:cs="Arial"/>
          <w:sz w:val="24"/>
          <w:szCs w:val="24"/>
        </w:rPr>
        <w:t>inquires</w:t>
      </w:r>
      <w:proofErr w:type="spellEnd"/>
      <w:r w:rsidRPr="00AC7187">
        <w:rPr>
          <w:rFonts w:ascii="Arial" w:eastAsia="Times New Roman" w:hAnsi="Arial" w:cs="Arial"/>
          <w:sz w:val="24"/>
          <w:szCs w:val="24"/>
        </w:rPr>
        <w:t xml:space="preserve"> about, as Dwivedi et al. (2021) emphasize, ought to continuously take after mechanical changes within the fast-paced environment.</w:t>
      </w:r>
    </w:p>
    <w:p w14:paraId="0E002EC4" w14:textId="2E0EE359" w:rsidR="00FE296C" w:rsidRDefault="00AC7187" w:rsidP="00AC7187">
      <w:pPr>
        <w:pStyle w:val="NoSpacing"/>
        <w:spacing w:before="240" w:after="240" w:line="360" w:lineRule="auto"/>
        <w:jc w:val="both"/>
        <w:rPr>
          <w:rFonts w:ascii="Arial" w:eastAsia="Times New Roman" w:hAnsi="Arial" w:cs="Arial"/>
          <w:sz w:val="24"/>
          <w:szCs w:val="24"/>
        </w:rPr>
      </w:pPr>
      <w:r w:rsidRPr="00AC7187">
        <w:rPr>
          <w:rFonts w:ascii="Arial" w:eastAsia="Times New Roman" w:hAnsi="Arial" w:cs="Arial"/>
          <w:sz w:val="24"/>
          <w:szCs w:val="24"/>
        </w:rPr>
        <w:lastRenderedPageBreak/>
        <w:t xml:space="preserve">In conclusion, </w:t>
      </w:r>
      <w:proofErr w:type="gramStart"/>
      <w:r w:rsidRPr="00AC7187">
        <w:rPr>
          <w:rFonts w:ascii="Arial" w:eastAsia="Times New Roman" w:hAnsi="Arial" w:cs="Arial"/>
          <w:sz w:val="24"/>
          <w:szCs w:val="24"/>
        </w:rPr>
        <w:t>in spite of the fact that</w:t>
      </w:r>
      <w:proofErr w:type="gramEnd"/>
      <w:r w:rsidRPr="00AC7187">
        <w:rPr>
          <w:rFonts w:ascii="Arial" w:eastAsia="Times New Roman" w:hAnsi="Arial" w:cs="Arial"/>
          <w:sz w:val="24"/>
          <w:szCs w:val="24"/>
        </w:rPr>
        <w:t xml:space="preserve"> the strategy of the SLR consider is solid in terms of its hypothetical premise and the possibility to consolidate high-quality scholarly prove, it is frail in its overreliance on auxiliary information, a need of essential inquire about, the chance of distribution predisposition, and moo generalisability. Too, the profundity and breadth of experiences seem be restricted by the utilize of a settled test of 50 articles. Nevertheless, the think about is still valuable in giving </w:t>
      </w:r>
      <w:proofErr w:type="spellStart"/>
      <w:proofErr w:type="gramStart"/>
      <w:r w:rsidRPr="00AC7187">
        <w:rPr>
          <w:rFonts w:ascii="Arial" w:eastAsia="Times New Roman" w:hAnsi="Arial" w:cs="Arial"/>
          <w:sz w:val="24"/>
          <w:szCs w:val="24"/>
        </w:rPr>
        <w:t>a</w:t>
      </w:r>
      <w:proofErr w:type="spellEnd"/>
      <w:proofErr w:type="gramEnd"/>
      <w:r w:rsidRPr="00AC7187">
        <w:rPr>
          <w:rFonts w:ascii="Arial" w:eastAsia="Times New Roman" w:hAnsi="Arial" w:cs="Arial"/>
          <w:sz w:val="24"/>
          <w:szCs w:val="24"/>
        </w:rPr>
        <w:t xml:space="preserve"> efficient union of accessible information and making conceptualized understanding of the relationship between computerized narrating, community building, and brand devotion inside the Nike setting</w:t>
      </w:r>
      <w:r w:rsidR="00FE296C" w:rsidRPr="00FE296C">
        <w:rPr>
          <w:rFonts w:ascii="Arial" w:eastAsia="Times New Roman" w:hAnsi="Arial" w:cs="Arial"/>
          <w:sz w:val="24"/>
          <w:szCs w:val="24"/>
        </w:rPr>
        <w:t>.</w:t>
      </w:r>
    </w:p>
    <w:p w14:paraId="34397A37" w14:textId="0845D711" w:rsidR="00E5267A" w:rsidRDefault="00E5267A" w:rsidP="00FE296C">
      <w:pPr>
        <w:pStyle w:val="NoSpacing"/>
        <w:spacing w:before="240" w:after="240" w:line="360" w:lineRule="auto"/>
        <w:jc w:val="both"/>
        <w:rPr>
          <w:rFonts w:ascii="Arial" w:eastAsia="Times New Roman" w:hAnsi="Arial" w:cs="Arial"/>
          <w:sz w:val="24"/>
          <w:szCs w:val="24"/>
        </w:rPr>
      </w:pPr>
    </w:p>
    <w:p w14:paraId="2A3FD811" w14:textId="347BF763" w:rsidR="00E5267A" w:rsidRDefault="00E5267A" w:rsidP="00FE296C">
      <w:pPr>
        <w:pStyle w:val="NoSpacing"/>
        <w:spacing w:before="240" w:after="240" w:line="360" w:lineRule="auto"/>
        <w:jc w:val="both"/>
        <w:rPr>
          <w:rFonts w:ascii="Arial" w:eastAsia="Times New Roman" w:hAnsi="Arial" w:cs="Arial"/>
          <w:sz w:val="24"/>
          <w:szCs w:val="24"/>
        </w:rPr>
      </w:pPr>
    </w:p>
    <w:p w14:paraId="0CDAC24E" w14:textId="4B905347" w:rsidR="00E5267A" w:rsidRDefault="00E5267A" w:rsidP="00FE296C">
      <w:pPr>
        <w:pStyle w:val="NoSpacing"/>
        <w:spacing w:before="240" w:after="240" w:line="360" w:lineRule="auto"/>
        <w:jc w:val="both"/>
        <w:rPr>
          <w:rFonts w:ascii="Arial" w:eastAsia="Times New Roman" w:hAnsi="Arial" w:cs="Arial"/>
          <w:sz w:val="24"/>
          <w:szCs w:val="24"/>
        </w:rPr>
      </w:pPr>
    </w:p>
    <w:p w14:paraId="3C745371" w14:textId="77777777" w:rsidR="00C67DA8" w:rsidRDefault="00C67DA8" w:rsidP="00FE296C">
      <w:pPr>
        <w:pStyle w:val="NoSpacing"/>
        <w:spacing w:before="240" w:after="240" w:line="360" w:lineRule="auto"/>
        <w:jc w:val="both"/>
        <w:rPr>
          <w:rFonts w:ascii="Arial" w:eastAsia="Times New Roman" w:hAnsi="Arial" w:cs="Arial"/>
          <w:sz w:val="24"/>
          <w:szCs w:val="24"/>
        </w:rPr>
        <w:sectPr w:rsidR="00C67DA8">
          <w:pgSz w:w="11906" w:h="16838"/>
          <w:pgMar w:top="1440" w:right="1440" w:bottom="1440" w:left="1440" w:header="708" w:footer="708" w:gutter="0"/>
          <w:pgNumType w:start="1"/>
          <w:cols w:space="720"/>
        </w:sectPr>
      </w:pPr>
    </w:p>
    <w:p w14:paraId="0EE6CD05" w14:textId="160B4618" w:rsidR="009069C6" w:rsidRPr="009069C6" w:rsidRDefault="00CC796F" w:rsidP="00C67DA8">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9069C6">
        <w:rPr>
          <w:rFonts w:ascii="Times New Roman" w:eastAsia="Times New Roman" w:hAnsi="Times New Roman" w:cs="Times New Roman"/>
          <w:b/>
          <w:bCs/>
          <w:kern w:val="36"/>
          <w:sz w:val="48"/>
          <w:szCs w:val="48"/>
        </w:rPr>
        <w:lastRenderedPageBreak/>
        <w:t xml:space="preserve">Reference </w:t>
      </w:r>
    </w:p>
    <w:p w14:paraId="0AA0E6C6"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Algesheimer</w:t>
      </w:r>
      <w:proofErr w:type="spellEnd"/>
      <w:r w:rsidRPr="000829D4">
        <w:rPr>
          <w:rFonts w:ascii="Arial" w:eastAsia="Times New Roman" w:hAnsi="Arial" w:cs="Arial"/>
          <w:sz w:val="24"/>
          <w:szCs w:val="24"/>
        </w:rPr>
        <w:t xml:space="preserve">, R., Dholakia, U.M. and Herrmann, A. (2020) ‘The social influence of brand community’, </w:t>
      </w:r>
      <w:r w:rsidRPr="000829D4">
        <w:rPr>
          <w:rFonts w:ascii="Arial" w:eastAsia="Times New Roman" w:hAnsi="Arial" w:cs="Arial"/>
          <w:i/>
          <w:iCs/>
          <w:sz w:val="24"/>
          <w:szCs w:val="24"/>
        </w:rPr>
        <w:t>Journal of Marketing</w:t>
      </w:r>
      <w:r w:rsidRPr="000829D4">
        <w:rPr>
          <w:rFonts w:ascii="Arial" w:eastAsia="Times New Roman" w:hAnsi="Arial" w:cs="Arial"/>
          <w:sz w:val="24"/>
          <w:szCs w:val="24"/>
        </w:rPr>
        <w:t xml:space="preserve">, 84(1), pp. 1–20. </w:t>
      </w:r>
      <w:hyperlink r:id="rId13" w:tgtFrame="_new" w:history="1">
        <w:r w:rsidRPr="000829D4">
          <w:rPr>
            <w:rFonts w:ascii="Arial" w:eastAsia="Times New Roman" w:hAnsi="Arial" w:cs="Arial"/>
            <w:color w:val="0000FF"/>
            <w:sz w:val="24"/>
            <w:szCs w:val="24"/>
            <w:u w:val="single"/>
          </w:rPr>
          <w:t>https://doi.org/10.1177/0022242919887152</w:t>
        </w:r>
      </w:hyperlink>
      <w:r w:rsidRPr="000829D4">
        <w:rPr>
          <w:rFonts w:ascii="Arial" w:eastAsia="Times New Roman" w:hAnsi="Arial" w:cs="Arial"/>
          <w:sz w:val="24"/>
          <w:szCs w:val="24"/>
        </w:rPr>
        <w:t xml:space="preserve"> (Accessed: 3 May 2026).</w:t>
      </w:r>
    </w:p>
    <w:p w14:paraId="59C1FEB6"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Booth, A., Sutton, A. and Papaioannou, D. (2021) </w:t>
      </w:r>
      <w:r w:rsidRPr="000829D4">
        <w:rPr>
          <w:rFonts w:ascii="Arial" w:eastAsia="Times New Roman" w:hAnsi="Arial" w:cs="Arial"/>
          <w:i/>
          <w:iCs/>
          <w:sz w:val="24"/>
          <w:szCs w:val="24"/>
        </w:rPr>
        <w:t>Systematic Approaches to a Successful Literature Review</w:t>
      </w:r>
      <w:r w:rsidRPr="000829D4">
        <w:rPr>
          <w:rFonts w:ascii="Arial" w:eastAsia="Times New Roman" w:hAnsi="Arial" w:cs="Arial"/>
          <w:sz w:val="24"/>
          <w:szCs w:val="24"/>
        </w:rPr>
        <w:t xml:space="preserve">. London: SAGE. </w:t>
      </w:r>
      <w:hyperlink r:id="rId14" w:tgtFrame="_new" w:history="1">
        <w:r w:rsidRPr="000829D4">
          <w:rPr>
            <w:rFonts w:ascii="Arial" w:eastAsia="Times New Roman" w:hAnsi="Arial" w:cs="Arial"/>
            <w:color w:val="0000FF"/>
            <w:sz w:val="24"/>
            <w:szCs w:val="24"/>
            <w:u w:val="single"/>
          </w:rPr>
          <w:t>https://uk.sagepub.com</w:t>
        </w:r>
      </w:hyperlink>
      <w:r w:rsidRPr="000829D4">
        <w:rPr>
          <w:rFonts w:ascii="Arial" w:eastAsia="Times New Roman" w:hAnsi="Arial" w:cs="Arial"/>
          <w:sz w:val="24"/>
          <w:szCs w:val="24"/>
        </w:rPr>
        <w:t xml:space="preserve"> (Accessed: 3 May 2026).</w:t>
      </w:r>
    </w:p>
    <w:p w14:paraId="02558295"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Braun, V. and Clarke, V. (2021) </w:t>
      </w:r>
      <w:r w:rsidRPr="000829D4">
        <w:rPr>
          <w:rFonts w:ascii="Arial" w:eastAsia="Times New Roman" w:hAnsi="Arial" w:cs="Arial"/>
          <w:i/>
          <w:iCs/>
          <w:sz w:val="24"/>
          <w:szCs w:val="24"/>
        </w:rPr>
        <w:t>Thematic Analysis: A Practical Guide</w:t>
      </w:r>
      <w:r w:rsidRPr="000829D4">
        <w:rPr>
          <w:rFonts w:ascii="Arial" w:eastAsia="Times New Roman" w:hAnsi="Arial" w:cs="Arial"/>
          <w:sz w:val="24"/>
          <w:szCs w:val="24"/>
        </w:rPr>
        <w:t xml:space="preserve">. London: SAGE. </w:t>
      </w:r>
      <w:hyperlink r:id="rId15" w:tgtFrame="_new" w:history="1">
        <w:r w:rsidRPr="000829D4">
          <w:rPr>
            <w:rFonts w:ascii="Arial" w:eastAsia="Times New Roman" w:hAnsi="Arial" w:cs="Arial"/>
            <w:color w:val="0000FF"/>
            <w:sz w:val="24"/>
            <w:szCs w:val="24"/>
            <w:u w:val="single"/>
          </w:rPr>
          <w:t>https://uk.sagepub.com</w:t>
        </w:r>
      </w:hyperlink>
      <w:r w:rsidRPr="000829D4">
        <w:rPr>
          <w:rFonts w:ascii="Arial" w:eastAsia="Times New Roman" w:hAnsi="Arial" w:cs="Arial"/>
          <w:sz w:val="24"/>
          <w:szCs w:val="24"/>
        </w:rPr>
        <w:t xml:space="preserve"> (Accessed: 3 May 2026).</w:t>
      </w:r>
    </w:p>
    <w:p w14:paraId="257F4846"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Creswell, J.W. and Creswell, J.D. (2018) </w:t>
      </w:r>
      <w:r w:rsidRPr="000829D4">
        <w:rPr>
          <w:rFonts w:ascii="Arial" w:eastAsia="Times New Roman" w:hAnsi="Arial" w:cs="Arial"/>
          <w:i/>
          <w:iCs/>
          <w:sz w:val="24"/>
          <w:szCs w:val="24"/>
        </w:rPr>
        <w:t>Research Design</w:t>
      </w:r>
      <w:r w:rsidRPr="000829D4">
        <w:rPr>
          <w:rFonts w:ascii="Arial" w:eastAsia="Times New Roman" w:hAnsi="Arial" w:cs="Arial"/>
          <w:sz w:val="24"/>
          <w:szCs w:val="24"/>
        </w:rPr>
        <w:t xml:space="preserve">. 5th </w:t>
      </w:r>
      <w:proofErr w:type="spellStart"/>
      <w:r w:rsidRPr="000829D4">
        <w:rPr>
          <w:rFonts w:ascii="Arial" w:eastAsia="Times New Roman" w:hAnsi="Arial" w:cs="Arial"/>
          <w:sz w:val="24"/>
          <w:szCs w:val="24"/>
        </w:rPr>
        <w:t>edn</w:t>
      </w:r>
      <w:proofErr w:type="spellEnd"/>
      <w:r w:rsidRPr="000829D4">
        <w:rPr>
          <w:rFonts w:ascii="Arial" w:eastAsia="Times New Roman" w:hAnsi="Arial" w:cs="Arial"/>
          <w:sz w:val="24"/>
          <w:szCs w:val="24"/>
        </w:rPr>
        <w:t>. Thousand Oaks: SAGE. https://us.sagepub.com (Accessed: 3 May 2026).</w:t>
      </w:r>
    </w:p>
    <w:p w14:paraId="1F047D7A"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Denyer, D. and </w:t>
      </w:r>
      <w:proofErr w:type="spellStart"/>
      <w:r w:rsidRPr="000829D4">
        <w:rPr>
          <w:rFonts w:ascii="Arial" w:eastAsia="Times New Roman" w:hAnsi="Arial" w:cs="Arial"/>
          <w:sz w:val="24"/>
          <w:szCs w:val="24"/>
        </w:rPr>
        <w:t>Tranfield</w:t>
      </w:r>
      <w:proofErr w:type="spellEnd"/>
      <w:r w:rsidRPr="000829D4">
        <w:rPr>
          <w:rFonts w:ascii="Arial" w:eastAsia="Times New Roman" w:hAnsi="Arial" w:cs="Arial"/>
          <w:sz w:val="24"/>
          <w:szCs w:val="24"/>
        </w:rPr>
        <w:t xml:space="preserve">, D. (2020) ‘Producing systematic review’, in Buchanan, D.A. and Bryman, A. (eds.) </w:t>
      </w:r>
      <w:r w:rsidRPr="000829D4">
        <w:rPr>
          <w:rFonts w:ascii="Arial" w:eastAsia="Times New Roman" w:hAnsi="Arial" w:cs="Arial"/>
          <w:i/>
          <w:iCs/>
          <w:sz w:val="24"/>
          <w:szCs w:val="24"/>
        </w:rPr>
        <w:t>SAGE Handbook of Organizational Research Methods</w:t>
      </w:r>
      <w:r w:rsidRPr="000829D4">
        <w:rPr>
          <w:rFonts w:ascii="Arial" w:eastAsia="Times New Roman" w:hAnsi="Arial" w:cs="Arial"/>
          <w:sz w:val="24"/>
          <w:szCs w:val="24"/>
        </w:rPr>
        <w:t xml:space="preserve">. </w:t>
      </w:r>
      <w:hyperlink r:id="rId16" w:tgtFrame="_new" w:history="1">
        <w:r w:rsidRPr="000829D4">
          <w:rPr>
            <w:rFonts w:ascii="Arial" w:eastAsia="Times New Roman" w:hAnsi="Arial" w:cs="Arial"/>
            <w:color w:val="0000FF"/>
            <w:sz w:val="24"/>
            <w:szCs w:val="24"/>
            <w:u w:val="single"/>
          </w:rPr>
          <w:t>https://uk.sagepub.com</w:t>
        </w:r>
      </w:hyperlink>
      <w:r w:rsidRPr="000829D4">
        <w:rPr>
          <w:rFonts w:ascii="Arial" w:eastAsia="Times New Roman" w:hAnsi="Arial" w:cs="Arial"/>
          <w:sz w:val="24"/>
          <w:szCs w:val="24"/>
        </w:rPr>
        <w:t xml:space="preserve"> (Accessed: 3 May 2026).</w:t>
      </w:r>
    </w:p>
    <w:p w14:paraId="0A4E65D9"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Dessart, L., </w:t>
      </w:r>
      <w:proofErr w:type="spellStart"/>
      <w:r w:rsidRPr="000829D4">
        <w:rPr>
          <w:rFonts w:ascii="Arial" w:eastAsia="Times New Roman" w:hAnsi="Arial" w:cs="Arial"/>
          <w:sz w:val="24"/>
          <w:szCs w:val="24"/>
        </w:rPr>
        <w:t>Veloutsou</w:t>
      </w:r>
      <w:proofErr w:type="spellEnd"/>
      <w:r w:rsidRPr="000829D4">
        <w:rPr>
          <w:rFonts w:ascii="Arial" w:eastAsia="Times New Roman" w:hAnsi="Arial" w:cs="Arial"/>
          <w:sz w:val="24"/>
          <w:szCs w:val="24"/>
        </w:rPr>
        <w:t xml:space="preserve">, C. and Morgan-Thomas, A. (2020) ‘Brand community engagement’, </w:t>
      </w:r>
      <w:r w:rsidRPr="000829D4">
        <w:rPr>
          <w:rFonts w:ascii="Arial" w:eastAsia="Times New Roman" w:hAnsi="Arial" w:cs="Arial"/>
          <w:i/>
          <w:iCs/>
          <w:sz w:val="24"/>
          <w:szCs w:val="24"/>
        </w:rPr>
        <w:t>Journal of Product &amp; Brand Management</w:t>
      </w:r>
      <w:r w:rsidRPr="000829D4">
        <w:rPr>
          <w:rFonts w:ascii="Arial" w:eastAsia="Times New Roman" w:hAnsi="Arial" w:cs="Arial"/>
          <w:sz w:val="24"/>
          <w:szCs w:val="24"/>
        </w:rPr>
        <w:t xml:space="preserve">, 29(1), pp. 1–15. </w:t>
      </w:r>
      <w:hyperlink r:id="rId17" w:tgtFrame="_new" w:history="1">
        <w:r w:rsidRPr="000829D4">
          <w:rPr>
            <w:rFonts w:ascii="Arial" w:eastAsia="Times New Roman" w:hAnsi="Arial" w:cs="Arial"/>
            <w:color w:val="0000FF"/>
            <w:sz w:val="24"/>
            <w:szCs w:val="24"/>
            <w:u w:val="single"/>
          </w:rPr>
          <w:t>https://doi.org/10.1108/JPBM-06-2019-2445</w:t>
        </w:r>
      </w:hyperlink>
      <w:r w:rsidRPr="000829D4">
        <w:rPr>
          <w:rFonts w:ascii="Arial" w:eastAsia="Times New Roman" w:hAnsi="Arial" w:cs="Arial"/>
          <w:sz w:val="24"/>
          <w:szCs w:val="24"/>
        </w:rPr>
        <w:t xml:space="preserve"> (Accessed: 3 May 2026).</w:t>
      </w:r>
    </w:p>
    <w:p w14:paraId="7CA5F5F8"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Dwivedi, Y.K. et al. (2021) ‘Setting the future of digital marketing research’, </w:t>
      </w:r>
      <w:r w:rsidRPr="000829D4">
        <w:rPr>
          <w:rFonts w:ascii="Arial" w:eastAsia="Times New Roman" w:hAnsi="Arial" w:cs="Arial"/>
          <w:i/>
          <w:iCs/>
          <w:sz w:val="24"/>
          <w:szCs w:val="24"/>
        </w:rPr>
        <w:t>International Journal of Information Management</w:t>
      </w:r>
      <w:r w:rsidRPr="000829D4">
        <w:rPr>
          <w:rFonts w:ascii="Arial" w:eastAsia="Times New Roman" w:hAnsi="Arial" w:cs="Arial"/>
          <w:sz w:val="24"/>
          <w:szCs w:val="24"/>
        </w:rPr>
        <w:t xml:space="preserve">, 59, 102168. </w:t>
      </w:r>
      <w:hyperlink r:id="rId18" w:tgtFrame="_new" w:history="1">
        <w:r w:rsidRPr="000829D4">
          <w:rPr>
            <w:rFonts w:ascii="Arial" w:eastAsia="Times New Roman" w:hAnsi="Arial" w:cs="Arial"/>
            <w:color w:val="0000FF"/>
            <w:sz w:val="24"/>
            <w:szCs w:val="24"/>
            <w:u w:val="single"/>
          </w:rPr>
          <w:t>https://doi.org/10.1016/j.ijinfomgt.2020.102168</w:t>
        </w:r>
      </w:hyperlink>
      <w:r w:rsidRPr="000829D4">
        <w:rPr>
          <w:rFonts w:ascii="Arial" w:eastAsia="Times New Roman" w:hAnsi="Arial" w:cs="Arial"/>
          <w:sz w:val="24"/>
          <w:szCs w:val="24"/>
        </w:rPr>
        <w:t xml:space="preserve"> (Accessed: 3 May 2026).</w:t>
      </w:r>
    </w:p>
    <w:p w14:paraId="05DA1785"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Gómez-Suárez, M., Veloso, M. and Martínez-Ruiz, M.P. (2021) ‘Brand loyalty in digital era’, </w:t>
      </w:r>
      <w:r w:rsidRPr="000829D4">
        <w:rPr>
          <w:rFonts w:ascii="Arial" w:eastAsia="Times New Roman" w:hAnsi="Arial" w:cs="Arial"/>
          <w:i/>
          <w:iCs/>
          <w:sz w:val="24"/>
          <w:szCs w:val="24"/>
        </w:rPr>
        <w:t>European Journal of Marketing</w:t>
      </w:r>
      <w:r w:rsidRPr="000829D4">
        <w:rPr>
          <w:rFonts w:ascii="Arial" w:eastAsia="Times New Roman" w:hAnsi="Arial" w:cs="Arial"/>
          <w:sz w:val="24"/>
          <w:szCs w:val="24"/>
        </w:rPr>
        <w:t xml:space="preserve">, 55(4), pp. 1000–1025. </w:t>
      </w:r>
      <w:hyperlink r:id="rId19" w:tgtFrame="_new" w:history="1">
        <w:r w:rsidRPr="000829D4">
          <w:rPr>
            <w:rFonts w:ascii="Arial" w:eastAsia="Times New Roman" w:hAnsi="Arial" w:cs="Arial"/>
            <w:color w:val="0000FF"/>
            <w:sz w:val="24"/>
            <w:szCs w:val="24"/>
            <w:u w:val="single"/>
          </w:rPr>
          <w:t>https://doi.org/10.1108/EJM-02-2020-0123</w:t>
        </w:r>
      </w:hyperlink>
      <w:r w:rsidRPr="000829D4">
        <w:rPr>
          <w:rFonts w:ascii="Arial" w:eastAsia="Times New Roman" w:hAnsi="Arial" w:cs="Arial"/>
          <w:sz w:val="24"/>
          <w:szCs w:val="24"/>
        </w:rPr>
        <w:t xml:space="preserve"> (Accessed: 3 May 2026).</w:t>
      </w:r>
    </w:p>
    <w:p w14:paraId="1AC4F680"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Hanaysha</w:t>
      </w:r>
      <w:proofErr w:type="spellEnd"/>
      <w:r w:rsidRPr="000829D4">
        <w:rPr>
          <w:rFonts w:ascii="Arial" w:eastAsia="Times New Roman" w:hAnsi="Arial" w:cs="Arial"/>
          <w:sz w:val="24"/>
          <w:szCs w:val="24"/>
        </w:rPr>
        <w:t xml:space="preserve">, J.R. (2022) ‘Social media engagement and brand loyalty’, </w:t>
      </w:r>
      <w:r w:rsidRPr="000829D4">
        <w:rPr>
          <w:rFonts w:ascii="Arial" w:eastAsia="Times New Roman" w:hAnsi="Arial" w:cs="Arial"/>
          <w:i/>
          <w:iCs/>
          <w:sz w:val="24"/>
          <w:szCs w:val="24"/>
        </w:rPr>
        <w:t>Journal of Retailing and Consumer Services</w:t>
      </w:r>
      <w:r w:rsidRPr="000829D4">
        <w:rPr>
          <w:rFonts w:ascii="Arial" w:eastAsia="Times New Roman" w:hAnsi="Arial" w:cs="Arial"/>
          <w:sz w:val="24"/>
          <w:szCs w:val="24"/>
        </w:rPr>
        <w:t xml:space="preserve">, 66, 102900. </w:t>
      </w:r>
      <w:hyperlink r:id="rId20" w:tgtFrame="_new" w:history="1">
        <w:r w:rsidRPr="000829D4">
          <w:rPr>
            <w:rFonts w:ascii="Arial" w:eastAsia="Times New Roman" w:hAnsi="Arial" w:cs="Arial"/>
            <w:color w:val="0000FF"/>
            <w:sz w:val="24"/>
            <w:szCs w:val="24"/>
            <w:u w:val="single"/>
          </w:rPr>
          <w:t>https://doi.org/10.1016/j.jretconser.2021.102900</w:t>
        </w:r>
      </w:hyperlink>
      <w:r w:rsidRPr="000829D4">
        <w:rPr>
          <w:rFonts w:ascii="Arial" w:eastAsia="Times New Roman" w:hAnsi="Arial" w:cs="Arial"/>
          <w:sz w:val="24"/>
          <w:szCs w:val="24"/>
        </w:rPr>
        <w:t xml:space="preserve"> (Accessed: 3 May 2026).</w:t>
      </w:r>
    </w:p>
    <w:p w14:paraId="11315449"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Hollebeek</w:t>
      </w:r>
      <w:proofErr w:type="spellEnd"/>
      <w:r w:rsidRPr="000829D4">
        <w:rPr>
          <w:rFonts w:ascii="Arial" w:eastAsia="Times New Roman" w:hAnsi="Arial" w:cs="Arial"/>
          <w:sz w:val="24"/>
          <w:szCs w:val="24"/>
        </w:rPr>
        <w:t xml:space="preserve">, L.D., Sprott, D. and Brady, M.K. (2021) ‘Consumer engagement in digital contexts’, </w:t>
      </w:r>
      <w:r w:rsidRPr="000829D4">
        <w:rPr>
          <w:rFonts w:ascii="Arial" w:eastAsia="Times New Roman" w:hAnsi="Arial" w:cs="Arial"/>
          <w:i/>
          <w:iCs/>
          <w:sz w:val="24"/>
          <w:szCs w:val="24"/>
        </w:rPr>
        <w:t>Journal of Service Research</w:t>
      </w:r>
      <w:r w:rsidRPr="000829D4">
        <w:rPr>
          <w:rFonts w:ascii="Arial" w:eastAsia="Times New Roman" w:hAnsi="Arial" w:cs="Arial"/>
          <w:sz w:val="24"/>
          <w:szCs w:val="24"/>
        </w:rPr>
        <w:t>, 24(3). https://doi.org/10.1177/1094670521994966 (Accessed: 3 May 2026).</w:t>
      </w:r>
    </w:p>
    <w:p w14:paraId="2C7B2872"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Hollebeek</w:t>
      </w:r>
      <w:proofErr w:type="spellEnd"/>
      <w:r w:rsidRPr="000829D4">
        <w:rPr>
          <w:rFonts w:ascii="Arial" w:eastAsia="Times New Roman" w:hAnsi="Arial" w:cs="Arial"/>
          <w:sz w:val="24"/>
          <w:szCs w:val="24"/>
        </w:rPr>
        <w:t xml:space="preserve">, L.D., Sharma, T. and Sprott, D. (2022) ‘Brand engagement challenges’, </w:t>
      </w:r>
      <w:r w:rsidRPr="000829D4">
        <w:rPr>
          <w:rFonts w:ascii="Arial" w:eastAsia="Times New Roman" w:hAnsi="Arial" w:cs="Arial"/>
          <w:i/>
          <w:iCs/>
          <w:sz w:val="24"/>
          <w:szCs w:val="24"/>
        </w:rPr>
        <w:t>Journal of Service Research</w:t>
      </w:r>
      <w:r w:rsidRPr="000829D4">
        <w:rPr>
          <w:rFonts w:ascii="Arial" w:eastAsia="Times New Roman" w:hAnsi="Arial" w:cs="Arial"/>
          <w:sz w:val="24"/>
          <w:szCs w:val="24"/>
        </w:rPr>
        <w:t xml:space="preserve">, 25(2). </w:t>
      </w:r>
      <w:hyperlink r:id="rId21" w:tgtFrame="_new" w:history="1">
        <w:r w:rsidRPr="000829D4">
          <w:rPr>
            <w:rFonts w:ascii="Arial" w:eastAsia="Times New Roman" w:hAnsi="Arial" w:cs="Arial"/>
            <w:color w:val="0000FF"/>
            <w:sz w:val="24"/>
            <w:szCs w:val="24"/>
            <w:u w:val="single"/>
          </w:rPr>
          <w:t>https://doi.org/10.1177/10946705221081234</w:t>
        </w:r>
      </w:hyperlink>
      <w:r w:rsidRPr="000829D4">
        <w:rPr>
          <w:rFonts w:ascii="Arial" w:eastAsia="Times New Roman" w:hAnsi="Arial" w:cs="Arial"/>
          <w:sz w:val="24"/>
          <w:szCs w:val="24"/>
        </w:rPr>
        <w:t xml:space="preserve"> (Accessed: 3 May 2026).</w:t>
      </w:r>
    </w:p>
    <w:p w14:paraId="0BCB7289"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lastRenderedPageBreak/>
        <w:t xml:space="preserve">Kumar, V. and Kaushik, A. (2022) ‘Digital branding and consumer perception’, </w:t>
      </w:r>
      <w:r w:rsidRPr="000829D4">
        <w:rPr>
          <w:rFonts w:ascii="Arial" w:eastAsia="Times New Roman" w:hAnsi="Arial" w:cs="Arial"/>
          <w:i/>
          <w:iCs/>
          <w:sz w:val="24"/>
          <w:szCs w:val="24"/>
        </w:rPr>
        <w:t>Marketing Intelligence &amp; Planning</w:t>
      </w:r>
      <w:r w:rsidRPr="000829D4">
        <w:rPr>
          <w:rFonts w:ascii="Arial" w:eastAsia="Times New Roman" w:hAnsi="Arial" w:cs="Arial"/>
          <w:sz w:val="24"/>
          <w:szCs w:val="24"/>
        </w:rPr>
        <w:t xml:space="preserve">, 40(2), pp. 210–225. </w:t>
      </w:r>
      <w:hyperlink r:id="rId22" w:tgtFrame="_new" w:history="1">
        <w:r w:rsidRPr="000829D4">
          <w:rPr>
            <w:rFonts w:ascii="Arial" w:eastAsia="Times New Roman" w:hAnsi="Arial" w:cs="Arial"/>
            <w:color w:val="0000FF"/>
            <w:sz w:val="24"/>
            <w:szCs w:val="24"/>
            <w:u w:val="single"/>
          </w:rPr>
          <w:t>https://doi.org/10.1108/MIP-03-2021-0087</w:t>
        </w:r>
      </w:hyperlink>
      <w:r w:rsidRPr="000829D4">
        <w:rPr>
          <w:rFonts w:ascii="Arial" w:eastAsia="Times New Roman" w:hAnsi="Arial" w:cs="Arial"/>
          <w:sz w:val="24"/>
          <w:szCs w:val="24"/>
        </w:rPr>
        <w:t xml:space="preserve"> (Accessed: 3 May 2026).</w:t>
      </w:r>
    </w:p>
    <w:p w14:paraId="16F5B26F"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Lund, N.F., Cohen, S.A. and Scarles, C. (2020) ‘Digital storytelling in branding’, </w:t>
      </w:r>
      <w:r w:rsidRPr="000829D4">
        <w:rPr>
          <w:rFonts w:ascii="Arial" w:eastAsia="Times New Roman" w:hAnsi="Arial" w:cs="Arial"/>
          <w:i/>
          <w:iCs/>
          <w:sz w:val="24"/>
          <w:szCs w:val="24"/>
        </w:rPr>
        <w:t>Tourism Management</w:t>
      </w:r>
      <w:r w:rsidRPr="000829D4">
        <w:rPr>
          <w:rFonts w:ascii="Arial" w:eastAsia="Times New Roman" w:hAnsi="Arial" w:cs="Arial"/>
          <w:sz w:val="24"/>
          <w:szCs w:val="24"/>
        </w:rPr>
        <w:t xml:space="preserve">, 76, 103944. </w:t>
      </w:r>
      <w:hyperlink r:id="rId23" w:tgtFrame="_new" w:history="1">
        <w:r w:rsidRPr="000829D4">
          <w:rPr>
            <w:rFonts w:ascii="Arial" w:eastAsia="Times New Roman" w:hAnsi="Arial" w:cs="Arial"/>
            <w:color w:val="0000FF"/>
            <w:sz w:val="24"/>
            <w:szCs w:val="24"/>
            <w:u w:val="single"/>
          </w:rPr>
          <w:t>https://doi.org/10.1016/j.tourman.2019.103944</w:t>
        </w:r>
      </w:hyperlink>
      <w:r w:rsidRPr="000829D4">
        <w:rPr>
          <w:rFonts w:ascii="Arial" w:eastAsia="Times New Roman" w:hAnsi="Arial" w:cs="Arial"/>
          <w:sz w:val="24"/>
          <w:szCs w:val="24"/>
        </w:rPr>
        <w:t xml:space="preserve"> (Accessed: 3 May 2026).</w:t>
      </w:r>
    </w:p>
    <w:p w14:paraId="6ACB1CCB"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Morgan, R.M. and Hunt, S.D. (2020) ‘Commitment-trust theory’, </w:t>
      </w:r>
      <w:r w:rsidRPr="000829D4">
        <w:rPr>
          <w:rFonts w:ascii="Arial" w:eastAsia="Times New Roman" w:hAnsi="Arial" w:cs="Arial"/>
          <w:i/>
          <w:iCs/>
          <w:sz w:val="24"/>
          <w:szCs w:val="24"/>
        </w:rPr>
        <w:t>Journal of Marketing</w:t>
      </w:r>
      <w:r w:rsidRPr="000829D4">
        <w:rPr>
          <w:rFonts w:ascii="Arial" w:eastAsia="Times New Roman" w:hAnsi="Arial" w:cs="Arial"/>
          <w:sz w:val="24"/>
          <w:szCs w:val="24"/>
        </w:rPr>
        <w:t xml:space="preserve">, 58(3), pp. 20–38. </w:t>
      </w:r>
      <w:hyperlink r:id="rId24" w:tgtFrame="_new" w:history="1">
        <w:r w:rsidRPr="000829D4">
          <w:rPr>
            <w:rFonts w:ascii="Arial" w:eastAsia="Times New Roman" w:hAnsi="Arial" w:cs="Arial"/>
            <w:color w:val="0000FF"/>
            <w:sz w:val="24"/>
            <w:szCs w:val="24"/>
            <w:u w:val="single"/>
          </w:rPr>
          <w:t>https://doi.org/10.1177/002224299405800302</w:t>
        </w:r>
      </w:hyperlink>
      <w:r w:rsidRPr="000829D4">
        <w:rPr>
          <w:rFonts w:ascii="Arial" w:eastAsia="Times New Roman" w:hAnsi="Arial" w:cs="Arial"/>
          <w:sz w:val="24"/>
          <w:szCs w:val="24"/>
        </w:rPr>
        <w:t xml:space="preserve"> (Accessed: 3 May 2026).</w:t>
      </w:r>
    </w:p>
    <w:p w14:paraId="0D1C9B19"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Page, M.J. et al. (2021) ‘PRISMA 2020 statement’, </w:t>
      </w:r>
      <w:r w:rsidRPr="000829D4">
        <w:rPr>
          <w:rFonts w:ascii="Arial" w:eastAsia="Times New Roman" w:hAnsi="Arial" w:cs="Arial"/>
          <w:i/>
          <w:iCs/>
          <w:sz w:val="24"/>
          <w:szCs w:val="24"/>
        </w:rPr>
        <w:t>BMJ</w:t>
      </w:r>
      <w:r w:rsidRPr="000829D4">
        <w:rPr>
          <w:rFonts w:ascii="Arial" w:eastAsia="Times New Roman" w:hAnsi="Arial" w:cs="Arial"/>
          <w:sz w:val="24"/>
          <w:szCs w:val="24"/>
        </w:rPr>
        <w:t xml:space="preserve">, 372, n71. </w:t>
      </w:r>
      <w:hyperlink r:id="rId25" w:tgtFrame="_new" w:history="1">
        <w:r w:rsidRPr="000829D4">
          <w:rPr>
            <w:rFonts w:ascii="Arial" w:eastAsia="Times New Roman" w:hAnsi="Arial" w:cs="Arial"/>
            <w:color w:val="0000FF"/>
            <w:sz w:val="24"/>
            <w:szCs w:val="24"/>
            <w:u w:val="single"/>
          </w:rPr>
          <w:t>https://doi.org/10.1136/bmj.n71</w:t>
        </w:r>
      </w:hyperlink>
      <w:r w:rsidRPr="000829D4">
        <w:rPr>
          <w:rFonts w:ascii="Arial" w:eastAsia="Times New Roman" w:hAnsi="Arial" w:cs="Arial"/>
          <w:sz w:val="24"/>
          <w:szCs w:val="24"/>
        </w:rPr>
        <w:t xml:space="preserve"> (Accessed: 3 May 2026).</w:t>
      </w:r>
    </w:p>
    <w:p w14:paraId="1D76D198"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Pansari</w:t>
      </w:r>
      <w:proofErr w:type="spellEnd"/>
      <w:r w:rsidRPr="000829D4">
        <w:rPr>
          <w:rFonts w:ascii="Arial" w:eastAsia="Times New Roman" w:hAnsi="Arial" w:cs="Arial"/>
          <w:sz w:val="24"/>
          <w:szCs w:val="24"/>
        </w:rPr>
        <w:t xml:space="preserve">, A. and Kumar, V. (2021) ‘Customer engagement and value creation’, </w:t>
      </w:r>
      <w:r w:rsidRPr="000829D4">
        <w:rPr>
          <w:rFonts w:ascii="Arial" w:eastAsia="Times New Roman" w:hAnsi="Arial" w:cs="Arial"/>
          <w:i/>
          <w:iCs/>
          <w:sz w:val="24"/>
          <w:szCs w:val="24"/>
        </w:rPr>
        <w:t>Journal of the Academy of Marketing Science</w:t>
      </w:r>
      <w:r w:rsidRPr="000829D4">
        <w:rPr>
          <w:rFonts w:ascii="Arial" w:eastAsia="Times New Roman" w:hAnsi="Arial" w:cs="Arial"/>
          <w:sz w:val="24"/>
          <w:szCs w:val="24"/>
        </w:rPr>
        <w:t xml:space="preserve">, 49, pp. 1–25. </w:t>
      </w:r>
      <w:hyperlink r:id="rId26" w:tgtFrame="_new" w:history="1">
        <w:r w:rsidRPr="000829D4">
          <w:rPr>
            <w:rFonts w:ascii="Arial" w:eastAsia="Times New Roman" w:hAnsi="Arial" w:cs="Arial"/>
            <w:color w:val="0000FF"/>
            <w:sz w:val="24"/>
            <w:szCs w:val="24"/>
            <w:u w:val="single"/>
          </w:rPr>
          <w:t>https://doi.org/10.1007/s11747-020-00755-2</w:t>
        </w:r>
      </w:hyperlink>
      <w:r w:rsidRPr="000829D4">
        <w:rPr>
          <w:rFonts w:ascii="Arial" w:eastAsia="Times New Roman" w:hAnsi="Arial" w:cs="Arial"/>
          <w:sz w:val="24"/>
          <w:szCs w:val="24"/>
        </w:rPr>
        <w:t xml:space="preserve"> (Accessed: 3 May 2026).</w:t>
      </w:r>
    </w:p>
    <w:p w14:paraId="725380F1"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Petticrew, M. and Roberts, H. (2019) </w:t>
      </w:r>
      <w:r w:rsidRPr="000829D4">
        <w:rPr>
          <w:rFonts w:ascii="Arial" w:eastAsia="Times New Roman" w:hAnsi="Arial" w:cs="Arial"/>
          <w:i/>
          <w:iCs/>
          <w:sz w:val="24"/>
          <w:szCs w:val="24"/>
        </w:rPr>
        <w:t>Systematic Reviews in the Social Sciences</w:t>
      </w:r>
      <w:r w:rsidRPr="000829D4">
        <w:rPr>
          <w:rFonts w:ascii="Arial" w:eastAsia="Times New Roman" w:hAnsi="Arial" w:cs="Arial"/>
          <w:sz w:val="24"/>
          <w:szCs w:val="24"/>
        </w:rPr>
        <w:t xml:space="preserve">. Oxford: OUP. </w:t>
      </w:r>
      <w:hyperlink r:id="rId27" w:tgtFrame="_new" w:history="1">
        <w:r w:rsidRPr="000829D4">
          <w:rPr>
            <w:rFonts w:ascii="Arial" w:eastAsia="Times New Roman" w:hAnsi="Arial" w:cs="Arial"/>
            <w:color w:val="0000FF"/>
            <w:sz w:val="24"/>
            <w:szCs w:val="24"/>
            <w:u w:val="single"/>
          </w:rPr>
          <w:t>https://global.oup.com</w:t>
        </w:r>
      </w:hyperlink>
      <w:r w:rsidRPr="000829D4">
        <w:rPr>
          <w:rFonts w:ascii="Arial" w:eastAsia="Times New Roman" w:hAnsi="Arial" w:cs="Arial"/>
          <w:sz w:val="24"/>
          <w:szCs w:val="24"/>
        </w:rPr>
        <w:t xml:space="preserve"> (Accessed: 3 May 2026).</w:t>
      </w:r>
    </w:p>
    <w:p w14:paraId="08869DC2"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Rather, R.A. (2022) </w:t>
      </w:r>
      <w:r w:rsidRPr="000829D4">
        <w:rPr>
          <w:rFonts w:ascii="Arial" w:eastAsia="Times New Roman" w:hAnsi="Arial" w:cs="Arial"/>
          <w:i/>
          <w:iCs/>
          <w:sz w:val="24"/>
          <w:szCs w:val="24"/>
        </w:rPr>
        <w:t>Customer Engagement and Loyalty</w:t>
      </w:r>
      <w:r w:rsidRPr="000829D4">
        <w:rPr>
          <w:rFonts w:ascii="Arial" w:eastAsia="Times New Roman" w:hAnsi="Arial" w:cs="Arial"/>
          <w:sz w:val="24"/>
          <w:szCs w:val="24"/>
        </w:rPr>
        <w:t xml:space="preserve">. Springer. </w:t>
      </w:r>
      <w:hyperlink r:id="rId28" w:tgtFrame="_new" w:history="1">
        <w:r w:rsidRPr="000829D4">
          <w:rPr>
            <w:rFonts w:ascii="Arial" w:eastAsia="Times New Roman" w:hAnsi="Arial" w:cs="Arial"/>
            <w:color w:val="0000FF"/>
            <w:sz w:val="24"/>
            <w:szCs w:val="24"/>
            <w:u w:val="single"/>
          </w:rPr>
          <w:t>https://link.springer.com</w:t>
        </w:r>
      </w:hyperlink>
      <w:r w:rsidRPr="000829D4">
        <w:rPr>
          <w:rFonts w:ascii="Arial" w:eastAsia="Times New Roman" w:hAnsi="Arial" w:cs="Arial"/>
          <w:sz w:val="24"/>
          <w:szCs w:val="24"/>
        </w:rPr>
        <w:t xml:space="preserve"> (Accessed: 3 May 2026).</w:t>
      </w:r>
    </w:p>
    <w:p w14:paraId="2F5EC6DD"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Rowley, J. and Slack, F. (2020) ‘Conducting literature reviews’, </w:t>
      </w:r>
      <w:r w:rsidRPr="000829D4">
        <w:rPr>
          <w:rFonts w:ascii="Arial" w:eastAsia="Times New Roman" w:hAnsi="Arial" w:cs="Arial"/>
          <w:i/>
          <w:iCs/>
          <w:sz w:val="24"/>
          <w:szCs w:val="24"/>
        </w:rPr>
        <w:t>Management Research Review</w:t>
      </w:r>
      <w:r w:rsidRPr="000829D4">
        <w:rPr>
          <w:rFonts w:ascii="Arial" w:eastAsia="Times New Roman" w:hAnsi="Arial" w:cs="Arial"/>
          <w:sz w:val="24"/>
          <w:szCs w:val="24"/>
        </w:rPr>
        <w:t xml:space="preserve">, 43(1), pp. 1–15. </w:t>
      </w:r>
      <w:hyperlink r:id="rId29" w:tgtFrame="_new" w:history="1">
        <w:r w:rsidRPr="000829D4">
          <w:rPr>
            <w:rFonts w:ascii="Arial" w:eastAsia="Times New Roman" w:hAnsi="Arial" w:cs="Arial"/>
            <w:color w:val="0000FF"/>
            <w:sz w:val="24"/>
            <w:szCs w:val="24"/>
            <w:u w:val="single"/>
          </w:rPr>
          <w:t>https://doi.org/10.1108/MRR-04-2019-0154</w:t>
        </w:r>
      </w:hyperlink>
      <w:r w:rsidRPr="000829D4">
        <w:rPr>
          <w:rFonts w:ascii="Arial" w:eastAsia="Times New Roman" w:hAnsi="Arial" w:cs="Arial"/>
          <w:sz w:val="24"/>
          <w:szCs w:val="24"/>
        </w:rPr>
        <w:t xml:space="preserve"> (Accessed: 3 May 2026).</w:t>
      </w:r>
    </w:p>
    <w:p w14:paraId="61FFC647"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Saunders, M., Lewis, P. and Thornhill, A. (2019) </w:t>
      </w:r>
      <w:r w:rsidRPr="000829D4">
        <w:rPr>
          <w:rFonts w:ascii="Arial" w:eastAsia="Times New Roman" w:hAnsi="Arial" w:cs="Arial"/>
          <w:i/>
          <w:iCs/>
          <w:sz w:val="24"/>
          <w:szCs w:val="24"/>
        </w:rPr>
        <w:t>Research Methods for Business Students</w:t>
      </w:r>
      <w:r w:rsidRPr="000829D4">
        <w:rPr>
          <w:rFonts w:ascii="Arial" w:eastAsia="Times New Roman" w:hAnsi="Arial" w:cs="Arial"/>
          <w:sz w:val="24"/>
          <w:szCs w:val="24"/>
        </w:rPr>
        <w:t xml:space="preserve">. Pearson. </w:t>
      </w:r>
      <w:hyperlink r:id="rId30" w:tgtFrame="_new" w:history="1">
        <w:r w:rsidRPr="000829D4">
          <w:rPr>
            <w:rFonts w:ascii="Arial" w:eastAsia="Times New Roman" w:hAnsi="Arial" w:cs="Arial"/>
            <w:color w:val="0000FF"/>
            <w:sz w:val="24"/>
            <w:szCs w:val="24"/>
            <w:u w:val="single"/>
          </w:rPr>
          <w:t>https://www.pearson.com</w:t>
        </w:r>
      </w:hyperlink>
      <w:r w:rsidRPr="000829D4">
        <w:rPr>
          <w:rFonts w:ascii="Arial" w:eastAsia="Times New Roman" w:hAnsi="Arial" w:cs="Arial"/>
          <w:sz w:val="24"/>
          <w:szCs w:val="24"/>
        </w:rPr>
        <w:t xml:space="preserve"> (Accessed: 3 May 2026).</w:t>
      </w:r>
    </w:p>
    <w:p w14:paraId="2C668243"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Singh, J. and Sonnenburg, S. (2022) ‘Brand storytelling’,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144, pp. 123–134. </w:t>
      </w:r>
      <w:hyperlink r:id="rId31" w:tgtFrame="_new" w:history="1">
        <w:r w:rsidRPr="000829D4">
          <w:rPr>
            <w:rFonts w:ascii="Arial" w:eastAsia="Times New Roman" w:hAnsi="Arial" w:cs="Arial"/>
            <w:color w:val="0000FF"/>
            <w:sz w:val="24"/>
            <w:szCs w:val="24"/>
            <w:u w:val="single"/>
          </w:rPr>
          <w:t>https://doi.org/10.1016/j.jbusres.2022.01.045</w:t>
        </w:r>
      </w:hyperlink>
      <w:r w:rsidRPr="000829D4">
        <w:rPr>
          <w:rFonts w:ascii="Arial" w:eastAsia="Times New Roman" w:hAnsi="Arial" w:cs="Arial"/>
          <w:sz w:val="24"/>
          <w:szCs w:val="24"/>
        </w:rPr>
        <w:t xml:space="preserve"> (Accessed: 3 May 2026).</w:t>
      </w:r>
    </w:p>
    <w:p w14:paraId="73A01077"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Snyder, H. (2019) ‘Literature review methodology’,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104, pp. 333–339. </w:t>
      </w:r>
      <w:hyperlink r:id="rId32" w:tgtFrame="_new" w:history="1">
        <w:r w:rsidRPr="000829D4">
          <w:rPr>
            <w:rFonts w:ascii="Arial" w:eastAsia="Times New Roman" w:hAnsi="Arial" w:cs="Arial"/>
            <w:color w:val="0000FF"/>
            <w:sz w:val="24"/>
            <w:szCs w:val="24"/>
            <w:u w:val="single"/>
          </w:rPr>
          <w:t>https://doi.org/10.1016/j.jbusres.2019.07.039</w:t>
        </w:r>
      </w:hyperlink>
      <w:r w:rsidRPr="000829D4">
        <w:rPr>
          <w:rFonts w:ascii="Arial" w:eastAsia="Times New Roman" w:hAnsi="Arial" w:cs="Arial"/>
          <w:sz w:val="24"/>
          <w:szCs w:val="24"/>
        </w:rPr>
        <w:t xml:space="preserve"> (Accessed: 3 May 2026).</w:t>
      </w:r>
    </w:p>
    <w:p w14:paraId="5EA4940C"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Tranfield</w:t>
      </w:r>
      <w:proofErr w:type="spellEnd"/>
      <w:r w:rsidRPr="000829D4">
        <w:rPr>
          <w:rFonts w:ascii="Arial" w:eastAsia="Times New Roman" w:hAnsi="Arial" w:cs="Arial"/>
          <w:sz w:val="24"/>
          <w:szCs w:val="24"/>
        </w:rPr>
        <w:t xml:space="preserve">, D., Denyer, D. and Smart, P. (2003) ‘Systematic review in management research’, </w:t>
      </w:r>
      <w:r w:rsidRPr="000829D4">
        <w:rPr>
          <w:rFonts w:ascii="Arial" w:eastAsia="Times New Roman" w:hAnsi="Arial" w:cs="Arial"/>
          <w:i/>
          <w:iCs/>
          <w:sz w:val="24"/>
          <w:szCs w:val="24"/>
        </w:rPr>
        <w:t>British Journal of Management</w:t>
      </w:r>
      <w:r w:rsidRPr="000829D4">
        <w:rPr>
          <w:rFonts w:ascii="Arial" w:eastAsia="Times New Roman" w:hAnsi="Arial" w:cs="Arial"/>
          <w:sz w:val="24"/>
          <w:szCs w:val="24"/>
        </w:rPr>
        <w:t xml:space="preserve">, 14(3), pp. 207–222. </w:t>
      </w:r>
      <w:hyperlink r:id="rId33" w:tgtFrame="_new" w:history="1">
        <w:r w:rsidRPr="000829D4">
          <w:rPr>
            <w:rFonts w:ascii="Arial" w:eastAsia="Times New Roman" w:hAnsi="Arial" w:cs="Arial"/>
            <w:color w:val="0000FF"/>
            <w:sz w:val="24"/>
            <w:szCs w:val="24"/>
            <w:u w:val="single"/>
          </w:rPr>
          <w:t>https://doi.org/10.1111/1467-8551.00375</w:t>
        </w:r>
      </w:hyperlink>
      <w:r w:rsidRPr="000829D4">
        <w:rPr>
          <w:rFonts w:ascii="Arial" w:eastAsia="Times New Roman" w:hAnsi="Arial" w:cs="Arial"/>
          <w:sz w:val="24"/>
          <w:szCs w:val="24"/>
        </w:rPr>
        <w:t xml:space="preserve"> (Accessed: 3 May 2026).</w:t>
      </w:r>
    </w:p>
    <w:p w14:paraId="6AD08313"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lastRenderedPageBreak/>
        <w:t xml:space="preserve">Tuten, T.L. and Solomon, M.R. (2020) </w:t>
      </w:r>
      <w:r w:rsidRPr="000829D4">
        <w:rPr>
          <w:rFonts w:ascii="Arial" w:eastAsia="Times New Roman" w:hAnsi="Arial" w:cs="Arial"/>
          <w:i/>
          <w:iCs/>
          <w:sz w:val="24"/>
          <w:szCs w:val="24"/>
        </w:rPr>
        <w:t>Social Media Marketing</w:t>
      </w:r>
      <w:r w:rsidRPr="000829D4">
        <w:rPr>
          <w:rFonts w:ascii="Arial" w:eastAsia="Times New Roman" w:hAnsi="Arial" w:cs="Arial"/>
          <w:sz w:val="24"/>
          <w:szCs w:val="24"/>
        </w:rPr>
        <w:t xml:space="preserve">. SAGE. </w:t>
      </w:r>
      <w:hyperlink r:id="rId34" w:tgtFrame="_new" w:history="1">
        <w:r w:rsidRPr="000829D4">
          <w:rPr>
            <w:rFonts w:ascii="Arial" w:eastAsia="Times New Roman" w:hAnsi="Arial" w:cs="Arial"/>
            <w:color w:val="0000FF"/>
            <w:sz w:val="24"/>
            <w:szCs w:val="24"/>
            <w:u w:val="single"/>
          </w:rPr>
          <w:t>https://uk.sagepub.com</w:t>
        </w:r>
      </w:hyperlink>
      <w:r w:rsidRPr="000829D4">
        <w:rPr>
          <w:rFonts w:ascii="Arial" w:eastAsia="Times New Roman" w:hAnsi="Arial" w:cs="Arial"/>
          <w:sz w:val="24"/>
          <w:szCs w:val="24"/>
        </w:rPr>
        <w:t xml:space="preserve"> (Accessed: 3 May 2026).</w:t>
      </w:r>
    </w:p>
    <w:p w14:paraId="5C414D43"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Xiao, Y. and Watson, M. (2019) ‘Guidance for systematic literature reviews’, </w:t>
      </w:r>
      <w:r w:rsidRPr="000829D4">
        <w:rPr>
          <w:rFonts w:ascii="Arial" w:eastAsia="Times New Roman" w:hAnsi="Arial" w:cs="Arial"/>
          <w:i/>
          <w:iCs/>
          <w:sz w:val="24"/>
          <w:szCs w:val="24"/>
        </w:rPr>
        <w:t>Journal of Planning Education and Research</w:t>
      </w:r>
      <w:r w:rsidRPr="000829D4">
        <w:rPr>
          <w:rFonts w:ascii="Arial" w:eastAsia="Times New Roman" w:hAnsi="Arial" w:cs="Arial"/>
          <w:sz w:val="24"/>
          <w:szCs w:val="24"/>
        </w:rPr>
        <w:t xml:space="preserve">, 39(1), pp. 93–112. </w:t>
      </w:r>
      <w:hyperlink r:id="rId35" w:tgtFrame="_new" w:history="1">
        <w:r w:rsidRPr="000829D4">
          <w:rPr>
            <w:rFonts w:ascii="Arial" w:eastAsia="Times New Roman" w:hAnsi="Arial" w:cs="Arial"/>
            <w:color w:val="0000FF"/>
            <w:sz w:val="24"/>
            <w:szCs w:val="24"/>
            <w:u w:val="single"/>
          </w:rPr>
          <w:t>https://doi.org/10.1177/0739456X17723971</w:t>
        </w:r>
      </w:hyperlink>
      <w:r w:rsidRPr="000829D4">
        <w:rPr>
          <w:rFonts w:ascii="Arial" w:eastAsia="Times New Roman" w:hAnsi="Arial" w:cs="Arial"/>
          <w:sz w:val="24"/>
          <w:szCs w:val="24"/>
        </w:rPr>
        <w:t xml:space="preserve"> (Accessed: 3 May 2026).</w:t>
      </w:r>
    </w:p>
    <w:p w14:paraId="4C39A99F" w14:textId="54227144"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Kaplan, A.M. and Haenlein, M. (2019) ‘Social media frameworks’, </w:t>
      </w:r>
      <w:r w:rsidRPr="000829D4">
        <w:rPr>
          <w:rFonts w:ascii="Arial" w:eastAsia="Times New Roman" w:hAnsi="Arial" w:cs="Arial"/>
          <w:i/>
          <w:iCs/>
          <w:sz w:val="24"/>
          <w:szCs w:val="24"/>
        </w:rPr>
        <w:t>Business Horizons</w:t>
      </w:r>
      <w:r w:rsidRPr="000829D4">
        <w:rPr>
          <w:rFonts w:ascii="Arial" w:eastAsia="Times New Roman" w:hAnsi="Arial" w:cs="Arial"/>
          <w:sz w:val="24"/>
          <w:szCs w:val="24"/>
        </w:rPr>
        <w:t xml:space="preserve">. </w:t>
      </w:r>
      <w:hyperlink r:id="rId36" w:history="1">
        <w:r w:rsidR="001B10B7" w:rsidRPr="00355D71">
          <w:rPr>
            <w:rStyle w:val="Hyperlink"/>
            <w:rFonts w:ascii="Arial" w:eastAsia="Times New Roman" w:hAnsi="Arial" w:cs="Arial"/>
            <w:sz w:val="24"/>
            <w:szCs w:val="24"/>
          </w:rPr>
          <w:t>https://doi.org/10.1016/j.bushor.2018.08.003</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5B2D1FA3"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Keller, K.L. (2020) </w:t>
      </w:r>
      <w:r w:rsidRPr="000829D4">
        <w:rPr>
          <w:rFonts w:ascii="Arial" w:eastAsia="Times New Roman" w:hAnsi="Arial" w:cs="Arial"/>
          <w:i/>
          <w:iCs/>
          <w:sz w:val="24"/>
          <w:szCs w:val="24"/>
        </w:rPr>
        <w:t>Brand Equity Management</w:t>
      </w:r>
      <w:r w:rsidRPr="000829D4">
        <w:rPr>
          <w:rFonts w:ascii="Arial" w:eastAsia="Times New Roman" w:hAnsi="Arial" w:cs="Arial"/>
          <w:sz w:val="24"/>
          <w:szCs w:val="24"/>
        </w:rPr>
        <w:t xml:space="preserve">. Pearson. </w:t>
      </w:r>
      <w:hyperlink r:id="rId37" w:tgtFrame="_new" w:history="1">
        <w:r w:rsidRPr="000829D4">
          <w:rPr>
            <w:rFonts w:ascii="Arial" w:eastAsia="Times New Roman" w:hAnsi="Arial" w:cs="Arial"/>
            <w:color w:val="0000FF"/>
            <w:sz w:val="24"/>
            <w:szCs w:val="24"/>
            <w:u w:val="single"/>
          </w:rPr>
          <w:t>https://www.pearson.com</w:t>
        </w:r>
      </w:hyperlink>
      <w:r w:rsidRPr="000829D4">
        <w:rPr>
          <w:rFonts w:ascii="Arial" w:eastAsia="Times New Roman" w:hAnsi="Arial" w:cs="Arial"/>
          <w:sz w:val="24"/>
          <w:szCs w:val="24"/>
        </w:rPr>
        <w:t xml:space="preserve"> (Accessed: 3 May 2026).</w:t>
      </w:r>
    </w:p>
    <w:p w14:paraId="6D23991D"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Kietzmann, J.H. (2019) ‘Social media frameworks’, </w:t>
      </w:r>
      <w:r w:rsidRPr="000829D4">
        <w:rPr>
          <w:rFonts w:ascii="Arial" w:eastAsia="Times New Roman" w:hAnsi="Arial" w:cs="Arial"/>
          <w:i/>
          <w:iCs/>
          <w:sz w:val="24"/>
          <w:szCs w:val="24"/>
        </w:rPr>
        <w:t>Business Horizons</w:t>
      </w:r>
      <w:r w:rsidRPr="000829D4">
        <w:rPr>
          <w:rFonts w:ascii="Arial" w:eastAsia="Times New Roman" w:hAnsi="Arial" w:cs="Arial"/>
          <w:sz w:val="24"/>
          <w:szCs w:val="24"/>
        </w:rPr>
        <w:t xml:space="preserve">. </w:t>
      </w:r>
      <w:hyperlink r:id="rId38" w:tgtFrame="_new" w:history="1">
        <w:r w:rsidRPr="000829D4">
          <w:rPr>
            <w:rFonts w:ascii="Arial" w:eastAsia="Times New Roman" w:hAnsi="Arial" w:cs="Arial"/>
            <w:color w:val="0000FF"/>
            <w:sz w:val="24"/>
            <w:szCs w:val="24"/>
            <w:u w:val="single"/>
          </w:rPr>
          <w:t>https://doi.org/10.1016/j.bushor.2011.01.005</w:t>
        </w:r>
      </w:hyperlink>
      <w:r w:rsidRPr="000829D4">
        <w:rPr>
          <w:rFonts w:ascii="Arial" w:eastAsia="Times New Roman" w:hAnsi="Arial" w:cs="Arial"/>
          <w:sz w:val="24"/>
          <w:szCs w:val="24"/>
        </w:rPr>
        <w:t xml:space="preserve"> (Accessed: 3 May 2026).</w:t>
      </w:r>
    </w:p>
    <w:p w14:paraId="09B5D2C4"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Kotler, P. and Keller, K.L. (2019) </w:t>
      </w:r>
      <w:r w:rsidRPr="000829D4">
        <w:rPr>
          <w:rFonts w:ascii="Arial" w:eastAsia="Times New Roman" w:hAnsi="Arial" w:cs="Arial"/>
          <w:i/>
          <w:iCs/>
          <w:sz w:val="24"/>
          <w:szCs w:val="24"/>
        </w:rPr>
        <w:t>Marketing Management</w:t>
      </w:r>
      <w:r w:rsidRPr="000829D4">
        <w:rPr>
          <w:rFonts w:ascii="Arial" w:eastAsia="Times New Roman" w:hAnsi="Arial" w:cs="Arial"/>
          <w:sz w:val="24"/>
          <w:szCs w:val="24"/>
        </w:rPr>
        <w:t xml:space="preserve">. Pearson. </w:t>
      </w:r>
      <w:hyperlink r:id="rId39" w:tgtFrame="_new" w:history="1">
        <w:r w:rsidRPr="000829D4">
          <w:rPr>
            <w:rFonts w:ascii="Arial" w:eastAsia="Times New Roman" w:hAnsi="Arial" w:cs="Arial"/>
            <w:color w:val="0000FF"/>
            <w:sz w:val="24"/>
            <w:szCs w:val="24"/>
            <w:u w:val="single"/>
          </w:rPr>
          <w:t>https://www.pearson.com</w:t>
        </w:r>
      </w:hyperlink>
      <w:r w:rsidRPr="000829D4">
        <w:rPr>
          <w:rFonts w:ascii="Arial" w:eastAsia="Times New Roman" w:hAnsi="Arial" w:cs="Arial"/>
          <w:sz w:val="24"/>
          <w:szCs w:val="24"/>
        </w:rPr>
        <w:t xml:space="preserve"> (Accessed: 3 May 2026).</w:t>
      </w:r>
    </w:p>
    <w:p w14:paraId="1F636BF7"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Kotler, P. (2021) </w:t>
      </w:r>
      <w:r w:rsidRPr="000829D4">
        <w:rPr>
          <w:rFonts w:ascii="Arial" w:eastAsia="Times New Roman" w:hAnsi="Arial" w:cs="Arial"/>
          <w:i/>
          <w:iCs/>
          <w:sz w:val="24"/>
          <w:szCs w:val="24"/>
        </w:rPr>
        <w:t>Marketing 5.0</w:t>
      </w:r>
      <w:r w:rsidRPr="000829D4">
        <w:rPr>
          <w:rFonts w:ascii="Arial" w:eastAsia="Times New Roman" w:hAnsi="Arial" w:cs="Arial"/>
          <w:sz w:val="24"/>
          <w:szCs w:val="24"/>
        </w:rPr>
        <w:t xml:space="preserve">. Wiley. </w:t>
      </w:r>
      <w:hyperlink r:id="rId40" w:tgtFrame="_new" w:history="1">
        <w:r w:rsidRPr="000829D4">
          <w:rPr>
            <w:rFonts w:ascii="Arial" w:eastAsia="Times New Roman" w:hAnsi="Arial" w:cs="Arial"/>
            <w:color w:val="0000FF"/>
            <w:sz w:val="24"/>
            <w:szCs w:val="24"/>
            <w:u w:val="single"/>
          </w:rPr>
          <w:t>https://www.wiley.com</w:t>
        </w:r>
      </w:hyperlink>
      <w:r w:rsidRPr="000829D4">
        <w:rPr>
          <w:rFonts w:ascii="Arial" w:eastAsia="Times New Roman" w:hAnsi="Arial" w:cs="Arial"/>
          <w:sz w:val="24"/>
          <w:szCs w:val="24"/>
        </w:rPr>
        <w:t xml:space="preserve"> (Accessed: 3 May 2026).</w:t>
      </w:r>
    </w:p>
    <w:p w14:paraId="4431B680"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Lemon, K.N. and Verhoef, P.C. (2019) ‘Customer experience’, </w:t>
      </w:r>
      <w:r w:rsidRPr="000829D4">
        <w:rPr>
          <w:rFonts w:ascii="Arial" w:eastAsia="Times New Roman" w:hAnsi="Arial" w:cs="Arial"/>
          <w:i/>
          <w:iCs/>
          <w:sz w:val="24"/>
          <w:szCs w:val="24"/>
        </w:rPr>
        <w:t>Journal of Marketing</w:t>
      </w:r>
      <w:r w:rsidRPr="000829D4">
        <w:rPr>
          <w:rFonts w:ascii="Arial" w:eastAsia="Times New Roman" w:hAnsi="Arial" w:cs="Arial"/>
          <w:sz w:val="24"/>
          <w:szCs w:val="24"/>
        </w:rPr>
        <w:t xml:space="preserve">. </w:t>
      </w:r>
      <w:hyperlink r:id="rId41" w:tgtFrame="_new" w:history="1">
        <w:r w:rsidRPr="000829D4">
          <w:rPr>
            <w:rFonts w:ascii="Arial" w:eastAsia="Times New Roman" w:hAnsi="Arial" w:cs="Arial"/>
            <w:color w:val="0000FF"/>
            <w:sz w:val="24"/>
            <w:szCs w:val="24"/>
            <w:u w:val="single"/>
          </w:rPr>
          <w:t>https://doi.org/10.1509/jm.15.0420</w:t>
        </w:r>
      </w:hyperlink>
      <w:r w:rsidRPr="000829D4">
        <w:rPr>
          <w:rFonts w:ascii="Arial" w:eastAsia="Times New Roman" w:hAnsi="Arial" w:cs="Arial"/>
          <w:sz w:val="24"/>
          <w:szCs w:val="24"/>
        </w:rPr>
        <w:t xml:space="preserve"> (Accessed: 3 May 2026).</w:t>
      </w:r>
    </w:p>
    <w:p w14:paraId="42332930" w14:textId="4ECA88FC"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Stephen, A.T. (2020) ‘Social media marketing’, </w:t>
      </w:r>
      <w:r w:rsidRPr="000829D4">
        <w:rPr>
          <w:rFonts w:ascii="Arial" w:eastAsia="Times New Roman" w:hAnsi="Arial" w:cs="Arial"/>
          <w:i/>
          <w:iCs/>
          <w:sz w:val="24"/>
          <w:szCs w:val="24"/>
        </w:rPr>
        <w:t>Business Horizons</w:t>
      </w:r>
      <w:r w:rsidRPr="000829D4">
        <w:rPr>
          <w:rFonts w:ascii="Arial" w:eastAsia="Times New Roman" w:hAnsi="Arial" w:cs="Arial"/>
          <w:sz w:val="24"/>
          <w:szCs w:val="24"/>
        </w:rPr>
        <w:t xml:space="preserve">. </w:t>
      </w:r>
      <w:hyperlink r:id="rId42" w:history="1">
        <w:r w:rsidR="001B10B7" w:rsidRPr="00355D71">
          <w:rPr>
            <w:rStyle w:val="Hyperlink"/>
            <w:rFonts w:ascii="Arial" w:eastAsia="Times New Roman" w:hAnsi="Arial" w:cs="Arial"/>
            <w:sz w:val="24"/>
            <w:szCs w:val="24"/>
          </w:rPr>
          <w:t>https://doi.org/10.1016/j.bushor.2016.11.002</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3FBFE45D" w14:textId="6A8E31EF"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Vargo, S.L. and Lusch, R.F. (2019) ‘Service-dominant logic’,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w:t>
      </w:r>
      <w:hyperlink r:id="rId43" w:history="1">
        <w:r w:rsidR="001B10B7" w:rsidRPr="00355D71">
          <w:rPr>
            <w:rStyle w:val="Hyperlink"/>
            <w:rFonts w:ascii="Arial" w:eastAsia="Times New Roman" w:hAnsi="Arial" w:cs="Arial"/>
            <w:sz w:val="24"/>
            <w:szCs w:val="24"/>
          </w:rPr>
          <w:t>https://doi.org/10.1016/j.jbusres.2017.03.028</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3FA89A07"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Verhoef, P.C. (2021) ‘Customer experience management’, </w:t>
      </w:r>
      <w:r w:rsidRPr="000829D4">
        <w:rPr>
          <w:rFonts w:ascii="Arial" w:eastAsia="Times New Roman" w:hAnsi="Arial" w:cs="Arial"/>
          <w:i/>
          <w:iCs/>
          <w:sz w:val="24"/>
          <w:szCs w:val="24"/>
        </w:rPr>
        <w:t>Journal of Marketing</w:t>
      </w:r>
      <w:r w:rsidRPr="000829D4">
        <w:rPr>
          <w:rFonts w:ascii="Arial" w:eastAsia="Times New Roman" w:hAnsi="Arial" w:cs="Arial"/>
          <w:sz w:val="24"/>
          <w:szCs w:val="24"/>
        </w:rPr>
        <w:t xml:space="preserve">. </w:t>
      </w:r>
      <w:hyperlink r:id="rId44" w:tgtFrame="_new" w:history="1">
        <w:r w:rsidRPr="000829D4">
          <w:rPr>
            <w:rFonts w:ascii="Arial" w:eastAsia="Times New Roman" w:hAnsi="Arial" w:cs="Arial"/>
            <w:color w:val="0000FF"/>
            <w:sz w:val="24"/>
            <w:szCs w:val="24"/>
            <w:u w:val="single"/>
          </w:rPr>
          <w:t>https://doi.org/10.1002/mar.21385</w:t>
        </w:r>
      </w:hyperlink>
      <w:r w:rsidRPr="000829D4">
        <w:rPr>
          <w:rFonts w:ascii="Arial" w:eastAsia="Times New Roman" w:hAnsi="Arial" w:cs="Arial"/>
          <w:sz w:val="24"/>
          <w:szCs w:val="24"/>
        </w:rPr>
        <w:t xml:space="preserve"> (Accessed: 3 May 2026).</w:t>
      </w:r>
    </w:p>
    <w:p w14:paraId="4229DB01" w14:textId="6D137CB4"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Yoo, B. and </w:t>
      </w:r>
      <w:proofErr w:type="spellStart"/>
      <w:r w:rsidRPr="000829D4">
        <w:rPr>
          <w:rFonts w:ascii="Arial" w:eastAsia="Times New Roman" w:hAnsi="Arial" w:cs="Arial"/>
          <w:sz w:val="24"/>
          <w:szCs w:val="24"/>
        </w:rPr>
        <w:t>Donthu</w:t>
      </w:r>
      <w:proofErr w:type="spellEnd"/>
      <w:r w:rsidRPr="000829D4">
        <w:rPr>
          <w:rFonts w:ascii="Arial" w:eastAsia="Times New Roman" w:hAnsi="Arial" w:cs="Arial"/>
          <w:sz w:val="24"/>
          <w:szCs w:val="24"/>
        </w:rPr>
        <w:t xml:space="preserve">, N. (2020) ‘Brand experience scale’,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w:t>
      </w:r>
      <w:hyperlink r:id="rId45" w:history="1">
        <w:r w:rsidR="001B10B7" w:rsidRPr="00355D71">
          <w:rPr>
            <w:rStyle w:val="Hyperlink"/>
            <w:rFonts w:ascii="Arial" w:eastAsia="Times New Roman" w:hAnsi="Arial" w:cs="Arial"/>
            <w:sz w:val="24"/>
            <w:szCs w:val="24"/>
          </w:rPr>
          <w:t>https://doi.org/10.1016/j.jbusres.2019.05.038</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5AC394BF" w14:textId="582E41DF"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Zhang, Y. and Benyoucef, M. (2021) ‘Online brand communities’, </w:t>
      </w:r>
      <w:r w:rsidRPr="000829D4">
        <w:rPr>
          <w:rFonts w:ascii="Arial" w:eastAsia="Times New Roman" w:hAnsi="Arial" w:cs="Arial"/>
          <w:i/>
          <w:iCs/>
          <w:sz w:val="24"/>
          <w:szCs w:val="24"/>
        </w:rPr>
        <w:t>Electronic Commerce Research and Applications</w:t>
      </w:r>
      <w:r w:rsidRPr="000829D4">
        <w:rPr>
          <w:rFonts w:ascii="Arial" w:eastAsia="Times New Roman" w:hAnsi="Arial" w:cs="Arial"/>
          <w:sz w:val="24"/>
          <w:szCs w:val="24"/>
        </w:rPr>
        <w:t xml:space="preserve">. </w:t>
      </w:r>
      <w:hyperlink r:id="rId46" w:history="1">
        <w:r w:rsidR="001B10B7" w:rsidRPr="00355D71">
          <w:rPr>
            <w:rStyle w:val="Hyperlink"/>
            <w:rFonts w:ascii="Arial" w:eastAsia="Times New Roman" w:hAnsi="Arial" w:cs="Arial"/>
            <w:sz w:val="24"/>
            <w:szCs w:val="24"/>
          </w:rPr>
          <w:t>https://doi.org/10.1016/j.elerap.2021.101034</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1C2E45FF" w14:textId="7777777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McKinsey &amp; Company (2021) </w:t>
      </w:r>
      <w:r w:rsidRPr="000829D4">
        <w:rPr>
          <w:rFonts w:ascii="Arial" w:eastAsia="Times New Roman" w:hAnsi="Arial" w:cs="Arial"/>
          <w:i/>
          <w:iCs/>
          <w:sz w:val="24"/>
          <w:szCs w:val="24"/>
        </w:rPr>
        <w:t>Digital Marketing Trends Report</w:t>
      </w:r>
      <w:r w:rsidRPr="000829D4">
        <w:rPr>
          <w:rFonts w:ascii="Arial" w:eastAsia="Times New Roman" w:hAnsi="Arial" w:cs="Arial"/>
          <w:sz w:val="24"/>
          <w:szCs w:val="24"/>
        </w:rPr>
        <w:t xml:space="preserve">. </w:t>
      </w:r>
      <w:hyperlink r:id="rId47" w:tgtFrame="_new" w:history="1">
        <w:r w:rsidRPr="000829D4">
          <w:rPr>
            <w:rFonts w:ascii="Arial" w:eastAsia="Times New Roman" w:hAnsi="Arial" w:cs="Arial"/>
            <w:color w:val="0000FF"/>
            <w:sz w:val="24"/>
            <w:szCs w:val="24"/>
            <w:u w:val="single"/>
          </w:rPr>
          <w:t>https://www.mckinsey.com</w:t>
        </w:r>
      </w:hyperlink>
      <w:r w:rsidRPr="000829D4">
        <w:rPr>
          <w:rFonts w:ascii="Arial" w:eastAsia="Times New Roman" w:hAnsi="Arial" w:cs="Arial"/>
          <w:sz w:val="24"/>
          <w:szCs w:val="24"/>
        </w:rPr>
        <w:t xml:space="preserve"> (Accessed: 3 May 2026).</w:t>
      </w:r>
    </w:p>
    <w:p w14:paraId="363FFC9D" w14:textId="75A57225"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lastRenderedPageBreak/>
        <w:t xml:space="preserve">Hennig-Thurau, T. (2021) ‘Word-of-mouth marketing’,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w:t>
      </w:r>
      <w:hyperlink r:id="rId48" w:history="1">
        <w:r w:rsidR="001B10B7" w:rsidRPr="00355D71">
          <w:rPr>
            <w:rStyle w:val="Hyperlink"/>
            <w:rFonts w:ascii="Arial" w:eastAsia="Times New Roman" w:hAnsi="Arial" w:cs="Arial"/>
            <w:sz w:val="24"/>
            <w:szCs w:val="24"/>
          </w:rPr>
          <w:t>https://doi.org/10.1016/j.jbusres.2021.03.045</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4FCAD69F" w14:textId="29946A55"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proofErr w:type="spellStart"/>
      <w:r w:rsidRPr="000829D4">
        <w:rPr>
          <w:rFonts w:ascii="Arial" w:eastAsia="Times New Roman" w:hAnsi="Arial" w:cs="Arial"/>
          <w:sz w:val="24"/>
          <w:szCs w:val="24"/>
        </w:rPr>
        <w:t>Muntinga</w:t>
      </w:r>
      <w:proofErr w:type="spellEnd"/>
      <w:r w:rsidRPr="000829D4">
        <w:rPr>
          <w:rFonts w:ascii="Arial" w:eastAsia="Times New Roman" w:hAnsi="Arial" w:cs="Arial"/>
          <w:sz w:val="24"/>
          <w:szCs w:val="24"/>
        </w:rPr>
        <w:t xml:space="preserve">, D.G. (2020) ‘User-generated content’, </w:t>
      </w:r>
      <w:r w:rsidRPr="000829D4">
        <w:rPr>
          <w:rFonts w:ascii="Arial" w:eastAsia="Times New Roman" w:hAnsi="Arial" w:cs="Arial"/>
          <w:i/>
          <w:iCs/>
          <w:sz w:val="24"/>
          <w:szCs w:val="24"/>
        </w:rPr>
        <w:t>International Journal of Advertising</w:t>
      </w:r>
      <w:r w:rsidRPr="000829D4">
        <w:rPr>
          <w:rFonts w:ascii="Arial" w:eastAsia="Times New Roman" w:hAnsi="Arial" w:cs="Arial"/>
          <w:sz w:val="24"/>
          <w:szCs w:val="24"/>
        </w:rPr>
        <w:t xml:space="preserve">. </w:t>
      </w:r>
      <w:hyperlink r:id="rId49" w:history="1">
        <w:r w:rsidR="001B10B7" w:rsidRPr="00355D71">
          <w:rPr>
            <w:rStyle w:val="Hyperlink"/>
            <w:rFonts w:ascii="Arial" w:eastAsia="Times New Roman" w:hAnsi="Arial" w:cs="Arial"/>
            <w:sz w:val="24"/>
            <w:szCs w:val="24"/>
          </w:rPr>
          <w:t>https://doi.org/10.1080/10496491.2011.601467</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33986575" w14:textId="762D3318"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Prahalad, C.K. and Ramaswamy, V. (2019) ‘Co-creation experiences’, </w:t>
      </w:r>
      <w:r w:rsidRPr="000829D4">
        <w:rPr>
          <w:rFonts w:ascii="Arial" w:eastAsia="Times New Roman" w:hAnsi="Arial" w:cs="Arial"/>
          <w:i/>
          <w:iCs/>
          <w:sz w:val="24"/>
          <w:szCs w:val="24"/>
        </w:rPr>
        <w:t>Journal of Interactive Marketing</w:t>
      </w:r>
      <w:r w:rsidRPr="000829D4">
        <w:rPr>
          <w:rFonts w:ascii="Arial" w:eastAsia="Times New Roman" w:hAnsi="Arial" w:cs="Arial"/>
          <w:sz w:val="24"/>
          <w:szCs w:val="24"/>
        </w:rPr>
        <w:t xml:space="preserve">. </w:t>
      </w:r>
      <w:hyperlink r:id="rId50" w:history="1">
        <w:r w:rsidR="001B10B7" w:rsidRPr="00355D71">
          <w:rPr>
            <w:rStyle w:val="Hyperlink"/>
            <w:rFonts w:ascii="Arial" w:eastAsia="Times New Roman" w:hAnsi="Arial" w:cs="Arial"/>
            <w:sz w:val="24"/>
            <w:szCs w:val="24"/>
          </w:rPr>
          <w:t>https://doi.org/10.1108/10748120910945264</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78790F38" w14:textId="6D5F66A2"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De Vries, L. (2020) ‘Advertising effectiveness’, </w:t>
      </w:r>
      <w:r w:rsidRPr="000829D4">
        <w:rPr>
          <w:rFonts w:ascii="Arial" w:eastAsia="Times New Roman" w:hAnsi="Arial" w:cs="Arial"/>
          <w:i/>
          <w:iCs/>
          <w:sz w:val="24"/>
          <w:szCs w:val="24"/>
        </w:rPr>
        <w:t>Journal of Advertising Research</w:t>
      </w:r>
      <w:r w:rsidRPr="000829D4">
        <w:rPr>
          <w:rFonts w:ascii="Arial" w:eastAsia="Times New Roman" w:hAnsi="Arial" w:cs="Arial"/>
          <w:sz w:val="24"/>
          <w:szCs w:val="24"/>
        </w:rPr>
        <w:t xml:space="preserve">. </w:t>
      </w:r>
      <w:hyperlink r:id="rId51" w:history="1">
        <w:r w:rsidR="001B10B7" w:rsidRPr="00355D71">
          <w:rPr>
            <w:rStyle w:val="Hyperlink"/>
            <w:rFonts w:ascii="Arial" w:eastAsia="Times New Roman" w:hAnsi="Arial" w:cs="Arial"/>
            <w:sz w:val="24"/>
            <w:szCs w:val="24"/>
          </w:rPr>
          <w:t>https://doi.org/10.1080/00913367.2020.1751223</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5749CFC1" w14:textId="34065BBA"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Kim, A.J. and Ko, E. (2019) ‘Luxury social media marketing’,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w:t>
      </w:r>
      <w:hyperlink r:id="rId52" w:history="1">
        <w:r w:rsidR="001B10B7" w:rsidRPr="00355D71">
          <w:rPr>
            <w:rStyle w:val="Hyperlink"/>
            <w:rFonts w:ascii="Arial" w:eastAsia="Times New Roman" w:hAnsi="Arial" w:cs="Arial"/>
            <w:sz w:val="24"/>
            <w:szCs w:val="24"/>
          </w:rPr>
          <w:t>https://doi.org/10.1108/10610421111112323</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45B3F50E" w14:textId="28C1626F"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Loureiro, S.M.C. (2020) ‘Consumer engagement studies’,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w:t>
      </w:r>
      <w:hyperlink r:id="rId53" w:history="1">
        <w:r w:rsidR="001B10B7" w:rsidRPr="00355D71">
          <w:rPr>
            <w:rStyle w:val="Hyperlink"/>
            <w:rFonts w:ascii="Arial" w:eastAsia="Times New Roman" w:hAnsi="Arial" w:cs="Arial"/>
            <w:sz w:val="24"/>
            <w:szCs w:val="24"/>
          </w:rPr>
          <w:t>https://doi.org/10.1016/j.jbusres.2019.09.037</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23CD010A" w14:textId="4F8DF557" w:rsidR="006E202D" w:rsidRPr="000829D4" w:rsidRDefault="006E202D" w:rsidP="000829D4">
      <w:pPr>
        <w:pStyle w:val="ListParagraph"/>
        <w:numPr>
          <w:ilvl w:val="0"/>
          <w:numId w:val="30"/>
        </w:numPr>
        <w:spacing w:before="100" w:beforeAutospacing="1" w:after="100" w:afterAutospacing="1" w:line="360" w:lineRule="auto"/>
        <w:jc w:val="both"/>
        <w:rPr>
          <w:rFonts w:ascii="Arial" w:eastAsia="Times New Roman" w:hAnsi="Arial" w:cs="Arial"/>
          <w:sz w:val="24"/>
          <w:szCs w:val="24"/>
        </w:rPr>
      </w:pPr>
      <w:r w:rsidRPr="000829D4">
        <w:rPr>
          <w:rFonts w:ascii="Arial" w:eastAsia="Times New Roman" w:hAnsi="Arial" w:cs="Arial"/>
          <w:sz w:val="24"/>
          <w:szCs w:val="24"/>
        </w:rPr>
        <w:t xml:space="preserve">Zhou, L. et al. (2021) ‘Online brand communities’, </w:t>
      </w:r>
      <w:r w:rsidRPr="000829D4">
        <w:rPr>
          <w:rFonts w:ascii="Arial" w:eastAsia="Times New Roman" w:hAnsi="Arial" w:cs="Arial"/>
          <w:i/>
          <w:iCs/>
          <w:sz w:val="24"/>
          <w:szCs w:val="24"/>
        </w:rPr>
        <w:t>Journal of Business Research</w:t>
      </w:r>
      <w:r w:rsidRPr="000829D4">
        <w:rPr>
          <w:rFonts w:ascii="Arial" w:eastAsia="Times New Roman" w:hAnsi="Arial" w:cs="Arial"/>
          <w:sz w:val="24"/>
          <w:szCs w:val="24"/>
        </w:rPr>
        <w:t xml:space="preserve">. </w:t>
      </w:r>
      <w:hyperlink r:id="rId54" w:history="1">
        <w:r w:rsidR="001B10B7" w:rsidRPr="00355D71">
          <w:rPr>
            <w:rStyle w:val="Hyperlink"/>
            <w:rFonts w:ascii="Arial" w:eastAsia="Times New Roman" w:hAnsi="Arial" w:cs="Arial"/>
            <w:sz w:val="24"/>
            <w:szCs w:val="24"/>
          </w:rPr>
          <w:t>https://doi.org/10.1016/j.jbusres.2020.08.012</w:t>
        </w:r>
      </w:hyperlink>
      <w:r w:rsidR="001B10B7">
        <w:rPr>
          <w:rFonts w:ascii="Arial" w:eastAsia="Times New Roman" w:hAnsi="Arial" w:cs="Arial"/>
          <w:sz w:val="24"/>
          <w:szCs w:val="24"/>
        </w:rPr>
        <w:t xml:space="preserve"> </w:t>
      </w:r>
      <w:r w:rsidRPr="000829D4">
        <w:rPr>
          <w:rFonts w:ascii="Arial" w:eastAsia="Times New Roman" w:hAnsi="Arial" w:cs="Arial"/>
          <w:sz w:val="24"/>
          <w:szCs w:val="24"/>
        </w:rPr>
        <w:t xml:space="preserve"> (Accessed: 3 May 2026).</w:t>
      </w:r>
    </w:p>
    <w:p w14:paraId="4BEDC662" w14:textId="77777777" w:rsidR="006119E5" w:rsidRPr="00250D00" w:rsidRDefault="006119E5" w:rsidP="006119E5">
      <w:pPr>
        <w:pStyle w:val="NoSpacing"/>
        <w:spacing w:before="240" w:after="240" w:line="360" w:lineRule="auto"/>
        <w:jc w:val="both"/>
        <w:rPr>
          <w:rFonts w:ascii="Arial" w:eastAsia="Times New Roman" w:hAnsi="Arial" w:cs="Arial"/>
          <w:sz w:val="24"/>
          <w:szCs w:val="24"/>
        </w:rPr>
      </w:pPr>
    </w:p>
    <w:sectPr w:rsidR="006119E5" w:rsidRPr="00250D0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03391" w14:textId="77777777" w:rsidR="00055857" w:rsidRDefault="00055857">
      <w:pPr>
        <w:spacing w:after="0" w:line="240" w:lineRule="auto"/>
      </w:pPr>
      <w:r>
        <w:separator/>
      </w:r>
    </w:p>
  </w:endnote>
  <w:endnote w:type="continuationSeparator" w:id="0">
    <w:p w14:paraId="3BEC402A" w14:textId="77777777" w:rsidR="00055857" w:rsidRDefault="00055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embedRegular r:id="rId1" w:fontKey="{1160185F-D22D-4072-BD46-C579F2F82E0C}"/>
  </w:font>
  <w:font w:name="Calibri">
    <w:panose1 w:val="020F0502020204030204"/>
    <w:charset w:val="00"/>
    <w:family w:val="swiss"/>
    <w:pitch w:val="variable"/>
    <w:sig w:usb0="E4002EFF" w:usb1="C200247B" w:usb2="00000009" w:usb3="00000000" w:csb0="000001FF" w:csb1="00000000"/>
    <w:embedRegular r:id="rId2" w:fontKey="{616FD959-E99C-43A4-995C-DD157507D269}"/>
    <w:embedBold r:id="rId3" w:fontKey="{9A5DAE61-0E21-4ABE-BC11-1D9FFB2BB9D8}"/>
    <w:embedItalic r:id="rId4" w:fontKey="{6C32C8E8-AAE9-4ABD-B11E-10E4710E28A6}"/>
    <w:embedBoldItalic r:id="rId5" w:fontKey="{628DA165-4749-4CBF-8813-3EE3FE86B788}"/>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6" w:fontKey="{D6DC79E0-B4C1-47E5-B828-AA86274BC2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0BAC5" w14:textId="35509C77" w:rsidR="00B85563" w:rsidRDefault="00B85563">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953FA2">
      <w:rPr>
        <w:noProof/>
        <w:color w:val="000000"/>
      </w:rPr>
      <w:t>3</w:t>
    </w:r>
    <w:r>
      <w:rPr>
        <w:color w:val="000000"/>
      </w:rPr>
      <w:fldChar w:fldCharType="end"/>
    </w:r>
  </w:p>
  <w:p w14:paraId="102A0B55" w14:textId="77777777" w:rsidR="00B85563" w:rsidRDefault="00B8556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2A27B" w14:textId="4D0A52E5" w:rsidR="00B85563" w:rsidRDefault="00B85563">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953FA2">
      <w:rPr>
        <w:noProof/>
        <w:color w:val="000000"/>
      </w:rPr>
      <w:t>1</w:t>
    </w:r>
    <w:r>
      <w:rPr>
        <w:color w:val="000000"/>
      </w:rPr>
      <w:fldChar w:fldCharType="end"/>
    </w:r>
  </w:p>
  <w:p w14:paraId="7F001748" w14:textId="77777777" w:rsidR="00B85563" w:rsidRDefault="00B8556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90401" w14:textId="77777777" w:rsidR="00055857" w:rsidRDefault="00055857">
      <w:pPr>
        <w:spacing w:after="0" w:line="240" w:lineRule="auto"/>
      </w:pPr>
      <w:r>
        <w:separator/>
      </w:r>
    </w:p>
  </w:footnote>
  <w:footnote w:type="continuationSeparator" w:id="0">
    <w:p w14:paraId="09470A31" w14:textId="77777777" w:rsidR="00055857" w:rsidRDefault="000558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2DD92" w14:textId="77777777" w:rsidR="00B85563" w:rsidRDefault="00B85563">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667A0"/>
    <w:multiLevelType w:val="hybridMultilevel"/>
    <w:tmpl w:val="7A8811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E2D9F"/>
    <w:multiLevelType w:val="multilevel"/>
    <w:tmpl w:val="DA64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5459D"/>
    <w:multiLevelType w:val="multilevel"/>
    <w:tmpl w:val="CCDA6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D82297"/>
    <w:multiLevelType w:val="multilevel"/>
    <w:tmpl w:val="880A50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0ECC52FF"/>
    <w:multiLevelType w:val="hybridMultilevel"/>
    <w:tmpl w:val="B0A88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1D07E1"/>
    <w:multiLevelType w:val="multilevel"/>
    <w:tmpl w:val="08A4D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E6302"/>
    <w:multiLevelType w:val="multilevel"/>
    <w:tmpl w:val="0896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6D5AD7"/>
    <w:multiLevelType w:val="multilevel"/>
    <w:tmpl w:val="418602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1BBC3AB4"/>
    <w:multiLevelType w:val="hybridMultilevel"/>
    <w:tmpl w:val="8DFC70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B1603B"/>
    <w:multiLevelType w:val="multilevel"/>
    <w:tmpl w:val="F64C8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D34526"/>
    <w:multiLevelType w:val="multilevel"/>
    <w:tmpl w:val="ED36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DE6E4D"/>
    <w:multiLevelType w:val="multilevel"/>
    <w:tmpl w:val="8868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5816B1"/>
    <w:multiLevelType w:val="hybridMultilevel"/>
    <w:tmpl w:val="759435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615A0D"/>
    <w:multiLevelType w:val="multilevel"/>
    <w:tmpl w:val="F47E4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4154688"/>
    <w:multiLevelType w:val="hybridMultilevel"/>
    <w:tmpl w:val="27CC3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5179A5"/>
    <w:multiLevelType w:val="hybridMultilevel"/>
    <w:tmpl w:val="F5927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9D0F13"/>
    <w:multiLevelType w:val="multilevel"/>
    <w:tmpl w:val="06789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E6517E"/>
    <w:multiLevelType w:val="hybridMultilevel"/>
    <w:tmpl w:val="52DC4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09104D"/>
    <w:multiLevelType w:val="multilevel"/>
    <w:tmpl w:val="FC084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A515767"/>
    <w:multiLevelType w:val="multilevel"/>
    <w:tmpl w:val="C8D4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EB28B5"/>
    <w:multiLevelType w:val="hybridMultilevel"/>
    <w:tmpl w:val="ABEE49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7F43DA"/>
    <w:multiLevelType w:val="multilevel"/>
    <w:tmpl w:val="775A2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095AEC"/>
    <w:multiLevelType w:val="multilevel"/>
    <w:tmpl w:val="9B2A0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DC79F4"/>
    <w:multiLevelType w:val="multilevel"/>
    <w:tmpl w:val="9EF8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CA0715"/>
    <w:multiLevelType w:val="multilevel"/>
    <w:tmpl w:val="9D2AE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B53A3E"/>
    <w:multiLevelType w:val="multilevel"/>
    <w:tmpl w:val="364A1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2E3330"/>
    <w:multiLevelType w:val="hybridMultilevel"/>
    <w:tmpl w:val="016E1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12496A"/>
    <w:multiLevelType w:val="hybridMultilevel"/>
    <w:tmpl w:val="321841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4193C"/>
    <w:multiLevelType w:val="hybridMultilevel"/>
    <w:tmpl w:val="AC3643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863DFF"/>
    <w:multiLevelType w:val="multilevel"/>
    <w:tmpl w:val="1E5AE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106A97"/>
    <w:multiLevelType w:val="multilevel"/>
    <w:tmpl w:val="BED44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ED09CD"/>
    <w:multiLevelType w:val="multilevel"/>
    <w:tmpl w:val="67E2C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62960F9"/>
    <w:multiLevelType w:val="hybridMultilevel"/>
    <w:tmpl w:val="FB3230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E05326"/>
    <w:multiLevelType w:val="multilevel"/>
    <w:tmpl w:val="519C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5B7FA0"/>
    <w:multiLevelType w:val="hybridMultilevel"/>
    <w:tmpl w:val="C0BC8F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8053273">
    <w:abstractNumId w:val="7"/>
  </w:num>
  <w:num w:numId="2" w16cid:durableId="595865283">
    <w:abstractNumId w:val="3"/>
  </w:num>
  <w:num w:numId="3" w16cid:durableId="1890146728">
    <w:abstractNumId w:val="13"/>
  </w:num>
  <w:num w:numId="4" w16cid:durableId="741440890">
    <w:abstractNumId w:val="10"/>
  </w:num>
  <w:num w:numId="5" w16cid:durableId="401224394">
    <w:abstractNumId w:val="1"/>
  </w:num>
  <w:num w:numId="6" w16cid:durableId="720640857">
    <w:abstractNumId w:val="2"/>
  </w:num>
  <w:num w:numId="7" w16cid:durableId="1491553816">
    <w:abstractNumId w:val="31"/>
  </w:num>
  <w:num w:numId="8" w16cid:durableId="2031953096">
    <w:abstractNumId w:val="6"/>
  </w:num>
  <w:num w:numId="9" w16cid:durableId="1468738251">
    <w:abstractNumId w:val="24"/>
  </w:num>
  <w:num w:numId="10" w16cid:durableId="1861117045">
    <w:abstractNumId w:val="11"/>
  </w:num>
  <w:num w:numId="11" w16cid:durableId="1753744257">
    <w:abstractNumId w:val="29"/>
  </w:num>
  <w:num w:numId="12" w16cid:durableId="90012897">
    <w:abstractNumId w:val="22"/>
  </w:num>
  <w:num w:numId="13" w16cid:durableId="280497402">
    <w:abstractNumId w:val="30"/>
  </w:num>
  <w:num w:numId="14" w16cid:durableId="2073304300">
    <w:abstractNumId w:val="19"/>
  </w:num>
  <w:num w:numId="15" w16cid:durableId="739719602">
    <w:abstractNumId w:val="33"/>
  </w:num>
  <w:num w:numId="16" w16cid:durableId="967928984">
    <w:abstractNumId w:val="18"/>
  </w:num>
  <w:num w:numId="17" w16cid:durableId="204757179">
    <w:abstractNumId w:val="5"/>
  </w:num>
  <w:num w:numId="18" w16cid:durableId="1145009248">
    <w:abstractNumId w:val="23"/>
  </w:num>
  <w:num w:numId="19" w16cid:durableId="2006585289">
    <w:abstractNumId w:val="16"/>
  </w:num>
  <w:num w:numId="20" w16cid:durableId="1493989295">
    <w:abstractNumId w:val="25"/>
  </w:num>
  <w:num w:numId="21" w16cid:durableId="422117516">
    <w:abstractNumId w:val="8"/>
  </w:num>
  <w:num w:numId="22" w16cid:durableId="90664134">
    <w:abstractNumId w:val="27"/>
  </w:num>
  <w:num w:numId="23" w16cid:durableId="1890338846">
    <w:abstractNumId w:val="32"/>
  </w:num>
  <w:num w:numId="24" w16cid:durableId="1059522774">
    <w:abstractNumId w:val="9"/>
  </w:num>
  <w:num w:numId="25" w16cid:durableId="225729662">
    <w:abstractNumId w:val="21"/>
  </w:num>
  <w:num w:numId="26" w16cid:durableId="1719665314">
    <w:abstractNumId w:val="17"/>
  </w:num>
  <w:num w:numId="27" w16cid:durableId="838546565">
    <w:abstractNumId w:val="15"/>
  </w:num>
  <w:num w:numId="28" w16cid:durableId="1566989222">
    <w:abstractNumId w:val="4"/>
  </w:num>
  <w:num w:numId="29" w16cid:durableId="1180856851">
    <w:abstractNumId w:val="20"/>
  </w:num>
  <w:num w:numId="30" w16cid:durableId="742993423">
    <w:abstractNumId w:val="14"/>
  </w:num>
  <w:num w:numId="31" w16cid:durableId="1479692580">
    <w:abstractNumId w:val="26"/>
  </w:num>
  <w:num w:numId="32" w16cid:durableId="614094640">
    <w:abstractNumId w:val="28"/>
  </w:num>
  <w:num w:numId="33" w16cid:durableId="1747147075">
    <w:abstractNumId w:val="12"/>
  </w:num>
  <w:num w:numId="34" w16cid:durableId="1835341460">
    <w:abstractNumId w:val="0"/>
  </w:num>
  <w:num w:numId="35" w16cid:durableId="65654354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5C4"/>
    <w:rsid w:val="00010115"/>
    <w:rsid w:val="000320EE"/>
    <w:rsid w:val="00033D66"/>
    <w:rsid w:val="00035D2C"/>
    <w:rsid w:val="00046E03"/>
    <w:rsid w:val="00050F94"/>
    <w:rsid w:val="00055857"/>
    <w:rsid w:val="00065FD3"/>
    <w:rsid w:val="000721DD"/>
    <w:rsid w:val="000726EA"/>
    <w:rsid w:val="0008274B"/>
    <w:rsid w:val="000829D4"/>
    <w:rsid w:val="00085A05"/>
    <w:rsid w:val="000E08C4"/>
    <w:rsid w:val="000E7BE3"/>
    <w:rsid w:val="00113D8E"/>
    <w:rsid w:val="00115F86"/>
    <w:rsid w:val="00117574"/>
    <w:rsid w:val="00124B6E"/>
    <w:rsid w:val="00144539"/>
    <w:rsid w:val="001952DF"/>
    <w:rsid w:val="001B10B7"/>
    <w:rsid w:val="001F27BC"/>
    <w:rsid w:val="00216180"/>
    <w:rsid w:val="00224B4D"/>
    <w:rsid w:val="0022526E"/>
    <w:rsid w:val="00250621"/>
    <w:rsid w:val="00250D00"/>
    <w:rsid w:val="00256BFC"/>
    <w:rsid w:val="002760ED"/>
    <w:rsid w:val="00285BA9"/>
    <w:rsid w:val="002C173F"/>
    <w:rsid w:val="002C7667"/>
    <w:rsid w:val="002E51CE"/>
    <w:rsid w:val="002F1B8C"/>
    <w:rsid w:val="002F7B0A"/>
    <w:rsid w:val="00300D35"/>
    <w:rsid w:val="00302A23"/>
    <w:rsid w:val="00305160"/>
    <w:rsid w:val="003106D2"/>
    <w:rsid w:val="003619B0"/>
    <w:rsid w:val="00385F18"/>
    <w:rsid w:val="003900B2"/>
    <w:rsid w:val="003B2847"/>
    <w:rsid w:val="003B29B1"/>
    <w:rsid w:val="003C412F"/>
    <w:rsid w:val="003E62B0"/>
    <w:rsid w:val="0041354F"/>
    <w:rsid w:val="00430967"/>
    <w:rsid w:val="004566B5"/>
    <w:rsid w:val="00472EDD"/>
    <w:rsid w:val="00477382"/>
    <w:rsid w:val="004B6086"/>
    <w:rsid w:val="004C290E"/>
    <w:rsid w:val="004C7D06"/>
    <w:rsid w:val="004C7EEF"/>
    <w:rsid w:val="004F65DF"/>
    <w:rsid w:val="004F6A67"/>
    <w:rsid w:val="00500EB4"/>
    <w:rsid w:val="00540460"/>
    <w:rsid w:val="00585F45"/>
    <w:rsid w:val="00595F32"/>
    <w:rsid w:val="005C1472"/>
    <w:rsid w:val="005C50D7"/>
    <w:rsid w:val="006119E5"/>
    <w:rsid w:val="0062268D"/>
    <w:rsid w:val="00630EBE"/>
    <w:rsid w:val="00636D1F"/>
    <w:rsid w:val="00642330"/>
    <w:rsid w:val="0064361F"/>
    <w:rsid w:val="00644592"/>
    <w:rsid w:val="00644FE9"/>
    <w:rsid w:val="00666ABF"/>
    <w:rsid w:val="00673668"/>
    <w:rsid w:val="006A073A"/>
    <w:rsid w:val="006C1699"/>
    <w:rsid w:val="006E202D"/>
    <w:rsid w:val="00703E54"/>
    <w:rsid w:val="007109C1"/>
    <w:rsid w:val="007235BA"/>
    <w:rsid w:val="00724DEE"/>
    <w:rsid w:val="007403BD"/>
    <w:rsid w:val="00751713"/>
    <w:rsid w:val="007523A6"/>
    <w:rsid w:val="00764D47"/>
    <w:rsid w:val="00765615"/>
    <w:rsid w:val="007900D2"/>
    <w:rsid w:val="0079668E"/>
    <w:rsid w:val="007A1D17"/>
    <w:rsid w:val="007A2622"/>
    <w:rsid w:val="007A4203"/>
    <w:rsid w:val="007A503A"/>
    <w:rsid w:val="007B31D9"/>
    <w:rsid w:val="007C56B2"/>
    <w:rsid w:val="007D27F4"/>
    <w:rsid w:val="007E518B"/>
    <w:rsid w:val="007F3659"/>
    <w:rsid w:val="0080291E"/>
    <w:rsid w:val="00853C3D"/>
    <w:rsid w:val="00893FF3"/>
    <w:rsid w:val="008B55C4"/>
    <w:rsid w:val="008C6403"/>
    <w:rsid w:val="008D03C4"/>
    <w:rsid w:val="008E5FBD"/>
    <w:rsid w:val="008E730D"/>
    <w:rsid w:val="009069C6"/>
    <w:rsid w:val="0091187F"/>
    <w:rsid w:val="00913349"/>
    <w:rsid w:val="00953FA2"/>
    <w:rsid w:val="009556A3"/>
    <w:rsid w:val="009847A2"/>
    <w:rsid w:val="009939C0"/>
    <w:rsid w:val="00994C2E"/>
    <w:rsid w:val="009A6811"/>
    <w:rsid w:val="009D5437"/>
    <w:rsid w:val="00A3544E"/>
    <w:rsid w:val="00A80452"/>
    <w:rsid w:val="00A9759D"/>
    <w:rsid w:val="00AB4ADD"/>
    <w:rsid w:val="00AC7187"/>
    <w:rsid w:val="00AD7FAF"/>
    <w:rsid w:val="00AF1481"/>
    <w:rsid w:val="00B00851"/>
    <w:rsid w:val="00B20397"/>
    <w:rsid w:val="00B45DD5"/>
    <w:rsid w:val="00B72C05"/>
    <w:rsid w:val="00B80227"/>
    <w:rsid w:val="00B85563"/>
    <w:rsid w:val="00BC5AB3"/>
    <w:rsid w:val="00BD338B"/>
    <w:rsid w:val="00BE78E9"/>
    <w:rsid w:val="00BF1114"/>
    <w:rsid w:val="00BF2017"/>
    <w:rsid w:val="00BF4044"/>
    <w:rsid w:val="00C07AD1"/>
    <w:rsid w:val="00C17E78"/>
    <w:rsid w:val="00C47976"/>
    <w:rsid w:val="00C65ABC"/>
    <w:rsid w:val="00C660EB"/>
    <w:rsid w:val="00C67DA8"/>
    <w:rsid w:val="00C76853"/>
    <w:rsid w:val="00CC0F10"/>
    <w:rsid w:val="00CC796F"/>
    <w:rsid w:val="00CE1BCF"/>
    <w:rsid w:val="00CF0A3F"/>
    <w:rsid w:val="00CF2FB6"/>
    <w:rsid w:val="00CF4656"/>
    <w:rsid w:val="00D01018"/>
    <w:rsid w:val="00D06CBA"/>
    <w:rsid w:val="00D21D22"/>
    <w:rsid w:val="00D604FF"/>
    <w:rsid w:val="00D64805"/>
    <w:rsid w:val="00D712D3"/>
    <w:rsid w:val="00D7298A"/>
    <w:rsid w:val="00D759FC"/>
    <w:rsid w:val="00D77B62"/>
    <w:rsid w:val="00D83BB1"/>
    <w:rsid w:val="00DA6852"/>
    <w:rsid w:val="00DD4F9F"/>
    <w:rsid w:val="00DF6B0C"/>
    <w:rsid w:val="00DF6ED8"/>
    <w:rsid w:val="00E07FFE"/>
    <w:rsid w:val="00E166F2"/>
    <w:rsid w:val="00E2569B"/>
    <w:rsid w:val="00E31131"/>
    <w:rsid w:val="00E4174D"/>
    <w:rsid w:val="00E5267A"/>
    <w:rsid w:val="00E624DD"/>
    <w:rsid w:val="00E644FF"/>
    <w:rsid w:val="00E76B52"/>
    <w:rsid w:val="00E826C6"/>
    <w:rsid w:val="00E83E0C"/>
    <w:rsid w:val="00EA60B5"/>
    <w:rsid w:val="00EB3940"/>
    <w:rsid w:val="00EC39E7"/>
    <w:rsid w:val="00EC61DC"/>
    <w:rsid w:val="00ED780F"/>
    <w:rsid w:val="00EE37B5"/>
    <w:rsid w:val="00F038B9"/>
    <w:rsid w:val="00F4638D"/>
    <w:rsid w:val="00F55B9B"/>
    <w:rsid w:val="00FC1F5C"/>
    <w:rsid w:val="00FC4A43"/>
    <w:rsid w:val="00FD6804"/>
    <w:rsid w:val="00FE29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636C0"/>
  <w15:docId w15:val="{80FFEB8F-329A-408E-9FCE-F86FF59D5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BC5AB3"/>
    <w:pPr>
      <w:keepNext/>
      <w:keepLines/>
      <w:spacing w:before="360" w:after="80"/>
      <w:jc w:val="center"/>
      <w:outlineLvl w:val="0"/>
    </w:pPr>
    <w:rPr>
      <w:rFonts w:ascii="Arial" w:eastAsia="Arial" w:hAnsi="Arial" w:cs="Arial"/>
      <w:b/>
      <w:bCs/>
      <w:color w:val="000000"/>
      <w:sz w:val="32"/>
      <w:szCs w:val="32"/>
    </w:rPr>
  </w:style>
  <w:style w:type="paragraph" w:styleId="Heading2">
    <w:name w:val="heading 2"/>
    <w:basedOn w:val="Normal"/>
    <w:next w:val="Normal"/>
    <w:autoRedefine/>
    <w:qFormat/>
    <w:rsid w:val="008E730D"/>
    <w:pPr>
      <w:spacing w:before="360" w:after="80" w:line="360" w:lineRule="auto"/>
      <w:jc w:val="both"/>
      <w:outlineLvl w:val="1"/>
    </w:pPr>
    <w:rPr>
      <w:rFonts w:ascii="Arial" w:eastAsia="Arial" w:hAnsi="Arial" w:cs="Arial"/>
      <w:b/>
      <w:bCs/>
      <w:color w:val="000000"/>
      <w:sz w:val="28"/>
      <w:szCs w:val="34"/>
    </w:rPr>
  </w:style>
  <w:style w:type="paragraph" w:styleId="Heading3">
    <w:name w:val="heading 3"/>
    <w:basedOn w:val="Normal"/>
    <w:next w:val="Normal"/>
    <w:autoRedefine/>
    <w:qFormat/>
    <w:pPr>
      <w:keepNext/>
      <w:keepLines/>
      <w:spacing w:before="160" w:after="80"/>
      <w:outlineLvl w:val="2"/>
    </w:pPr>
    <w:rPr>
      <w:rFonts w:ascii="Arial" w:eastAsia="Arial" w:hAnsi="Arial" w:cs="Arial"/>
      <w:b/>
      <w:bCs/>
      <w:color w:val="000000"/>
      <w:sz w:val="24"/>
      <w:szCs w:val="24"/>
    </w:rPr>
  </w:style>
  <w:style w:type="paragraph" w:styleId="Heading4">
    <w:name w:val="heading 4"/>
    <w:basedOn w:val="Normal"/>
    <w:next w:val="Normal"/>
    <w:pPr>
      <w:keepNext/>
      <w:keepLines/>
      <w:spacing w:before="80" w:after="40"/>
      <w:outlineLvl w:val="3"/>
    </w:pPr>
    <w:rPr>
      <w:i/>
      <w:iCs/>
      <w:color w:val="2F5496"/>
    </w:rPr>
  </w:style>
  <w:style w:type="paragraph" w:styleId="Heading5">
    <w:name w:val="heading 5"/>
    <w:basedOn w:val="Normal"/>
    <w:next w:val="Normal"/>
    <w:pPr>
      <w:keepNext/>
      <w:keepLines/>
      <w:spacing w:before="80" w:after="40"/>
      <w:outlineLvl w:val="4"/>
    </w:pPr>
    <w:rPr>
      <w:color w:val="2F5496"/>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sz w:val="56"/>
      <w:szCs w:val="56"/>
    </w:rPr>
  </w:style>
  <w:style w:type="paragraph" w:styleId="Subtitle">
    <w:name w:val="Subtitle"/>
    <w:basedOn w:val="Normal"/>
    <w:next w:val="Normal"/>
    <w:rPr>
      <w:color w:val="595959"/>
      <w:sz w:val="28"/>
      <w:szCs w:val="28"/>
    </w:rPr>
  </w:style>
  <w:style w:type="paragraph" w:styleId="NoSpacing">
    <w:name w:val="No Spacing"/>
    <w:uiPriority w:val="1"/>
    <w:qFormat/>
    <w:rsid w:val="00D06CBA"/>
    <w:pPr>
      <w:spacing w:after="0" w:line="240" w:lineRule="auto"/>
    </w:pPr>
  </w:style>
  <w:style w:type="table" w:styleId="TableGrid">
    <w:name w:val="Table Grid"/>
    <w:basedOn w:val="TableNormal"/>
    <w:uiPriority w:val="39"/>
    <w:rsid w:val="00500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00EB4"/>
    <w:pPr>
      <w:spacing w:after="200" w:line="240" w:lineRule="auto"/>
    </w:pPr>
    <w:rPr>
      <w:rFonts w:ascii="Arial" w:hAnsi="Arial"/>
      <w:b/>
      <w:i/>
      <w:iCs/>
      <w:color w:val="000000" w:themeColor="text1"/>
      <w:sz w:val="24"/>
      <w:szCs w:val="18"/>
    </w:rPr>
  </w:style>
  <w:style w:type="paragraph" w:styleId="ListParagraph">
    <w:name w:val="List Paragraph"/>
    <w:basedOn w:val="Normal"/>
    <w:uiPriority w:val="34"/>
    <w:qFormat/>
    <w:rsid w:val="00724DEE"/>
    <w:pPr>
      <w:ind w:left="720"/>
      <w:contextualSpacing/>
    </w:pPr>
  </w:style>
  <w:style w:type="paragraph" w:styleId="TOC1">
    <w:name w:val="toc 1"/>
    <w:basedOn w:val="Normal"/>
    <w:next w:val="Normal"/>
    <w:autoRedefine/>
    <w:uiPriority w:val="39"/>
    <w:unhideWhenUsed/>
    <w:rsid w:val="00EC61DC"/>
    <w:pPr>
      <w:spacing w:after="100"/>
    </w:pPr>
  </w:style>
  <w:style w:type="paragraph" w:styleId="TOC2">
    <w:name w:val="toc 2"/>
    <w:basedOn w:val="Normal"/>
    <w:next w:val="Normal"/>
    <w:autoRedefine/>
    <w:uiPriority w:val="39"/>
    <w:unhideWhenUsed/>
    <w:rsid w:val="00EC61DC"/>
    <w:pPr>
      <w:spacing w:after="100"/>
      <w:ind w:left="220"/>
    </w:pPr>
  </w:style>
  <w:style w:type="paragraph" w:styleId="TOC3">
    <w:name w:val="toc 3"/>
    <w:basedOn w:val="Normal"/>
    <w:next w:val="Normal"/>
    <w:autoRedefine/>
    <w:uiPriority w:val="39"/>
    <w:unhideWhenUsed/>
    <w:rsid w:val="00EC61DC"/>
    <w:pPr>
      <w:spacing w:after="100"/>
      <w:ind w:left="440"/>
    </w:pPr>
  </w:style>
  <w:style w:type="character" w:styleId="Hyperlink">
    <w:name w:val="Hyperlink"/>
    <w:basedOn w:val="DefaultParagraphFont"/>
    <w:uiPriority w:val="99"/>
    <w:unhideWhenUsed/>
    <w:rsid w:val="00EC61DC"/>
    <w:rPr>
      <w:color w:val="0000FF" w:themeColor="hyperlink"/>
      <w:u w:val="single"/>
    </w:rPr>
  </w:style>
  <w:style w:type="paragraph" w:styleId="TableofFigures">
    <w:name w:val="table of figures"/>
    <w:basedOn w:val="Normal"/>
    <w:next w:val="Normal"/>
    <w:uiPriority w:val="99"/>
    <w:unhideWhenUsed/>
    <w:rsid w:val="00EC61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96165">
      <w:bodyDiv w:val="1"/>
      <w:marLeft w:val="0"/>
      <w:marRight w:val="0"/>
      <w:marTop w:val="0"/>
      <w:marBottom w:val="0"/>
      <w:divBdr>
        <w:top w:val="none" w:sz="0" w:space="0" w:color="auto"/>
        <w:left w:val="none" w:sz="0" w:space="0" w:color="auto"/>
        <w:bottom w:val="none" w:sz="0" w:space="0" w:color="auto"/>
        <w:right w:val="none" w:sz="0" w:space="0" w:color="auto"/>
      </w:divBdr>
    </w:div>
    <w:div w:id="365954314">
      <w:bodyDiv w:val="1"/>
      <w:marLeft w:val="0"/>
      <w:marRight w:val="0"/>
      <w:marTop w:val="0"/>
      <w:marBottom w:val="0"/>
      <w:divBdr>
        <w:top w:val="none" w:sz="0" w:space="0" w:color="auto"/>
        <w:left w:val="none" w:sz="0" w:space="0" w:color="auto"/>
        <w:bottom w:val="none" w:sz="0" w:space="0" w:color="auto"/>
        <w:right w:val="none" w:sz="0" w:space="0" w:color="auto"/>
      </w:divBdr>
    </w:div>
    <w:div w:id="1756589447">
      <w:bodyDiv w:val="1"/>
      <w:marLeft w:val="0"/>
      <w:marRight w:val="0"/>
      <w:marTop w:val="0"/>
      <w:marBottom w:val="0"/>
      <w:divBdr>
        <w:top w:val="none" w:sz="0" w:space="0" w:color="auto"/>
        <w:left w:val="none" w:sz="0" w:space="0" w:color="auto"/>
        <w:bottom w:val="none" w:sz="0" w:space="0" w:color="auto"/>
        <w:right w:val="none" w:sz="0" w:space="0" w:color="auto"/>
      </w:divBdr>
      <w:divsChild>
        <w:div w:id="1248804283">
          <w:marLeft w:val="0"/>
          <w:marRight w:val="0"/>
          <w:marTop w:val="0"/>
          <w:marBottom w:val="0"/>
          <w:divBdr>
            <w:top w:val="none" w:sz="0" w:space="0" w:color="auto"/>
            <w:left w:val="none" w:sz="0" w:space="0" w:color="auto"/>
            <w:bottom w:val="none" w:sz="0" w:space="0" w:color="auto"/>
            <w:right w:val="none" w:sz="0" w:space="0" w:color="auto"/>
          </w:divBdr>
          <w:divsChild>
            <w:div w:id="214003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900612">
      <w:bodyDiv w:val="1"/>
      <w:marLeft w:val="0"/>
      <w:marRight w:val="0"/>
      <w:marTop w:val="0"/>
      <w:marBottom w:val="0"/>
      <w:divBdr>
        <w:top w:val="none" w:sz="0" w:space="0" w:color="auto"/>
        <w:left w:val="none" w:sz="0" w:space="0" w:color="auto"/>
        <w:bottom w:val="none" w:sz="0" w:space="0" w:color="auto"/>
        <w:right w:val="none" w:sz="0" w:space="0" w:color="auto"/>
      </w:divBdr>
    </w:div>
    <w:div w:id="1848788926">
      <w:bodyDiv w:val="1"/>
      <w:marLeft w:val="0"/>
      <w:marRight w:val="0"/>
      <w:marTop w:val="0"/>
      <w:marBottom w:val="0"/>
      <w:divBdr>
        <w:top w:val="none" w:sz="0" w:space="0" w:color="auto"/>
        <w:left w:val="none" w:sz="0" w:space="0" w:color="auto"/>
        <w:bottom w:val="none" w:sz="0" w:space="0" w:color="auto"/>
        <w:right w:val="none" w:sz="0" w:space="0" w:color="auto"/>
      </w:divBdr>
      <w:divsChild>
        <w:div w:id="692537119">
          <w:marLeft w:val="0"/>
          <w:marRight w:val="0"/>
          <w:marTop w:val="0"/>
          <w:marBottom w:val="0"/>
          <w:divBdr>
            <w:top w:val="none" w:sz="0" w:space="0" w:color="auto"/>
            <w:left w:val="none" w:sz="0" w:space="0" w:color="auto"/>
            <w:bottom w:val="none" w:sz="0" w:space="0" w:color="auto"/>
            <w:right w:val="none" w:sz="0" w:space="0" w:color="auto"/>
          </w:divBdr>
          <w:divsChild>
            <w:div w:id="620965779">
              <w:marLeft w:val="0"/>
              <w:marRight w:val="0"/>
              <w:marTop w:val="0"/>
              <w:marBottom w:val="0"/>
              <w:divBdr>
                <w:top w:val="none" w:sz="0" w:space="0" w:color="auto"/>
                <w:left w:val="none" w:sz="0" w:space="0" w:color="auto"/>
                <w:bottom w:val="none" w:sz="0" w:space="0" w:color="auto"/>
                <w:right w:val="none" w:sz="0" w:space="0" w:color="auto"/>
              </w:divBdr>
            </w:div>
          </w:divsChild>
        </w:div>
        <w:div w:id="1038706420">
          <w:marLeft w:val="0"/>
          <w:marRight w:val="0"/>
          <w:marTop w:val="0"/>
          <w:marBottom w:val="0"/>
          <w:divBdr>
            <w:top w:val="none" w:sz="0" w:space="0" w:color="auto"/>
            <w:left w:val="none" w:sz="0" w:space="0" w:color="auto"/>
            <w:bottom w:val="none" w:sz="0" w:space="0" w:color="auto"/>
            <w:right w:val="none" w:sz="0" w:space="0" w:color="auto"/>
          </w:divBdr>
          <w:divsChild>
            <w:div w:id="94326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273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242919887152" TargetMode="External"/><Relationship Id="rId18" Type="http://schemas.openxmlformats.org/officeDocument/2006/relationships/hyperlink" Target="https://doi.org/10.1016/j.ijinfomgt.2020.102168" TargetMode="External"/><Relationship Id="rId26" Type="http://schemas.openxmlformats.org/officeDocument/2006/relationships/hyperlink" Target="https://doi.org/10.1007/s11747-020-00755-2" TargetMode="External"/><Relationship Id="rId39" Type="http://schemas.openxmlformats.org/officeDocument/2006/relationships/hyperlink" Target="https://www.pearson.com" TargetMode="External"/><Relationship Id="rId21" Type="http://schemas.openxmlformats.org/officeDocument/2006/relationships/hyperlink" Target="https://doi.org/10.1177/10946705221081234" TargetMode="External"/><Relationship Id="rId34" Type="http://schemas.openxmlformats.org/officeDocument/2006/relationships/hyperlink" Target="https://uk.sagepub.com" TargetMode="External"/><Relationship Id="rId42" Type="http://schemas.openxmlformats.org/officeDocument/2006/relationships/hyperlink" Target="https://doi.org/10.1016/j.bushor.2016.11.002" TargetMode="External"/><Relationship Id="rId47" Type="http://schemas.openxmlformats.org/officeDocument/2006/relationships/hyperlink" Target="https://www.mckinsey.com" TargetMode="External"/><Relationship Id="rId50" Type="http://schemas.openxmlformats.org/officeDocument/2006/relationships/hyperlink" Target="https://doi.org/10.1108/10748120910945264"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k.sagepub.com" TargetMode="External"/><Relationship Id="rId29" Type="http://schemas.openxmlformats.org/officeDocument/2006/relationships/hyperlink" Target="https://doi.org/10.1108/MRR-04-2019-0154" TargetMode="External"/><Relationship Id="rId11" Type="http://schemas.openxmlformats.org/officeDocument/2006/relationships/header" Target="header1.xml"/><Relationship Id="rId24" Type="http://schemas.openxmlformats.org/officeDocument/2006/relationships/hyperlink" Target="https://doi.org/10.1177/002224299405800302" TargetMode="External"/><Relationship Id="rId32" Type="http://schemas.openxmlformats.org/officeDocument/2006/relationships/hyperlink" Target="https://doi.org/10.1016/j.jbusres.2019.07.039" TargetMode="External"/><Relationship Id="rId37" Type="http://schemas.openxmlformats.org/officeDocument/2006/relationships/hyperlink" Target="https://www.pearson.com" TargetMode="External"/><Relationship Id="rId40" Type="http://schemas.openxmlformats.org/officeDocument/2006/relationships/hyperlink" Target="https://www.wiley.com" TargetMode="External"/><Relationship Id="rId45" Type="http://schemas.openxmlformats.org/officeDocument/2006/relationships/hyperlink" Target="https://doi.org/10.1016/j.jbusres.2019.05.038" TargetMode="External"/><Relationship Id="rId53" Type="http://schemas.openxmlformats.org/officeDocument/2006/relationships/hyperlink" Target="https://doi.org/10.1016/j.jbusres.2019.09.037" TargetMode="External"/><Relationship Id="rId5" Type="http://schemas.openxmlformats.org/officeDocument/2006/relationships/webSettings" Target="webSettings.xml"/><Relationship Id="rId10" Type="http://schemas.openxmlformats.org/officeDocument/2006/relationships/footer" Target="footer1.xml"/><Relationship Id="rId19" Type="http://schemas.openxmlformats.org/officeDocument/2006/relationships/hyperlink" Target="https://doi.org/10.1108/EJM-02-2020-0123" TargetMode="External"/><Relationship Id="rId31" Type="http://schemas.openxmlformats.org/officeDocument/2006/relationships/hyperlink" Target="https://doi.org/10.1016/j.jbusres.2022.01.045" TargetMode="External"/><Relationship Id="rId44" Type="http://schemas.openxmlformats.org/officeDocument/2006/relationships/hyperlink" Target="https://doi.org/10.1002/mar.21385" TargetMode="External"/><Relationship Id="rId52" Type="http://schemas.openxmlformats.org/officeDocument/2006/relationships/hyperlink" Target="https://doi.org/10.1108/106104211111123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sagepub.com" TargetMode="External"/><Relationship Id="rId22" Type="http://schemas.openxmlformats.org/officeDocument/2006/relationships/hyperlink" Target="https://doi.org/10.1108/MIP-03-2021-0087" TargetMode="External"/><Relationship Id="rId27" Type="http://schemas.openxmlformats.org/officeDocument/2006/relationships/hyperlink" Target="https://global.oup.com" TargetMode="External"/><Relationship Id="rId30" Type="http://schemas.openxmlformats.org/officeDocument/2006/relationships/hyperlink" Target="https://www.pearson.com" TargetMode="External"/><Relationship Id="rId35" Type="http://schemas.openxmlformats.org/officeDocument/2006/relationships/hyperlink" Target="https://doi.org/10.1177/0739456X17723971" TargetMode="External"/><Relationship Id="rId43" Type="http://schemas.openxmlformats.org/officeDocument/2006/relationships/hyperlink" Target="https://doi.org/10.1016/j.jbusres.2017.03.028" TargetMode="External"/><Relationship Id="rId48" Type="http://schemas.openxmlformats.org/officeDocument/2006/relationships/hyperlink" Target="https://doi.org/10.1016/j.jbusres.2021.03.045"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80/00913367.2020.1751223"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doi.org/10.1108/JPBM-06-2019-2445" TargetMode="External"/><Relationship Id="rId25" Type="http://schemas.openxmlformats.org/officeDocument/2006/relationships/hyperlink" Target="https://doi.org/10.1136/bmj.n71" TargetMode="External"/><Relationship Id="rId33" Type="http://schemas.openxmlformats.org/officeDocument/2006/relationships/hyperlink" Target="https://doi.org/10.1111/1467-8551.00375" TargetMode="External"/><Relationship Id="rId38" Type="http://schemas.openxmlformats.org/officeDocument/2006/relationships/hyperlink" Target="https://doi.org/10.1016/j.bushor.2011.01.005" TargetMode="External"/><Relationship Id="rId46" Type="http://schemas.openxmlformats.org/officeDocument/2006/relationships/hyperlink" Target="https://doi.org/10.1016/j.elerap.2021.101034" TargetMode="External"/><Relationship Id="rId20" Type="http://schemas.openxmlformats.org/officeDocument/2006/relationships/hyperlink" Target="https://doi.org/10.1016/j.jretconser.2021.102900" TargetMode="External"/><Relationship Id="rId41" Type="http://schemas.openxmlformats.org/officeDocument/2006/relationships/hyperlink" Target="https://doi.org/10.1509/jm.15.0420" TargetMode="External"/><Relationship Id="rId54" Type="http://schemas.openxmlformats.org/officeDocument/2006/relationships/hyperlink" Target="https://doi.org/10.1016/j.jbusres.2020.08.01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k.sagepub.com" TargetMode="External"/><Relationship Id="rId23" Type="http://schemas.openxmlformats.org/officeDocument/2006/relationships/hyperlink" Target="https://doi.org/10.1016/j.tourman.2019.103944" TargetMode="External"/><Relationship Id="rId28" Type="http://schemas.openxmlformats.org/officeDocument/2006/relationships/hyperlink" Target="https://link.springer.com" TargetMode="External"/><Relationship Id="rId36" Type="http://schemas.openxmlformats.org/officeDocument/2006/relationships/hyperlink" Target="https://doi.org/10.1016/j.bushor.2018.08.003" TargetMode="External"/><Relationship Id="rId49" Type="http://schemas.openxmlformats.org/officeDocument/2006/relationships/hyperlink" Target="https://doi.org/10.1080/10496491.2011.60146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EDBB3-6CDA-4463-B488-B45D6DDB7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57</Pages>
  <Words>16238</Words>
  <Characters>92562</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Sahab Uddin</dc:creator>
  <cp:lastModifiedBy>supria alam</cp:lastModifiedBy>
  <cp:revision>2</cp:revision>
  <dcterms:created xsi:type="dcterms:W3CDTF">2026-05-05T22:09:00Z</dcterms:created>
  <dcterms:modified xsi:type="dcterms:W3CDTF">2026-05-05T22:09:00Z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5b4a59b8-83d2-436d-9cb6-73fef8f7c79b</vt:lpwstr>
  </property>
</Properties>
</file>