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76080">
      <w:pPr>
        <w:spacing w:line="600" w:lineRule="auto"/>
        <w:jc w:val="center"/>
        <w:rPr>
          <w:rFonts w:ascii="Arial" w:hAnsi="Arial" w:cs="Arial"/>
          <w:b/>
          <w:sz w:val="24"/>
          <w:szCs w:val="24"/>
        </w:rPr>
      </w:pPr>
    </w:p>
    <w:p w14:paraId="14629824">
      <w:pPr>
        <w:spacing w:line="600" w:lineRule="auto"/>
        <w:jc w:val="center"/>
        <w:rPr>
          <w:rFonts w:hint="eastAsia" w:ascii="Arial" w:hAnsi="Arial" w:cs="Arial"/>
          <w:b/>
          <w:sz w:val="24"/>
          <w:szCs w:val="24"/>
        </w:rPr>
      </w:pPr>
    </w:p>
    <w:p w14:paraId="227EA1C4">
      <w:pPr>
        <w:spacing w:line="360" w:lineRule="auto"/>
        <w:jc w:val="center"/>
        <w:rPr>
          <w:rFonts w:ascii="Arial" w:hAnsi="Arial" w:cs="Arial"/>
          <w:b/>
          <w:bCs/>
          <w:sz w:val="36"/>
          <w:szCs w:val="36"/>
        </w:rPr>
      </w:pPr>
      <w:r>
        <w:rPr>
          <w:rFonts w:ascii="Arial" w:hAnsi="Arial" w:cs="Arial"/>
          <w:b/>
          <w:bCs/>
          <w:sz w:val="36"/>
          <w:szCs w:val="36"/>
        </w:rPr>
        <w:t xml:space="preserve">University of Wales </w:t>
      </w:r>
    </w:p>
    <w:p w14:paraId="6F10AB8D">
      <w:pPr>
        <w:spacing w:line="360" w:lineRule="auto"/>
        <w:jc w:val="center"/>
        <w:rPr>
          <w:rFonts w:ascii="Arial" w:hAnsi="Arial" w:cs="Arial"/>
          <w:b/>
          <w:bCs/>
          <w:i/>
          <w:iCs/>
          <w:sz w:val="32"/>
          <w:szCs w:val="32"/>
        </w:rPr>
      </w:pPr>
      <w:r>
        <w:rPr>
          <w:rFonts w:ascii="Arial" w:hAnsi="Arial" w:cs="Arial"/>
          <w:b/>
          <w:bCs/>
          <w:i/>
          <w:iCs/>
          <w:sz w:val="32"/>
          <w:szCs w:val="32"/>
        </w:rPr>
        <w:t>-Trinity Saint David-</w:t>
      </w:r>
    </w:p>
    <w:p w14:paraId="10B0E729">
      <w:pPr>
        <w:spacing w:line="600" w:lineRule="auto"/>
        <w:jc w:val="center"/>
        <w:rPr>
          <w:rFonts w:ascii="Arial" w:hAnsi="Arial" w:cs="Arial"/>
          <w:b/>
          <w:bCs/>
          <w:sz w:val="36"/>
          <w:szCs w:val="36"/>
        </w:rPr>
      </w:pPr>
      <w:r>
        <w:rPr>
          <w:rFonts w:ascii="Arial" w:hAnsi="Arial" w:cs="Arial"/>
          <w:b/>
          <w:bCs/>
          <w:sz w:val="36"/>
          <w:szCs w:val="36"/>
        </w:rPr>
        <w:t xml:space="preserve">BMBM6023-Leading and Developing People </w:t>
      </w:r>
    </w:p>
    <w:p w14:paraId="6FB72C1F">
      <w:pPr>
        <w:spacing w:line="600" w:lineRule="auto"/>
        <w:jc w:val="center"/>
        <w:rPr>
          <w:rFonts w:ascii="Arial" w:hAnsi="Arial" w:cs="Arial"/>
          <w:b/>
          <w:sz w:val="24"/>
          <w:szCs w:val="24"/>
        </w:rPr>
      </w:pPr>
    </w:p>
    <w:p w14:paraId="5167F130">
      <w:pPr>
        <w:spacing w:line="600" w:lineRule="auto"/>
        <w:jc w:val="center"/>
        <w:rPr>
          <w:rFonts w:ascii="Arial" w:hAnsi="Arial" w:cs="Arial"/>
          <w:b/>
          <w:sz w:val="24"/>
          <w:szCs w:val="24"/>
        </w:rPr>
      </w:pPr>
    </w:p>
    <w:p w14:paraId="60A1D7F0">
      <w:pPr>
        <w:spacing w:line="600" w:lineRule="auto"/>
        <w:rPr>
          <w:rFonts w:ascii="Arial" w:hAnsi="Arial" w:cs="Arial"/>
          <w:b/>
          <w:sz w:val="24"/>
          <w:szCs w:val="24"/>
        </w:rPr>
      </w:pPr>
    </w:p>
    <w:p w14:paraId="6CE1B462">
      <w:pPr>
        <w:spacing w:line="600" w:lineRule="auto"/>
        <w:jc w:val="center"/>
        <w:rPr>
          <w:rFonts w:ascii="Arial" w:hAnsi="Arial" w:cs="Arial"/>
          <w:b/>
          <w:bCs/>
          <w:sz w:val="36"/>
          <w:szCs w:val="36"/>
        </w:rPr>
      </w:pPr>
      <w:r>
        <w:rPr>
          <w:rFonts w:ascii="Arial" w:hAnsi="Arial" w:cs="Arial"/>
          <w:b/>
          <w:bCs/>
          <w:sz w:val="36"/>
          <w:szCs w:val="36"/>
        </w:rPr>
        <w:t>A Critical Analysis of Strategic Employee Development</w:t>
      </w:r>
    </w:p>
    <w:p w14:paraId="7058AF60">
      <w:pPr>
        <w:spacing w:line="600" w:lineRule="auto"/>
        <w:jc w:val="center"/>
        <w:rPr>
          <w:rFonts w:ascii="Arial" w:hAnsi="Arial" w:cs="Arial"/>
          <w:b/>
          <w:sz w:val="24"/>
          <w:szCs w:val="24"/>
        </w:rPr>
      </w:pPr>
    </w:p>
    <w:p w14:paraId="432D5EBC">
      <w:pPr>
        <w:spacing w:line="600" w:lineRule="auto"/>
        <w:jc w:val="center"/>
        <w:rPr>
          <w:rFonts w:ascii="Arial" w:hAnsi="Arial" w:cs="Arial"/>
          <w:b/>
          <w:sz w:val="24"/>
          <w:szCs w:val="24"/>
        </w:rPr>
      </w:pPr>
    </w:p>
    <w:p w14:paraId="129F34BE">
      <w:pPr>
        <w:spacing w:line="600" w:lineRule="auto"/>
        <w:jc w:val="center"/>
        <w:rPr>
          <w:rFonts w:ascii="Arial" w:hAnsi="Arial" w:cs="Arial"/>
          <w:b/>
          <w:sz w:val="24"/>
          <w:szCs w:val="24"/>
        </w:rPr>
      </w:pPr>
    </w:p>
    <w:p w14:paraId="39CD459D">
      <w:pPr>
        <w:spacing w:line="600" w:lineRule="auto"/>
        <w:rPr>
          <w:rFonts w:ascii="Arial" w:hAnsi="Arial" w:cs="Arial"/>
          <w:b/>
          <w:sz w:val="24"/>
          <w:szCs w:val="24"/>
        </w:rPr>
      </w:pPr>
    </w:p>
    <w:p w14:paraId="44F8649C">
      <w:pPr>
        <w:spacing w:line="600" w:lineRule="auto"/>
        <w:jc w:val="center"/>
        <w:rPr>
          <w:rFonts w:ascii="Arial" w:hAnsi="Arial" w:cs="Arial"/>
          <w:b/>
          <w:sz w:val="24"/>
          <w:szCs w:val="24"/>
        </w:rPr>
      </w:pPr>
    </w:p>
    <w:p w14:paraId="34847AFC">
      <w:pPr>
        <w:spacing w:line="360" w:lineRule="auto"/>
        <w:jc w:val="center"/>
        <w:rPr>
          <w:rFonts w:hint="default" w:ascii="Arial" w:hAnsi="Arial" w:cs="Arial" w:eastAsiaTheme="minorEastAsia"/>
          <w:color w:val="auto"/>
          <w:sz w:val="24"/>
          <w:szCs w:val="24"/>
          <w:highlight w:val="none"/>
          <w:lang w:val="en-US" w:eastAsia="zh-CN"/>
        </w:rPr>
      </w:pPr>
      <w:r>
        <w:rPr>
          <w:rFonts w:ascii="Arial" w:hAnsi="Arial" w:cs="Arial"/>
          <w:color w:val="auto"/>
          <w:sz w:val="24"/>
          <w:szCs w:val="24"/>
          <w:highlight w:val="none"/>
        </w:rPr>
        <w:t>Student Name</w:t>
      </w:r>
      <w:r>
        <w:rPr>
          <w:rFonts w:hint="eastAsia" w:ascii="Arial" w:hAnsi="Arial" w:cs="Arial"/>
          <w:color w:val="auto"/>
          <w:sz w:val="24"/>
          <w:szCs w:val="24"/>
          <w:highlight w:val="none"/>
          <w:lang w:val="en-US" w:eastAsia="zh-CN"/>
        </w:rPr>
        <w:t xml:space="preserve">  Yuyang Chen</w:t>
      </w:r>
    </w:p>
    <w:p w14:paraId="596EEC9D">
      <w:pPr>
        <w:spacing w:line="360" w:lineRule="auto"/>
        <w:jc w:val="center"/>
        <w:rPr>
          <w:rFonts w:hint="default" w:ascii="Arial" w:hAnsi="Arial" w:cs="Arial" w:eastAsiaTheme="minorEastAsia"/>
          <w:color w:val="auto"/>
          <w:sz w:val="24"/>
          <w:szCs w:val="24"/>
          <w:highlight w:val="none"/>
          <w:lang w:val="en-US" w:eastAsia="zh-CN"/>
        </w:rPr>
      </w:pPr>
      <w:r>
        <w:rPr>
          <w:rFonts w:ascii="Arial" w:hAnsi="Arial" w:cs="Arial"/>
          <w:color w:val="auto"/>
          <w:sz w:val="24"/>
          <w:szCs w:val="24"/>
          <w:highlight w:val="none"/>
        </w:rPr>
        <w:t>Student ID</w:t>
      </w:r>
      <w:r>
        <w:rPr>
          <w:rFonts w:hint="eastAsia" w:ascii="Arial" w:hAnsi="Arial" w:cs="Arial"/>
          <w:color w:val="auto"/>
          <w:sz w:val="24"/>
          <w:szCs w:val="24"/>
          <w:highlight w:val="none"/>
          <w:lang w:val="en-US" w:eastAsia="zh-CN"/>
        </w:rPr>
        <w:t xml:space="preserve"> 2400262</w:t>
      </w:r>
    </w:p>
    <w:p w14:paraId="0E5A4AA7">
      <w:pPr>
        <w:spacing w:line="360" w:lineRule="auto"/>
        <w:jc w:val="center"/>
        <w:rPr>
          <w:rFonts w:hint="default" w:ascii="Arial" w:hAnsi="Arial" w:cs="Arial" w:eastAsiaTheme="minorEastAsia"/>
          <w:color w:val="auto"/>
          <w:sz w:val="24"/>
          <w:szCs w:val="24"/>
          <w:highlight w:val="none"/>
          <w:lang w:val="en-US" w:eastAsia="zh-CN"/>
        </w:rPr>
      </w:pPr>
      <w:r>
        <w:rPr>
          <w:rFonts w:ascii="Arial" w:hAnsi="Arial" w:cs="Arial"/>
          <w:color w:val="auto"/>
          <w:sz w:val="24"/>
          <w:szCs w:val="24"/>
          <w:highlight w:val="none"/>
        </w:rPr>
        <w:t>Date</w:t>
      </w:r>
      <w:r>
        <w:rPr>
          <w:rFonts w:hint="eastAsia" w:ascii="Arial" w:hAnsi="Arial" w:cs="Arial"/>
          <w:color w:val="auto"/>
          <w:sz w:val="24"/>
          <w:szCs w:val="24"/>
          <w:highlight w:val="none"/>
          <w:lang w:val="en-US" w:eastAsia="zh-CN"/>
        </w:rPr>
        <w:t xml:space="preserve"> 24/4/2025</w:t>
      </w:r>
      <w:bookmarkStart w:id="3" w:name="_GoBack"/>
      <w:bookmarkEnd w:id="3"/>
    </w:p>
    <w:p w14:paraId="18962B6B">
      <w:pPr>
        <w:spacing w:line="600" w:lineRule="auto"/>
        <w:jc w:val="center"/>
        <w:rPr>
          <w:rFonts w:ascii="Arial" w:hAnsi="Arial" w:cs="Arial"/>
          <w:b/>
          <w:sz w:val="24"/>
          <w:szCs w:val="24"/>
        </w:rPr>
      </w:pPr>
    </w:p>
    <w:p w14:paraId="2931B7CB">
      <w:pPr>
        <w:spacing w:line="600" w:lineRule="auto"/>
        <w:rPr>
          <w:rFonts w:ascii="Arial" w:hAnsi="Arial" w:cs="Arial"/>
          <w:sz w:val="24"/>
          <w:szCs w:val="24"/>
        </w:rPr>
      </w:pPr>
      <w:r>
        <w:rPr>
          <w:rFonts w:hint="eastAsia" w:ascii="Arial" w:hAnsi="Arial" w:cs="Arial"/>
          <w:sz w:val="24"/>
          <w:szCs w:val="24"/>
        </w:rPr>
        <w:t xml:space="preserve">Organizations and enterprises </w:t>
      </w:r>
      <w:r>
        <w:rPr>
          <w:rFonts w:ascii="Arial" w:hAnsi="Arial" w:cs="Arial"/>
          <w:sz w:val="24"/>
          <w:szCs w:val="24"/>
        </w:rPr>
        <w:t>must rely on advanced technology, efficient operating models,</w:t>
      </w:r>
      <w:r>
        <w:rPr>
          <w:rFonts w:hint="eastAsia" w:ascii="Arial" w:hAnsi="Arial" w:cs="Arial"/>
          <w:sz w:val="24"/>
          <w:szCs w:val="24"/>
        </w:rPr>
        <w:t xml:space="preserve"> and a highly skilled and adaptable workforce (Ranjith, 2016; Khang et al., 2023). Strategic employee development (SED), as a systematic and long-term human resource management strategy, aims to meet the strategic needs of the organization and provide the organization with a sustained competitive advantage by improving the capabilities of employees and leaders (Mumford and Gold, 2004; Agustian et al., 2023). This essay aims to critically evaluate the importance of strategic employee development in improving the effectiveness of employees and </w:t>
      </w:r>
      <w:r>
        <w:rPr>
          <w:rFonts w:ascii="Arial" w:hAnsi="Arial" w:cs="Arial"/>
          <w:sz w:val="24"/>
          <w:szCs w:val="24"/>
        </w:rPr>
        <w:t>leaders and</w:t>
      </w:r>
      <w:r>
        <w:rPr>
          <w:rFonts w:hint="eastAsia" w:ascii="Arial" w:hAnsi="Arial" w:cs="Arial"/>
          <w:sz w:val="24"/>
          <w:szCs w:val="24"/>
        </w:rPr>
        <w:t xml:space="preserve"> explore its role in meeting organizational needs and providing competitive advantages. At the same time, this essay will analyze the challenges and benefits of implementing a strategic employee development program, explore the role of technology in employee development, and delve into the complexity of leadership development and its application in practice.</w:t>
      </w:r>
    </w:p>
    <w:p w14:paraId="3810AA1F">
      <w:pPr>
        <w:spacing w:line="600" w:lineRule="auto"/>
        <w:rPr>
          <w:rFonts w:ascii="Arial" w:hAnsi="Arial" w:cs="Arial"/>
          <w:sz w:val="24"/>
          <w:szCs w:val="24"/>
        </w:rPr>
      </w:pPr>
      <w:r>
        <w:rPr>
          <w:rFonts w:hint="eastAsia" w:ascii="Arial" w:hAnsi="Arial" w:cs="Arial"/>
          <w:sz w:val="24"/>
          <w:szCs w:val="24"/>
        </w:rPr>
        <w:t>Strategic employee development can be understood as improving employees</w:t>
      </w:r>
      <w:r>
        <w:rPr>
          <w:rFonts w:ascii="Arial" w:hAnsi="Arial" w:cs="Arial"/>
          <w:sz w:val="24"/>
          <w:szCs w:val="24"/>
        </w:rPr>
        <w:t>’</w:t>
      </w:r>
      <w:r>
        <w:rPr>
          <w:rFonts w:hint="eastAsia" w:ascii="Arial" w:hAnsi="Arial" w:cs="Arial"/>
          <w:sz w:val="24"/>
          <w:szCs w:val="24"/>
        </w:rPr>
        <w:t xml:space="preserve"> knowledge, skills and abilities through systematic plans and interventions to support their career development and organizational goals (Al-Tit et al., 2022; Olurin et al., 2024). It focuses on strategic, data-driven, personalized and diversified employee training, which can make goals clearer, plans clearer, resource allocation more scientific, and can enhance competitiveness and employee retention at the enterprise and organizational levels (Gade, 2021; Blanchard and Thacker, 2023; Shan &amp; Wang, 2024). For instance, Google used the </w:t>
      </w:r>
      <w:r>
        <w:rPr>
          <w:rFonts w:ascii="Arial" w:hAnsi="Arial" w:cs="Arial"/>
          <w:sz w:val="24"/>
          <w:szCs w:val="24"/>
        </w:rPr>
        <w:t>“</w:t>
      </w:r>
      <w:r>
        <w:rPr>
          <w:rFonts w:hint="eastAsia" w:ascii="Arial" w:hAnsi="Arial" w:cs="Arial"/>
          <w:sz w:val="24"/>
          <w:szCs w:val="24"/>
        </w:rPr>
        <w:t>Google Career Certificates</w:t>
      </w:r>
      <w:r>
        <w:rPr>
          <w:rFonts w:ascii="Arial" w:hAnsi="Arial" w:cs="Arial"/>
          <w:sz w:val="24"/>
          <w:szCs w:val="24"/>
        </w:rPr>
        <w:t>”</w:t>
      </w:r>
      <w:r>
        <w:rPr>
          <w:rFonts w:hint="eastAsia" w:ascii="Arial" w:hAnsi="Arial" w:cs="Arial"/>
          <w:sz w:val="24"/>
          <w:szCs w:val="24"/>
        </w:rPr>
        <w:t xml:space="preserve"> project to provide skills training for employees and help them stay competitive in a rapidly changing technological environment (Google, 2025). Leaders often play a key role in the strategic employee development of enterprises. Goleman</w:t>
      </w:r>
      <w:r>
        <w:rPr>
          <w:rFonts w:ascii="Arial" w:hAnsi="Arial" w:cs="Arial"/>
          <w:sz w:val="24"/>
          <w:szCs w:val="24"/>
        </w:rPr>
        <w:t>’</w:t>
      </w:r>
      <w:r>
        <w:rPr>
          <w:rFonts w:hint="eastAsia" w:ascii="Arial" w:hAnsi="Arial" w:cs="Arial"/>
          <w:sz w:val="24"/>
          <w:szCs w:val="24"/>
        </w:rPr>
        <w:t xml:space="preserve">s emotional intelligence model emphasizes the importance of self-awareness, self-management, social awareness and relationship management in leadership (Kanesan and Fauzan, 2019). For instance, Satya Nadella led Microsoft to success through personal empowerment, empathy, relationship management, balance, and ethics, demonstrating the benefits of leadership and employee development for business and organizational development (Prakash, Bisla and Rastogi, 2021). </w:t>
      </w:r>
    </w:p>
    <w:p w14:paraId="6AE193B6">
      <w:pPr>
        <w:spacing w:line="600" w:lineRule="auto"/>
        <w:rPr>
          <w:rFonts w:ascii="Arial" w:hAnsi="Arial" w:cs="Arial"/>
          <w:sz w:val="24"/>
          <w:szCs w:val="24"/>
        </w:rPr>
      </w:pPr>
      <w:r>
        <w:rPr>
          <w:rFonts w:hint="eastAsia" w:ascii="Arial" w:hAnsi="Arial" w:cs="Arial"/>
          <w:sz w:val="24"/>
          <w:szCs w:val="24"/>
        </w:rPr>
        <w:t xml:space="preserve">There are challenges and benefits in implementing strategic employee development. Resource constraints, cultural resistance, employee engagement, and technology integration can all be potential challenges. Resource constraints refer to the fact that implementing strategic employee development programs requires a lot of resources, including money, time, and manpower. Many small and medium-sized enterprises may find it difficult to fully implement such programs due to limited resources. Therefore, strategic employee development is limited by the size of the enterprise, the number of employees, financial strength, etc. Cultural resistance and employee engagement refer to the fact that organizational culture may create resistance to strategic employee development, such as employees may be resistant to change (Cornescu and Adam, 2016). Therefore, different organizational cultures and the enthusiasm of organizational employees to participate will affect the implementation and effectiveness of strategic employee development. Technology integration refers to the fact that employee development and training in the digital age </w:t>
      </w:r>
      <w:r>
        <w:rPr>
          <w:rFonts w:ascii="Arial" w:hAnsi="Arial" w:cs="Arial"/>
          <w:sz w:val="24"/>
          <w:szCs w:val="24"/>
        </w:rPr>
        <w:t>relies</w:t>
      </w:r>
      <w:r>
        <w:rPr>
          <w:rFonts w:hint="eastAsia" w:ascii="Arial" w:hAnsi="Arial" w:cs="Arial"/>
          <w:sz w:val="24"/>
          <w:szCs w:val="24"/>
        </w:rPr>
        <w:t xml:space="preserve"> more on technology, and the application of technology can improve the efficiency of employee training and provide assistance (Huang and Gursoy, 2024). It means that differences in technology resources and application levels may lead to differences in strategic employee development.</w:t>
      </w:r>
    </w:p>
    <w:p w14:paraId="35C73188">
      <w:pPr>
        <w:spacing w:line="600" w:lineRule="auto"/>
        <w:rPr>
          <w:rFonts w:ascii="Arial" w:hAnsi="Arial" w:cs="Arial"/>
          <w:sz w:val="24"/>
          <w:szCs w:val="24"/>
        </w:rPr>
      </w:pPr>
      <w:r>
        <w:rPr>
          <w:rFonts w:hint="eastAsia" w:ascii="Arial" w:hAnsi="Arial" w:cs="Arial"/>
          <w:sz w:val="24"/>
          <w:szCs w:val="24"/>
        </w:rPr>
        <w:t>As for the benefits of strategic employee development, increased employee satisfaction, higher retention rates, improved organizational performance, and the promotion of employee innovation and adaptability can all be counted. According to Maslow</w:t>
      </w:r>
      <w:r>
        <w:rPr>
          <w:rFonts w:ascii="Arial" w:hAnsi="Arial" w:cs="Arial"/>
          <w:sz w:val="24"/>
          <w:szCs w:val="24"/>
        </w:rPr>
        <w:t>’</w:t>
      </w:r>
      <w:r>
        <w:rPr>
          <w:rFonts w:hint="eastAsia" w:ascii="Arial" w:hAnsi="Arial" w:cs="Arial"/>
          <w:sz w:val="24"/>
          <w:szCs w:val="24"/>
        </w:rPr>
        <w:t xml:space="preserve">s hierarchy of needs theory, employees will pursue self-actualization after their basic needs are met (Gao, 2022). By providing career development opportunities, organizations can meet the growth needs of employees, thereby reducing employee turnover and improving retention rates (Gao, 2022). Strategic employee development can significantly improve the overall performance of an organization by improving the effectiveness of employees and leaders. For instance, Amazon provides tuition assistance to employees through its </w:t>
      </w:r>
      <w:r>
        <w:rPr>
          <w:rFonts w:ascii="Arial" w:hAnsi="Arial" w:cs="Arial"/>
          <w:sz w:val="24"/>
          <w:szCs w:val="24"/>
        </w:rPr>
        <w:t>“</w:t>
      </w:r>
      <w:r>
        <w:rPr>
          <w:rFonts w:hint="eastAsia" w:ascii="Arial" w:hAnsi="Arial" w:cs="Arial"/>
          <w:sz w:val="24"/>
          <w:szCs w:val="24"/>
        </w:rPr>
        <w:t>Career Choice</w:t>
      </w:r>
      <w:r>
        <w:rPr>
          <w:rFonts w:ascii="Arial" w:hAnsi="Arial" w:cs="Arial"/>
          <w:sz w:val="24"/>
          <w:szCs w:val="24"/>
        </w:rPr>
        <w:t>”</w:t>
      </w:r>
      <w:r>
        <w:rPr>
          <w:rFonts w:hint="eastAsia" w:ascii="Arial" w:hAnsi="Arial" w:cs="Arial"/>
          <w:sz w:val="24"/>
          <w:szCs w:val="24"/>
        </w:rPr>
        <w:t xml:space="preserve"> program to help them improve their skills, thereby increasing employee productivity and loyalty (Amazon Career Choice, 2025). Strategic employee development can also cultivate employees</w:t>
      </w:r>
      <w:r>
        <w:rPr>
          <w:rFonts w:ascii="Arial" w:hAnsi="Arial" w:cs="Arial"/>
          <w:sz w:val="24"/>
          <w:szCs w:val="24"/>
        </w:rPr>
        <w:t>’</w:t>
      </w:r>
      <w:r>
        <w:rPr>
          <w:rFonts w:hint="eastAsia" w:ascii="Arial" w:hAnsi="Arial" w:cs="Arial"/>
          <w:sz w:val="24"/>
          <w:szCs w:val="24"/>
        </w:rPr>
        <w:t xml:space="preserve"> innovative thinking and ability to adapt to change, enabling organizations to better respond to market changes and technological changes. For instance, Tesla has built a learning organization through its innovative culture and employee development programs, cultivating a group of highly creative and adaptable employees, allowing it to maintain its leading position in the electric vehicle industry (Jia, 2024). </w:t>
      </w:r>
    </w:p>
    <w:p w14:paraId="76A81AB9">
      <w:pPr>
        <w:spacing w:line="600" w:lineRule="auto"/>
        <w:rPr>
          <w:rFonts w:ascii="Arial" w:hAnsi="Arial" w:cs="Arial"/>
          <w:sz w:val="24"/>
          <w:szCs w:val="24"/>
        </w:rPr>
      </w:pPr>
      <w:r>
        <w:rPr>
          <w:rFonts w:hint="eastAsia" w:ascii="Arial" w:hAnsi="Arial" w:cs="Arial"/>
          <w:sz w:val="24"/>
          <w:szCs w:val="24"/>
        </w:rPr>
        <w:t>At the same time, technology plays an indispensable role in strategic employee development. With the advent of the digital age, digital transformation, the application of artificial intelligence technology, remote work, virtual reality and simulation training, the promotion of online learning platforms, as well as data analysis and personalized learning models are gradually becoming the mainstream of organizational and corporate training and development. For instance, AI learning is a technology widely used by enterprises in the digital age. Accenture has developed an AI-based learning platform that uses natural language processing (NLP) and machine learning technology to provide employees with personalized learning paths (Ghedabna et al., 2024). Similarly, Unilever also uses AI-driven recruitment and training tools such as Pymetrics and HireVue. These tools recommend suitable positions and training plans by analyzing candidates</w:t>
      </w:r>
      <w:r>
        <w:rPr>
          <w:rFonts w:ascii="Arial" w:hAnsi="Arial" w:cs="Arial"/>
          <w:sz w:val="24"/>
          <w:szCs w:val="24"/>
        </w:rPr>
        <w:t>’</w:t>
      </w:r>
      <w:r>
        <w:rPr>
          <w:rFonts w:hint="eastAsia" w:ascii="Arial" w:hAnsi="Arial" w:cs="Arial"/>
          <w:sz w:val="24"/>
          <w:szCs w:val="24"/>
        </w:rPr>
        <w:t xml:space="preserve"> behaviors and cognitive abilities (Hu, 2023). </w:t>
      </w:r>
    </w:p>
    <w:p w14:paraId="2C345DC1">
      <w:pPr>
        <w:spacing w:line="600" w:lineRule="auto"/>
        <w:rPr>
          <w:rFonts w:ascii="Arial" w:hAnsi="Arial" w:cs="Arial"/>
          <w:sz w:val="24"/>
          <w:szCs w:val="24"/>
        </w:rPr>
      </w:pPr>
      <w:r>
        <w:rPr>
          <w:rFonts w:hint="eastAsia" w:ascii="Arial" w:hAnsi="Arial" w:cs="Arial"/>
          <w:sz w:val="24"/>
          <w:szCs w:val="24"/>
        </w:rPr>
        <w:t xml:space="preserve">Virtual display and simulation training can be of great help to engineering employees in organizations, such as Boeing uses virtual reality technology for aircraft design and pilot training (InfiVR.com, 2021). Through VR simulators, engineers can test aircraft designs in a virtual environment, identify potential problems and optimize them. In addition, VR simulators can train pilots and provide realistic flight experiences, helping them practice various flight scenarios in a safe environment (Carr et al., 2023). For petrochemical companies (such as British Petroleum), VR technology can also be used to simulate disasters such as oil spills or </w:t>
      </w:r>
      <w:r>
        <w:rPr>
          <w:rFonts w:ascii="Arial" w:hAnsi="Arial" w:cs="Arial"/>
          <w:sz w:val="24"/>
          <w:szCs w:val="24"/>
        </w:rPr>
        <w:t>fires and</w:t>
      </w:r>
      <w:r>
        <w:rPr>
          <w:rFonts w:hint="eastAsia" w:ascii="Arial" w:hAnsi="Arial" w:cs="Arial"/>
          <w:sz w:val="24"/>
          <w:szCs w:val="24"/>
        </w:rPr>
        <w:t xml:space="preserve"> reduce the incidence of accidents by training employees in safety awareness and emergency response capabilities in advance (Adel and Elnogomi, 2024).</w:t>
      </w:r>
    </w:p>
    <w:p w14:paraId="5E37D774">
      <w:pPr>
        <w:spacing w:line="600" w:lineRule="auto"/>
        <w:rPr>
          <w:rFonts w:ascii="Arial" w:hAnsi="Arial" w:cs="Arial"/>
          <w:sz w:val="24"/>
          <w:szCs w:val="24"/>
        </w:rPr>
      </w:pPr>
      <w:r>
        <w:rPr>
          <w:rFonts w:hint="eastAsia" w:ascii="Arial" w:hAnsi="Arial" w:cs="Arial"/>
          <w:sz w:val="24"/>
          <w:szCs w:val="24"/>
        </w:rPr>
        <w:t xml:space="preserve">Personalized learning is also widely used in organizations and enterprises. IBM provides personalized learning experience for employees through its learning platform </w:t>
      </w:r>
      <w:r>
        <w:rPr>
          <w:rFonts w:ascii="Arial" w:hAnsi="Arial" w:cs="Arial"/>
          <w:sz w:val="24"/>
          <w:szCs w:val="24"/>
        </w:rPr>
        <w:t>“</w:t>
      </w:r>
      <w:r>
        <w:rPr>
          <w:rFonts w:hint="eastAsia" w:ascii="Arial" w:hAnsi="Arial" w:cs="Arial"/>
          <w:sz w:val="24"/>
          <w:szCs w:val="24"/>
        </w:rPr>
        <w:t>SkillsBuild</w:t>
      </w:r>
      <w:r>
        <w:rPr>
          <w:rFonts w:ascii="Arial" w:hAnsi="Arial" w:cs="Arial"/>
          <w:sz w:val="24"/>
          <w:szCs w:val="24"/>
        </w:rPr>
        <w:t>”</w:t>
      </w:r>
      <w:r>
        <w:rPr>
          <w:rFonts w:hint="eastAsia" w:ascii="Arial" w:hAnsi="Arial" w:cs="Arial"/>
          <w:sz w:val="24"/>
          <w:szCs w:val="24"/>
        </w:rPr>
        <w:t xml:space="preserve"> (IBM, 2025). The platform recommends learning resources divided by subjects and related work areas for employees with different learning needs, and employees can study independently according to their own schedule and learning progress (IBM, 2025). Starbucks also provides its employees with full tuition funding for Arizona State University</w:t>
      </w:r>
      <w:r>
        <w:rPr>
          <w:rFonts w:ascii="Arial" w:hAnsi="Arial" w:cs="Arial"/>
          <w:sz w:val="24"/>
          <w:szCs w:val="24"/>
        </w:rPr>
        <w:t>’</w:t>
      </w:r>
      <w:r>
        <w:rPr>
          <w:rFonts w:hint="eastAsia" w:ascii="Arial" w:hAnsi="Arial" w:cs="Arial"/>
          <w:sz w:val="24"/>
          <w:szCs w:val="24"/>
        </w:rPr>
        <w:t>s online degree, which covers more than 50 majors (including business, computer science, etc.). Employees can choose different majors according to their personal interests and career development needs, and can flexibly adapt courses according to their working hours (Starbucks, 2025). Therefore, in the field of employee training and strategic talent development, technology plays a key role in promoting strategic employee development, especially providing employees with more efficient, personalized and immersive learning experiences, thereby improving employees</w:t>
      </w:r>
      <w:r>
        <w:rPr>
          <w:rFonts w:ascii="Arial" w:hAnsi="Arial" w:cs="Arial"/>
          <w:sz w:val="24"/>
          <w:szCs w:val="24"/>
        </w:rPr>
        <w:t>’</w:t>
      </w:r>
      <w:r>
        <w:rPr>
          <w:rFonts w:hint="eastAsia" w:ascii="Arial" w:hAnsi="Arial" w:cs="Arial"/>
          <w:sz w:val="24"/>
          <w:szCs w:val="24"/>
        </w:rPr>
        <w:t xml:space="preserve"> skills, adaptability and career development potential.</w:t>
      </w:r>
    </w:p>
    <w:p w14:paraId="19EEC667">
      <w:pPr>
        <w:spacing w:line="600" w:lineRule="auto"/>
        <w:rPr>
          <w:rFonts w:ascii="Arial" w:hAnsi="Arial" w:cs="Arial"/>
          <w:sz w:val="24"/>
          <w:szCs w:val="24"/>
        </w:rPr>
      </w:pPr>
      <w:r>
        <w:rPr>
          <w:rFonts w:hint="eastAsia" w:ascii="Arial" w:hAnsi="Arial" w:cs="Arial"/>
          <w:sz w:val="24"/>
          <w:szCs w:val="24"/>
        </w:rPr>
        <w:t>In addition to the above-mentioned technical factors, leaders play a core role in strategic employee development. Their abilities, behaviors, and decisions directly affect the effectiveness of employee development. However, the complexity of leaders, including their traits, leadership styles, emotional intelligence levels, and ability to cope with complex environments, can have a profound impact on strategic employee development.</w:t>
      </w:r>
    </w:p>
    <w:p w14:paraId="4CFC73E5">
      <w:pPr>
        <w:spacing w:line="600" w:lineRule="auto"/>
        <w:rPr>
          <w:rFonts w:ascii="Arial" w:hAnsi="Arial" w:cs="Arial"/>
          <w:sz w:val="24"/>
          <w:szCs w:val="24"/>
        </w:rPr>
      </w:pPr>
      <w:r>
        <w:rPr>
          <w:rFonts w:hint="eastAsia" w:ascii="Arial" w:hAnsi="Arial" w:cs="Arial"/>
          <w:sz w:val="24"/>
          <w:szCs w:val="24"/>
        </w:rPr>
        <w:t>In strategic employee development, leaders need to have cross-border thinking, be able to integrate the needs and resources of different departments, and promote the implementation of employee development plans (Qiaotian, Rong and Jianming, 2020). If leaders lack such cross-border ability, it may lead to a disconnect between employee development plans and organizational strategies. Among the many leadership styles, transformational leadership and transactional leadership can contribute to strategic employee development. Transformational leaders guide employees through motivation and vision, while transactional leaders manage employees through clear reward and punishment mechanisms (Humphreys, 2001; Bass and Riggio, 2006). Thus, transformational leaders are more likely to inspire employees</w:t>
      </w:r>
      <w:r>
        <w:rPr>
          <w:rFonts w:ascii="Arial" w:hAnsi="Arial" w:cs="Arial"/>
          <w:sz w:val="24"/>
          <w:szCs w:val="24"/>
        </w:rPr>
        <w:t>’</w:t>
      </w:r>
      <w:r>
        <w:rPr>
          <w:rFonts w:hint="eastAsia" w:ascii="Arial" w:hAnsi="Arial" w:cs="Arial"/>
          <w:sz w:val="24"/>
          <w:szCs w:val="24"/>
        </w:rPr>
        <w:t xml:space="preserve"> potential and creativity, while transactional leaders may be more suitable for the realization of short-term goals. Specifically, transformational leaders can encourage employees to actively participate in training and development by establishing a learning culture; while transactional leaders may pay more attention to the completion rate of training and short-term performance improvement.</w:t>
      </w:r>
    </w:p>
    <w:p w14:paraId="1DBFF464">
      <w:pPr>
        <w:spacing w:line="600" w:lineRule="auto"/>
        <w:rPr>
          <w:rFonts w:ascii="Arial" w:hAnsi="Arial" w:cs="Arial"/>
          <w:sz w:val="24"/>
          <w:szCs w:val="24"/>
          <w:shd w:val="pct15" w:color="auto" w:fill="FFFFFF"/>
        </w:rPr>
      </w:pPr>
      <w:r>
        <w:rPr>
          <w:rFonts w:hint="eastAsia" w:ascii="Arial" w:hAnsi="Arial" w:cs="Arial"/>
          <w:sz w:val="24"/>
          <w:szCs w:val="24"/>
        </w:rPr>
        <w:t>In addition to the fact that leadership style may affect strategic employee development, the differences in leaders</w:t>
      </w:r>
      <w:r>
        <w:rPr>
          <w:rFonts w:ascii="Arial" w:hAnsi="Arial" w:cs="Arial"/>
          <w:sz w:val="24"/>
          <w:szCs w:val="24"/>
        </w:rPr>
        <w:t>’</w:t>
      </w:r>
      <w:r>
        <w:rPr>
          <w:rFonts w:hint="eastAsia" w:ascii="Arial" w:hAnsi="Arial" w:cs="Arial"/>
          <w:sz w:val="24"/>
          <w:szCs w:val="24"/>
        </w:rPr>
        <w:t xml:space="preserve"> emotional intelligence and social intelligence may also have an impact. For instance, Goleman</w:t>
      </w:r>
      <w:r>
        <w:rPr>
          <w:rFonts w:ascii="Arial" w:hAnsi="Arial" w:cs="Arial"/>
          <w:sz w:val="24"/>
          <w:szCs w:val="24"/>
        </w:rPr>
        <w:t>’</w:t>
      </w:r>
      <w:r>
        <w:rPr>
          <w:rFonts w:hint="eastAsia" w:ascii="Arial" w:hAnsi="Arial" w:cs="Arial"/>
          <w:sz w:val="24"/>
          <w:szCs w:val="24"/>
        </w:rPr>
        <w:t>s emotional intelligence model mentions different dimensions related to emotional intelligence and how these ability dimensions can influence leaders</w:t>
      </w:r>
      <w:r>
        <w:rPr>
          <w:rFonts w:ascii="Arial" w:hAnsi="Arial" w:cs="Arial"/>
          <w:sz w:val="24"/>
          <w:szCs w:val="24"/>
        </w:rPr>
        <w:t>’</w:t>
      </w:r>
      <w:r>
        <w:rPr>
          <w:rFonts w:hint="eastAsia" w:ascii="Arial" w:hAnsi="Arial" w:cs="Arial"/>
          <w:sz w:val="24"/>
          <w:szCs w:val="24"/>
        </w:rPr>
        <w:t xml:space="preserve"> decision-making, team management, and organizational culture shaping (Kanesan and Fauzan, 2019). Leaders need to be sensitive to employees</w:t>
      </w:r>
      <w:r>
        <w:rPr>
          <w:rFonts w:ascii="Arial" w:hAnsi="Arial" w:cs="Arial"/>
          <w:sz w:val="24"/>
          <w:szCs w:val="24"/>
        </w:rPr>
        <w:t>’</w:t>
      </w:r>
      <w:r>
        <w:rPr>
          <w:rFonts w:hint="eastAsia" w:ascii="Arial" w:hAnsi="Arial" w:cs="Arial"/>
          <w:sz w:val="24"/>
          <w:szCs w:val="24"/>
        </w:rPr>
        <w:t xml:space="preserve"> needs and emotions and build trust relationships through effective communication (Kraft, Sparr and Peus, 2018). In addition, leaders need to establish cross-departmental collaboration through social intelligence and promote resource sharing and knowledge transfer (Albrecht, 2009). In particular, cross-border leaders need sufficient emotional intelligence and social intelligence to coordinate members of different departments to work together for the same goal to achieve management and integration (Coronado-Maldonado and Benítez-Márquez, 2023). Therefore, leaders with high emotional intelligence can inspire employees</w:t>
      </w:r>
      <w:r>
        <w:rPr>
          <w:rFonts w:ascii="Arial" w:hAnsi="Arial" w:cs="Arial"/>
          <w:sz w:val="24"/>
          <w:szCs w:val="24"/>
        </w:rPr>
        <w:t>’</w:t>
      </w:r>
      <w:r>
        <w:rPr>
          <w:rFonts w:hint="eastAsia" w:ascii="Arial" w:hAnsi="Arial" w:cs="Arial"/>
          <w:sz w:val="24"/>
          <w:szCs w:val="24"/>
        </w:rPr>
        <w:t xml:space="preserve"> creativity and participation, strengthen employees</w:t>
      </w:r>
      <w:r>
        <w:rPr>
          <w:rFonts w:ascii="Arial" w:hAnsi="Arial" w:cs="Arial"/>
          <w:sz w:val="24"/>
          <w:szCs w:val="24"/>
        </w:rPr>
        <w:t>’</w:t>
      </w:r>
      <w:r>
        <w:rPr>
          <w:rFonts w:hint="eastAsia" w:ascii="Arial" w:hAnsi="Arial" w:cs="Arial"/>
          <w:sz w:val="24"/>
          <w:szCs w:val="24"/>
        </w:rPr>
        <w:t xml:space="preserve"> sense of belonging and improve plan execution, while leaders who lack strategic vision and cross-border capabilities may cause plan dislocation, resource waste and employee non-cooperation. The complexity of multiple factors such as leaders</w:t>
      </w:r>
      <w:r>
        <w:rPr>
          <w:rFonts w:ascii="Arial" w:hAnsi="Arial" w:cs="Arial"/>
          <w:sz w:val="24"/>
          <w:szCs w:val="24"/>
        </w:rPr>
        <w:t>’</w:t>
      </w:r>
      <w:r>
        <w:rPr>
          <w:rFonts w:hint="eastAsia" w:ascii="Arial" w:hAnsi="Arial" w:cs="Arial"/>
          <w:sz w:val="24"/>
          <w:szCs w:val="24"/>
        </w:rPr>
        <w:t xml:space="preserve"> leadership style, emotional intelligence, social intelligence, and cross-border leadership capabilities will increase the difficulty of practicing strategic employee development. </w:t>
      </w:r>
    </w:p>
    <w:p w14:paraId="2F4082CD">
      <w:pPr>
        <w:spacing w:line="600" w:lineRule="auto"/>
        <w:rPr>
          <w:rFonts w:ascii="Arial" w:hAnsi="Arial" w:cs="Arial"/>
          <w:sz w:val="24"/>
          <w:szCs w:val="24"/>
        </w:rPr>
      </w:pPr>
      <w:r>
        <w:rPr>
          <w:rFonts w:hint="eastAsia" w:ascii="Arial" w:hAnsi="Arial" w:cs="Arial"/>
          <w:sz w:val="24"/>
          <w:szCs w:val="24"/>
        </w:rPr>
        <w:t xml:space="preserve">Moreover, distributed leadership theory emphasizes that leadership is not only concentrated in senior </w:t>
      </w:r>
      <w:r>
        <w:rPr>
          <w:rFonts w:ascii="Arial" w:hAnsi="Arial" w:cs="Arial"/>
          <w:sz w:val="24"/>
          <w:szCs w:val="24"/>
        </w:rPr>
        <w:t>managers but</w:t>
      </w:r>
      <w:r>
        <w:rPr>
          <w:rFonts w:hint="eastAsia" w:ascii="Arial" w:hAnsi="Arial" w:cs="Arial"/>
          <w:sz w:val="24"/>
          <w:szCs w:val="24"/>
        </w:rPr>
        <w:t xml:space="preserve"> is distributed at all levels of the organization (Hickey, Flaherty, and Mannix McNamara, 2022). In strategic employee development (distributed leadership), middle managers can also play an important role because they are the key hub between senior strategies and grassroots execution. If these leaders lack development awareness or ability, they may become a bottleneck for employee development. For example, if middle managers fail to effectively communicate the strategic intentions of senior management, it may lead to deviations in employees</w:t>
      </w:r>
      <w:r>
        <w:rPr>
          <w:rFonts w:ascii="Arial" w:hAnsi="Arial" w:cs="Arial"/>
          <w:sz w:val="24"/>
          <w:szCs w:val="24"/>
        </w:rPr>
        <w:t>’</w:t>
      </w:r>
      <w:r>
        <w:rPr>
          <w:rFonts w:hint="eastAsia" w:ascii="Arial" w:hAnsi="Arial" w:cs="Arial"/>
          <w:sz w:val="24"/>
          <w:szCs w:val="24"/>
        </w:rPr>
        <w:t xml:space="preserve"> understanding and implementation of development plans (Berraies, Hamza, and Chtioui, 2021).</w:t>
      </w:r>
    </w:p>
    <w:p w14:paraId="5351773E">
      <w:pPr>
        <w:spacing w:line="600" w:lineRule="auto"/>
        <w:rPr>
          <w:rFonts w:ascii="Arial" w:hAnsi="Arial" w:cs="Arial"/>
          <w:sz w:val="24"/>
          <w:szCs w:val="24"/>
        </w:rPr>
      </w:pPr>
      <w:r>
        <w:rPr>
          <w:rFonts w:hint="eastAsia" w:ascii="Arial" w:hAnsi="Arial" w:cs="Arial"/>
          <w:sz w:val="24"/>
          <w:szCs w:val="24"/>
        </w:rPr>
        <w:t>Regardless of the management model, the learning culture and atmosphere of the organization built by leaders are beneficial to the innovative development of the organization and the enterprise and the sustainable development of employees. Chatterjee et al. (2023) emphasized that the dynamic capabilities of the organization can have a significant positive impact on the development of digital transformation in the workplace, which means that leaders can mobilize the learning and work capabilities of employees by actively building the culture and atmosphere of the workplace, thereby promoting the transformation and development of the enterprise. Banmairuroy, Kritjaroen, and Homsombat (2022) believed that technology and innovation are one of the effective means for enterprises to improve their competitiveness, and leaders (especially knowledge-based leaders) and human resource development can have an impact on organizational innovation and the formation of sustainable competitive advantages of the organization. Ahsan (2025) claimed that cultivating an organizational learning culture through leaders can improve employees</w:t>
      </w:r>
      <w:r>
        <w:rPr>
          <w:rFonts w:ascii="Arial" w:hAnsi="Arial" w:cs="Arial"/>
          <w:sz w:val="24"/>
          <w:szCs w:val="24"/>
        </w:rPr>
        <w:t>’</w:t>
      </w:r>
      <w:r>
        <w:rPr>
          <w:rFonts w:hint="eastAsia" w:ascii="Arial" w:hAnsi="Arial" w:cs="Arial"/>
          <w:sz w:val="24"/>
          <w:szCs w:val="24"/>
        </w:rPr>
        <w:t xml:space="preserve"> creativity and innovation awareness, and growth mindset, thereby driving the organization to form stronger competitiveness. It means that leading people</w:t>
      </w:r>
      <w:r>
        <w:rPr>
          <w:rFonts w:ascii="Arial" w:hAnsi="Arial" w:cs="Arial"/>
          <w:sz w:val="24"/>
          <w:szCs w:val="24"/>
        </w:rPr>
        <w:t>’</w:t>
      </w:r>
      <w:r>
        <w:rPr>
          <w:rFonts w:hint="eastAsia" w:ascii="Arial" w:hAnsi="Arial" w:cs="Arial"/>
          <w:sz w:val="24"/>
          <w:szCs w:val="24"/>
        </w:rPr>
        <w:t>s leadership style, emotional intelligence, social intelligence, cross-border communication and management skills, learning ability, and building an organizational learning culture and innovation awareness may all affect strategic employee development.</w:t>
      </w:r>
    </w:p>
    <w:p w14:paraId="6A7B4A10">
      <w:pPr>
        <w:spacing w:line="600" w:lineRule="auto"/>
        <w:rPr>
          <w:rFonts w:ascii="Arial" w:hAnsi="Arial" w:cs="Arial"/>
          <w:sz w:val="24"/>
          <w:szCs w:val="24"/>
        </w:rPr>
      </w:pPr>
      <w:r>
        <w:rPr>
          <w:rFonts w:hint="eastAsia" w:ascii="Arial" w:hAnsi="Arial" w:cs="Arial"/>
          <w:sz w:val="24"/>
          <w:szCs w:val="24"/>
        </w:rPr>
        <w:t>To sum up, strategic employee development (SED) is an important part of modern human resource management, which aims to improve the capabilities of employees and leaders to achieve organizational goals and maintain competitive advantage. It plays an important role in improving employee and leader effectiveness, meeting organizational needs and providing competitive advantage. Although its implementation faces challenges such as resource constraints, cultural resistance, low employee engagement, etc., through the rational use of technology and combined with leadership theories and models, organizations can effectively overcome these challenges and achieve the common development of employees and organizations. Technology plays a key role in modern SED, providing tools such as artificial intelligence-driven learning platforms, virtual reality simulations and personalized learning experiences to improve training efficiency and effectiveness. In the future, with the further development of technology (such as AI technology, machine learning, data analysis and personalized customization), strategic employee development will be more personalized and intelligent. In a word, the successful implementation of SED requires a holistic approach that combines advanced technology, effective leadership and a supportive organizational culture. By addressing challenges and leveraging strengths, organizations can create a dynamic and adaptable workforce that can drive innovation and maintain competitive advantage in a changing business environment.</w:t>
      </w:r>
    </w:p>
    <w:p w14:paraId="5D4C4F39">
      <w:pPr>
        <w:spacing w:line="600" w:lineRule="auto"/>
        <w:rPr>
          <w:rFonts w:ascii="Arial" w:hAnsi="Arial" w:cs="Arial"/>
          <w:sz w:val="24"/>
          <w:szCs w:val="24"/>
        </w:rPr>
      </w:pPr>
    </w:p>
    <w:p w14:paraId="2A23E331">
      <w:pPr>
        <w:spacing w:line="600" w:lineRule="auto"/>
        <w:rPr>
          <w:rFonts w:ascii="Arial" w:hAnsi="Arial" w:cs="Arial"/>
          <w:sz w:val="24"/>
          <w:szCs w:val="24"/>
        </w:rPr>
      </w:pPr>
    </w:p>
    <w:p w14:paraId="61631A4F">
      <w:pPr>
        <w:spacing w:line="600" w:lineRule="auto"/>
        <w:rPr>
          <w:rFonts w:ascii="Arial" w:hAnsi="Arial" w:cs="Arial"/>
          <w:sz w:val="24"/>
          <w:szCs w:val="24"/>
        </w:rPr>
      </w:pPr>
    </w:p>
    <w:p w14:paraId="290C0253">
      <w:pPr>
        <w:spacing w:line="600" w:lineRule="auto"/>
        <w:rPr>
          <w:rFonts w:ascii="Arial" w:hAnsi="Arial" w:cs="Arial"/>
          <w:sz w:val="24"/>
          <w:szCs w:val="24"/>
        </w:rPr>
      </w:pPr>
    </w:p>
    <w:p w14:paraId="49931F48">
      <w:pPr>
        <w:spacing w:line="600" w:lineRule="auto"/>
        <w:rPr>
          <w:rFonts w:ascii="Arial" w:hAnsi="Arial" w:cs="Arial"/>
          <w:b/>
          <w:bCs/>
          <w:sz w:val="24"/>
          <w:szCs w:val="24"/>
        </w:rPr>
      </w:pPr>
      <w:r>
        <w:rPr>
          <w:rFonts w:hint="eastAsia" w:ascii="Arial" w:hAnsi="Arial" w:cs="Arial"/>
          <w:b/>
          <w:bCs/>
          <w:sz w:val="24"/>
          <w:szCs w:val="24"/>
        </w:rPr>
        <w:t>Reference</w:t>
      </w:r>
    </w:p>
    <w:p w14:paraId="197446C9">
      <w:pPr>
        <w:spacing w:line="600" w:lineRule="auto"/>
        <w:ind w:left="480" w:hanging="480" w:hangingChars="200"/>
        <w:rPr>
          <w:rFonts w:ascii="Arial" w:hAnsi="Arial" w:cs="Arial"/>
          <w:sz w:val="24"/>
          <w:szCs w:val="24"/>
        </w:rPr>
      </w:pPr>
      <w:r>
        <w:rPr>
          <w:rFonts w:ascii="Arial" w:hAnsi="Arial" w:cs="Arial"/>
          <w:sz w:val="24"/>
          <w:szCs w:val="24"/>
        </w:rPr>
        <w:t>Adel, A. and Elnogomi, A.</w:t>
      </w:r>
      <w:r>
        <w:rPr>
          <w:rFonts w:hint="eastAsia" w:ascii="Arial" w:hAnsi="Arial" w:cs="Arial"/>
          <w:sz w:val="24"/>
          <w:szCs w:val="24"/>
        </w:rPr>
        <w:t xml:space="preserve"> (</w:t>
      </w:r>
      <w:r>
        <w:rPr>
          <w:rFonts w:ascii="Arial" w:hAnsi="Arial" w:cs="Arial"/>
          <w:sz w:val="24"/>
          <w:szCs w:val="24"/>
        </w:rPr>
        <w:t>2024</w:t>
      </w:r>
      <w:r>
        <w:rPr>
          <w:rFonts w:hint="eastAsia" w:ascii="Arial" w:hAnsi="Arial" w:cs="Arial"/>
          <w:sz w:val="24"/>
          <w:szCs w:val="24"/>
        </w:rPr>
        <w:t>)</w:t>
      </w:r>
      <w:r>
        <w:rPr>
          <w:rFonts w:ascii="Arial" w:hAnsi="Arial" w:cs="Arial"/>
          <w:sz w:val="24"/>
          <w:szCs w:val="24"/>
        </w:rPr>
        <w:t xml:space="preserve"> ‘Enhancing Oil and Gas Field HSE Training Through Virtual Reality’</w:t>
      </w:r>
      <w:r>
        <w:rPr>
          <w:rFonts w:hint="eastAsia" w:ascii="Arial" w:hAnsi="Arial" w:cs="Arial"/>
          <w:sz w:val="24"/>
          <w:szCs w:val="24"/>
        </w:rPr>
        <w:t>,</w:t>
      </w:r>
      <w:r>
        <w:rPr>
          <w:rFonts w:ascii="Arial" w:hAnsi="Arial" w:cs="Arial"/>
          <w:sz w:val="24"/>
          <w:szCs w:val="24"/>
        </w:rPr>
        <w:t xml:space="preserve"> </w:t>
      </w:r>
      <w:r>
        <w:rPr>
          <w:rFonts w:hint="eastAsia" w:ascii="Arial" w:hAnsi="Arial" w:cs="Arial"/>
          <w:sz w:val="24"/>
          <w:szCs w:val="24"/>
        </w:rPr>
        <w:t>i</w:t>
      </w:r>
      <w:r>
        <w:rPr>
          <w:rFonts w:ascii="Arial" w:hAnsi="Arial" w:cs="Arial"/>
          <w:sz w:val="24"/>
          <w:szCs w:val="24"/>
        </w:rPr>
        <w:t>n </w:t>
      </w:r>
      <w:r>
        <w:rPr>
          <w:rFonts w:ascii="Arial" w:hAnsi="Arial" w:cs="Arial"/>
          <w:i/>
          <w:iCs/>
          <w:sz w:val="24"/>
          <w:szCs w:val="24"/>
        </w:rPr>
        <w:t>Mediterranean Offshore Conference</w:t>
      </w:r>
      <w:r>
        <w:rPr>
          <w:rFonts w:hint="eastAsia" w:ascii="Arial" w:hAnsi="Arial" w:cs="Arial"/>
          <w:sz w:val="24"/>
          <w:szCs w:val="24"/>
        </w:rPr>
        <w:t xml:space="preserve">. </w:t>
      </w:r>
      <w:r>
        <w:rPr>
          <w:rFonts w:ascii="Arial" w:hAnsi="Arial" w:cs="Arial"/>
          <w:sz w:val="24"/>
          <w:szCs w:val="24"/>
        </w:rPr>
        <w:t>SPE</w:t>
      </w:r>
      <w:r>
        <w:rPr>
          <w:rFonts w:hint="eastAsia" w:ascii="Arial" w:hAnsi="Arial" w:cs="Arial"/>
          <w:sz w:val="24"/>
          <w:szCs w:val="24"/>
        </w:rPr>
        <w:t xml:space="preserve">, </w:t>
      </w:r>
      <w:r>
        <w:rPr>
          <w:rFonts w:ascii="Arial" w:hAnsi="Arial" w:cs="Arial"/>
          <w:sz w:val="24"/>
          <w:szCs w:val="24"/>
        </w:rPr>
        <w:t>p. D021S010R004.</w:t>
      </w:r>
    </w:p>
    <w:p w14:paraId="1CCC53AE">
      <w:pPr>
        <w:spacing w:line="600" w:lineRule="auto"/>
        <w:ind w:left="480" w:hanging="480" w:hangingChars="200"/>
        <w:rPr>
          <w:rFonts w:ascii="Arial" w:hAnsi="Arial" w:cs="Arial"/>
          <w:sz w:val="24"/>
          <w:szCs w:val="24"/>
        </w:rPr>
      </w:pPr>
      <w:r>
        <w:rPr>
          <w:rFonts w:ascii="Arial" w:hAnsi="Arial" w:cs="Arial"/>
          <w:sz w:val="24"/>
          <w:szCs w:val="24"/>
        </w:rPr>
        <w:t>Agustian, K., Pohan, A., Zen, A., Wiwin, W. and Malik, A.J. (2023) ‘Human resource management strategies in achieving competitive advantage in business administration’, </w:t>
      </w:r>
      <w:r>
        <w:rPr>
          <w:rFonts w:ascii="Arial" w:hAnsi="Arial" w:cs="Arial"/>
          <w:i/>
          <w:iCs/>
          <w:sz w:val="24"/>
          <w:szCs w:val="24"/>
        </w:rPr>
        <w:t>Journal of Contemporary Administration and Management (ADMAN)</w:t>
      </w:r>
      <w:r>
        <w:rPr>
          <w:rFonts w:ascii="Arial" w:hAnsi="Arial" w:cs="Arial"/>
          <w:sz w:val="24"/>
          <w:szCs w:val="24"/>
        </w:rPr>
        <w:t>, 1(2), pp.108-117.</w:t>
      </w:r>
    </w:p>
    <w:p w14:paraId="65B2F8B3">
      <w:pPr>
        <w:spacing w:line="600" w:lineRule="auto"/>
        <w:ind w:left="480" w:hanging="480" w:hangingChars="200"/>
        <w:rPr>
          <w:rFonts w:ascii="Arial" w:hAnsi="Arial" w:cs="Arial"/>
          <w:sz w:val="24"/>
          <w:szCs w:val="24"/>
        </w:rPr>
      </w:pPr>
      <w:r>
        <w:rPr>
          <w:rFonts w:ascii="Arial" w:hAnsi="Arial" w:cs="Arial"/>
          <w:sz w:val="24"/>
          <w:szCs w:val="24"/>
        </w:rPr>
        <w:t>Ahsan, M.J.</w:t>
      </w:r>
      <w:r>
        <w:rPr>
          <w:rFonts w:hint="eastAsia" w:ascii="Arial" w:hAnsi="Arial" w:cs="Arial"/>
          <w:sz w:val="24"/>
          <w:szCs w:val="24"/>
        </w:rPr>
        <w:t xml:space="preserve"> (</w:t>
      </w:r>
      <w:r>
        <w:rPr>
          <w:rFonts w:ascii="Arial" w:hAnsi="Arial" w:cs="Arial"/>
          <w:sz w:val="24"/>
          <w:szCs w:val="24"/>
        </w:rPr>
        <w:t>2025</w:t>
      </w:r>
      <w:r>
        <w:rPr>
          <w:rFonts w:hint="eastAsia" w:ascii="Arial" w:hAnsi="Arial" w:cs="Arial"/>
          <w:sz w:val="24"/>
          <w:szCs w:val="24"/>
        </w:rPr>
        <w:t>)</w:t>
      </w:r>
      <w:r>
        <w:rPr>
          <w:rFonts w:ascii="Arial" w:hAnsi="Arial" w:cs="Arial"/>
          <w:sz w:val="24"/>
          <w:szCs w:val="24"/>
        </w:rPr>
        <w:t xml:space="preserve"> ‘Cultivating a culture of learning: the role of leadership in fostering lifelong development’</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The Learning Organization</w:t>
      </w:r>
      <w:r>
        <w:rPr>
          <w:rFonts w:ascii="Arial" w:hAnsi="Arial" w:cs="Arial"/>
          <w:sz w:val="24"/>
          <w:szCs w:val="24"/>
        </w:rPr>
        <w:t>, 32(2), pp.282-306.</w:t>
      </w:r>
    </w:p>
    <w:p w14:paraId="1DFBD79A">
      <w:pPr>
        <w:spacing w:line="600" w:lineRule="auto"/>
        <w:ind w:left="480" w:hanging="480" w:hangingChars="200"/>
        <w:rPr>
          <w:rFonts w:ascii="Arial" w:hAnsi="Arial" w:cs="Arial"/>
          <w:sz w:val="24"/>
          <w:szCs w:val="24"/>
        </w:rPr>
      </w:pPr>
      <w:r>
        <w:rPr>
          <w:rFonts w:ascii="Arial" w:hAnsi="Arial" w:cs="Arial"/>
          <w:sz w:val="24"/>
          <w:szCs w:val="24"/>
        </w:rPr>
        <w:t>Albrecht, K.</w:t>
      </w:r>
      <w:r>
        <w:rPr>
          <w:rFonts w:hint="eastAsia" w:ascii="Arial" w:hAnsi="Arial" w:cs="Arial"/>
          <w:sz w:val="24"/>
          <w:szCs w:val="24"/>
        </w:rPr>
        <w:t xml:space="preserve"> (</w:t>
      </w:r>
      <w:r>
        <w:rPr>
          <w:rFonts w:ascii="Arial" w:hAnsi="Arial" w:cs="Arial"/>
          <w:sz w:val="24"/>
          <w:szCs w:val="24"/>
        </w:rPr>
        <w:t>2009</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Social intelligence: The new science of success</w:t>
      </w:r>
      <w:r>
        <w:rPr>
          <w:rFonts w:ascii="Arial" w:hAnsi="Arial" w:cs="Arial"/>
          <w:sz w:val="24"/>
          <w:szCs w:val="24"/>
        </w:rPr>
        <w:t>. John Wiley &amp; Sons.</w:t>
      </w:r>
    </w:p>
    <w:p w14:paraId="618AE9FD">
      <w:pPr>
        <w:spacing w:line="600" w:lineRule="auto"/>
        <w:ind w:left="480" w:hanging="480" w:hangingChars="200"/>
        <w:rPr>
          <w:rFonts w:ascii="Arial" w:hAnsi="Arial" w:cs="Arial"/>
          <w:sz w:val="24"/>
          <w:szCs w:val="24"/>
        </w:rPr>
      </w:pPr>
      <w:r>
        <w:rPr>
          <w:rFonts w:ascii="Arial" w:hAnsi="Arial" w:cs="Arial"/>
          <w:sz w:val="24"/>
          <w:szCs w:val="24"/>
        </w:rPr>
        <w:t xml:space="preserve">Al-Tit, A.A., Al-Ayed, S., Alhammadi, A., Hunitie, M., Alsarayreh, A. and Albassam, W. </w:t>
      </w:r>
      <w:r>
        <w:rPr>
          <w:rFonts w:hint="eastAsia" w:ascii="Arial" w:hAnsi="Arial" w:cs="Arial"/>
          <w:sz w:val="24"/>
          <w:szCs w:val="24"/>
        </w:rPr>
        <w:t>(</w:t>
      </w:r>
      <w:r>
        <w:rPr>
          <w:rFonts w:ascii="Arial" w:hAnsi="Arial" w:cs="Arial"/>
          <w:sz w:val="24"/>
          <w:szCs w:val="24"/>
        </w:rPr>
        <w:t>2022</w:t>
      </w:r>
      <w:r>
        <w:rPr>
          <w:rFonts w:hint="eastAsia" w:ascii="Arial" w:hAnsi="Arial" w:cs="Arial"/>
          <w:sz w:val="24"/>
          <w:szCs w:val="24"/>
        </w:rPr>
        <w:t>)</w:t>
      </w:r>
      <w:r>
        <w:rPr>
          <w:rFonts w:ascii="Arial" w:hAnsi="Arial" w:cs="Arial"/>
          <w:sz w:val="24"/>
          <w:szCs w:val="24"/>
        </w:rPr>
        <w:t xml:space="preserve"> ‘The impact of employee development practices on human capital and social capital: the mediating contribution of knowledge management’</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Open Innovation: Technology, Market, and Complexity</w:t>
      </w:r>
      <w:r>
        <w:rPr>
          <w:rFonts w:ascii="Arial" w:hAnsi="Arial" w:cs="Arial"/>
          <w:sz w:val="24"/>
          <w:szCs w:val="24"/>
        </w:rPr>
        <w:t>, 8(4), p.218.</w:t>
      </w:r>
    </w:p>
    <w:p w14:paraId="293F6DD9">
      <w:pPr>
        <w:spacing w:line="600" w:lineRule="auto"/>
        <w:ind w:left="480" w:hanging="480" w:hangingChars="200"/>
        <w:rPr>
          <w:rFonts w:ascii="Arial" w:hAnsi="Arial" w:cs="Arial"/>
          <w:sz w:val="24"/>
          <w:szCs w:val="24"/>
        </w:rPr>
      </w:pPr>
      <w:r>
        <w:rPr>
          <w:rFonts w:ascii="Arial" w:hAnsi="Arial" w:cs="Arial"/>
          <w:sz w:val="24"/>
          <w:szCs w:val="24"/>
        </w:rPr>
        <w:t>Amazon Career Choice</w:t>
      </w:r>
      <w:r>
        <w:rPr>
          <w:rFonts w:hint="eastAsia" w:ascii="Arial" w:hAnsi="Arial" w:cs="Arial"/>
          <w:sz w:val="24"/>
          <w:szCs w:val="24"/>
        </w:rPr>
        <w:t xml:space="preserve"> [ACC] </w:t>
      </w:r>
      <w:r>
        <w:rPr>
          <w:rFonts w:ascii="Arial" w:hAnsi="Arial" w:cs="Arial"/>
          <w:sz w:val="24"/>
          <w:szCs w:val="24"/>
        </w:rPr>
        <w:t xml:space="preserve">(2025) </w:t>
      </w:r>
      <w:r>
        <w:rPr>
          <w:rFonts w:ascii="Arial" w:hAnsi="Arial" w:cs="Arial"/>
          <w:i/>
          <w:iCs/>
          <w:sz w:val="24"/>
          <w:szCs w:val="24"/>
        </w:rPr>
        <w:t>Amazon Career Choice.</w:t>
      </w:r>
      <w:r>
        <w:rPr>
          <w:rFonts w:ascii="Arial" w:hAnsi="Arial" w:cs="Arial"/>
          <w:sz w:val="24"/>
          <w:szCs w:val="24"/>
        </w:rPr>
        <w:t xml:space="preserve"> Available</w:t>
      </w:r>
      <w:r>
        <w:rPr>
          <w:rFonts w:hint="eastAsia" w:ascii="Arial" w:hAnsi="Arial" w:cs="Arial"/>
          <w:sz w:val="24"/>
          <w:szCs w:val="24"/>
        </w:rPr>
        <w:t xml:space="preserve"> at: </w:t>
      </w:r>
      <w:r>
        <w:fldChar w:fldCharType="begin"/>
      </w:r>
      <w:r>
        <w:instrText xml:space="preserve"> HYPERLINK "https://careerchoice.amazon/" </w:instrText>
      </w:r>
      <w:r>
        <w:fldChar w:fldCharType="separate"/>
      </w:r>
      <w:r>
        <w:rPr>
          <w:rStyle w:val="17"/>
          <w:rFonts w:ascii="Arial" w:hAnsi="Arial" w:cs="Arial"/>
          <w:sz w:val="24"/>
          <w:szCs w:val="24"/>
        </w:rPr>
        <w:t>https://careerchoice.amazon/</w:t>
      </w:r>
      <w:r>
        <w:rPr>
          <w:rStyle w:val="17"/>
          <w:rFonts w:ascii="Arial" w:hAnsi="Arial" w:cs="Arial"/>
          <w:sz w:val="24"/>
          <w:szCs w:val="24"/>
        </w:rPr>
        <w:fldChar w:fldCharType="end"/>
      </w:r>
      <w:r>
        <w:rPr>
          <w:rFonts w:ascii="Arial" w:hAnsi="Arial" w:cs="Arial"/>
          <w:sz w:val="24"/>
          <w:szCs w:val="24"/>
        </w:rPr>
        <w:t xml:space="preserve">  (</w:t>
      </w:r>
      <w:r>
        <w:rPr>
          <w:rFonts w:hint="eastAsia" w:ascii="Arial" w:hAnsi="Arial" w:cs="Arial"/>
          <w:sz w:val="24"/>
          <w:szCs w:val="24"/>
        </w:rPr>
        <w:t xml:space="preserve">Accessed: </w:t>
      </w:r>
      <w:r>
        <w:rPr>
          <w:rFonts w:ascii="Arial" w:hAnsi="Arial" w:cs="Arial"/>
          <w:sz w:val="24"/>
          <w:szCs w:val="24"/>
        </w:rPr>
        <w:t>7 March 2025)</w:t>
      </w:r>
      <w:r>
        <w:rPr>
          <w:rFonts w:hint="eastAsia" w:ascii="Arial" w:hAnsi="Arial" w:cs="Arial"/>
          <w:sz w:val="24"/>
          <w:szCs w:val="24"/>
        </w:rPr>
        <w:t>.</w:t>
      </w:r>
    </w:p>
    <w:p w14:paraId="0165D6A2">
      <w:pPr>
        <w:spacing w:line="600" w:lineRule="auto"/>
        <w:ind w:left="480" w:hanging="480" w:hangingChars="200"/>
        <w:rPr>
          <w:rFonts w:ascii="Arial" w:hAnsi="Arial" w:cs="Arial"/>
          <w:sz w:val="24"/>
          <w:szCs w:val="24"/>
        </w:rPr>
      </w:pPr>
      <w:r>
        <w:rPr>
          <w:rFonts w:ascii="Arial" w:hAnsi="Arial" w:cs="Arial"/>
          <w:sz w:val="24"/>
          <w:szCs w:val="24"/>
        </w:rPr>
        <w:t xml:space="preserve">Banmairuroy, W., Kritjaroen, T. and Homsombat, W. </w:t>
      </w:r>
      <w:r>
        <w:rPr>
          <w:rFonts w:hint="eastAsia" w:ascii="Arial" w:hAnsi="Arial" w:cs="Arial"/>
          <w:sz w:val="24"/>
          <w:szCs w:val="24"/>
        </w:rPr>
        <w:t>(</w:t>
      </w:r>
      <w:r>
        <w:rPr>
          <w:rFonts w:ascii="Arial" w:hAnsi="Arial" w:cs="Arial"/>
          <w:sz w:val="24"/>
          <w:szCs w:val="24"/>
        </w:rPr>
        <w:t>2022</w:t>
      </w:r>
      <w:r>
        <w:rPr>
          <w:rFonts w:hint="eastAsia" w:ascii="Arial" w:hAnsi="Arial" w:cs="Arial"/>
          <w:sz w:val="24"/>
          <w:szCs w:val="24"/>
        </w:rPr>
        <w:t>)</w:t>
      </w:r>
      <w:r>
        <w:rPr>
          <w:rFonts w:ascii="Arial" w:hAnsi="Arial" w:cs="Arial"/>
          <w:sz w:val="24"/>
          <w:szCs w:val="24"/>
        </w:rPr>
        <w:t xml:space="preserve"> ‘The effect of knowledge-oriented leadership and human resource development on sustainable competitive advantage through organizational innovation’s component factors: Evidence from Thailand’s new S-curve industries’</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Asia Pacific Management Review</w:t>
      </w:r>
      <w:r>
        <w:rPr>
          <w:rFonts w:ascii="Arial" w:hAnsi="Arial" w:cs="Arial"/>
          <w:sz w:val="24"/>
          <w:szCs w:val="24"/>
        </w:rPr>
        <w:t>, 27(3), pp.200-209.</w:t>
      </w:r>
    </w:p>
    <w:p w14:paraId="3AE7AC31">
      <w:pPr>
        <w:spacing w:line="600" w:lineRule="auto"/>
        <w:ind w:left="480" w:hanging="480" w:hangingChars="200"/>
        <w:rPr>
          <w:rFonts w:ascii="Arial" w:hAnsi="Arial" w:cs="Arial"/>
          <w:sz w:val="24"/>
          <w:szCs w:val="24"/>
        </w:rPr>
      </w:pPr>
      <w:bookmarkStart w:id="0" w:name="_Hlk192532199"/>
      <w:r>
        <w:rPr>
          <w:rFonts w:ascii="Arial" w:hAnsi="Arial" w:cs="Arial"/>
          <w:sz w:val="24"/>
          <w:szCs w:val="24"/>
        </w:rPr>
        <w:t>Bass, B.M. and Riggio</w:t>
      </w:r>
      <w:bookmarkEnd w:id="0"/>
      <w:r>
        <w:rPr>
          <w:rFonts w:ascii="Arial" w:hAnsi="Arial" w:cs="Arial"/>
          <w:sz w:val="24"/>
          <w:szCs w:val="24"/>
        </w:rPr>
        <w:t>, R.E.</w:t>
      </w:r>
      <w:r>
        <w:rPr>
          <w:rFonts w:hint="eastAsia" w:ascii="Arial" w:hAnsi="Arial" w:cs="Arial"/>
          <w:sz w:val="24"/>
          <w:szCs w:val="24"/>
        </w:rPr>
        <w:t xml:space="preserve"> (</w:t>
      </w:r>
      <w:r>
        <w:rPr>
          <w:rFonts w:ascii="Arial" w:hAnsi="Arial" w:cs="Arial"/>
          <w:sz w:val="24"/>
          <w:szCs w:val="24"/>
        </w:rPr>
        <w:t>2006</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Transformational leadership</w:t>
      </w:r>
      <w:r>
        <w:rPr>
          <w:rFonts w:ascii="Arial" w:hAnsi="Arial" w:cs="Arial"/>
          <w:sz w:val="24"/>
          <w:szCs w:val="24"/>
        </w:rPr>
        <w:t>. Psychology press.</w:t>
      </w:r>
    </w:p>
    <w:p w14:paraId="64C59523">
      <w:pPr>
        <w:spacing w:line="600" w:lineRule="auto"/>
        <w:ind w:left="480" w:hanging="480" w:hangingChars="200"/>
        <w:rPr>
          <w:rFonts w:ascii="Arial" w:hAnsi="Arial" w:cs="Arial"/>
          <w:sz w:val="24"/>
          <w:szCs w:val="24"/>
        </w:rPr>
      </w:pPr>
      <w:r>
        <w:rPr>
          <w:rFonts w:ascii="Arial" w:hAnsi="Arial" w:cs="Arial"/>
          <w:sz w:val="24"/>
          <w:szCs w:val="24"/>
        </w:rPr>
        <w:t xml:space="preserve">Berraies, S., Hamza, K.A. and Chtioui, R. </w:t>
      </w:r>
      <w:r>
        <w:rPr>
          <w:rFonts w:hint="eastAsia" w:ascii="Arial" w:hAnsi="Arial" w:cs="Arial"/>
          <w:sz w:val="24"/>
          <w:szCs w:val="24"/>
        </w:rPr>
        <w:t>(</w:t>
      </w:r>
      <w:r>
        <w:rPr>
          <w:rFonts w:ascii="Arial" w:hAnsi="Arial" w:cs="Arial"/>
          <w:sz w:val="24"/>
          <w:szCs w:val="24"/>
        </w:rPr>
        <w:t>2021</w:t>
      </w:r>
      <w:r>
        <w:rPr>
          <w:rFonts w:hint="eastAsia" w:ascii="Arial" w:hAnsi="Arial" w:cs="Arial"/>
          <w:sz w:val="24"/>
          <w:szCs w:val="24"/>
        </w:rPr>
        <w:t>)</w:t>
      </w:r>
      <w:r>
        <w:rPr>
          <w:rFonts w:ascii="Arial" w:hAnsi="Arial" w:cs="Arial"/>
          <w:sz w:val="24"/>
          <w:szCs w:val="24"/>
        </w:rPr>
        <w:t xml:space="preserve"> ‘Distributed leadership and exploratory and exploitative innovations: mediating roles of tacit and explicit knowledge sharing and organizational trust’</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Knowledge Management</w:t>
      </w:r>
      <w:r>
        <w:rPr>
          <w:rFonts w:ascii="Arial" w:hAnsi="Arial" w:cs="Arial"/>
          <w:sz w:val="24"/>
          <w:szCs w:val="24"/>
        </w:rPr>
        <w:t>, 25(5), pp.1287-1318.</w:t>
      </w:r>
    </w:p>
    <w:p w14:paraId="0AF75402">
      <w:pPr>
        <w:spacing w:line="600" w:lineRule="auto"/>
        <w:ind w:left="480" w:hanging="480" w:hangingChars="200"/>
        <w:rPr>
          <w:rFonts w:ascii="Arial" w:hAnsi="Arial" w:cs="Arial"/>
          <w:sz w:val="24"/>
          <w:szCs w:val="24"/>
        </w:rPr>
      </w:pPr>
      <w:r>
        <w:rPr>
          <w:rFonts w:ascii="Arial" w:hAnsi="Arial" w:cs="Arial"/>
          <w:sz w:val="24"/>
          <w:szCs w:val="24"/>
        </w:rPr>
        <w:t xml:space="preserve">Blanchard, P.N. and Thacker, J.W. </w:t>
      </w:r>
      <w:r>
        <w:rPr>
          <w:rFonts w:hint="eastAsia" w:ascii="Arial" w:hAnsi="Arial" w:cs="Arial"/>
          <w:sz w:val="24"/>
          <w:szCs w:val="24"/>
        </w:rPr>
        <w:t>(</w:t>
      </w:r>
      <w:r>
        <w:rPr>
          <w:rFonts w:ascii="Arial" w:hAnsi="Arial" w:cs="Arial"/>
          <w:sz w:val="24"/>
          <w:szCs w:val="24"/>
        </w:rPr>
        <w:t>2023</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Effective training: Systems, strategies, and practices</w:t>
      </w:r>
      <w:r>
        <w:rPr>
          <w:rFonts w:ascii="Arial" w:hAnsi="Arial" w:cs="Arial"/>
          <w:sz w:val="24"/>
          <w:szCs w:val="24"/>
        </w:rPr>
        <w:t>. SAGE Publications.</w:t>
      </w:r>
    </w:p>
    <w:p w14:paraId="4D5E809B">
      <w:pPr>
        <w:spacing w:line="600" w:lineRule="auto"/>
        <w:ind w:left="480" w:hanging="480" w:hangingChars="200"/>
        <w:rPr>
          <w:rFonts w:ascii="Arial" w:hAnsi="Arial" w:cs="Arial"/>
          <w:sz w:val="24"/>
          <w:szCs w:val="24"/>
        </w:rPr>
      </w:pPr>
      <w:r>
        <w:rPr>
          <w:rFonts w:ascii="Arial" w:hAnsi="Arial" w:cs="Arial"/>
          <w:sz w:val="24"/>
          <w:szCs w:val="24"/>
        </w:rPr>
        <w:t xml:space="preserve">Carr, L., Wallis, G., Perry, N. and Riek, S. </w:t>
      </w:r>
      <w:r>
        <w:rPr>
          <w:rFonts w:hint="eastAsia" w:ascii="Arial" w:hAnsi="Arial" w:cs="Arial"/>
          <w:sz w:val="24"/>
          <w:szCs w:val="24"/>
        </w:rPr>
        <w:t>(</w:t>
      </w:r>
      <w:r>
        <w:rPr>
          <w:rFonts w:ascii="Arial" w:hAnsi="Arial" w:cs="Arial"/>
          <w:sz w:val="24"/>
          <w:szCs w:val="24"/>
        </w:rPr>
        <w:t>2023</w:t>
      </w:r>
      <w:r>
        <w:rPr>
          <w:rFonts w:hint="eastAsia" w:ascii="Arial" w:hAnsi="Arial" w:cs="Arial"/>
          <w:sz w:val="24"/>
          <w:szCs w:val="24"/>
        </w:rPr>
        <w:t>)</w:t>
      </w:r>
      <w:r>
        <w:rPr>
          <w:rFonts w:ascii="Arial" w:hAnsi="Arial" w:cs="Arial"/>
          <w:sz w:val="24"/>
          <w:szCs w:val="24"/>
        </w:rPr>
        <w:t xml:space="preserve"> ‘Spatial learning in a virtual reality boeing 737ng flight deck’</w:t>
      </w:r>
      <w:r>
        <w:rPr>
          <w:rFonts w:hint="eastAsia" w:ascii="Arial" w:hAnsi="Arial" w:cs="Arial"/>
          <w:sz w:val="24"/>
          <w:szCs w:val="24"/>
        </w:rPr>
        <w:t>,</w:t>
      </w:r>
      <w:r>
        <w:rPr>
          <w:rFonts w:ascii="Arial" w:hAnsi="Arial" w:cs="Arial"/>
          <w:sz w:val="24"/>
          <w:szCs w:val="24"/>
        </w:rPr>
        <w:t xml:space="preserve"> </w:t>
      </w:r>
      <w:r>
        <w:rPr>
          <w:rFonts w:hint="eastAsia" w:ascii="Arial" w:hAnsi="Arial" w:cs="Arial"/>
          <w:sz w:val="24"/>
          <w:szCs w:val="24"/>
        </w:rPr>
        <w:t>i</w:t>
      </w:r>
      <w:r>
        <w:rPr>
          <w:rFonts w:ascii="Arial" w:hAnsi="Arial" w:cs="Arial"/>
          <w:sz w:val="24"/>
          <w:szCs w:val="24"/>
        </w:rPr>
        <w:t>n </w:t>
      </w:r>
      <w:r>
        <w:rPr>
          <w:rFonts w:ascii="Arial" w:hAnsi="Arial" w:cs="Arial"/>
          <w:i/>
          <w:iCs/>
          <w:sz w:val="24"/>
          <w:szCs w:val="24"/>
        </w:rPr>
        <w:t>International Conference on Human-Computer Interaction</w:t>
      </w:r>
      <w:r>
        <w:rPr>
          <w:rFonts w:ascii="Arial" w:hAnsi="Arial" w:cs="Arial"/>
          <w:sz w:val="24"/>
          <w:szCs w:val="24"/>
        </w:rPr>
        <w:t>. Cham: Springer Nature Switzerland</w:t>
      </w:r>
      <w:r>
        <w:rPr>
          <w:rFonts w:hint="eastAsia" w:ascii="Arial" w:hAnsi="Arial" w:cs="Arial"/>
          <w:sz w:val="24"/>
          <w:szCs w:val="24"/>
        </w:rPr>
        <w:t xml:space="preserve">, </w:t>
      </w:r>
      <w:r>
        <w:rPr>
          <w:rFonts w:ascii="Arial" w:hAnsi="Arial" w:cs="Arial"/>
          <w:sz w:val="24"/>
          <w:szCs w:val="24"/>
        </w:rPr>
        <w:t>pp. 18-35</w:t>
      </w:r>
      <w:r>
        <w:rPr>
          <w:rFonts w:hint="eastAsia" w:ascii="Arial" w:hAnsi="Arial" w:cs="Arial"/>
          <w:sz w:val="24"/>
          <w:szCs w:val="24"/>
        </w:rPr>
        <w:t>.</w:t>
      </w:r>
    </w:p>
    <w:p w14:paraId="3D7896C5">
      <w:pPr>
        <w:spacing w:line="600" w:lineRule="auto"/>
        <w:ind w:left="480" w:hanging="480" w:hangingChars="200"/>
        <w:rPr>
          <w:rFonts w:ascii="Arial" w:hAnsi="Arial" w:cs="Arial"/>
          <w:sz w:val="24"/>
          <w:szCs w:val="24"/>
        </w:rPr>
      </w:pPr>
      <w:bookmarkStart w:id="1" w:name="_Hlk192530608"/>
      <w:r>
        <w:rPr>
          <w:rFonts w:ascii="Arial" w:hAnsi="Arial" w:cs="Arial"/>
          <w:sz w:val="24"/>
          <w:szCs w:val="24"/>
        </w:rPr>
        <w:t>Chatterjee</w:t>
      </w:r>
      <w:bookmarkEnd w:id="1"/>
      <w:r>
        <w:rPr>
          <w:rFonts w:ascii="Arial" w:hAnsi="Arial" w:cs="Arial"/>
          <w:sz w:val="24"/>
          <w:szCs w:val="24"/>
        </w:rPr>
        <w:t xml:space="preserve">, S., Chaudhuri, R., Vrontis, D. and Giovando, G. </w:t>
      </w:r>
      <w:r>
        <w:rPr>
          <w:rFonts w:hint="eastAsia" w:ascii="Arial" w:hAnsi="Arial" w:cs="Arial"/>
          <w:sz w:val="24"/>
          <w:szCs w:val="24"/>
        </w:rPr>
        <w:t>(</w:t>
      </w:r>
      <w:r>
        <w:rPr>
          <w:rFonts w:ascii="Arial" w:hAnsi="Arial" w:cs="Arial"/>
          <w:sz w:val="24"/>
          <w:szCs w:val="24"/>
        </w:rPr>
        <w:t>2023</w:t>
      </w:r>
      <w:r>
        <w:rPr>
          <w:rFonts w:hint="eastAsia" w:ascii="Arial" w:hAnsi="Arial" w:cs="Arial"/>
          <w:sz w:val="24"/>
          <w:szCs w:val="24"/>
        </w:rPr>
        <w:t>)</w:t>
      </w:r>
      <w:r>
        <w:rPr>
          <w:rFonts w:ascii="Arial" w:hAnsi="Arial" w:cs="Arial"/>
          <w:sz w:val="24"/>
          <w:szCs w:val="24"/>
        </w:rPr>
        <w:t xml:space="preserve"> ‘Digital workplace and organization performance: Moderating role of digital leadership capability’</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Innovation &amp; Knowledge</w:t>
      </w:r>
      <w:r>
        <w:rPr>
          <w:rFonts w:ascii="Arial" w:hAnsi="Arial" w:cs="Arial"/>
          <w:sz w:val="24"/>
          <w:szCs w:val="24"/>
        </w:rPr>
        <w:t>, 8(1), p.100334.</w:t>
      </w:r>
    </w:p>
    <w:p w14:paraId="563CE2F3">
      <w:pPr>
        <w:spacing w:line="600" w:lineRule="auto"/>
        <w:ind w:left="480" w:hanging="480" w:hangingChars="200"/>
        <w:rPr>
          <w:rFonts w:ascii="Arial" w:hAnsi="Arial" w:cs="Arial"/>
          <w:sz w:val="24"/>
          <w:szCs w:val="24"/>
        </w:rPr>
      </w:pPr>
      <w:r>
        <w:rPr>
          <w:rFonts w:ascii="Arial" w:hAnsi="Arial" w:cs="Arial"/>
          <w:sz w:val="24"/>
          <w:szCs w:val="24"/>
        </w:rPr>
        <w:t>Cornescu, V. and Adam, R.</w:t>
      </w:r>
      <w:r>
        <w:rPr>
          <w:rFonts w:hint="eastAsia" w:ascii="Arial" w:hAnsi="Arial" w:cs="Arial"/>
          <w:sz w:val="24"/>
          <w:szCs w:val="24"/>
        </w:rPr>
        <w:t xml:space="preserve"> (</w:t>
      </w:r>
      <w:r>
        <w:rPr>
          <w:rFonts w:ascii="Arial" w:hAnsi="Arial" w:cs="Arial"/>
          <w:sz w:val="24"/>
          <w:szCs w:val="24"/>
        </w:rPr>
        <w:t>2016</w:t>
      </w:r>
      <w:r>
        <w:rPr>
          <w:rFonts w:hint="eastAsia" w:ascii="Arial" w:hAnsi="Arial" w:cs="Arial"/>
          <w:sz w:val="24"/>
          <w:szCs w:val="24"/>
        </w:rPr>
        <w:t>)</w:t>
      </w:r>
      <w:r>
        <w:rPr>
          <w:rFonts w:ascii="Arial" w:hAnsi="Arial" w:cs="Arial"/>
          <w:sz w:val="24"/>
          <w:szCs w:val="24"/>
        </w:rPr>
        <w:t xml:space="preserve"> ‘Organizational change—managing employees resistance’</w:t>
      </w:r>
      <w:r>
        <w:rPr>
          <w:rFonts w:hint="eastAsia" w:ascii="Arial" w:hAnsi="Arial" w:cs="Arial"/>
          <w:sz w:val="24"/>
          <w:szCs w:val="24"/>
        </w:rPr>
        <w:t>, i</w:t>
      </w:r>
      <w:r>
        <w:rPr>
          <w:rFonts w:ascii="Arial" w:hAnsi="Arial" w:cs="Arial"/>
          <w:sz w:val="24"/>
          <w:szCs w:val="24"/>
        </w:rPr>
        <w:t xml:space="preserve">n Nicolescu, O. and Lloyd-Reason, L. </w:t>
      </w:r>
      <w:r>
        <w:rPr>
          <w:rFonts w:hint="eastAsia" w:ascii="Arial" w:hAnsi="Arial" w:cs="Arial"/>
          <w:sz w:val="24"/>
          <w:szCs w:val="24"/>
        </w:rPr>
        <w:t>(</w:t>
      </w:r>
      <w:r>
        <w:rPr>
          <w:rFonts w:ascii="Arial" w:hAnsi="Arial" w:cs="Arial"/>
          <w:sz w:val="24"/>
          <w:szCs w:val="24"/>
        </w:rPr>
        <w:t>eds</w:t>
      </w:r>
      <w:r>
        <w:rPr>
          <w:rFonts w:hint="eastAsia" w:ascii="Arial" w:hAnsi="Arial" w:cs="Arial"/>
          <w:sz w:val="24"/>
          <w:szCs w:val="24"/>
        </w:rPr>
        <w:t xml:space="preserve">) </w:t>
      </w:r>
      <w:r>
        <w:rPr>
          <w:rFonts w:ascii="Arial" w:hAnsi="Arial" w:cs="Arial"/>
          <w:i/>
          <w:iCs/>
          <w:sz w:val="24"/>
          <w:szCs w:val="24"/>
        </w:rPr>
        <w:t>Challenges, performances and tendencies in organisation management</w:t>
      </w:r>
      <w:r>
        <w:rPr>
          <w:rFonts w:hint="eastAsia" w:ascii="Arial" w:hAnsi="Arial" w:cs="Arial"/>
          <w:sz w:val="24"/>
          <w:szCs w:val="24"/>
        </w:rPr>
        <w:t xml:space="preserve">. </w:t>
      </w:r>
      <w:r>
        <w:rPr>
          <w:rFonts w:ascii="Arial" w:hAnsi="Arial" w:cs="Arial"/>
          <w:sz w:val="24"/>
          <w:szCs w:val="24"/>
        </w:rPr>
        <w:t>World Scientific</w:t>
      </w:r>
      <w:r>
        <w:rPr>
          <w:rFonts w:hint="eastAsia" w:ascii="Arial" w:hAnsi="Arial" w:cs="Arial"/>
          <w:sz w:val="24"/>
          <w:szCs w:val="24"/>
        </w:rPr>
        <w:t xml:space="preserve">, </w:t>
      </w:r>
      <w:r>
        <w:rPr>
          <w:rFonts w:ascii="Arial" w:hAnsi="Arial" w:cs="Arial"/>
          <w:sz w:val="24"/>
          <w:szCs w:val="24"/>
        </w:rPr>
        <w:t>pp. 381-389.</w:t>
      </w:r>
    </w:p>
    <w:p w14:paraId="78DB66E1">
      <w:pPr>
        <w:spacing w:line="600" w:lineRule="auto"/>
        <w:ind w:left="480" w:hanging="480" w:hangingChars="200"/>
        <w:rPr>
          <w:rFonts w:ascii="Arial" w:hAnsi="Arial" w:cs="Arial"/>
          <w:sz w:val="24"/>
          <w:szCs w:val="24"/>
        </w:rPr>
      </w:pPr>
      <w:r>
        <w:rPr>
          <w:rFonts w:ascii="Arial" w:hAnsi="Arial" w:cs="Arial"/>
          <w:sz w:val="24"/>
          <w:szCs w:val="24"/>
        </w:rPr>
        <w:t xml:space="preserve">Gade, K.R. </w:t>
      </w:r>
      <w:r>
        <w:rPr>
          <w:rFonts w:hint="eastAsia" w:ascii="Arial" w:hAnsi="Arial" w:cs="Arial"/>
          <w:sz w:val="24"/>
          <w:szCs w:val="24"/>
        </w:rPr>
        <w:t>(</w:t>
      </w:r>
      <w:r>
        <w:rPr>
          <w:rFonts w:ascii="Arial" w:hAnsi="Arial" w:cs="Arial"/>
          <w:sz w:val="24"/>
          <w:szCs w:val="24"/>
        </w:rPr>
        <w:t>2021</w:t>
      </w:r>
      <w:r>
        <w:rPr>
          <w:rFonts w:hint="eastAsia" w:ascii="Arial" w:hAnsi="Arial" w:cs="Arial"/>
          <w:sz w:val="24"/>
          <w:szCs w:val="24"/>
        </w:rPr>
        <w:t>)</w:t>
      </w:r>
      <w:r>
        <w:rPr>
          <w:rFonts w:ascii="Arial" w:hAnsi="Arial" w:cs="Arial"/>
          <w:sz w:val="24"/>
          <w:szCs w:val="24"/>
        </w:rPr>
        <w:t xml:space="preserve"> ‘Data-driven decision making in a complex world’</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Computational Innovation</w:t>
      </w:r>
      <w:r>
        <w:rPr>
          <w:rFonts w:ascii="Arial" w:hAnsi="Arial" w:cs="Arial"/>
          <w:sz w:val="24"/>
          <w:szCs w:val="24"/>
        </w:rPr>
        <w:t>, 1(1).</w:t>
      </w:r>
    </w:p>
    <w:p w14:paraId="1406C771">
      <w:pPr>
        <w:spacing w:line="600" w:lineRule="auto"/>
        <w:ind w:left="480" w:hanging="480" w:hangingChars="200"/>
        <w:rPr>
          <w:rFonts w:ascii="Arial" w:hAnsi="Arial" w:cs="Arial"/>
          <w:sz w:val="24"/>
          <w:szCs w:val="24"/>
        </w:rPr>
      </w:pPr>
      <w:r>
        <w:rPr>
          <w:rFonts w:ascii="Arial" w:hAnsi="Arial" w:cs="Arial"/>
          <w:sz w:val="24"/>
          <w:szCs w:val="24"/>
        </w:rPr>
        <w:t>Gao, S.</w:t>
      </w:r>
      <w:r>
        <w:rPr>
          <w:rFonts w:hint="eastAsia" w:ascii="Arial" w:hAnsi="Arial" w:cs="Arial"/>
          <w:sz w:val="24"/>
          <w:szCs w:val="24"/>
        </w:rPr>
        <w:t xml:space="preserve"> (</w:t>
      </w:r>
      <w:r>
        <w:rPr>
          <w:rFonts w:ascii="Arial" w:hAnsi="Arial" w:cs="Arial"/>
          <w:sz w:val="24"/>
          <w:szCs w:val="24"/>
        </w:rPr>
        <w:t>2022</w:t>
      </w:r>
      <w:r>
        <w:rPr>
          <w:rFonts w:hint="eastAsia" w:ascii="Arial" w:hAnsi="Arial" w:cs="Arial"/>
          <w:sz w:val="24"/>
          <w:szCs w:val="24"/>
        </w:rPr>
        <w:t>)</w:t>
      </w:r>
      <w:r>
        <w:rPr>
          <w:rFonts w:ascii="Arial" w:hAnsi="Arial" w:cs="Arial"/>
          <w:sz w:val="24"/>
          <w:szCs w:val="24"/>
        </w:rPr>
        <w:t xml:space="preserve"> ‘December. Analysis of Maslow’s Hierarchy Theory in Today’s Team Management’</w:t>
      </w:r>
      <w:r>
        <w:rPr>
          <w:rFonts w:hint="eastAsia" w:ascii="Arial" w:hAnsi="Arial" w:cs="Arial"/>
          <w:sz w:val="24"/>
          <w:szCs w:val="24"/>
        </w:rPr>
        <w:t>,</w:t>
      </w:r>
      <w:r>
        <w:rPr>
          <w:rFonts w:ascii="Arial" w:hAnsi="Arial" w:cs="Arial"/>
          <w:sz w:val="24"/>
          <w:szCs w:val="24"/>
        </w:rPr>
        <w:t xml:space="preserve"> </w:t>
      </w:r>
      <w:r>
        <w:rPr>
          <w:rFonts w:hint="eastAsia" w:ascii="Arial" w:hAnsi="Arial" w:cs="Arial"/>
          <w:sz w:val="24"/>
          <w:szCs w:val="24"/>
        </w:rPr>
        <w:t xml:space="preserve">in </w:t>
      </w:r>
      <w:r>
        <w:rPr>
          <w:rFonts w:ascii="Arial" w:hAnsi="Arial" w:cs="Arial"/>
          <w:i/>
          <w:iCs/>
          <w:sz w:val="24"/>
          <w:szCs w:val="24"/>
        </w:rPr>
        <w:t>2022 4th International Conference on Economic Management and Cultural Industry (ICEMCI 2022)</w:t>
      </w:r>
      <w:r>
        <w:rPr>
          <w:rFonts w:ascii="Arial" w:hAnsi="Arial" w:cs="Arial"/>
          <w:sz w:val="24"/>
          <w:szCs w:val="24"/>
        </w:rPr>
        <w:t>. Atlantis Press</w:t>
      </w:r>
      <w:r>
        <w:rPr>
          <w:rFonts w:hint="eastAsia" w:ascii="Arial" w:hAnsi="Arial" w:cs="Arial"/>
          <w:sz w:val="24"/>
          <w:szCs w:val="24"/>
        </w:rPr>
        <w:t xml:space="preserve">, </w:t>
      </w:r>
      <w:r>
        <w:rPr>
          <w:rFonts w:ascii="Arial" w:hAnsi="Arial" w:cs="Arial"/>
          <w:sz w:val="24"/>
          <w:szCs w:val="24"/>
        </w:rPr>
        <w:t>pp. 1106-1112</w:t>
      </w:r>
      <w:r>
        <w:rPr>
          <w:rFonts w:hint="eastAsia" w:ascii="Arial" w:hAnsi="Arial" w:cs="Arial"/>
          <w:sz w:val="24"/>
          <w:szCs w:val="24"/>
        </w:rPr>
        <w:t>.</w:t>
      </w:r>
    </w:p>
    <w:p w14:paraId="631DFDB6">
      <w:pPr>
        <w:spacing w:line="600" w:lineRule="auto"/>
        <w:ind w:left="480" w:hanging="480" w:hangingChars="200"/>
        <w:rPr>
          <w:rFonts w:ascii="Arial" w:hAnsi="Arial" w:cs="Arial"/>
          <w:sz w:val="24"/>
          <w:szCs w:val="24"/>
        </w:rPr>
      </w:pPr>
      <w:r>
        <w:rPr>
          <w:rFonts w:ascii="Arial" w:hAnsi="Arial" w:cs="Arial"/>
          <w:sz w:val="24"/>
          <w:szCs w:val="24"/>
        </w:rPr>
        <w:t>Ghedabna, L., Ghedabna, R., Imtiaz, Q., Faheem, M.A., Alkhayyat, A. and Hosen, M.S.</w:t>
      </w:r>
      <w:r>
        <w:rPr>
          <w:rFonts w:hint="eastAsia" w:ascii="Arial" w:hAnsi="Arial" w:cs="Arial"/>
          <w:sz w:val="24"/>
          <w:szCs w:val="24"/>
        </w:rPr>
        <w:t xml:space="preserve"> (</w:t>
      </w:r>
      <w:r>
        <w:rPr>
          <w:rFonts w:ascii="Arial" w:hAnsi="Arial" w:cs="Arial"/>
          <w:sz w:val="24"/>
          <w:szCs w:val="24"/>
        </w:rPr>
        <w:t>2024</w:t>
      </w:r>
      <w:r>
        <w:rPr>
          <w:rFonts w:hint="eastAsia" w:ascii="Arial" w:hAnsi="Arial" w:cs="Arial"/>
          <w:sz w:val="24"/>
          <w:szCs w:val="24"/>
        </w:rPr>
        <w:t>)</w:t>
      </w:r>
      <w:r>
        <w:rPr>
          <w:rFonts w:ascii="Arial" w:hAnsi="Arial" w:cs="Arial"/>
          <w:sz w:val="24"/>
          <w:szCs w:val="24"/>
        </w:rPr>
        <w:t xml:space="preserve"> ‘Artificial Intelligence in Human Resource Management: Revolutionizing Recruitment, Performance, and Employee Development’</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Nanotechnology Perceptions</w:t>
      </w:r>
      <w:r>
        <w:rPr>
          <w:rFonts w:ascii="Arial" w:hAnsi="Arial" w:cs="Arial"/>
          <w:sz w:val="24"/>
          <w:szCs w:val="24"/>
        </w:rPr>
        <w:t>, pp.52-68.</w:t>
      </w:r>
    </w:p>
    <w:p w14:paraId="109B09C9">
      <w:pPr>
        <w:spacing w:line="600" w:lineRule="auto"/>
        <w:ind w:left="480" w:hanging="480" w:hangingChars="200"/>
        <w:rPr>
          <w:rFonts w:ascii="Arial" w:hAnsi="Arial" w:cs="Arial"/>
          <w:sz w:val="24"/>
          <w:szCs w:val="24"/>
        </w:rPr>
      </w:pPr>
      <w:r>
        <w:rPr>
          <w:rFonts w:ascii="Arial" w:hAnsi="Arial" w:cs="Arial"/>
          <w:sz w:val="24"/>
          <w:szCs w:val="24"/>
        </w:rPr>
        <w:t xml:space="preserve">Google. (2025) </w:t>
      </w:r>
      <w:r>
        <w:rPr>
          <w:rFonts w:ascii="Arial" w:hAnsi="Arial" w:cs="Arial"/>
          <w:i/>
          <w:iCs/>
          <w:sz w:val="24"/>
          <w:szCs w:val="24"/>
        </w:rPr>
        <w:t>Get professional job training from Google</w:t>
      </w:r>
      <w:r>
        <w:rPr>
          <w:rFonts w:ascii="Arial" w:hAnsi="Arial" w:cs="Arial"/>
          <w:sz w:val="24"/>
          <w:szCs w:val="24"/>
        </w:rPr>
        <w:t xml:space="preserve">. </w:t>
      </w:r>
      <w:r>
        <w:rPr>
          <w:rFonts w:hint="eastAsia" w:ascii="Arial" w:hAnsi="Arial" w:cs="Arial"/>
          <w:sz w:val="24"/>
          <w:szCs w:val="24"/>
        </w:rPr>
        <w:t xml:space="preserve">Available at: </w:t>
      </w:r>
      <w:r>
        <w:fldChar w:fldCharType="begin"/>
      </w:r>
      <w:r>
        <w:instrText xml:space="preserve"> HYPERLINK "https://grow.google/certificates/" </w:instrText>
      </w:r>
      <w:r>
        <w:fldChar w:fldCharType="separate"/>
      </w:r>
      <w:r>
        <w:rPr>
          <w:rStyle w:val="17"/>
          <w:rFonts w:ascii="Arial" w:hAnsi="Arial" w:cs="Arial"/>
          <w:sz w:val="24"/>
          <w:szCs w:val="24"/>
        </w:rPr>
        <w:t>https://grow.google/certificates/</w:t>
      </w:r>
      <w:r>
        <w:rPr>
          <w:rStyle w:val="17"/>
          <w:rFonts w:ascii="Arial" w:hAnsi="Arial" w:cs="Arial"/>
          <w:sz w:val="24"/>
          <w:szCs w:val="24"/>
        </w:rPr>
        <w:fldChar w:fldCharType="end"/>
      </w:r>
      <w:r>
        <w:rPr>
          <w:rFonts w:ascii="Arial" w:hAnsi="Arial" w:cs="Arial"/>
          <w:sz w:val="24"/>
          <w:szCs w:val="24"/>
        </w:rPr>
        <w:t xml:space="preserve"> (</w:t>
      </w:r>
      <w:r>
        <w:rPr>
          <w:rFonts w:hint="eastAsia" w:ascii="Arial" w:hAnsi="Arial" w:cs="Arial"/>
          <w:sz w:val="24"/>
          <w:szCs w:val="24"/>
        </w:rPr>
        <w:t xml:space="preserve">Accessed: </w:t>
      </w:r>
      <w:r>
        <w:rPr>
          <w:rFonts w:ascii="Arial" w:hAnsi="Arial" w:cs="Arial"/>
          <w:sz w:val="24"/>
          <w:szCs w:val="24"/>
        </w:rPr>
        <w:t>7 March 2025)</w:t>
      </w:r>
      <w:r>
        <w:rPr>
          <w:rFonts w:hint="eastAsia" w:ascii="Arial" w:hAnsi="Arial" w:cs="Arial"/>
          <w:sz w:val="24"/>
          <w:szCs w:val="24"/>
        </w:rPr>
        <w:t>.</w:t>
      </w:r>
    </w:p>
    <w:p w14:paraId="26D30F41">
      <w:pPr>
        <w:spacing w:line="600" w:lineRule="auto"/>
        <w:ind w:left="480" w:hanging="480" w:hangingChars="200"/>
        <w:rPr>
          <w:rFonts w:ascii="Arial" w:hAnsi="Arial" w:cs="Arial"/>
          <w:sz w:val="24"/>
          <w:szCs w:val="24"/>
        </w:rPr>
      </w:pPr>
      <w:r>
        <w:rPr>
          <w:rFonts w:ascii="Arial" w:hAnsi="Arial" w:cs="Arial"/>
          <w:sz w:val="24"/>
          <w:szCs w:val="24"/>
        </w:rPr>
        <w:t>Hickey, N., Flaherty, A. and Mannix McNamara, P.</w:t>
      </w:r>
      <w:r>
        <w:rPr>
          <w:rFonts w:hint="eastAsia" w:ascii="Arial" w:hAnsi="Arial" w:cs="Arial"/>
          <w:sz w:val="24"/>
          <w:szCs w:val="24"/>
        </w:rPr>
        <w:t xml:space="preserve"> (</w:t>
      </w:r>
      <w:r>
        <w:rPr>
          <w:rFonts w:ascii="Arial" w:hAnsi="Arial" w:cs="Arial"/>
          <w:sz w:val="24"/>
          <w:szCs w:val="24"/>
        </w:rPr>
        <w:t>2022</w:t>
      </w:r>
      <w:r>
        <w:rPr>
          <w:rFonts w:hint="eastAsia" w:ascii="Arial" w:hAnsi="Arial" w:cs="Arial"/>
          <w:sz w:val="24"/>
          <w:szCs w:val="24"/>
        </w:rPr>
        <w:t>)</w:t>
      </w:r>
      <w:r>
        <w:rPr>
          <w:rFonts w:ascii="Arial" w:hAnsi="Arial" w:cs="Arial"/>
          <w:sz w:val="24"/>
          <w:szCs w:val="24"/>
        </w:rPr>
        <w:t xml:space="preserve"> ‘Distributed leadership: A scoping review mapping current empirical research’</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Societies</w:t>
      </w:r>
      <w:r>
        <w:rPr>
          <w:rFonts w:ascii="Arial" w:hAnsi="Arial" w:cs="Arial"/>
          <w:sz w:val="24"/>
          <w:szCs w:val="24"/>
        </w:rPr>
        <w:t>, 12(1), p.15.</w:t>
      </w:r>
    </w:p>
    <w:p w14:paraId="09FD030A">
      <w:pPr>
        <w:spacing w:line="600" w:lineRule="auto"/>
        <w:ind w:left="480" w:hanging="480" w:hangingChars="200"/>
        <w:rPr>
          <w:rFonts w:ascii="Arial" w:hAnsi="Arial" w:cs="Arial"/>
          <w:sz w:val="24"/>
          <w:szCs w:val="24"/>
        </w:rPr>
      </w:pPr>
      <w:r>
        <w:rPr>
          <w:rFonts w:ascii="Arial" w:hAnsi="Arial" w:cs="Arial"/>
          <w:sz w:val="24"/>
          <w:szCs w:val="24"/>
        </w:rPr>
        <w:t>Hu, Q.</w:t>
      </w:r>
      <w:r>
        <w:rPr>
          <w:rFonts w:hint="eastAsia" w:ascii="Arial" w:hAnsi="Arial" w:cs="Arial"/>
          <w:sz w:val="24"/>
          <w:szCs w:val="24"/>
        </w:rPr>
        <w:t xml:space="preserve"> (</w:t>
      </w:r>
      <w:r>
        <w:rPr>
          <w:rFonts w:ascii="Arial" w:hAnsi="Arial" w:cs="Arial"/>
          <w:sz w:val="24"/>
          <w:szCs w:val="24"/>
        </w:rPr>
        <w:t>2023</w:t>
      </w:r>
      <w:r>
        <w:rPr>
          <w:rFonts w:hint="eastAsia" w:ascii="Arial" w:hAnsi="Arial" w:cs="Arial"/>
          <w:sz w:val="24"/>
          <w:szCs w:val="24"/>
        </w:rPr>
        <w:t>)</w:t>
      </w:r>
      <w:r>
        <w:rPr>
          <w:rFonts w:ascii="Arial" w:hAnsi="Arial" w:cs="Arial"/>
          <w:sz w:val="24"/>
          <w:szCs w:val="24"/>
        </w:rPr>
        <w:t xml:space="preserve"> ‘Unilever’s practice on ai-based recruitment’</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Highlights in Business, Economics and Management</w:t>
      </w:r>
      <w:r>
        <w:rPr>
          <w:rFonts w:ascii="Arial" w:hAnsi="Arial" w:cs="Arial"/>
          <w:sz w:val="24"/>
          <w:szCs w:val="24"/>
        </w:rPr>
        <w:t>, 16, pp.256-263.</w:t>
      </w:r>
    </w:p>
    <w:p w14:paraId="4A6A429E">
      <w:pPr>
        <w:spacing w:line="600" w:lineRule="auto"/>
        <w:ind w:left="480" w:hanging="480" w:hangingChars="200"/>
        <w:rPr>
          <w:rFonts w:ascii="Arial" w:hAnsi="Arial" w:cs="Arial"/>
          <w:sz w:val="24"/>
          <w:szCs w:val="24"/>
        </w:rPr>
      </w:pPr>
      <w:r>
        <w:rPr>
          <w:rFonts w:ascii="Arial" w:hAnsi="Arial" w:cs="Arial"/>
          <w:sz w:val="24"/>
          <w:szCs w:val="24"/>
        </w:rPr>
        <w:t>Huang, Y. and Gursoy, D.</w:t>
      </w:r>
      <w:r>
        <w:rPr>
          <w:rFonts w:hint="eastAsia" w:ascii="Arial" w:hAnsi="Arial" w:cs="Arial"/>
          <w:sz w:val="24"/>
          <w:szCs w:val="24"/>
        </w:rPr>
        <w:t xml:space="preserve"> (</w:t>
      </w:r>
      <w:r>
        <w:rPr>
          <w:rFonts w:ascii="Arial" w:hAnsi="Arial" w:cs="Arial"/>
          <w:sz w:val="24"/>
          <w:szCs w:val="24"/>
        </w:rPr>
        <w:t>2024</w:t>
      </w:r>
      <w:r>
        <w:rPr>
          <w:rFonts w:hint="eastAsia" w:ascii="Arial" w:hAnsi="Arial" w:cs="Arial"/>
          <w:sz w:val="24"/>
          <w:szCs w:val="24"/>
        </w:rPr>
        <w:t>)</w:t>
      </w:r>
      <w:r>
        <w:rPr>
          <w:rFonts w:ascii="Arial" w:hAnsi="Arial" w:cs="Arial"/>
          <w:sz w:val="24"/>
          <w:szCs w:val="24"/>
        </w:rPr>
        <w:t xml:space="preserve"> ‘How does AI technology integration affect employees’ proactive service behaviors? A transactional theory of stress perspective’</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Retailing and Consumer Services</w:t>
      </w:r>
      <w:r>
        <w:rPr>
          <w:rFonts w:ascii="Arial" w:hAnsi="Arial" w:cs="Arial"/>
          <w:sz w:val="24"/>
          <w:szCs w:val="24"/>
        </w:rPr>
        <w:t>, </w:t>
      </w:r>
      <w:r>
        <w:rPr>
          <w:rFonts w:ascii="Arial" w:hAnsi="Arial" w:cs="Arial"/>
          <w:i/>
          <w:iCs/>
          <w:sz w:val="24"/>
          <w:szCs w:val="24"/>
        </w:rPr>
        <w:t>77</w:t>
      </w:r>
      <w:r>
        <w:rPr>
          <w:rFonts w:ascii="Arial" w:hAnsi="Arial" w:cs="Arial"/>
          <w:sz w:val="24"/>
          <w:szCs w:val="24"/>
        </w:rPr>
        <w:t>, p.103700.</w:t>
      </w:r>
    </w:p>
    <w:p w14:paraId="698A72C6">
      <w:pPr>
        <w:spacing w:line="600" w:lineRule="auto"/>
        <w:ind w:left="480" w:hanging="480" w:hangingChars="200"/>
        <w:rPr>
          <w:rFonts w:ascii="Arial" w:hAnsi="Arial" w:cs="Arial"/>
          <w:sz w:val="24"/>
          <w:szCs w:val="24"/>
        </w:rPr>
      </w:pPr>
      <w:r>
        <w:rPr>
          <w:rFonts w:ascii="Arial" w:hAnsi="Arial" w:cs="Arial"/>
          <w:sz w:val="24"/>
          <w:szCs w:val="24"/>
        </w:rPr>
        <w:t xml:space="preserve">Humphreys, J.H. </w:t>
      </w:r>
      <w:r>
        <w:rPr>
          <w:rFonts w:hint="eastAsia" w:ascii="Arial" w:hAnsi="Arial" w:cs="Arial"/>
          <w:sz w:val="24"/>
          <w:szCs w:val="24"/>
        </w:rPr>
        <w:t>(</w:t>
      </w:r>
      <w:r>
        <w:rPr>
          <w:rFonts w:ascii="Arial" w:hAnsi="Arial" w:cs="Arial"/>
          <w:sz w:val="24"/>
          <w:szCs w:val="24"/>
        </w:rPr>
        <w:t>2001</w:t>
      </w:r>
      <w:r>
        <w:rPr>
          <w:rFonts w:hint="eastAsia" w:ascii="Arial" w:hAnsi="Arial" w:cs="Arial"/>
          <w:sz w:val="24"/>
          <w:szCs w:val="24"/>
        </w:rPr>
        <w:t>)</w:t>
      </w:r>
      <w:r>
        <w:rPr>
          <w:rFonts w:ascii="Arial" w:hAnsi="Arial" w:cs="Arial"/>
          <w:sz w:val="24"/>
          <w:szCs w:val="24"/>
        </w:rPr>
        <w:t xml:space="preserve"> ‘Transformational and transactional leader behavior’</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Management Research</w:t>
      </w:r>
      <w:r>
        <w:rPr>
          <w:rFonts w:ascii="Arial" w:hAnsi="Arial" w:cs="Arial"/>
          <w:sz w:val="24"/>
          <w:szCs w:val="24"/>
        </w:rPr>
        <w:t>, 1(3), pp.149-159.</w:t>
      </w:r>
    </w:p>
    <w:p w14:paraId="7F620BCA">
      <w:pPr>
        <w:spacing w:line="600" w:lineRule="auto"/>
        <w:ind w:left="480" w:hanging="480" w:hangingChars="200"/>
        <w:rPr>
          <w:rFonts w:ascii="Arial" w:hAnsi="Arial" w:cs="Arial"/>
          <w:sz w:val="24"/>
          <w:szCs w:val="24"/>
        </w:rPr>
      </w:pPr>
      <w:r>
        <w:rPr>
          <w:rFonts w:ascii="Arial" w:hAnsi="Arial" w:cs="Arial"/>
          <w:sz w:val="24"/>
          <w:szCs w:val="24"/>
        </w:rPr>
        <w:t xml:space="preserve">IBM. (2025) </w:t>
      </w:r>
      <w:r>
        <w:rPr>
          <w:rFonts w:ascii="Arial" w:hAnsi="Arial" w:cs="Arial"/>
          <w:i/>
          <w:iCs/>
          <w:sz w:val="24"/>
          <w:szCs w:val="24"/>
        </w:rPr>
        <w:t>IBM SkillsBuild</w:t>
      </w:r>
      <w:r>
        <w:rPr>
          <w:rFonts w:ascii="Arial" w:hAnsi="Arial" w:cs="Arial"/>
          <w:sz w:val="24"/>
          <w:szCs w:val="24"/>
        </w:rPr>
        <w:t>. A</w:t>
      </w:r>
      <w:r>
        <w:rPr>
          <w:rFonts w:hint="eastAsia" w:ascii="Arial" w:hAnsi="Arial" w:cs="Arial"/>
          <w:sz w:val="24"/>
          <w:szCs w:val="24"/>
        </w:rPr>
        <w:t>vail</w:t>
      </w:r>
      <w:r>
        <w:rPr>
          <w:rFonts w:ascii="Arial" w:hAnsi="Arial" w:cs="Arial"/>
          <w:sz w:val="24"/>
          <w:szCs w:val="24"/>
        </w:rPr>
        <w:t>able</w:t>
      </w:r>
      <w:r>
        <w:rPr>
          <w:rFonts w:hint="eastAsia" w:ascii="Arial" w:hAnsi="Arial" w:cs="Arial"/>
          <w:sz w:val="24"/>
          <w:szCs w:val="24"/>
        </w:rPr>
        <w:t xml:space="preserve"> at: </w:t>
      </w:r>
      <w:r>
        <w:fldChar w:fldCharType="begin"/>
      </w:r>
      <w:r>
        <w:instrText xml:space="preserve"> HYPERLINK "https://skillsbuild.org/" </w:instrText>
      </w:r>
      <w:r>
        <w:fldChar w:fldCharType="separate"/>
      </w:r>
      <w:r>
        <w:rPr>
          <w:rStyle w:val="17"/>
          <w:rFonts w:ascii="Arial" w:hAnsi="Arial" w:cs="Arial"/>
          <w:sz w:val="24"/>
          <w:szCs w:val="24"/>
        </w:rPr>
        <w:t>https://skillsbuild.org/</w:t>
      </w:r>
      <w:r>
        <w:rPr>
          <w:rStyle w:val="17"/>
          <w:rFonts w:ascii="Arial" w:hAnsi="Arial" w:cs="Arial"/>
          <w:sz w:val="24"/>
          <w:szCs w:val="24"/>
        </w:rPr>
        <w:fldChar w:fldCharType="end"/>
      </w:r>
      <w:r>
        <w:rPr>
          <w:rFonts w:ascii="Arial" w:hAnsi="Arial" w:cs="Arial"/>
          <w:sz w:val="24"/>
          <w:szCs w:val="24"/>
        </w:rPr>
        <w:t xml:space="preserve"> (Accessed</w:t>
      </w:r>
      <w:r>
        <w:rPr>
          <w:rFonts w:hint="eastAsia" w:ascii="Arial" w:hAnsi="Arial" w:cs="Arial"/>
          <w:sz w:val="24"/>
          <w:szCs w:val="24"/>
        </w:rPr>
        <w:t xml:space="preserve"> </w:t>
      </w:r>
      <w:r>
        <w:rPr>
          <w:rFonts w:ascii="Arial" w:hAnsi="Arial" w:cs="Arial"/>
          <w:sz w:val="24"/>
          <w:szCs w:val="24"/>
        </w:rPr>
        <w:t>10 March 2025)</w:t>
      </w:r>
      <w:r>
        <w:rPr>
          <w:rFonts w:hint="eastAsia" w:ascii="Arial" w:hAnsi="Arial" w:cs="Arial"/>
          <w:sz w:val="24"/>
          <w:szCs w:val="24"/>
        </w:rPr>
        <w:t>.</w:t>
      </w:r>
    </w:p>
    <w:p w14:paraId="6F6B39DE">
      <w:pPr>
        <w:spacing w:line="600" w:lineRule="auto"/>
        <w:ind w:left="480" w:hanging="480" w:hangingChars="200"/>
        <w:rPr>
          <w:rFonts w:ascii="Arial" w:hAnsi="Arial" w:cs="Arial"/>
          <w:sz w:val="24"/>
          <w:szCs w:val="24"/>
        </w:rPr>
      </w:pPr>
      <w:r>
        <w:rPr>
          <w:rFonts w:ascii="Arial" w:hAnsi="Arial" w:cs="Arial"/>
          <w:sz w:val="24"/>
          <w:szCs w:val="24"/>
        </w:rPr>
        <w:t xml:space="preserve">InfiVR.com. (2021) </w:t>
      </w:r>
      <w:r>
        <w:rPr>
          <w:rFonts w:ascii="Arial" w:hAnsi="Arial" w:cs="Arial"/>
          <w:i/>
          <w:iCs/>
          <w:sz w:val="24"/>
          <w:szCs w:val="24"/>
        </w:rPr>
        <w:t>Boeing: Cuts 75% training time with VR &amp; Increases accuracy by 33% using AR</w:t>
      </w:r>
      <w:r>
        <w:rPr>
          <w:rFonts w:ascii="Arial" w:hAnsi="Arial" w:cs="Arial"/>
          <w:sz w:val="24"/>
          <w:szCs w:val="24"/>
        </w:rPr>
        <w:t>. Available</w:t>
      </w:r>
      <w:r>
        <w:rPr>
          <w:rFonts w:hint="eastAsia" w:ascii="Arial" w:hAnsi="Arial" w:cs="Arial"/>
          <w:sz w:val="24"/>
          <w:szCs w:val="24"/>
        </w:rPr>
        <w:t xml:space="preserve"> at: </w:t>
      </w:r>
      <w:r>
        <w:fldChar w:fldCharType="begin"/>
      </w:r>
      <w:r>
        <w:instrText xml:space="preserve"> HYPERLINK "https://infivr.medium.com/-a11a38d22f0d" </w:instrText>
      </w:r>
      <w:r>
        <w:fldChar w:fldCharType="separate"/>
      </w:r>
      <w:r>
        <w:rPr>
          <w:rStyle w:val="17"/>
          <w:rFonts w:ascii="Arial" w:hAnsi="Arial" w:cs="Arial"/>
          <w:sz w:val="24"/>
          <w:szCs w:val="24"/>
        </w:rPr>
        <w:t>https://infivr.medium.com/-a11a38d22f0d</w:t>
      </w:r>
      <w:r>
        <w:rPr>
          <w:rStyle w:val="17"/>
          <w:rFonts w:ascii="Arial" w:hAnsi="Arial" w:cs="Arial"/>
          <w:sz w:val="24"/>
          <w:szCs w:val="24"/>
        </w:rPr>
        <w:fldChar w:fldCharType="end"/>
      </w:r>
      <w:r>
        <w:rPr>
          <w:rFonts w:ascii="Arial" w:hAnsi="Arial" w:cs="Arial"/>
          <w:sz w:val="24"/>
          <w:szCs w:val="24"/>
        </w:rPr>
        <w:t xml:space="preserve"> (</w:t>
      </w:r>
      <w:r>
        <w:rPr>
          <w:rFonts w:hint="eastAsia" w:ascii="Arial" w:hAnsi="Arial" w:cs="Arial"/>
          <w:sz w:val="24"/>
          <w:szCs w:val="24"/>
        </w:rPr>
        <w:t xml:space="preserve">Accessed </w:t>
      </w:r>
      <w:r>
        <w:rPr>
          <w:rFonts w:ascii="Arial" w:hAnsi="Arial" w:cs="Arial"/>
          <w:sz w:val="24"/>
          <w:szCs w:val="24"/>
        </w:rPr>
        <w:t>10 March 2025)</w:t>
      </w:r>
      <w:r>
        <w:rPr>
          <w:rFonts w:hint="eastAsia" w:ascii="Arial" w:hAnsi="Arial" w:cs="Arial"/>
          <w:sz w:val="24"/>
          <w:szCs w:val="24"/>
        </w:rPr>
        <w:t>.</w:t>
      </w:r>
    </w:p>
    <w:p w14:paraId="7F97F2A7">
      <w:pPr>
        <w:spacing w:line="600" w:lineRule="auto"/>
        <w:ind w:left="480" w:hanging="480" w:hangingChars="200"/>
        <w:rPr>
          <w:rFonts w:ascii="Arial" w:hAnsi="Arial" w:cs="Arial"/>
          <w:sz w:val="24"/>
          <w:szCs w:val="24"/>
        </w:rPr>
      </w:pPr>
      <w:r>
        <w:rPr>
          <w:rFonts w:ascii="Arial" w:hAnsi="Arial" w:cs="Arial"/>
          <w:sz w:val="24"/>
          <w:szCs w:val="24"/>
        </w:rPr>
        <w:t>Jia, D.</w:t>
      </w:r>
      <w:r>
        <w:rPr>
          <w:rFonts w:hint="eastAsia" w:ascii="Arial" w:hAnsi="Arial" w:cs="Arial"/>
          <w:sz w:val="24"/>
          <w:szCs w:val="24"/>
        </w:rPr>
        <w:t xml:space="preserve"> (</w:t>
      </w:r>
      <w:r>
        <w:rPr>
          <w:rFonts w:ascii="Arial" w:hAnsi="Arial" w:cs="Arial"/>
          <w:sz w:val="24"/>
          <w:szCs w:val="24"/>
        </w:rPr>
        <w:t>2024</w:t>
      </w:r>
      <w:r>
        <w:rPr>
          <w:rFonts w:hint="eastAsia" w:ascii="Arial" w:hAnsi="Arial" w:cs="Arial"/>
          <w:sz w:val="24"/>
          <w:szCs w:val="24"/>
        </w:rPr>
        <w:t>)</w:t>
      </w:r>
      <w:r>
        <w:rPr>
          <w:rFonts w:ascii="Arial" w:hAnsi="Arial" w:cs="Arial"/>
          <w:sz w:val="24"/>
          <w:szCs w:val="24"/>
        </w:rPr>
        <w:t xml:space="preserve"> ‘Managing People with Leadership Theories: A Case Study of Tesla under Elon Musk’</w:t>
      </w:r>
      <w:r>
        <w:rPr>
          <w:rFonts w:hint="eastAsia" w:ascii="Arial" w:hAnsi="Arial" w:cs="Arial"/>
          <w:sz w:val="24"/>
          <w:szCs w:val="24"/>
        </w:rPr>
        <w:t>, i</w:t>
      </w:r>
      <w:r>
        <w:rPr>
          <w:rFonts w:ascii="Arial" w:hAnsi="Arial" w:cs="Arial"/>
          <w:sz w:val="24"/>
          <w:szCs w:val="24"/>
        </w:rPr>
        <w:t>n </w:t>
      </w:r>
      <w:r>
        <w:rPr>
          <w:rFonts w:ascii="Arial" w:hAnsi="Arial" w:cs="Arial"/>
          <w:i/>
          <w:iCs/>
          <w:sz w:val="24"/>
          <w:szCs w:val="24"/>
        </w:rPr>
        <w:t>2024 2nd International Conference on Management Innovation and Economy Development (MIED 2024)</w:t>
      </w:r>
      <w:r>
        <w:rPr>
          <w:rFonts w:hint="eastAsia" w:ascii="Arial" w:hAnsi="Arial" w:cs="Arial"/>
          <w:i/>
          <w:iCs/>
          <w:sz w:val="24"/>
          <w:szCs w:val="24"/>
        </w:rPr>
        <w:t>.</w:t>
      </w:r>
      <w:r>
        <w:rPr>
          <w:rFonts w:hint="eastAsia" w:ascii="Arial" w:hAnsi="Arial" w:cs="Arial"/>
          <w:sz w:val="24"/>
          <w:szCs w:val="24"/>
        </w:rPr>
        <w:t xml:space="preserve"> </w:t>
      </w:r>
      <w:r>
        <w:rPr>
          <w:rFonts w:ascii="Arial" w:hAnsi="Arial" w:cs="Arial"/>
          <w:sz w:val="24"/>
          <w:szCs w:val="24"/>
        </w:rPr>
        <w:t>Atlantis Press</w:t>
      </w:r>
      <w:r>
        <w:rPr>
          <w:rFonts w:hint="eastAsia" w:ascii="Arial" w:hAnsi="Arial" w:cs="Arial"/>
          <w:sz w:val="24"/>
          <w:szCs w:val="24"/>
        </w:rPr>
        <w:t xml:space="preserve">, </w:t>
      </w:r>
      <w:r>
        <w:rPr>
          <w:rFonts w:ascii="Arial" w:hAnsi="Arial" w:cs="Arial"/>
          <w:sz w:val="24"/>
          <w:szCs w:val="24"/>
        </w:rPr>
        <w:t>pp. 573-579.</w:t>
      </w:r>
    </w:p>
    <w:p w14:paraId="0344FE5D">
      <w:pPr>
        <w:spacing w:line="600" w:lineRule="auto"/>
        <w:ind w:left="480" w:hanging="480" w:hangingChars="200"/>
        <w:rPr>
          <w:rFonts w:ascii="Arial" w:hAnsi="Arial" w:cs="Arial"/>
          <w:sz w:val="24"/>
          <w:szCs w:val="24"/>
        </w:rPr>
      </w:pPr>
      <w:r>
        <w:rPr>
          <w:rFonts w:ascii="Arial" w:hAnsi="Arial" w:cs="Arial"/>
          <w:sz w:val="24"/>
          <w:szCs w:val="24"/>
        </w:rPr>
        <w:t>Kanesan, P. and Fauzan, N.</w:t>
      </w:r>
      <w:r>
        <w:rPr>
          <w:rFonts w:hint="eastAsia" w:ascii="Arial" w:hAnsi="Arial" w:cs="Arial"/>
          <w:sz w:val="24"/>
          <w:szCs w:val="24"/>
        </w:rPr>
        <w:t xml:space="preserve"> (</w:t>
      </w:r>
      <w:r>
        <w:rPr>
          <w:rFonts w:ascii="Arial" w:hAnsi="Arial" w:cs="Arial"/>
          <w:sz w:val="24"/>
          <w:szCs w:val="24"/>
        </w:rPr>
        <w:t>2019</w:t>
      </w:r>
      <w:r>
        <w:rPr>
          <w:rFonts w:hint="eastAsia" w:ascii="Arial" w:hAnsi="Arial" w:cs="Arial"/>
          <w:sz w:val="24"/>
          <w:szCs w:val="24"/>
        </w:rPr>
        <w:t>)</w:t>
      </w:r>
      <w:r>
        <w:rPr>
          <w:rFonts w:ascii="Arial" w:hAnsi="Arial" w:cs="Arial"/>
          <w:sz w:val="24"/>
          <w:szCs w:val="24"/>
        </w:rPr>
        <w:t xml:space="preserve"> ‘Models of emotional intelligence: A review’</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e-BANGI Journal</w:t>
      </w:r>
      <w:r>
        <w:rPr>
          <w:rFonts w:ascii="Arial" w:hAnsi="Arial" w:cs="Arial"/>
          <w:sz w:val="24"/>
          <w:szCs w:val="24"/>
        </w:rPr>
        <w:t>, 16(7), pp. 1-9.</w:t>
      </w:r>
    </w:p>
    <w:p w14:paraId="08DED57C">
      <w:pPr>
        <w:spacing w:line="600" w:lineRule="auto"/>
        <w:ind w:left="480" w:hanging="480" w:hangingChars="200"/>
        <w:rPr>
          <w:rFonts w:ascii="Arial" w:hAnsi="Arial" w:cs="Arial"/>
          <w:sz w:val="24"/>
          <w:szCs w:val="24"/>
        </w:rPr>
      </w:pPr>
      <w:r>
        <w:rPr>
          <w:rFonts w:ascii="Arial" w:hAnsi="Arial" w:cs="Arial"/>
          <w:sz w:val="24"/>
          <w:szCs w:val="24"/>
        </w:rPr>
        <w:t xml:space="preserve">Khang, A., Jadhav, B. and Birajdar, S. (2023) ‘Industry revolution 4.0: workforce competency models and designs’, in Khang, A., Rani, S., Gujrati, R., Uygun, H. and Gupta, S. (eds.) </w:t>
      </w:r>
      <w:r>
        <w:rPr>
          <w:rFonts w:ascii="Arial" w:hAnsi="Arial" w:cs="Arial"/>
          <w:i/>
          <w:iCs/>
          <w:sz w:val="24"/>
          <w:szCs w:val="24"/>
        </w:rPr>
        <w:t>Designing workforce management systems for industry 4.0</w:t>
      </w:r>
      <w:r>
        <w:rPr>
          <w:rFonts w:ascii="Arial" w:hAnsi="Arial" w:cs="Arial"/>
          <w:sz w:val="24"/>
          <w:szCs w:val="24"/>
        </w:rPr>
        <w:t>. CRC Press, pp. 11-34.</w:t>
      </w:r>
    </w:p>
    <w:p w14:paraId="67B0A327">
      <w:pPr>
        <w:spacing w:line="600" w:lineRule="auto"/>
        <w:ind w:left="480" w:hanging="480" w:hangingChars="200"/>
        <w:rPr>
          <w:rFonts w:ascii="Arial" w:hAnsi="Arial" w:cs="Arial"/>
          <w:sz w:val="24"/>
          <w:szCs w:val="24"/>
        </w:rPr>
      </w:pPr>
      <w:r>
        <w:rPr>
          <w:rFonts w:ascii="Arial" w:hAnsi="Arial" w:cs="Arial"/>
          <w:sz w:val="24"/>
          <w:szCs w:val="24"/>
        </w:rPr>
        <w:t>Kraft, A., Sparr, J.L. and Peus, C.</w:t>
      </w:r>
      <w:r>
        <w:rPr>
          <w:rFonts w:hint="eastAsia" w:ascii="Arial" w:hAnsi="Arial" w:cs="Arial"/>
          <w:sz w:val="24"/>
          <w:szCs w:val="24"/>
        </w:rPr>
        <w:t xml:space="preserve"> (</w:t>
      </w:r>
      <w:r>
        <w:rPr>
          <w:rFonts w:ascii="Arial" w:hAnsi="Arial" w:cs="Arial"/>
          <w:sz w:val="24"/>
          <w:szCs w:val="24"/>
        </w:rPr>
        <w:t>2018</w:t>
      </w:r>
      <w:r>
        <w:rPr>
          <w:rFonts w:hint="eastAsia" w:ascii="Arial" w:hAnsi="Arial" w:cs="Arial"/>
          <w:sz w:val="24"/>
          <w:szCs w:val="24"/>
        </w:rPr>
        <w:t>)</w:t>
      </w:r>
      <w:r>
        <w:rPr>
          <w:rFonts w:ascii="Arial" w:hAnsi="Arial" w:cs="Arial"/>
          <w:sz w:val="24"/>
          <w:szCs w:val="24"/>
        </w:rPr>
        <w:t xml:space="preserve"> ‘Giving and making sense about change: The back and forth between leaders and employees’</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Business and Psychology</w:t>
      </w:r>
      <w:r>
        <w:rPr>
          <w:rFonts w:ascii="Arial" w:hAnsi="Arial" w:cs="Arial"/>
          <w:sz w:val="24"/>
          <w:szCs w:val="24"/>
        </w:rPr>
        <w:t>, 33, pp.71-87.</w:t>
      </w:r>
    </w:p>
    <w:p w14:paraId="7E700D56">
      <w:pPr>
        <w:spacing w:line="600" w:lineRule="auto"/>
        <w:ind w:left="480" w:hanging="480" w:hangingChars="200"/>
        <w:rPr>
          <w:rFonts w:ascii="Arial" w:hAnsi="Arial" w:cs="Arial"/>
          <w:sz w:val="24"/>
          <w:szCs w:val="24"/>
        </w:rPr>
      </w:pPr>
      <w:r>
        <w:rPr>
          <w:rFonts w:ascii="Arial" w:hAnsi="Arial" w:cs="Arial"/>
          <w:sz w:val="24"/>
          <w:szCs w:val="24"/>
        </w:rPr>
        <w:t>Mumford, A. and Gold, J. (2004) </w:t>
      </w:r>
      <w:r>
        <w:rPr>
          <w:rFonts w:ascii="Arial" w:hAnsi="Arial" w:cs="Arial"/>
          <w:i/>
          <w:iCs/>
          <w:sz w:val="24"/>
          <w:szCs w:val="24"/>
        </w:rPr>
        <w:t>Management development: Strategies for action</w:t>
      </w:r>
      <w:r>
        <w:rPr>
          <w:rFonts w:ascii="Arial" w:hAnsi="Arial" w:cs="Arial"/>
          <w:sz w:val="24"/>
          <w:szCs w:val="24"/>
        </w:rPr>
        <w:t>. CIPD Publishing.</w:t>
      </w:r>
    </w:p>
    <w:p w14:paraId="2BBC88AA">
      <w:pPr>
        <w:spacing w:line="600" w:lineRule="auto"/>
        <w:ind w:left="480" w:hanging="480" w:hangingChars="200"/>
        <w:rPr>
          <w:rFonts w:ascii="Arial" w:hAnsi="Arial" w:cs="Arial"/>
          <w:sz w:val="24"/>
          <w:szCs w:val="24"/>
        </w:rPr>
      </w:pPr>
      <w:r>
        <w:rPr>
          <w:rFonts w:ascii="Arial" w:hAnsi="Arial" w:cs="Arial"/>
          <w:sz w:val="24"/>
          <w:szCs w:val="24"/>
        </w:rPr>
        <w:t>Olurin, J.O., Okonkwo, F., Eleogu, T., James, O.O., Eyo-Udo, N.L. and Daraojimba, R.E. (2024) ‘Strategic HR management in the manufacturing industry: balancing automation and workforce development’, </w:t>
      </w:r>
      <w:r>
        <w:rPr>
          <w:rFonts w:ascii="Arial" w:hAnsi="Arial" w:cs="Arial"/>
          <w:i/>
          <w:iCs/>
          <w:sz w:val="24"/>
          <w:szCs w:val="24"/>
        </w:rPr>
        <w:t>International Journal of Research and Scientific Innovation</w:t>
      </w:r>
      <w:r>
        <w:rPr>
          <w:rFonts w:ascii="Arial" w:hAnsi="Arial" w:cs="Arial"/>
          <w:sz w:val="24"/>
          <w:szCs w:val="24"/>
        </w:rPr>
        <w:t>, 10(12), pp.380-401.</w:t>
      </w:r>
    </w:p>
    <w:p w14:paraId="7AD3B54D">
      <w:pPr>
        <w:spacing w:line="600" w:lineRule="auto"/>
        <w:ind w:left="480" w:hanging="480" w:hangingChars="200"/>
        <w:rPr>
          <w:rFonts w:ascii="Arial" w:hAnsi="Arial" w:cs="Arial"/>
          <w:sz w:val="24"/>
          <w:szCs w:val="24"/>
        </w:rPr>
      </w:pPr>
      <w:r>
        <w:rPr>
          <w:rFonts w:ascii="Arial" w:hAnsi="Arial" w:cs="Arial"/>
          <w:sz w:val="24"/>
          <w:szCs w:val="24"/>
        </w:rPr>
        <w:t>Prakash, D., Bisla, M. and Rastogi, S.G.</w:t>
      </w:r>
      <w:r>
        <w:rPr>
          <w:rFonts w:hint="eastAsia" w:ascii="Arial" w:hAnsi="Arial" w:cs="Arial"/>
          <w:sz w:val="24"/>
          <w:szCs w:val="24"/>
        </w:rPr>
        <w:t xml:space="preserve"> (</w:t>
      </w:r>
      <w:r>
        <w:rPr>
          <w:rFonts w:ascii="Arial" w:hAnsi="Arial" w:cs="Arial"/>
          <w:sz w:val="24"/>
          <w:szCs w:val="24"/>
        </w:rPr>
        <w:t>2021</w:t>
      </w:r>
      <w:r>
        <w:rPr>
          <w:rFonts w:hint="eastAsia" w:ascii="Arial" w:hAnsi="Arial" w:cs="Arial"/>
          <w:sz w:val="24"/>
          <w:szCs w:val="24"/>
        </w:rPr>
        <w:t>)</w:t>
      </w:r>
      <w:r>
        <w:rPr>
          <w:rFonts w:ascii="Arial" w:hAnsi="Arial" w:cs="Arial"/>
          <w:sz w:val="24"/>
          <w:szCs w:val="24"/>
        </w:rPr>
        <w:t xml:space="preserve"> ‘Understanding authentic leadership style: The Satya Nadella microsoft approach’</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Open Journal of Leadership</w:t>
      </w:r>
      <w:r>
        <w:rPr>
          <w:rFonts w:ascii="Arial" w:hAnsi="Arial" w:cs="Arial"/>
          <w:sz w:val="24"/>
          <w:szCs w:val="24"/>
        </w:rPr>
        <w:t>, 10(2), pp.95-109.</w:t>
      </w:r>
    </w:p>
    <w:p w14:paraId="26DF391E">
      <w:pPr>
        <w:spacing w:line="600" w:lineRule="auto"/>
        <w:ind w:left="480" w:hanging="480" w:hangingChars="200"/>
        <w:rPr>
          <w:rFonts w:ascii="Arial" w:hAnsi="Arial" w:cs="Arial"/>
          <w:sz w:val="24"/>
          <w:szCs w:val="24"/>
        </w:rPr>
      </w:pPr>
      <w:r>
        <w:rPr>
          <w:rFonts w:ascii="Arial" w:hAnsi="Arial" w:cs="Arial"/>
          <w:sz w:val="24"/>
          <w:szCs w:val="24"/>
        </w:rPr>
        <w:t xml:space="preserve">Qiaotian, W., Rong, G. and Jianming, X. </w:t>
      </w:r>
      <w:r>
        <w:rPr>
          <w:rFonts w:hint="eastAsia" w:ascii="Arial" w:hAnsi="Arial" w:cs="Arial"/>
          <w:sz w:val="24"/>
          <w:szCs w:val="24"/>
        </w:rPr>
        <w:t>(</w:t>
      </w:r>
      <w:r>
        <w:rPr>
          <w:rFonts w:ascii="Arial" w:hAnsi="Arial" w:cs="Arial"/>
          <w:sz w:val="24"/>
          <w:szCs w:val="24"/>
        </w:rPr>
        <w:t>2020</w:t>
      </w:r>
      <w:r>
        <w:rPr>
          <w:rFonts w:hint="eastAsia" w:ascii="Arial" w:hAnsi="Arial" w:cs="Arial"/>
          <w:sz w:val="24"/>
          <w:szCs w:val="24"/>
        </w:rPr>
        <w:t>)</w:t>
      </w:r>
      <w:r>
        <w:rPr>
          <w:rFonts w:ascii="Arial" w:hAnsi="Arial" w:cs="Arial"/>
          <w:sz w:val="24"/>
          <w:szCs w:val="24"/>
        </w:rPr>
        <w:t xml:space="preserve"> ‘The impact of transformational leadership on cross-border team collaborative innovation: An empirical analysis of fintech enterprises in China’</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Foreign Economics &amp; Management</w:t>
      </w:r>
      <w:r>
        <w:rPr>
          <w:rFonts w:ascii="Arial" w:hAnsi="Arial" w:cs="Arial"/>
          <w:sz w:val="24"/>
          <w:szCs w:val="24"/>
        </w:rPr>
        <w:t>, 42(02), pp.17-29.</w:t>
      </w:r>
    </w:p>
    <w:p w14:paraId="5C9F0E56">
      <w:pPr>
        <w:spacing w:line="600" w:lineRule="auto"/>
        <w:ind w:left="480" w:hanging="480" w:hangingChars="200"/>
        <w:rPr>
          <w:rFonts w:ascii="Arial" w:hAnsi="Arial" w:cs="Arial"/>
          <w:sz w:val="24"/>
          <w:szCs w:val="24"/>
        </w:rPr>
      </w:pPr>
      <w:bookmarkStart w:id="2" w:name="_Hlk192503173"/>
      <w:r>
        <w:rPr>
          <w:rFonts w:ascii="Arial" w:hAnsi="Arial" w:cs="Arial"/>
          <w:sz w:val="24"/>
          <w:szCs w:val="24"/>
        </w:rPr>
        <w:t>Ranjith</w:t>
      </w:r>
      <w:bookmarkEnd w:id="2"/>
      <w:r>
        <w:rPr>
          <w:rFonts w:ascii="Arial" w:hAnsi="Arial" w:cs="Arial"/>
          <w:sz w:val="24"/>
          <w:szCs w:val="24"/>
        </w:rPr>
        <w:t>, V. K. (2016) ‘Business models and competitive advantage’, </w:t>
      </w:r>
      <w:r>
        <w:rPr>
          <w:rFonts w:ascii="Arial" w:hAnsi="Arial" w:cs="Arial"/>
          <w:i/>
          <w:iCs/>
          <w:sz w:val="24"/>
          <w:szCs w:val="24"/>
        </w:rPr>
        <w:t>Procedia Economics and Finance</w:t>
      </w:r>
      <w:r>
        <w:rPr>
          <w:rFonts w:ascii="Arial" w:hAnsi="Arial" w:cs="Arial"/>
          <w:sz w:val="24"/>
          <w:szCs w:val="24"/>
        </w:rPr>
        <w:t>, 37, pp. 203-207.</w:t>
      </w:r>
    </w:p>
    <w:p w14:paraId="5CF5DC4C">
      <w:pPr>
        <w:spacing w:line="600" w:lineRule="auto"/>
        <w:ind w:left="480" w:hanging="480" w:hangingChars="200"/>
        <w:rPr>
          <w:rFonts w:ascii="Arial" w:hAnsi="Arial" w:cs="Arial"/>
          <w:sz w:val="24"/>
          <w:szCs w:val="24"/>
        </w:rPr>
      </w:pPr>
      <w:r>
        <w:rPr>
          <w:rFonts w:ascii="Arial" w:hAnsi="Arial" w:cs="Arial"/>
          <w:sz w:val="24"/>
          <w:szCs w:val="24"/>
        </w:rPr>
        <w:t>Shan, Z. and Wang, Y.</w:t>
      </w:r>
      <w:r>
        <w:rPr>
          <w:rFonts w:hint="eastAsia" w:ascii="Arial" w:hAnsi="Arial" w:cs="Arial"/>
          <w:sz w:val="24"/>
          <w:szCs w:val="24"/>
        </w:rPr>
        <w:t xml:space="preserve"> (</w:t>
      </w:r>
      <w:r>
        <w:rPr>
          <w:rFonts w:ascii="Arial" w:hAnsi="Arial" w:cs="Arial"/>
          <w:sz w:val="24"/>
          <w:szCs w:val="24"/>
        </w:rPr>
        <w:t>2024</w:t>
      </w:r>
      <w:r>
        <w:rPr>
          <w:rFonts w:hint="eastAsia" w:ascii="Arial" w:hAnsi="Arial" w:cs="Arial"/>
          <w:sz w:val="24"/>
          <w:szCs w:val="24"/>
        </w:rPr>
        <w:t>)</w:t>
      </w:r>
      <w:r>
        <w:rPr>
          <w:rFonts w:ascii="Arial" w:hAnsi="Arial" w:cs="Arial"/>
          <w:sz w:val="24"/>
          <w:szCs w:val="24"/>
        </w:rPr>
        <w:t xml:space="preserve"> ‘Strategic talent development in the knowledge economy: a comparative analysis of global practices’</w:t>
      </w:r>
      <w:r>
        <w:rPr>
          <w:rFonts w:hint="eastAsia" w:ascii="Arial" w:hAnsi="Arial" w:cs="Arial"/>
          <w:sz w:val="24"/>
          <w:szCs w:val="24"/>
        </w:rPr>
        <w:t>,</w:t>
      </w:r>
      <w:r>
        <w:rPr>
          <w:rFonts w:ascii="Arial" w:hAnsi="Arial" w:cs="Arial"/>
          <w:sz w:val="24"/>
          <w:szCs w:val="24"/>
        </w:rPr>
        <w:t> </w:t>
      </w:r>
      <w:r>
        <w:rPr>
          <w:rFonts w:ascii="Arial" w:hAnsi="Arial" w:cs="Arial"/>
          <w:i/>
          <w:iCs/>
          <w:sz w:val="24"/>
          <w:szCs w:val="24"/>
        </w:rPr>
        <w:t>Journal of the Knowledge Economy</w:t>
      </w:r>
      <w:r>
        <w:rPr>
          <w:rFonts w:ascii="Arial" w:hAnsi="Arial" w:cs="Arial"/>
          <w:sz w:val="24"/>
          <w:szCs w:val="24"/>
        </w:rPr>
        <w:t>, pp.1-27.</w:t>
      </w:r>
    </w:p>
    <w:p w14:paraId="3F9A4FEB">
      <w:pPr>
        <w:spacing w:line="600" w:lineRule="auto"/>
        <w:ind w:left="480" w:hanging="480" w:hangingChars="200"/>
        <w:rPr>
          <w:rFonts w:ascii="Arial" w:hAnsi="Arial" w:cs="Arial"/>
          <w:sz w:val="24"/>
          <w:szCs w:val="24"/>
        </w:rPr>
      </w:pPr>
      <w:r>
        <w:rPr>
          <w:rFonts w:ascii="Arial" w:hAnsi="Arial" w:cs="Arial"/>
          <w:sz w:val="24"/>
          <w:szCs w:val="24"/>
        </w:rPr>
        <w:t xml:space="preserve">Starbucks. (2025) </w:t>
      </w:r>
      <w:r>
        <w:rPr>
          <w:rFonts w:ascii="Arial" w:hAnsi="Arial" w:cs="Arial"/>
          <w:i/>
          <w:iCs/>
          <w:sz w:val="24"/>
          <w:szCs w:val="24"/>
        </w:rPr>
        <w:t>Go to college, on us</w:t>
      </w:r>
      <w:r>
        <w:rPr>
          <w:rFonts w:ascii="Arial" w:hAnsi="Arial" w:cs="Arial"/>
          <w:sz w:val="24"/>
          <w:szCs w:val="24"/>
        </w:rPr>
        <w:t xml:space="preserve">. </w:t>
      </w:r>
      <w:r>
        <w:rPr>
          <w:rFonts w:hint="eastAsia" w:ascii="Arial" w:hAnsi="Arial" w:cs="Arial"/>
          <w:sz w:val="24"/>
          <w:szCs w:val="24"/>
        </w:rPr>
        <w:t xml:space="preserve">Available at: </w:t>
      </w:r>
      <w:r>
        <w:fldChar w:fldCharType="begin"/>
      </w:r>
      <w:r>
        <w:instrText xml:space="preserve"> HYPERLINK "https://starbucks.asu.edu/" </w:instrText>
      </w:r>
      <w:r>
        <w:fldChar w:fldCharType="separate"/>
      </w:r>
      <w:r>
        <w:rPr>
          <w:rStyle w:val="17"/>
          <w:rFonts w:ascii="Arial" w:hAnsi="Arial" w:cs="Arial"/>
          <w:sz w:val="24"/>
          <w:szCs w:val="24"/>
        </w:rPr>
        <w:t>https://starbucks.asu.edu/</w:t>
      </w:r>
      <w:r>
        <w:rPr>
          <w:rStyle w:val="17"/>
          <w:rFonts w:ascii="Arial" w:hAnsi="Arial" w:cs="Arial"/>
          <w:sz w:val="24"/>
          <w:szCs w:val="24"/>
        </w:rPr>
        <w:fldChar w:fldCharType="end"/>
      </w:r>
      <w:r>
        <w:rPr>
          <w:rFonts w:ascii="Arial" w:hAnsi="Arial" w:cs="Arial"/>
          <w:sz w:val="24"/>
          <w:szCs w:val="24"/>
        </w:rPr>
        <w:t xml:space="preserve"> (</w:t>
      </w:r>
      <w:r>
        <w:rPr>
          <w:rFonts w:hint="eastAsia" w:ascii="Arial" w:hAnsi="Arial" w:cs="Arial"/>
          <w:sz w:val="24"/>
          <w:szCs w:val="24"/>
        </w:rPr>
        <w:t xml:space="preserve">Accessed </w:t>
      </w:r>
      <w:r>
        <w:rPr>
          <w:rFonts w:ascii="Arial" w:hAnsi="Arial" w:cs="Arial"/>
          <w:sz w:val="24"/>
          <w:szCs w:val="24"/>
        </w:rPr>
        <w:t>7 March 2025)</w:t>
      </w:r>
      <w:r>
        <w:rPr>
          <w:rFonts w:hint="eastAsia" w:ascii="Arial" w:hAnsi="Arial" w:cs="Arial"/>
          <w:sz w:val="24"/>
          <w:szCs w:val="24"/>
        </w:rPr>
        <w:t>.</w:t>
      </w:r>
    </w:p>
    <w:sectPr>
      <w:footerReference r:id="rId3"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908589"/>
      <w:docPartObj>
        <w:docPartGallery w:val="AutoText"/>
      </w:docPartObj>
    </w:sdtPr>
    <w:sdtContent>
      <w:p w14:paraId="47920E75">
        <w:pPr>
          <w:pStyle w:val="11"/>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7BAD6642">
    <w:pPr>
      <w:pStyle w:val="11"/>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F3E"/>
    <w:rsid w:val="00004904"/>
    <w:rsid w:val="00035618"/>
    <w:rsid w:val="00077AA7"/>
    <w:rsid w:val="00081416"/>
    <w:rsid w:val="00085B1C"/>
    <w:rsid w:val="000D29C8"/>
    <w:rsid w:val="000E0DD1"/>
    <w:rsid w:val="00196142"/>
    <w:rsid w:val="001D6DD7"/>
    <w:rsid w:val="00202F96"/>
    <w:rsid w:val="002072E6"/>
    <w:rsid w:val="00237164"/>
    <w:rsid w:val="00240DDB"/>
    <w:rsid w:val="00276541"/>
    <w:rsid w:val="002B39A3"/>
    <w:rsid w:val="002C6D5E"/>
    <w:rsid w:val="00453D2A"/>
    <w:rsid w:val="004735B8"/>
    <w:rsid w:val="004C258C"/>
    <w:rsid w:val="0053684D"/>
    <w:rsid w:val="005419CD"/>
    <w:rsid w:val="00546A82"/>
    <w:rsid w:val="005D1334"/>
    <w:rsid w:val="005D7A75"/>
    <w:rsid w:val="005F6FED"/>
    <w:rsid w:val="00662313"/>
    <w:rsid w:val="00674664"/>
    <w:rsid w:val="00692B63"/>
    <w:rsid w:val="006D182E"/>
    <w:rsid w:val="00711AB8"/>
    <w:rsid w:val="007338FF"/>
    <w:rsid w:val="007B1F7E"/>
    <w:rsid w:val="007E563B"/>
    <w:rsid w:val="007E5CFF"/>
    <w:rsid w:val="007F0749"/>
    <w:rsid w:val="008515FD"/>
    <w:rsid w:val="00852D20"/>
    <w:rsid w:val="008659A4"/>
    <w:rsid w:val="00874DAC"/>
    <w:rsid w:val="0089645B"/>
    <w:rsid w:val="008C19C4"/>
    <w:rsid w:val="008E52D2"/>
    <w:rsid w:val="008E5780"/>
    <w:rsid w:val="008E63F0"/>
    <w:rsid w:val="008F467A"/>
    <w:rsid w:val="009055C2"/>
    <w:rsid w:val="00933C29"/>
    <w:rsid w:val="00995102"/>
    <w:rsid w:val="009951BB"/>
    <w:rsid w:val="009B2142"/>
    <w:rsid w:val="009D139F"/>
    <w:rsid w:val="00A076D8"/>
    <w:rsid w:val="00A7096C"/>
    <w:rsid w:val="00A82AE4"/>
    <w:rsid w:val="00A835E9"/>
    <w:rsid w:val="00AB6F12"/>
    <w:rsid w:val="00AD777E"/>
    <w:rsid w:val="00B22B1A"/>
    <w:rsid w:val="00B417BB"/>
    <w:rsid w:val="00B47F3E"/>
    <w:rsid w:val="00C11430"/>
    <w:rsid w:val="00C22EB5"/>
    <w:rsid w:val="00C25B75"/>
    <w:rsid w:val="00CA5911"/>
    <w:rsid w:val="00CF4353"/>
    <w:rsid w:val="00D15BC5"/>
    <w:rsid w:val="00D31E25"/>
    <w:rsid w:val="00D90420"/>
    <w:rsid w:val="00E302C7"/>
    <w:rsid w:val="00E328F0"/>
    <w:rsid w:val="00E36524"/>
    <w:rsid w:val="00E41513"/>
    <w:rsid w:val="00E57E31"/>
    <w:rsid w:val="00E853B5"/>
    <w:rsid w:val="00E92E7A"/>
    <w:rsid w:val="00EF5CEA"/>
    <w:rsid w:val="00F32E8C"/>
    <w:rsid w:val="00F448F7"/>
    <w:rsid w:val="00F56CC9"/>
    <w:rsid w:val="00F72B74"/>
    <w:rsid w:val="00F77DB3"/>
    <w:rsid w:val="00FB06EE"/>
    <w:rsid w:val="00FB5C97"/>
    <w:rsid w:val="00FF7442"/>
    <w:rsid w:val="1FEC648C"/>
    <w:rsid w:val="6CE547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8"/>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0"/>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1"/>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2"/>
    <w:semiHidden/>
    <w:unhideWhenUsed/>
    <w:qFormat/>
    <w:uiPriority w:val="9"/>
    <w:pPr>
      <w:keepNext/>
      <w:keepLines/>
      <w:spacing w:before="80" w:after="40"/>
      <w:outlineLvl w:val="4"/>
    </w:pPr>
    <w:rPr>
      <w:rFonts w:cstheme="majorBidi"/>
      <w:color w:val="0F4761" w:themeColor="accent1" w:themeShade="BF"/>
      <w:sz w:val="24"/>
      <w:szCs w:val="24"/>
    </w:rPr>
  </w:style>
  <w:style w:type="paragraph" w:styleId="7">
    <w:name w:val="heading 6"/>
    <w:basedOn w:val="1"/>
    <w:next w:val="1"/>
    <w:link w:val="23"/>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4"/>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25"/>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26"/>
    <w:semiHidden/>
    <w:unhideWhenUsed/>
    <w:qFormat/>
    <w:uiPriority w:val="9"/>
    <w:pPr>
      <w:keepNext/>
      <w:keepLines/>
      <w:outlineLvl w:val="8"/>
    </w:pPr>
    <w:rPr>
      <w:rFonts w:eastAsiaTheme="majorEastAsia" w:cstheme="majorBidi"/>
      <w:color w:val="585858" w:themeColor="text1" w:themeTint="A6"/>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7"/>
    <w:unhideWhenUsed/>
    <w:uiPriority w:val="99"/>
    <w:pPr>
      <w:tabs>
        <w:tab w:val="center" w:pos="4153"/>
        <w:tab w:val="right" w:pos="8306"/>
      </w:tabs>
      <w:snapToGrid w:val="0"/>
      <w:jc w:val="left"/>
    </w:pPr>
    <w:rPr>
      <w:sz w:val="18"/>
      <w:szCs w:val="18"/>
    </w:rPr>
  </w:style>
  <w:style w:type="paragraph" w:styleId="12">
    <w:name w:val="header"/>
    <w:basedOn w:val="1"/>
    <w:link w:val="36"/>
    <w:unhideWhenUsed/>
    <w:uiPriority w:val="99"/>
    <w:pPr>
      <w:tabs>
        <w:tab w:val="center" w:pos="4153"/>
        <w:tab w:val="right" w:pos="8306"/>
      </w:tabs>
      <w:snapToGrid w:val="0"/>
      <w:jc w:val="center"/>
    </w:pPr>
    <w:rPr>
      <w:sz w:val="18"/>
      <w:szCs w:val="18"/>
    </w:rPr>
  </w:style>
  <w:style w:type="paragraph" w:styleId="13">
    <w:name w:val="Subtitle"/>
    <w:basedOn w:val="1"/>
    <w:next w:val="1"/>
    <w:link w:val="28"/>
    <w:qFormat/>
    <w:uiPriority w:val="11"/>
    <w:pPr>
      <w:spacing w:after="160"/>
      <w:jc w:val="center"/>
    </w:pPr>
    <w:rPr>
      <w:rFonts w:asciiTheme="majorHAnsi" w:hAnsiTheme="majorHAnsi" w:eastAsiaTheme="majorEastAsia" w:cstheme="majorBidi"/>
      <w:color w:val="585858" w:themeColor="text1" w:themeTint="A6"/>
      <w:spacing w:val="15"/>
      <w:sz w:val="28"/>
      <w:szCs w:val="28"/>
    </w:rPr>
  </w:style>
  <w:style w:type="paragraph" w:styleId="14">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7">
    <w:name w:val="Hyperlink"/>
    <w:basedOn w:val="16"/>
    <w:unhideWhenUsed/>
    <w:uiPriority w:val="99"/>
    <w:rPr>
      <w:color w:val="467886" w:themeColor="hyperlink"/>
      <w:u w:val="single"/>
    </w:rPr>
  </w:style>
  <w:style w:type="character" w:customStyle="1" w:styleId="18">
    <w:name w:val="标题 1 字符"/>
    <w:basedOn w:val="16"/>
    <w:link w:val="2"/>
    <w:uiPriority w:val="9"/>
    <w:rPr>
      <w:rFonts w:asciiTheme="majorHAnsi" w:hAnsiTheme="majorHAnsi" w:eastAsiaTheme="majorEastAsia" w:cstheme="majorBidi"/>
      <w:color w:val="0F4761" w:themeColor="accent1" w:themeShade="BF"/>
      <w:sz w:val="48"/>
      <w:szCs w:val="48"/>
    </w:rPr>
  </w:style>
  <w:style w:type="character" w:customStyle="1" w:styleId="19">
    <w:name w:val="标题 2 字符"/>
    <w:basedOn w:val="16"/>
    <w:link w:val="3"/>
    <w:semiHidden/>
    <w:uiPriority w:val="9"/>
    <w:rPr>
      <w:rFonts w:asciiTheme="majorHAnsi" w:hAnsiTheme="majorHAnsi" w:eastAsiaTheme="majorEastAsia" w:cstheme="majorBidi"/>
      <w:color w:val="0F4761" w:themeColor="accent1" w:themeShade="BF"/>
      <w:sz w:val="40"/>
      <w:szCs w:val="40"/>
    </w:rPr>
  </w:style>
  <w:style w:type="character" w:customStyle="1" w:styleId="20">
    <w:name w:val="标题 3 字符"/>
    <w:basedOn w:val="16"/>
    <w:link w:val="4"/>
    <w:semiHidden/>
    <w:uiPriority w:val="9"/>
    <w:rPr>
      <w:rFonts w:asciiTheme="majorHAnsi" w:hAnsiTheme="majorHAnsi" w:eastAsiaTheme="majorEastAsia" w:cstheme="majorBidi"/>
      <w:color w:val="0F4761" w:themeColor="accent1" w:themeShade="BF"/>
      <w:sz w:val="32"/>
      <w:szCs w:val="32"/>
    </w:rPr>
  </w:style>
  <w:style w:type="character" w:customStyle="1" w:styleId="21">
    <w:name w:val="标题 4 字符"/>
    <w:basedOn w:val="16"/>
    <w:link w:val="5"/>
    <w:semiHidden/>
    <w:uiPriority w:val="9"/>
    <w:rPr>
      <w:rFonts w:cstheme="majorBidi"/>
      <w:color w:val="0F4761" w:themeColor="accent1" w:themeShade="BF"/>
      <w:sz w:val="28"/>
      <w:szCs w:val="28"/>
    </w:rPr>
  </w:style>
  <w:style w:type="character" w:customStyle="1" w:styleId="22">
    <w:name w:val="标题 5 字符"/>
    <w:basedOn w:val="16"/>
    <w:link w:val="6"/>
    <w:semiHidden/>
    <w:uiPriority w:val="9"/>
    <w:rPr>
      <w:rFonts w:cstheme="majorBidi"/>
      <w:color w:val="0F4761" w:themeColor="accent1" w:themeShade="BF"/>
      <w:sz w:val="24"/>
      <w:szCs w:val="24"/>
    </w:rPr>
  </w:style>
  <w:style w:type="character" w:customStyle="1" w:styleId="23">
    <w:name w:val="标题 6 字符"/>
    <w:basedOn w:val="16"/>
    <w:link w:val="7"/>
    <w:semiHidden/>
    <w:uiPriority w:val="9"/>
    <w:rPr>
      <w:rFonts w:cstheme="majorBidi"/>
      <w:b/>
      <w:bCs/>
      <w:color w:val="0F4761" w:themeColor="accent1" w:themeShade="BF"/>
    </w:rPr>
  </w:style>
  <w:style w:type="character" w:customStyle="1" w:styleId="24">
    <w:name w:val="标题 7 字符"/>
    <w:basedOn w:val="16"/>
    <w:link w:val="8"/>
    <w:semiHidden/>
    <w:uiPriority w:val="9"/>
    <w:rPr>
      <w:rFonts w:cstheme="majorBidi"/>
      <w:b/>
      <w:bCs/>
      <w:color w:val="585858" w:themeColor="text1" w:themeTint="A6"/>
    </w:rPr>
  </w:style>
  <w:style w:type="character" w:customStyle="1" w:styleId="25">
    <w:name w:val="标题 8 字符"/>
    <w:basedOn w:val="16"/>
    <w:link w:val="9"/>
    <w:semiHidden/>
    <w:uiPriority w:val="9"/>
    <w:rPr>
      <w:rFonts w:cstheme="majorBidi"/>
      <w:color w:val="585858" w:themeColor="text1" w:themeTint="A6"/>
    </w:rPr>
  </w:style>
  <w:style w:type="character" w:customStyle="1" w:styleId="26">
    <w:name w:val="标题 9 字符"/>
    <w:basedOn w:val="16"/>
    <w:link w:val="10"/>
    <w:semiHidden/>
    <w:uiPriority w:val="9"/>
    <w:rPr>
      <w:rFonts w:eastAsiaTheme="majorEastAsia" w:cstheme="majorBidi"/>
      <w:color w:val="585858" w:themeColor="text1" w:themeTint="A6"/>
    </w:rPr>
  </w:style>
  <w:style w:type="character" w:customStyle="1" w:styleId="27">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8">
    <w:name w:val="副标题 字符"/>
    <w:basedOn w:val="16"/>
    <w:link w:val="13"/>
    <w:uiPriority w:val="11"/>
    <w:rPr>
      <w:rFonts w:asciiTheme="majorHAnsi" w:hAnsiTheme="majorHAnsi" w:eastAsiaTheme="majorEastAsia" w:cstheme="majorBidi"/>
      <w:color w:val="585858" w:themeColor="text1" w:themeTint="A6"/>
      <w:spacing w:val="15"/>
      <w:sz w:val="28"/>
      <w:szCs w:val="28"/>
    </w:rPr>
  </w:style>
  <w:style w:type="paragraph" w:styleId="29">
    <w:name w:val="Quote"/>
    <w:basedOn w:val="1"/>
    <w:next w:val="1"/>
    <w:link w:val="30"/>
    <w:qFormat/>
    <w:uiPriority w:val="29"/>
    <w:pPr>
      <w:spacing w:before="160" w:after="160"/>
      <w:jc w:val="center"/>
    </w:pPr>
    <w:rPr>
      <w:i/>
      <w:iCs/>
      <w:color w:val="3F3F3F" w:themeColor="text1" w:themeTint="BF"/>
    </w:rPr>
  </w:style>
  <w:style w:type="character" w:customStyle="1" w:styleId="30">
    <w:name w:val="引用 字符"/>
    <w:basedOn w:val="16"/>
    <w:link w:val="29"/>
    <w:uiPriority w:val="29"/>
    <w:rPr>
      <w:i/>
      <w:iCs/>
      <w:color w:val="3F3F3F" w:themeColor="text1" w:themeTint="BF"/>
    </w:rPr>
  </w:style>
  <w:style w:type="paragraph" w:styleId="31">
    <w:name w:val="List Paragraph"/>
    <w:basedOn w:val="1"/>
    <w:qFormat/>
    <w:uiPriority w:val="34"/>
    <w:pPr>
      <w:ind w:left="720"/>
      <w:contextualSpacing/>
    </w:pPr>
  </w:style>
  <w:style w:type="character" w:customStyle="1" w:styleId="32">
    <w:name w:val="Intense Emphasis"/>
    <w:basedOn w:val="16"/>
    <w:qFormat/>
    <w:uiPriority w:val="21"/>
    <w:rPr>
      <w:i/>
      <w:iCs/>
      <w:color w:val="0F4761"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4">
    <w:name w:val="明显引用 字符"/>
    <w:basedOn w:val="16"/>
    <w:link w:val="33"/>
    <w:uiPriority w:val="30"/>
    <w:rPr>
      <w:i/>
      <w:iCs/>
      <w:color w:val="0F4761" w:themeColor="accent1" w:themeShade="BF"/>
    </w:rPr>
  </w:style>
  <w:style w:type="character" w:customStyle="1" w:styleId="35">
    <w:name w:val="Intense Reference"/>
    <w:basedOn w:val="16"/>
    <w:qFormat/>
    <w:uiPriority w:val="32"/>
    <w:rPr>
      <w:b/>
      <w:bCs/>
      <w:smallCaps/>
      <w:color w:val="0F4761" w:themeColor="accent1" w:themeShade="BF"/>
      <w:spacing w:val="5"/>
    </w:rPr>
  </w:style>
  <w:style w:type="character" w:customStyle="1" w:styleId="36">
    <w:name w:val="页眉 字符"/>
    <w:basedOn w:val="16"/>
    <w:link w:val="12"/>
    <w:uiPriority w:val="99"/>
    <w:rPr>
      <w:sz w:val="18"/>
      <w:szCs w:val="18"/>
    </w:rPr>
  </w:style>
  <w:style w:type="character" w:customStyle="1" w:styleId="37">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2854</Words>
  <Characters>18646</Characters>
  <Lines>342</Lines>
  <Paragraphs>59</Paragraphs>
  <TotalTime>919</TotalTime>
  <ScaleCrop>false</ScaleCrop>
  <LinksUpToDate>false</LinksUpToDate>
  <CharactersWithSpaces>21451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2025-02-24T06:20:00Z</dcterms:created>
  <dc:creator>17158</dc:creator>
  <cp:lastModifiedBy>WPS_1479666331</cp:lastModifiedBy>
  <dcterms:modified xsi:type="dcterms:W3CDTF">2025-04-23T22:37:33Z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80144475b12cb836fb830d620ffb7877fb097741f5b1b0acb67eb0c8777e81f1</vt:lpwstr>
  </property>
  <property fmtid="{D5CDD505-2E9C-101B-9397-08002B2CF9AE}" pid="3" name="KSOProductBuildVer">
    <vt:lpwstr>2052-12.1.0.20784</vt:lpwstr>
  </property>
  <property fmtid="{D5CDD505-2E9C-101B-9397-08002B2CF9AE}" pid="4" name="ICV">
    <vt:lpwstr>9B8EB3DBD1C94EDE8725E40B11ACF939_13</vt:lpwstr>
  </property>
  <property fmtid="{D5CDD505-2E9C-101B-9397-08002B2CF9AE}" pid="5" name="KSOTemplateDocerSaveRecord">
    <vt:lpwstr>eyJoZGlkIjoiNjBjYjRkYmY0NGFjZDgyYmQ0ZDczOWFjNWY5MjM1N2MiLCJ1c2VySWQiOiIxNDc5NjY2MzMxIn0=</vt:lpwstr>
  </property>
</Properties>
</file>