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B41A8" w14:textId="77777777" w:rsidR="00AE3BEE" w:rsidRDefault="00AE3BEE" w:rsidP="00745B4D">
      <w:pPr>
        <w:pStyle w:val="TOCHeading"/>
        <w:numPr>
          <w:ilvl w:val="0"/>
          <w:numId w:val="0"/>
        </w:numPr>
        <w:jc w:val="center"/>
        <w:rPr>
          <w:rFonts w:eastAsiaTheme="minorHAnsi"/>
        </w:rPr>
      </w:pPr>
      <w:r w:rsidRPr="00AE3BEE">
        <w:rPr>
          <w:rFonts w:eastAsiaTheme="minorHAnsi"/>
          <w:noProof/>
          <w:lang w:val="en-GB" w:eastAsia="en-GB"/>
        </w:rPr>
        <w:drawing>
          <wp:inline distT="0" distB="0" distL="0" distR="0" wp14:anchorId="266EDBB1" wp14:editId="05EEE9C0">
            <wp:extent cx="2194750" cy="838273"/>
            <wp:effectExtent l="0" t="0" r="0" b="0"/>
            <wp:docPr id="146884851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48515" name="Picture 1" descr="A close-up of a sign&#10;&#10;AI-generated content may be incorrect."/>
                    <pic:cNvPicPr/>
                  </pic:nvPicPr>
                  <pic:blipFill>
                    <a:blip r:embed="rId7"/>
                    <a:stretch>
                      <a:fillRect/>
                    </a:stretch>
                  </pic:blipFill>
                  <pic:spPr>
                    <a:xfrm>
                      <a:off x="0" y="0"/>
                      <a:ext cx="2194750" cy="838273"/>
                    </a:xfrm>
                    <a:prstGeom prst="rect">
                      <a:avLst/>
                    </a:prstGeom>
                  </pic:spPr>
                </pic:pic>
              </a:graphicData>
            </a:graphic>
          </wp:inline>
        </w:drawing>
      </w:r>
    </w:p>
    <w:p w14:paraId="37C27963" w14:textId="77777777" w:rsidR="00AE3BEE" w:rsidRDefault="00AE3BEE" w:rsidP="00745B4D">
      <w:pPr>
        <w:pStyle w:val="TOCHeading"/>
        <w:numPr>
          <w:ilvl w:val="0"/>
          <w:numId w:val="0"/>
        </w:numPr>
        <w:rPr>
          <w:rFonts w:eastAsiaTheme="minorHAnsi"/>
        </w:rPr>
      </w:pPr>
    </w:p>
    <w:p w14:paraId="3AB79D03"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Programme</w:t>
      </w:r>
    </w:p>
    <w:p w14:paraId="310F51F5"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MSc Public Health and Social Care in Practice</w:t>
      </w:r>
    </w:p>
    <w:p w14:paraId="33C803FD" w14:textId="77777777" w:rsidR="00AE3BEE" w:rsidRPr="00745B4D" w:rsidRDefault="00AE3BEE" w:rsidP="00745B4D">
      <w:pPr>
        <w:jc w:val="center"/>
        <w:rPr>
          <w:rFonts w:cs="Arial"/>
          <w:b/>
          <w:bCs/>
          <w:i/>
          <w:iCs/>
          <w:color w:val="3A3A3A" w:themeColor="background2" w:themeShade="40"/>
        </w:rPr>
      </w:pPr>
    </w:p>
    <w:p w14:paraId="1B4DCE8A"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Module</w:t>
      </w:r>
    </w:p>
    <w:p w14:paraId="12F93E81"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Health Care System, Organisation and Leadership</w:t>
      </w:r>
    </w:p>
    <w:p w14:paraId="7EDFA171" w14:textId="77777777" w:rsidR="00AE3BEE" w:rsidRPr="00745B4D" w:rsidRDefault="00AE3BEE" w:rsidP="00745B4D">
      <w:pPr>
        <w:jc w:val="center"/>
        <w:rPr>
          <w:rFonts w:cs="Arial"/>
          <w:b/>
          <w:bCs/>
          <w:i/>
          <w:iCs/>
          <w:color w:val="3A3A3A" w:themeColor="background2" w:themeShade="40"/>
        </w:rPr>
      </w:pPr>
    </w:p>
    <w:p w14:paraId="6441704C"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Module code</w:t>
      </w:r>
    </w:p>
    <w:p w14:paraId="3D7E0460"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LCHS7002</w:t>
      </w:r>
    </w:p>
    <w:p w14:paraId="267ABEE1" w14:textId="77777777" w:rsidR="00AE3BEE" w:rsidRPr="00745B4D" w:rsidRDefault="00AE3BEE" w:rsidP="00745B4D">
      <w:pPr>
        <w:jc w:val="center"/>
        <w:rPr>
          <w:rFonts w:cs="Arial"/>
          <w:b/>
          <w:bCs/>
          <w:i/>
          <w:iCs/>
          <w:color w:val="3A3A3A" w:themeColor="background2" w:themeShade="40"/>
        </w:rPr>
      </w:pPr>
    </w:p>
    <w:p w14:paraId="4DF975B6"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Lecturer</w:t>
      </w:r>
    </w:p>
    <w:p w14:paraId="762594E4" w14:textId="77777777" w:rsidR="00AE3BEE" w:rsidRPr="00AE3BEE" w:rsidRDefault="0099591B" w:rsidP="00745B4D">
      <w:pPr>
        <w:pStyle w:val="TOCHeading"/>
        <w:numPr>
          <w:ilvl w:val="0"/>
          <w:numId w:val="0"/>
        </w:numPr>
        <w:jc w:val="center"/>
        <w:rPr>
          <w:rFonts w:ascii="Arial" w:eastAsiaTheme="minorHAnsi" w:hAnsi="Arial" w:cs="Arial"/>
          <w:i/>
          <w:iCs/>
        </w:rPr>
      </w:pPr>
      <w:r>
        <w:rPr>
          <w:rFonts w:ascii="Arial" w:eastAsiaTheme="minorHAnsi" w:hAnsi="Arial" w:cs="Arial"/>
          <w:i/>
          <w:iCs/>
        </w:rPr>
        <w:t>Shepherd Ziko</w:t>
      </w:r>
    </w:p>
    <w:p w14:paraId="1ACDDD80" w14:textId="77777777" w:rsidR="00AE3BEE" w:rsidRPr="00745B4D" w:rsidRDefault="00AE3BEE" w:rsidP="00745B4D">
      <w:pPr>
        <w:jc w:val="center"/>
        <w:rPr>
          <w:rFonts w:cs="Arial"/>
          <w:b/>
          <w:bCs/>
          <w:i/>
          <w:iCs/>
          <w:color w:val="3A3A3A" w:themeColor="background2" w:themeShade="40"/>
        </w:rPr>
      </w:pPr>
    </w:p>
    <w:p w14:paraId="66B735EA"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Assignment Title</w:t>
      </w:r>
    </w:p>
    <w:p w14:paraId="1D9C379D" w14:textId="77777777" w:rsidR="00AE3BEE" w:rsidRPr="00AE3BEE" w:rsidRDefault="00AE3BEE" w:rsidP="00745B4D">
      <w:pPr>
        <w:pStyle w:val="TOCHeading"/>
        <w:numPr>
          <w:ilvl w:val="0"/>
          <w:numId w:val="0"/>
        </w:numPr>
        <w:jc w:val="center"/>
        <w:rPr>
          <w:rFonts w:ascii="Arial" w:eastAsiaTheme="minorHAnsi" w:hAnsi="Arial" w:cs="Arial"/>
          <w:i/>
          <w:iCs/>
        </w:rPr>
      </w:pPr>
      <w:r w:rsidRPr="00AE3BEE">
        <w:rPr>
          <w:rFonts w:ascii="Arial" w:eastAsiaTheme="minorHAnsi" w:hAnsi="Arial" w:cs="Arial"/>
          <w:i/>
          <w:iCs/>
        </w:rPr>
        <w:t>Case Study Analysis Report: Comparative report on COVID19 leadership responses</w:t>
      </w:r>
    </w:p>
    <w:p w14:paraId="0D0E4134" w14:textId="77777777" w:rsidR="00AE3BEE" w:rsidRPr="00745B4D" w:rsidRDefault="00AE3BEE" w:rsidP="00745B4D">
      <w:pPr>
        <w:jc w:val="center"/>
        <w:rPr>
          <w:rFonts w:cs="Arial"/>
          <w:i/>
          <w:iCs/>
        </w:rPr>
      </w:pPr>
    </w:p>
    <w:p w14:paraId="76E82015" w14:textId="77777777" w:rsidR="00AE3BEE" w:rsidRPr="00745B4D" w:rsidRDefault="00AE3BEE" w:rsidP="00745B4D">
      <w:pPr>
        <w:pBdr>
          <w:bottom w:val="single" w:sz="6" w:space="1" w:color="auto"/>
        </w:pBdr>
        <w:spacing w:line="240" w:lineRule="auto"/>
        <w:jc w:val="center"/>
        <w:rPr>
          <w:rFonts w:cs="Arial"/>
          <w:b/>
          <w:bCs/>
          <w:i/>
          <w:iCs/>
          <w:color w:val="3A3A3A" w:themeColor="background2" w:themeShade="40"/>
          <w:sz w:val="28"/>
          <w:szCs w:val="28"/>
        </w:rPr>
      </w:pPr>
      <w:r w:rsidRPr="00745B4D">
        <w:rPr>
          <w:rFonts w:cs="Arial"/>
          <w:b/>
          <w:bCs/>
          <w:i/>
          <w:iCs/>
          <w:color w:val="3A3A3A" w:themeColor="background2" w:themeShade="40"/>
          <w:sz w:val="28"/>
          <w:szCs w:val="28"/>
        </w:rPr>
        <w:t>Student Name</w:t>
      </w:r>
    </w:p>
    <w:p w14:paraId="4223CEAC" w14:textId="77777777" w:rsidR="00AE3BEE" w:rsidRPr="00745B4D" w:rsidRDefault="00745B4D" w:rsidP="00745B4D">
      <w:pPr>
        <w:pBdr>
          <w:bottom w:val="single" w:sz="6" w:space="1" w:color="auto"/>
        </w:pBdr>
        <w:jc w:val="center"/>
        <w:rPr>
          <w:rFonts w:cs="Arial"/>
          <w:b/>
          <w:bCs/>
          <w:i/>
          <w:iCs/>
          <w:color w:val="3A3A3A" w:themeColor="background2" w:themeShade="40"/>
          <w:sz w:val="28"/>
          <w:szCs w:val="28"/>
        </w:rPr>
      </w:pPr>
      <w:r w:rsidRPr="00745B4D">
        <w:rPr>
          <w:rFonts w:cs="Arial"/>
          <w:b/>
          <w:bCs/>
          <w:i/>
          <w:iCs/>
          <w:color w:val="3A3A3A" w:themeColor="background2" w:themeShade="40"/>
          <w:sz w:val="28"/>
          <w:szCs w:val="28"/>
        </w:rPr>
        <w:t>Keval Sureshbhai Miyani</w:t>
      </w:r>
    </w:p>
    <w:p w14:paraId="72BC7EDD" w14:textId="77777777" w:rsidR="00745B4D" w:rsidRPr="00745B4D" w:rsidRDefault="00745B4D" w:rsidP="00745B4D">
      <w:pPr>
        <w:pBdr>
          <w:bottom w:val="single" w:sz="6" w:space="1" w:color="auto"/>
        </w:pBdr>
        <w:jc w:val="center"/>
        <w:rPr>
          <w:rFonts w:cs="Arial"/>
          <w:b/>
          <w:bCs/>
          <w:i/>
          <w:iCs/>
          <w:color w:val="3A3A3A" w:themeColor="background2" w:themeShade="40"/>
          <w:sz w:val="28"/>
          <w:szCs w:val="28"/>
        </w:rPr>
      </w:pPr>
    </w:p>
    <w:p w14:paraId="445BD115" w14:textId="77777777" w:rsidR="00AE3BEE" w:rsidRPr="00745B4D" w:rsidRDefault="00AE3BEE" w:rsidP="00745B4D">
      <w:pPr>
        <w:pBdr>
          <w:bottom w:val="single" w:sz="6" w:space="1" w:color="auto"/>
        </w:pBdr>
        <w:spacing w:line="240" w:lineRule="auto"/>
        <w:jc w:val="center"/>
        <w:rPr>
          <w:rFonts w:cs="Arial"/>
          <w:b/>
          <w:bCs/>
          <w:i/>
          <w:iCs/>
          <w:color w:val="3A3A3A" w:themeColor="background2" w:themeShade="40"/>
          <w:sz w:val="28"/>
          <w:szCs w:val="28"/>
        </w:rPr>
      </w:pPr>
      <w:r w:rsidRPr="00745B4D">
        <w:rPr>
          <w:rFonts w:cs="Arial"/>
          <w:b/>
          <w:bCs/>
          <w:i/>
          <w:iCs/>
          <w:color w:val="3A3A3A" w:themeColor="background2" w:themeShade="40"/>
          <w:sz w:val="28"/>
          <w:szCs w:val="28"/>
        </w:rPr>
        <w:t>Student ID</w:t>
      </w:r>
    </w:p>
    <w:p w14:paraId="1170E295" w14:textId="77777777" w:rsidR="00AE3BEE" w:rsidRPr="00745B4D" w:rsidRDefault="00745B4D" w:rsidP="00745B4D">
      <w:pPr>
        <w:pBdr>
          <w:bottom w:val="single" w:sz="6" w:space="1" w:color="auto"/>
        </w:pBdr>
        <w:jc w:val="center"/>
        <w:rPr>
          <w:rFonts w:cs="Arial"/>
          <w:b/>
          <w:bCs/>
          <w:i/>
          <w:iCs/>
          <w:color w:val="3A3A3A" w:themeColor="background2" w:themeShade="40"/>
          <w:sz w:val="28"/>
          <w:szCs w:val="28"/>
        </w:rPr>
      </w:pPr>
      <w:r w:rsidRPr="00745B4D">
        <w:rPr>
          <w:rFonts w:cs="Arial"/>
          <w:b/>
          <w:bCs/>
          <w:i/>
          <w:iCs/>
          <w:color w:val="3A3A3A" w:themeColor="background2" w:themeShade="40"/>
          <w:sz w:val="28"/>
          <w:szCs w:val="28"/>
        </w:rPr>
        <w:t>2426154</w:t>
      </w:r>
    </w:p>
    <w:p w14:paraId="32B11A56" w14:textId="77777777" w:rsidR="00AE3BEE" w:rsidRPr="00745B4D" w:rsidRDefault="00AE3BEE" w:rsidP="0099591B">
      <w:pPr>
        <w:pStyle w:val="TOCHeading"/>
        <w:numPr>
          <w:ilvl w:val="0"/>
          <w:numId w:val="0"/>
        </w:numPr>
        <w:rPr>
          <w:rFonts w:ascii="Arial" w:eastAsiaTheme="minorHAnsi" w:hAnsi="Arial" w:cs="Arial"/>
          <w:i/>
          <w:iCs/>
          <w:szCs w:val="28"/>
        </w:rPr>
      </w:pPr>
    </w:p>
    <w:p w14:paraId="4F4C3586" w14:textId="77777777" w:rsidR="00AE3BEE" w:rsidRPr="00745B4D" w:rsidRDefault="00AE3BEE" w:rsidP="00745B4D">
      <w:pPr>
        <w:spacing w:after="160" w:line="259" w:lineRule="auto"/>
        <w:jc w:val="left"/>
        <w:rPr>
          <w:rFonts w:asciiTheme="minorHAnsi" w:hAnsiTheme="minorHAnsi"/>
        </w:rPr>
      </w:pPr>
      <w:r w:rsidRPr="00745B4D">
        <w:rPr>
          <w:rFonts w:asciiTheme="minorHAnsi" w:hAnsiTheme="minorHAnsi"/>
        </w:rPr>
        <w:br w:type="page"/>
      </w:r>
    </w:p>
    <w:sdt>
      <w:sdtPr>
        <w:rPr>
          <w:rFonts w:asciiTheme="minorHAnsi" w:eastAsiaTheme="minorHAnsi" w:hAnsiTheme="minorHAnsi" w:cstheme="minorBidi"/>
          <w:b w:val="0"/>
          <w:bCs w:val="0"/>
          <w:color w:val="auto"/>
          <w:kern w:val="2"/>
          <w:sz w:val="22"/>
          <w:szCs w:val="22"/>
          <w:lang w:val="en-GB"/>
        </w:rPr>
        <w:id w:val="1133446712"/>
        <w:docPartObj>
          <w:docPartGallery w:val="Table of Contents"/>
          <w:docPartUnique/>
        </w:docPartObj>
      </w:sdtPr>
      <w:sdtEndPr>
        <w:rPr>
          <w:noProof/>
        </w:rPr>
      </w:sdtEndPr>
      <w:sdtContent>
        <w:p w14:paraId="39AE3F2E" w14:textId="77777777" w:rsidR="00CD2435" w:rsidRPr="00A40E58" w:rsidRDefault="00CD2435" w:rsidP="00745B4D">
          <w:pPr>
            <w:pStyle w:val="TOCHeading"/>
            <w:numPr>
              <w:ilvl w:val="0"/>
              <w:numId w:val="0"/>
            </w:numPr>
          </w:pPr>
          <w:r w:rsidRPr="00A40E58">
            <w:t>Table of Contents</w:t>
          </w:r>
        </w:p>
        <w:p w14:paraId="6CBA97F5" w14:textId="77777777" w:rsidR="00745B4D" w:rsidRDefault="00E437DD">
          <w:pPr>
            <w:pStyle w:val="TOC1"/>
            <w:tabs>
              <w:tab w:val="right" w:leader="dot" w:pos="9016"/>
            </w:tabs>
            <w:rPr>
              <w:rFonts w:eastAsiaTheme="minorEastAsia"/>
              <w:noProof/>
              <w:sz w:val="24"/>
              <w:szCs w:val="24"/>
              <w:lang w:val="en-US"/>
            </w:rPr>
          </w:pPr>
          <w:r w:rsidRPr="00A40E58">
            <w:rPr>
              <w:rFonts w:ascii="Arial" w:hAnsi="Arial" w:cs="Arial"/>
            </w:rPr>
            <w:fldChar w:fldCharType="begin"/>
          </w:r>
          <w:r w:rsidR="00CD2435" w:rsidRPr="00A40E58">
            <w:rPr>
              <w:rFonts w:ascii="Arial" w:hAnsi="Arial" w:cs="Arial"/>
            </w:rPr>
            <w:instrText xml:space="preserve"> TOC \o "1-3" \h \z \u </w:instrText>
          </w:r>
          <w:r w:rsidRPr="00A40E58">
            <w:rPr>
              <w:rFonts w:ascii="Arial" w:hAnsi="Arial" w:cs="Arial"/>
            </w:rPr>
            <w:fldChar w:fldCharType="separate"/>
          </w:r>
          <w:hyperlink w:anchor="_Toc216746764" w:history="1">
            <w:r w:rsidR="00745B4D" w:rsidRPr="00996CC1">
              <w:rPr>
                <w:rStyle w:val="Hyperlink"/>
                <w:noProof/>
              </w:rPr>
              <w:t>Summary</w:t>
            </w:r>
            <w:r w:rsidR="00745B4D">
              <w:rPr>
                <w:noProof/>
                <w:webHidden/>
              </w:rPr>
              <w:tab/>
            </w:r>
            <w:r>
              <w:rPr>
                <w:noProof/>
                <w:webHidden/>
              </w:rPr>
              <w:fldChar w:fldCharType="begin"/>
            </w:r>
            <w:r w:rsidR="00745B4D">
              <w:rPr>
                <w:noProof/>
                <w:webHidden/>
              </w:rPr>
              <w:instrText xml:space="preserve"> PAGEREF _Toc216746764 \h </w:instrText>
            </w:r>
            <w:r>
              <w:rPr>
                <w:noProof/>
                <w:webHidden/>
              </w:rPr>
            </w:r>
            <w:r>
              <w:rPr>
                <w:noProof/>
                <w:webHidden/>
              </w:rPr>
              <w:fldChar w:fldCharType="separate"/>
            </w:r>
            <w:r w:rsidR="00745B4D">
              <w:rPr>
                <w:noProof/>
                <w:webHidden/>
              </w:rPr>
              <w:t>3</w:t>
            </w:r>
            <w:r>
              <w:rPr>
                <w:noProof/>
                <w:webHidden/>
              </w:rPr>
              <w:fldChar w:fldCharType="end"/>
            </w:r>
          </w:hyperlink>
        </w:p>
        <w:p w14:paraId="4D648073" w14:textId="77777777" w:rsidR="00745B4D" w:rsidRDefault="00745B4D">
          <w:pPr>
            <w:pStyle w:val="TOC1"/>
            <w:tabs>
              <w:tab w:val="left" w:pos="480"/>
              <w:tab w:val="right" w:leader="dot" w:pos="9016"/>
            </w:tabs>
            <w:rPr>
              <w:rFonts w:eastAsiaTheme="minorEastAsia"/>
              <w:noProof/>
              <w:sz w:val="24"/>
              <w:szCs w:val="24"/>
              <w:lang w:val="en-US"/>
            </w:rPr>
          </w:pPr>
          <w:hyperlink w:anchor="_Toc216746765" w:history="1">
            <w:r w:rsidRPr="00996CC1">
              <w:rPr>
                <w:rStyle w:val="Hyperlink"/>
                <w:noProof/>
              </w:rPr>
              <w:t>1.</w:t>
            </w:r>
            <w:r>
              <w:rPr>
                <w:rFonts w:eastAsiaTheme="minorEastAsia"/>
                <w:noProof/>
                <w:sz w:val="24"/>
                <w:szCs w:val="24"/>
                <w:lang w:val="en-US"/>
              </w:rPr>
              <w:tab/>
            </w:r>
            <w:r w:rsidRPr="00996CC1">
              <w:rPr>
                <w:rStyle w:val="Hyperlink"/>
                <w:noProof/>
              </w:rPr>
              <w:t>Introduction</w:t>
            </w:r>
            <w:r>
              <w:rPr>
                <w:noProof/>
                <w:webHidden/>
              </w:rPr>
              <w:tab/>
            </w:r>
            <w:r w:rsidR="00E437DD">
              <w:rPr>
                <w:noProof/>
                <w:webHidden/>
              </w:rPr>
              <w:fldChar w:fldCharType="begin"/>
            </w:r>
            <w:r>
              <w:rPr>
                <w:noProof/>
                <w:webHidden/>
              </w:rPr>
              <w:instrText xml:space="preserve"> PAGEREF _Toc216746765 \h </w:instrText>
            </w:r>
            <w:r w:rsidR="00E437DD">
              <w:rPr>
                <w:noProof/>
                <w:webHidden/>
              </w:rPr>
            </w:r>
            <w:r w:rsidR="00E437DD">
              <w:rPr>
                <w:noProof/>
                <w:webHidden/>
              </w:rPr>
              <w:fldChar w:fldCharType="separate"/>
            </w:r>
            <w:r>
              <w:rPr>
                <w:noProof/>
                <w:webHidden/>
              </w:rPr>
              <w:t>3</w:t>
            </w:r>
            <w:r w:rsidR="00E437DD">
              <w:rPr>
                <w:noProof/>
                <w:webHidden/>
              </w:rPr>
              <w:fldChar w:fldCharType="end"/>
            </w:r>
          </w:hyperlink>
        </w:p>
        <w:p w14:paraId="23A08B94" w14:textId="77777777" w:rsidR="00745B4D" w:rsidRDefault="00745B4D">
          <w:pPr>
            <w:pStyle w:val="TOC1"/>
            <w:tabs>
              <w:tab w:val="left" w:pos="480"/>
              <w:tab w:val="right" w:leader="dot" w:pos="9016"/>
            </w:tabs>
            <w:rPr>
              <w:rFonts w:eastAsiaTheme="minorEastAsia"/>
              <w:noProof/>
              <w:sz w:val="24"/>
              <w:szCs w:val="24"/>
              <w:lang w:val="en-US"/>
            </w:rPr>
          </w:pPr>
          <w:hyperlink w:anchor="_Toc216746766" w:history="1">
            <w:r w:rsidRPr="00996CC1">
              <w:rPr>
                <w:rStyle w:val="Hyperlink"/>
                <w:noProof/>
              </w:rPr>
              <w:t>2.</w:t>
            </w:r>
            <w:r>
              <w:rPr>
                <w:rFonts w:eastAsiaTheme="minorEastAsia"/>
                <w:noProof/>
                <w:sz w:val="24"/>
                <w:szCs w:val="24"/>
                <w:lang w:val="en-US"/>
              </w:rPr>
              <w:tab/>
            </w:r>
            <w:r w:rsidRPr="00996CC1">
              <w:rPr>
                <w:rStyle w:val="Hyperlink"/>
                <w:noProof/>
              </w:rPr>
              <w:t>Section-1: Healthcare Systems and Systems Approach</w:t>
            </w:r>
            <w:r>
              <w:rPr>
                <w:noProof/>
                <w:webHidden/>
              </w:rPr>
              <w:tab/>
            </w:r>
            <w:r w:rsidR="00E437DD">
              <w:rPr>
                <w:noProof/>
                <w:webHidden/>
              </w:rPr>
              <w:fldChar w:fldCharType="begin"/>
            </w:r>
            <w:r>
              <w:rPr>
                <w:noProof/>
                <w:webHidden/>
              </w:rPr>
              <w:instrText xml:space="preserve"> PAGEREF _Toc216746766 \h </w:instrText>
            </w:r>
            <w:r w:rsidR="00E437DD">
              <w:rPr>
                <w:noProof/>
                <w:webHidden/>
              </w:rPr>
            </w:r>
            <w:r w:rsidR="00E437DD">
              <w:rPr>
                <w:noProof/>
                <w:webHidden/>
              </w:rPr>
              <w:fldChar w:fldCharType="separate"/>
            </w:r>
            <w:r>
              <w:rPr>
                <w:noProof/>
                <w:webHidden/>
              </w:rPr>
              <w:t>4</w:t>
            </w:r>
            <w:r w:rsidR="00E437DD">
              <w:rPr>
                <w:noProof/>
                <w:webHidden/>
              </w:rPr>
              <w:fldChar w:fldCharType="end"/>
            </w:r>
          </w:hyperlink>
        </w:p>
        <w:p w14:paraId="61177166" w14:textId="77777777" w:rsidR="00745B4D" w:rsidRDefault="00745B4D">
          <w:pPr>
            <w:pStyle w:val="TOC2"/>
            <w:tabs>
              <w:tab w:val="left" w:pos="960"/>
              <w:tab w:val="right" w:leader="dot" w:pos="9016"/>
            </w:tabs>
            <w:rPr>
              <w:rFonts w:eastAsiaTheme="minorEastAsia"/>
              <w:noProof/>
              <w:sz w:val="24"/>
              <w:szCs w:val="24"/>
              <w:lang w:val="en-US"/>
            </w:rPr>
          </w:pPr>
          <w:hyperlink w:anchor="_Toc216746767" w:history="1">
            <w:r w:rsidRPr="00996CC1">
              <w:rPr>
                <w:rStyle w:val="Hyperlink"/>
                <w:noProof/>
              </w:rPr>
              <w:t>2.1</w:t>
            </w:r>
            <w:r>
              <w:rPr>
                <w:rFonts w:eastAsiaTheme="minorEastAsia"/>
                <w:noProof/>
                <w:sz w:val="24"/>
                <w:szCs w:val="24"/>
                <w:lang w:val="en-US"/>
              </w:rPr>
              <w:tab/>
            </w:r>
            <w:r w:rsidRPr="00996CC1">
              <w:rPr>
                <w:rStyle w:val="Hyperlink"/>
                <w:noProof/>
              </w:rPr>
              <w:t>Spain: Healthcare System and Systems Approach to the COVID-19 Pandemic</w:t>
            </w:r>
            <w:r>
              <w:rPr>
                <w:noProof/>
                <w:webHidden/>
              </w:rPr>
              <w:tab/>
            </w:r>
            <w:r w:rsidR="00E437DD">
              <w:rPr>
                <w:noProof/>
                <w:webHidden/>
              </w:rPr>
              <w:fldChar w:fldCharType="begin"/>
            </w:r>
            <w:r>
              <w:rPr>
                <w:noProof/>
                <w:webHidden/>
              </w:rPr>
              <w:instrText xml:space="preserve"> PAGEREF _Toc216746767 \h </w:instrText>
            </w:r>
            <w:r w:rsidR="00E437DD">
              <w:rPr>
                <w:noProof/>
                <w:webHidden/>
              </w:rPr>
            </w:r>
            <w:r w:rsidR="00E437DD">
              <w:rPr>
                <w:noProof/>
                <w:webHidden/>
              </w:rPr>
              <w:fldChar w:fldCharType="separate"/>
            </w:r>
            <w:r>
              <w:rPr>
                <w:noProof/>
                <w:webHidden/>
              </w:rPr>
              <w:t>4</w:t>
            </w:r>
            <w:r w:rsidR="00E437DD">
              <w:rPr>
                <w:noProof/>
                <w:webHidden/>
              </w:rPr>
              <w:fldChar w:fldCharType="end"/>
            </w:r>
          </w:hyperlink>
        </w:p>
        <w:p w14:paraId="5B663E94" w14:textId="77777777" w:rsidR="00745B4D" w:rsidRDefault="00745B4D">
          <w:pPr>
            <w:pStyle w:val="TOC2"/>
            <w:tabs>
              <w:tab w:val="left" w:pos="960"/>
              <w:tab w:val="right" w:leader="dot" w:pos="9016"/>
            </w:tabs>
            <w:rPr>
              <w:rFonts w:eastAsiaTheme="minorEastAsia"/>
              <w:noProof/>
              <w:sz w:val="24"/>
              <w:szCs w:val="24"/>
              <w:lang w:val="en-US"/>
            </w:rPr>
          </w:pPr>
          <w:hyperlink w:anchor="_Toc216746768" w:history="1">
            <w:r w:rsidRPr="00996CC1">
              <w:rPr>
                <w:rStyle w:val="Hyperlink"/>
                <w:noProof/>
              </w:rPr>
              <w:t>2.2</w:t>
            </w:r>
            <w:r>
              <w:rPr>
                <w:rFonts w:eastAsiaTheme="minorEastAsia"/>
                <w:noProof/>
                <w:sz w:val="24"/>
                <w:szCs w:val="24"/>
                <w:lang w:val="en-US"/>
              </w:rPr>
              <w:tab/>
            </w:r>
            <w:r w:rsidRPr="00996CC1">
              <w:rPr>
                <w:rStyle w:val="Hyperlink"/>
                <w:noProof/>
              </w:rPr>
              <w:t>South Korea: Healthcare System and Systems Approach to the COVID-19 Pandemic</w:t>
            </w:r>
            <w:r>
              <w:rPr>
                <w:noProof/>
                <w:webHidden/>
              </w:rPr>
              <w:tab/>
            </w:r>
            <w:r w:rsidR="00E437DD">
              <w:rPr>
                <w:noProof/>
                <w:webHidden/>
              </w:rPr>
              <w:fldChar w:fldCharType="begin"/>
            </w:r>
            <w:r>
              <w:rPr>
                <w:noProof/>
                <w:webHidden/>
              </w:rPr>
              <w:instrText xml:space="preserve"> PAGEREF _Toc216746768 \h </w:instrText>
            </w:r>
            <w:r w:rsidR="00E437DD">
              <w:rPr>
                <w:noProof/>
                <w:webHidden/>
              </w:rPr>
            </w:r>
            <w:r w:rsidR="00E437DD">
              <w:rPr>
                <w:noProof/>
                <w:webHidden/>
              </w:rPr>
              <w:fldChar w:fldCharType="separate"/>
            </w:r>
            <w:r>
              <w:rPr>
                <w:noProof/>
                <w:webHidden/>
              </w:rPr>
              <w:t>6</w:t>
            </w:r>
            <w:r w:rsidR="00E437DD">
              <w:rPr>
                <w:noProof/>
                <w:webHidden/>
              </w:rPr>
              <w:fldChar w:fldCharType="end"/>
            </w:r>
          </w:hyperlink>
        </w:p>
        <w:p w14:paraId="7C7B9C83" w14:textId="77777777" w:rsidR="00745B4D" w:rsidRDefault="00745B4D">
          <w:pPr>
            <w:pStyle w:val="TOC2"/>
            <w:tabs>
              <w:tab w:val="left" w:pos="960"/>
              <w:tab w:val="right" w:leader="dot" w:pos="9016"/>
            </w:tabs>
            <w:rPr>
              <w:rFonts w:eastAsiaTheme="minorEastAsia"/>
              <w:noProof/>
              <w:sz w:val="24"/>
              <w:szCs w:val="24"/>
              <w:lang w:val="en-US"/>
            </w:rPr>
          </w:pPr>
          <w:hyperlink w:anchor="_Toc216746769" w:history="1">
            <w:r w:rsidRPr="00996CC1">
              <w:rPr>
                <w:rStyle w:val="Hyperlink"/>
                <w:noProof/>
              </w:rPr>
              <w:t>2.3</w:t>
            </w:r>
            <w:r>
              <w:rPr>
                <w:rFonts w:eastAsiaTheme="minorEastAsia"/>
                <w:noProof/>
                <w:sz w:val="24"/>
                <w:szCs w:val="24"/>
                <w:lang w:val="en-US"/>
              </w:rPr>
              <w:tab/>
            </w:r>
            <w:r w:rsidRPr="00996CC1">
              <w:rPr>
                <w:rStyle w:val="Hyperlink"/>
                <w:noProof/>
              </w:rPr>
              <w:t>Canada: Healthcare System and Systems Approach to the COVID-19 Pandemic</w:t>
            </w:r>
            <w:r>
              <w:rPr>
                <w:noProof/>
                <w:webHidden/>
              </w:rPr>
              <w:tab/>
            </w:r>
            <w:r w:rsidR="00E437DD">
              <w:rPr>
                <w:noProof/>
                <w:webHidden/>
              </w:rPr>
              <w:fldChar w:fldCharType="begin"/>
            </w:r>
            <w:r>
              <w:rPr>
                <w:noProof/>
                <w:webHidden/>
              </w:rPr>
              <w:instrText xml:space="preserve"> PAGEREF _Toc216746769 \h </w:instrText>
            </w:r>
            <w:r w:rsidR="00E437DD">
              <w:rPr>
                <w:noProof/>
                <w:webHidden/>
              </w:rPr>
            </w:r>
            <w:r w:rsidR="00E437DD">
              <w:rPr>
                <w:noProof/>
                <w:webHidden/>
              </w:rPr>
              <w:fldChar w:fldCharType="separate"/>
            </w:r>
            <w:r>
              <w:rPr>
                <w:noProof/>
                <w:webHidden/>
              </w:rPr>
              <w:t>10</w:t>
            </w:r>
            <w:r w:rsidR="00E437DD">
              <w:rPr>
                <w:noProof/>
                <w:webHidden/>
              </w:rPr>
              <w:fldChar w:fldCharType="end"/>
            </w:r>
          </w:hyperlink>
        </w:p>
        <w:p w14:paraId="2D304B3F" w14:textId="77777777" w:rsidR="00745B4D" w:rsidRDefault="00745B4D">
          <w:pPr>
            <w:pStyle w:val="TOC1"/>
            <w:tabs>
              <w:tab w:val="left" w:pos="480"/>
              <w:tab w:val="right" w:leader="dot" w:pos="9016"/>
            </w:tabs>
            <w:rPr>
              <w:rFonts w:eastAsiaTheme="minorEastAsia"/>
              <w:noProof/>
              <w:sz w:val="24"/>
              <w:szCs w:val="24"/>
              <w:lang w:val="en-US"/>
            </w:rPr>
          </w:pPr>
          <w:hyperlink w:anchor="_Toc216746770" w:history="1">
            <w:r w:rsidRPr="00996CC1">
              <w:rPr>
                <w:rStyle w:val="Hyperlink"/>
                <w:noProof/>
              </w:rPr>
              <w:t>3.</w:t>
            </w:r>
            <w:r>
              <w:rPr>
                <w:rFonts w:eastAsiaTheme="minorEastAsia"/>
                <w:noProof/>
                <w:sz w:val="24"/>
                <w:szCs w:val="24"/>
                <w:lang w:val="en-US"/>
              </w:rPr>
              <w:tab/>
            </w:r>
            <w:r w:rsidRPr="00996CC1">
              <w:rPr>
                <w:rStyle w:val="Hyperlink"/>
                <w:noProof/>
              </w:rPr>
              <w:t>Section-2: Leadership Styles Analysis</w:t>
            </w:r>
            <w:r>
              <w:rPr>
                <w:noProof/>
                <w:webHidden/>
              </w:rPr>
              <w:tab/>
            </w:r>
            <w:r w:rsidR="00E437DD">
              <w:rPr>
                <w:noProof/>
                <w:webHidden/>
              </w:rPr>
              <w:fldChar w:fldCharType="begin"/>
            </w:r>
            <w:r>
              <w:rPr>
                <w:noProof/>
                <w:webHidden/>
              </w:rPr>
              <w:instrText xml:space="preserve"> PAGEREF _Toc216746770 \h </w:instrText>
            </w:r>
            <w:r w:rsidR="00E437DD">
              <w:rPr>
                <w:noProof/>
                <w:webHidden/>
              </w:rPr>
            </w:r>
            <w:r w:rsidR="00E437DD">
              <w:rPr>
                <w:noProof/>
                <w:webHidden/>
              </w:rPr>
              <w:fldChar w:fldCharType="separate"/>
            </w:r>
            <w:r>
              <w:rPr>
                <w:noProof/>
                <w:webHidden/>
              </w:rPr>
              <w:t>12</w:t>
            </w:r>
            <w:r w:rsidR="00E437DD">
              <w:rPr>
                <w:noProof/>
                <w:webHidden/>
              </w:rPr>
              <w:fldChar w:fldCharType="end"/>
            </w:r>
          </w:hyperlink>
        </w:p>
        <w:p w14:paraId="30C37AE4" w14:textId="77777777" w:rsidR="00745B4D" w:rsidRDefault="00745B4D">
          <w:pPr>
            <w:pStyle w:val="TOC2"/>
            <w:tabs>
              <w:tab w:val="left" w:pos="960"/>
              <w:tab w:val="right" w:leader="dot" w:pos="9016"/>
            </w:tabs>
            <w:rPr>
              <w:rFonts w:eastAsiaTheme="minorEastAsia"/>
              <w:noProof/>
              <w:sz w:val="24"/>
              <w:szCs w:val="24"/>
              <w:lang w:val="en-US"/>
            </w:rPr>
          </w:pPr>
          <w:hyperlink w:anchor="_Toc216746771" w:history="1">
            <w:r w:rsidRPr="00996CC1">
              <w:rPr>
                <w:rStyle w:val="Hyperlink"/>
                <w:noProof/>
              </w:rPr>
              <w:t>3.1</w:t>
            </w:r>
            <w:r>
              <w:rPr>
                <w:rFonts w:eastAsiaTheme="minorEastAsia"/>
                <w:noProof/>
                <w:sz w:val="24"/>
                <w:szCs w:val="24"/>
                <w:lang w:val="en-US"/>
              </w:rPr>
              <w:tab/>
            </w:r>
            <w:r w:rsidRPr="00996CC1">
              <w:rPr>
                <w:rStyle w:val="Hyperlink"/>
                <w:noProof/>
              </w:rPr>
              <w:t>Spain: Leadership Styles and COVID-19 Response</w:t>
            </w:r>
            <w:r>
              <w:rPr>
                <w:noProof/>
                <w:webHidden/>
              </w:rPr>
              <w:tab/>
            </w:r>
            <w:r w:rsidR="00E437DD">
              <w:rPr>
                <w:noProof/>
                <w:webHidden/>
              </w:rPr>
              <w:fldChar w:fldCharType="begin"/>
            </w:r>
            <w:r>
              <w:rPr>
                <w:noProof/>
                <w:webHidden/>
              </w:rPr>
              <w:instrText xml:space="preserve"> PAGEREF _Toc216746771 \h </w:instrText>
            </w:r>
            <w:r w:rsidR="00E437DD">
              <w:rPr>
                <w:noProof/>
                <w:webHidden/>
              </w:rPr>
            </w:r>
            <w:r w:rsidR="00E437DD">
              <w:rPr>
                <w:noProof/>
                <w:webHidden/>
              </w:rPr>
              <w:fldChar w:fldCharType="separate"/>
            </w:r>
            <w:r>
              <w:rPr>
                <w:noProof/>
                <w:webHidden/>
              </w:rPr>
              <w:t>12</w:t>
            </w:r>
            <w:r w:rsidR="00E437DD">
              <w:rPr>
                <w:noProof/>
                <w:webHidden/>
              </w:rPr>
              <w:fldChar w:fldCharType="end"/>
            </w:r>
          </w:hyperlink>
        </w:p>
        <w:p w14:paraId="564E4FD9" w14:textId="77777777" w:rsidR="00745B4D" w:rsidRDefault="00745B4D">
          <w:pPr>
            <w:pStyle w:val="TOC2"/>
            <w:tabs>
              <w:tab w:val="left" w:pos="960"/>
              <w:tab w:val="right" w:leader="dot" w:pos="9016"/>
            </w:tabs>
            <w:rPr>
              <w:rFonts w:eastAsiaTheme="minorEastAsia"/>
              <w:noProof/>
              <w:sz w:val="24"/>
              <w:szCs w:val="24"/>
              <w:lang w:val="en-US"/>
            </w:rPr>
          </w:pPr>
          <w:hyperlink w:anchor="_Toc216746772" w:history="1">
            <w:r w:rsidRPr="00996CC1">
              <w:rPr>
                <w:rStyle w:val="Hyperlink"/>
                <w:noProof/>
              </w:rPr>
              <w:t>3.2</w:t>
            </w:r>
            <w:r>
              <w:rPr>
                <w:rFonts w:eastAsiaTheme="minorEastAsia"/>
                <w:noProof/>
                <w:sz w:val="24"/>
                <w:szCs w:val="24"/>
                <w:lang w:val="en-US"/>
              </w:rPr>
              <w:tab/>
            </w:r>
            <w:r w:rsidRPr="00996CC1">
              <w:rPr>
                <w:rStyle w:val="Hyperlink"/>
                <w:noProof/>
              </w:rPr>
              <w:t>South Korea: Leadership Styles and COVID-19 Response</w:t>
            </w:r>
            <w:r>
              <w:rPr>
                <w:noProof/>
                <w:webHidden/>
              </w:rPr>
              <w:tab/>
            </w:r>
            <w:r w:rsidR="00E437DD">
              <w:rPr>
                <w:noProof/>
                <w:webHidden/>
              </w:rPr>
              <w:fldChar w:fldCharType="begin"/>
            </w:r>
            <w:r>
              <w:rPr>
                <w:noProof/>
                <w:webHidden/>
              </w:rPr>
              <w:instrText xml:space="preserve"> PAGEREF _Toc216746772 \h </w:instrText>
            </w:r>
            <w:r w:rsidR="00E437DD">
              <w:rPr>
                <w:noProof/>
                <w:webHidden/>
              </w:rPr>
            </w:r>
            <w:r w:rsidR="00E437DD">
              <w:rPr>
                <w:noProof/>
                <w:webHidden/>
              </w:rPr>
              <w:fldChar w:fldCharType="separate"/>
            </w:r>
            <w:r>
              <w:rPr>
                <w:noProof/>
                <w:webHidden/>
              </w:rPr>
              <w:t>14</w:t>
            </w:r>
            <w:r w:rsidR="00E437DD">
              <w:rPr>
                <w:noProof/>
                <w:webHidden/>
              </w:rPr>
              <w:fldChar w:fldCharType="end"/>
            </w:r>
          </w:hyperlink>
        </w:p>
        <w:p w14:paraId="155A1B91" w14:textId="77777777" w:rsidR="00745B4D" w:rsidRDefault="00745B4D">
          <w:pPr>
            <w:pStyle w:val="TOC2"/>
            <w:tabs>
              <w:tab w:val="left" w:pos="960"/>
              <w:tab w:val="right" w:leader="dot" w:pos="9016"/>
            </w:tabs>
            <w:rPr>
              <w:rFonts w:eastAsiaTheme="minorEastAsia"/>
              <w:noProof/>
              <w:sz w:val="24"/>
              <w:szCs w:val="24"/>
              <w:lang w:val="en-US"/>
            </w:rPr>
          </w:pPr>
          <w:hyperlink w:anchor="_Toc216746773" w:history="1">
            <w:r w:rsidRPr="00996CC1">
              <w:rPr>
                <w:rStyle w:val="Hyperlink"/>
                <w:noProof/>
              </w:rPr>
              <w:t>3.3</w:t>
            </w:r>
            <w:r>
              <w:rPr>
                <w:rFonts w:eastAsiaTheme="minorEastAsia"/>
                <w:noProof/>
                <w:sz w:val="24"/>
                <w:szCs w:val="24"/>
                <w:lang w:val="en-US"/>
              </w:rPr>
              <w:tab/>
            </w:r>
            <w:r w:rsidRPr="00996CC1">
              <w:rPr>
                <w:rStyle w:val="Hyperlink"/>
                <w:noProof/>
              </w:rPr>
              <w:t>Canada: Leadership Styles and COVID-19 Response</w:t>
            </w:r>
            <w:r>
              <w:rPr>
                <w:noProof/>
                <w:webHidden/>
              </w:rPr>
              <w:tab/>
            </w:r>
            <w:r w:rsidR="00E437DD">
              <w:rPr>
                <w:noProof/>
                <w:webHidden/>
              </w:rPr>
              <w:fldChar w:fldCharType="begin"/>
            </w:r>
            <w:r>
              <w:rPr>
                <w:noProof/>
                <w:webHidden/>
              </w:rPr>
              <w:instrText xml:space="preserve"> PAGEREF _Toc216746773 \h </w:instrText>
            </w:r>
            <w:r w:rsidR="00E437DD">
              <w:rPr>
                <w:noProof/>
                <w:webHidden/>
              </w:rPr>
            </w:r>
            <w:r w:rsidR="00E437DD">
              <w:rPr>
                <w:noProof/>
                <w:webHidden/>
              </w:rPr>
              <w:fldChar w:fldCharType="separate"/>
            </w:r>
            <w:r>
              <w:rPr>
                <w:noProof/>
                <w:webHidden/>
              </w:rPr>
              <w:t>16</w:t>
            </w:r>
            <w:r w:rsidR="00E437DD">
              <w:rPr>
                <w:noProof/>
                <w:webHidden/>
              </w:rPr>
              <w:fldChar w:fldCharType="end"/>
            </w:r>
          </w:hyperlink>
        </w:p>
        <w:p w14:paraId="3CE03416" w14:textId="77777777" w:rsidR="00745B4D" w:rsidRDefault="00745B4D">
          <w:pPr>
            <w:pStyle w:val="TOC1"/>
            <w:tabs>
              <w:tab w:val="left" w:pos="480"/>
              <w:tab w:val="right" w:leader="dot" w:pos="9016"/>
            </w:tabs>
            <w:rPr>
              <w:rFonts w:eastAsiaTheme="minorEastAsia"/>
              <w:noProof/>
              <w:sz w:val="24"/>
              <w:szCs w:val="24"/>
              <w:lang w:val="en-US"/>
            </w:rPr>
          </w:pPr>
          <w:hyperlink w:anchor="_Toc216746774" w:history="1">
            <w:r w:rsidRPr="00996CC1">
              <w:rPr>
                <w:rStyle w:val="Hyperlink"/>
                <w:noProof/>
              </w:rPr>
              <w:t>4.</w:t>
            </w:r>
            <w:r>
              <w:rPr>
                <w:rFonts w:eastAsiaTheme="minorEastAsia"/>
                <w:noProof/>
                <w:sz w:val="24"/>
                <w:szCs w:val="24"/>
                <w:lang w:val="en-US"/>
              </w:rPr>
              <w:tab/>
            </w:r>
            <w:r w:rsidRPr="00996CC1">
              <w:rPr>
                <w:rStyle w:val="Hyperlink"/>
                <w:noProof/>
              </w:rPr>
              <w:t>Conclusion</w:t>
            </w:r>
            <w:r>
              <w:rPr>
                <w:noProof/>
                <w:webHidden/>
              </w:rPr>
              <w:tab/>
            </w:r>
            <w:r w:rsidR="00E437DD">
              <w:rPr>
                <w:noProof/>
                <w:webHidden/>
              </w:rPr>
              <w:fldChar w:fldCharType="begin"/>
            </w:r>
            <w:r>
              <w:rPr>
                <w:noProof/>
                <w:webHidden/>
              </w:rPr>
              <w:instrText xml:space="preserve"> PAGEREF _Toc216746774 \h </w:instrText>
            </w:r>
            <w:r w:rsidR="00E437DD">
              <w:rPr>
                <w:noProof/>
                <w:webHidden/>
              </w:rPr>
            </w:r>
            <w:r w:rsidR="00E437DD">
              <w:rPr>
                <w:noProof/>
                <w:webHidden/>
              </w:rPr>
              <w:fldChar w:fldCharType="separate"/>
            </w:r>
            <w:r>
              <w:rPr>
                <w:noProof/>
                <w:webHidden/>
              </w:rPr>
              <w:t>18</w:t>
            </w:r>
            <w:r w:rsidR="00E437DD">
              <w:rPr>
                <w:noProof/>
                <w:webHidden/>
              </w:rPr>
              <w:fldChar w:fldCharType="end"/>
            </w:r>
          </w:hyperlink>
        </w:p>
        <w:p w14:paraId="003B027E" w14:textId="77777777" w:rsidR="00745B4D" w:rsidRDefault="00745B4D">
          <w:pPr>
            <w:pStyle w:val="TOC1"/>
            <w:tabs>
              <w:tab w:val="right" w:leader="dot" w:pos="9016"/>
            </w:tabs>
            <w:rPr>
              <w:rFonts w:eastAsiaTheme="minorEastAsia"/>
              <w:noProof/>
              <w:sz w:val="24"/>
              <w:szCs w:val="24"/>
              <w:lang w:val="en-US"/>
            </w:rPr>
          </w:pPr>
          <w:hyperlink w:anchor="_Toc216746775" w:history="1">
            <w:r w:rsidRPr="00996CC1">
              <w:rPr>
                <w:rStyle w:val="Hyperlink"/>
                <w:noProof/>
              </w:rPr>
              <w:t>References</w:t>
            </w:r>
            <w:r>
              <w:rPr>
                <w:noProof/>
                <w:webHidden/>
              </w:rPr>
              <w:tab/>
            </w:r>
            <w:r w:rsidR="00E437DD">
              <w:rPr>
                <w:noProof/>
                <w:webHidden/>
              </w:rPr>
              <w:fldChar w:fldCharType="begin"/>
            </w:r>
            <w:r>
              <w:rPr>
                <w:noProof/>
                <w:webHidden/>
              </w:rPr>
              <w:instrText xml:space="preserve"> PAGEREF _Toc216746775 \h </w:instrText>
            </w:r>
            <w:r w:rsidR="00E437DD">
              <w:rPr>
                <w:noProof/>
                <w:webHidden/>
              </w:rPr>
            </w:r>
            <w:r w:rsidR="00E437DD">
              <w:rPr>
                <w:noProof/>
                <w:webHidden/>
              </w:rPr>
              <w:fldChar w:fldCharType="separate"/>
            </w:r>
            <w:r>
              <w:rPr>
                <w:noProof/>
                <w:webHidden/>
              </w:rPr>
              <w:t>20</w:t>
            </w:r>
            <w:r w:rsidR="00E437DD">
              <w:rPr>
                <w:noProof/>
                <w:webHidden/>
              </w:rPr>
              <w:fldChar w:fldCharType="end"/>
            </w:r>
          </w:hyperlink>
        </w:p>
        <w:p w14:paraId="72DB4EB9" w14:textId="77777777" w:rsidR="00CD2435" w:rsidRPr="00A40E58" w:rsidRDefault="00E437DD" w:rsidP="008D24E3">
          <w:pPr>
            <w:pStyle w:val="TOC2"/>
            <w:tabs>
              <w:tab w:val="right" w:leader="dot" w:pos="9350"/>
            </w:tabs>
            <w:spacing w:after="0" w:line="360" w:lineRule="auto"/>
            <w:rPr>
              <w:rFonts w:ascii="Arial" w:eastAsiaTheme="minorEastAsia" w:hAnsi="Arial" w:cs="Arial"/>
              <w:noProof/>
            </w:rPr>
          </w:pPr>
          <w:r w:rsidRPr="00A40E58">
            <w:rPr>
              <w:rFonts w:cs="Arial"/>
              <w:b/>
              <w:bCs/>
              <w:noProof/>
            </w:rPr>
            <w:fldChar w:fldCharType="end"/>
          </w:r>
        </w:p>
      </w:sdtContent>
    </w:sdt>
    <w:p w14:paraId="6267FCD4" w14:textId="77777777" w:rsidR="00B755B1" w:rsidRPr="00745B4D" w:rsidRDefault="00B755B1" w:rsidP="00583611">
      <w:pPr>
        <w:rPr>
          <w:rFonts w:cs="Arial"/>
        </w:rPr>
      </w:pPr>
    </w:p>
    <w:p w14:paraId="4A5B2F33" w14:textId="77777777" w:rsidR="00B755B1" w:rsidRPr="00745B4D" w:rsidRDefault="00B755B1" w:rsidP="00583611">
      <w:pPr>
        <w:rPr>
          <w:rFonts w:cs="Arial"/>
        </w:rPr>
      </w:pPr>
    </w:p>
    <w:p w14:paraId="272E9DBB" w14:textId="77777777" w:rsidR="00B755B1" w:rsidRPr="00745B4D" w:rsidRDefault="00B755B1" w:rsidP="00583611">
      <w:pPr>
        <w:rPr>
          <w:rFonts w:cs="Arial"/>
        </w:rPr>
      </w:pPr>
    </w:p>
    <w:p w14:paraId="4265DF7B" w14:textId="77777777" w:rsidR="00B755B1" w:rsidRPr="00745B4D" w:rsidRDefault="00B755B1" w:rsidP="00583611">
      <w:pPr>
        <w:rPr>
          <w:rFonts w:cs="Arial"/>
        </w:rPr>
      </w:pPr>
    </w:p>
    <w:p w14:paraId="593B55A3" w14:textId="77777777" w:rsidR="00B755B1" w:rsidRPr="00745B4D" w:rsidRDefault="00B755B1" w:rsidP="00583611">
      <w:pPr>
        <w:rPr>
          <w:rFonts w:cs="Arial"/>
        </w:rPr>
      </w:pPr>
    </w:p>
    <w:p w14:paraId="545133E4" w14:textId="77777777" w:rsidR="00B755B1" w:rsidRPr="00745B4D" w:rsidRDefault="00B755B1" w:rsidP="00583611">
      <w:pPr>
        <w:rPr>
          <w:rFonts w:cs="Arial"/>
        </w:rPr>
      </w:pPr>
    </w:p>
    <w:p w14:paraId="4A409E53" w14:textId="77777777" w:rsidR="00B755B1" w:rsidRPr="00745B4D" w:rsidRDefault="00B755B1" w:rsidP="00583611">
      <w:pPr>
        <w:rPr>
          <w:rFonts w:cs="Arial"/>
        </w:rPr>
      </w:pPr>
    </w:p>
    <w:p w14:paraId="2C06B098" w14:textId="77777777" w:rsidR="00B755B1" w:rsidRPr="00745B4D" w:rsidRDefault="00B755B1" w:rsidP="00583611">
      <w:pPr>
        <w:rPr>
          <w:rFonts w:cs="Arial"/>
        </w:rPr>
      </w:pPr>
    </w:p>
    <w:p w14:paraId="17B173EA" w14:textId="77777777" w:rsidR="00B755B1" w:rsidRPr="00745B4D" w:rsidRDefault="00B755B1" w:rsidP="00583611">
      <w:pPr>
        <w:rPr>
          <w:rFonts w:cs="Arial"/>
        </w:rPr>
      </w:pPr>
    </w:p>
    <w:p w14:paraId="0DB8906F" w14:textId="77777777" w:rsidR="00B755B1" w:rsidRPr="00745B4D" w:rsidRDefault="00B755B1" w:rsidP="00583611">
      <w:pPr>
        <w:rPr>
          <w:rFonts w:cs="Arial"/>
        </w:rPr>
      </w:pPr>
    </w:p>
    <w:p w14:paraId="7C899D2E" w14:textId="77777777" w:rsidR="00B755B1" w:rsidRPr="00745B4D" w:rsidRDefault="00B755B1" w:rsidP="00583611">
      <w:pPr>
        <w:rPr>
          <w:rFonts w:cs="Arial"/>
        </w:rPr>
      </w:pPr>
    </w:p>
    <w:p w14:paraId="465FEA04" w14:textId="77777777" w:rsidR="00B755B1" w:rsidRPr="00745B4D" w:rsidRDefault="00B755B1" w:rsidP="00583611">
      <w:pPr>
        <w:rPr>
          <w:rFonts w:cs="Arial"/>
        </w:rPr>
      </w:pPr>
    </w:p>
    <w:p w14:paraId="68A1827A" w14:textId="77777777" w:rsidR="00B755B1" w:rsidRPr="00745B4D" w:rsidRDefault="00B755B1" w:rsidP="00583611">
      <w:pPr>
        <w:rPr>
          <w:rFonts w:cs="Arial"/>
        </w:rPr>
      </w:pPr>
    </w:p>
    <w:p w14:paraId="17177929" w14:textId="77777777" w:rsidR="00B755B1" w:rsidRPr="00745B4D" w:rsidRDefault="00B755B1" w:rsidP="00583611">
      <w:pPr>
        <w:rPr>
          <w:rFonts w:cs="Arial"/>
        </w:rPr>
      </w:pPr>
    </w:p>
    <w:p w14:paraId="7A8FD084" w14:textId="77777777" w:rsidR="00B755B1" w:rsidRPr="00745B4D" w:rsidRDefault="00B755B1" w:rsidP="00583611">
      <w:pPr>
        <w:rPr>
          <w:rFonts w:cs="Arial"/>
        </w:rPr>
      </w:pPr>
    </w:p>
    <w:p w14:paraId="7A3F41C0" w14:textId="77777777" w:rsidR="00CD2435" w:rsidRPr="00745B4D" w:rsidRDefault="00CD2435" w:rsidP="00583611">
      <w:pPr>
        <w:rPr>
          <w:rFonts w:cs="Arial"/>
        </w:rPr>
      </w:pPr>
    </w:p>
    <w:p w14:paraId="67CA4EDF" w14:textId="77777777" w:rsidR="008D24E3" w:rsidRPr="00745B4D" w:rsidRDefault="008D24E3" w:rsidP="00583611">
      <w:pPr>
        <w:rPr>
          <w:rFonts w:cs="Arial"/>
        </w:rPr>
      </w:pPr>
    </w:p>
    <w:p w14:paraId="57409F0C" w14:textId="77777777" w:rsidR="00AE3BEE" w:rsidRPr="00745B4D" w:rsidRDefault="00AE3BEE">
      <w:pPr>
        <w:spacing w:after="160" w:line="259" w:lineRule="auto"/>
        <w:jc w:val="left"/>
        <w:rPr>
          <w:rFonts w:eastAsiaTheme="majorEastAsia" w:cstheme="majorBidi"/>
          <w:bCs/>
          <w:color w:val="215E99" w:themeColor="text2" w:themeTint="BF"/>
        </w:rPr>
      </w:pPr>
      <w:r w:rsidRPr="00745B4D">
        <w:br w:type="page"/>
      </w:r>
    </w:p>
    <w:p w14:paraId="6522679F" w14:textId="77777777" w:rsidR="00583611" w:rsidRPr="00AE3BEE" w:rsidRDefault="00583611" w:rsidP="00745B4D">
      <w:pPr>
        <w:pStyle w:val="Heading1"/>
        <w:numPr>
          <w:ilvl w:val="0"/>
          <w:numId w:val="0"/>
        </w:numPr>
        <w:ind w:left="432" w:hanging="432"/>
      </w:pPr>
      <w:bookmarkStart w:id="0" w:name="_Toc216746764"/>
      <w:r w:rsidRPr="00AE3BEE">
        <w:t>Summary</w:t>
      </w:r>
      <w:bookmarkEnd w:id="0"/>
    </w:p>
    <w:p w14:paraId="73EE3DEA" w14:textId="77777777" w:rsidR="00583611" w:rsidRPr="00745B4D" w:rsidRDefault="00583611" w:rsidP="00C94EAF">
      <w:r w:rsidRPr="00745B4D">
        <w:t>Th</w:t>
      </w:r>
      <w:r w:rsidR="00C94EAF" w:rsidRPr="00745B4D">
        <w:t>is</w:t>
      </w:r>
      <w:r w:rsidRPr="00745B4D">
        <w:t xml:space="preserve"> report focuses on the issue of how the healthcare system structure and leadership approach influenced the way the national response to the COVID-19 pandemic was reali</w:t>
      </w:r>
      <w:r w:rsidR="00037697" w:rsidRPr="00745B4D">
        <w:t>s</w:t>
      </w:r>
      <w:r w:rsidRPr="00745B4D">
        <w:t>ed by comparing Spain, South Korea and Canada. It compares the centralised and decentralised approaches of the systems and evaluates the roles played by the coordination, responsiveness and health outcomes with the governance structures. Th</w:t>
      </w:r>
      <w:r w:rsidR="00C94EAF" w:rsidRPr="00745B4D">
        <w:t>isanalysis</w:t>
      </w:r>
      <w:r w:rsidRPr="00745B4D">
        <w:t xml:space="preserve"> also compares leadership styles used by leaders of the countries basing on leadership theories to assess crisis decision-making, communication and trust of the people. The conclusion made in the analysis is that adaptive leadership in conjunction with the use of effective coordination mechanisms is important during health emergencies and that hybrid systems models that integrate centrali</w:t>
      </w:r>
      <w:r w:rsidR="00037697" w:rsidRPr="00745B4D">
        <w:t>s</w:t>
      </w:r>
      <w:r w:rsidRPr="00745B4D">
        <w:t>ed control with decentrali</w:t>
      </w:r>
      <w:r w:rsidR="00037697" w:rsidRPr="00745B4D">
        <w:t>s</w:t>
      </w:r>
      <w:r w:rsidRPr="00745B4D">
        <w:t>ed execution yield more resilient and functional pandemic responses.</w:t>
      </w:r>
    </w:p>
    <w:p w14:paraId="15CA1D37" w14:textId="77777777" w:rsidR="00583611" w:rsidRPr="00AE3BEE" w:rsidRDefault="00583611" w:rsidP="00AE3BEE">
      <w:pPr>
        <w:pStyle w:val="Heading1"/>
        <w:numPr>
          <w:ilvl w:val="0"/>
          <w:numId w:val="3"/>
        </w:numPr>
      </w:pPr>
      <w:bookmarkStart w:id="1" w:name="_Toc216746765"/>
      <w:r w:rsidRPr="00AE3BEE">
        <w:t>Introduction</w:t>
      </w:r>
      <w:bookmarkEnd w:id="1"/>
    </w:p>
    <w:p w14:paraId="05CF8D58" w14:textId="77777777" w:rsidR="00583611" w:rsidRPr="00745B4D" w:rsidRDefault="00583611" w:rsidP="00850F73">
      <w:pPr>
        <w:rPr>
          <w:rFonts w:cs="Arial"/>
        </w:rPr>
      </w:pPr>
      <w:r w:rsidRPr="00745B4D">
        <w:rPr>
          <w:rFonts w:cs="Arial"/>
        </w:rPr>
        <w:t>The COVID-19 pandemic was a world</w:t>
      </w:r>
      <w:r w:rsidR="00B922AD" w:rsidRPr="00745B4D">
        <w:rPr>
          <w:rFonts w:cs="Arial"/>
        </w:rPr>
        <w:t>-</w:t>
      </w:r>
      <w:r w:rsidRPr="00745B4D">
        <w:rPr>
          <w:rFonts w:cs="Arial"/>
        </w:rPr>
        <w:t xml:space="preserve">wide public health crisis that challenged the capacity, organisation and leadership of healthcare systems throughout the world </w:t>
      </w:r>
      <w:r w:rsidR="00976570" w:rsidRPr="00745B4D">
        <w:rPr>
          <w:rFonts w:cs="Arial"/>
        </w:rPr>
        <w:t>(Assefa et al., 2022).</w:t>
      </w:r>
      <w:r w:rsidRPr="00745B4D">
        <w:rPr>
          <w:rFonts w:cs="Arial"/>
        </w:rPr>
        <w:t xml:space="preserve">The report is a comparative study of healthcare systems of </w:t>
      </w:r>
      <w:r w:rsidRPr="00745B4D">
        <w:rPr>
          <w:rFonts w:cs="Arial"/>
          <w:i/>
          <w:iCs/>
        </w:rPr>
        <w:t>Spain, South Korea and Canada</w:t>
      </w:r>
      <w:r w:rsidRPr="00745B4D">
        <w:rPr>
          <w:rFonts w:cs="Arial"/>
        </w:rPr>
        <w:t xml:space="preserve"> and the role variations in the organisation and leadership styles played in the response of the countries to the COVID-19 crisis. Th</w:t>
      </w:r>
      <w:r w:rsidR="001C2BAA" w:rsidRPr="00745B4D">
        <w:rPr>
          <w:rFonts w:cs="Arial"/>
        </w:rPr>
        <w:t>is study</w:t>
      </w:r>
      <w:r w:rsidRPr="00745B4D">
        <w:rPr>
          <w:rFonts w:cs="Arial"/>
        </w:rPr>
        <w:t xml:space="preserve"> shows the role of governance structures and decision-making processes in pandemic preparedness, response speed and health outcomes by analy</w:t>
      </w:r>
      <w:r w:rsidR="00B552A6" w:rsidRPr="00745B4D">
        <w:rPr>
          <w:rFonts w:cs="Arial"/>
        </w:rPr>
        <w:t>s</w:t>
      </w:r>
      <w:r w:rsidRPr="00745B4D">
        <w:rPr>
          <w:rFonts w:cs="Arial"/>
        </w:rPr>
        <w:t>ing these three countries.</w:t>
      </w:r>
    </w:p>
    <w:p w14:paraId="066E0B97" w14:textId="77777777" w:rsidR="00583611" w:rsidRPr="00745B4D" w:rsidRDefault="00583611" w:rsidP="00850F73">
      <w:pPr>
        <w:rPr>
          <w:rFonts w:cs="Arial"/>
        </w:rPr>
      </w:pPr>
      <w:r w:rsidRPr="00745B4D">
        <w:rPr>
          <w:rFonts w:cs="Arial"/>
        </w:rPr>
        <w:t xml:space="preserve">One of the most important analytical tools that have been applied in this </w:t>
      </w:r>
      <w:r w:rsidR="001C2BAA" w:rsidRPr="00745B4D">
        <w:rPr>
          <w:rFonts w:cs="Arial"/>
        </w:rPr>
        <w:t>analysis</w:t>
      </w:r>
      <w:r w:rsidRPr="00745B4D">
        <w:rPr>
          <w:rFonts w:cs="Arial"/>
        </w:rPr>
        <w:t xml:space="preserve"> is the centralised and decentralised healthcare system distinction. Centralisation is where decision-making power is concentrated at the national level and thus swift and consistent decisions </w:t>
      </w:r>
      <w:r w:rsidR="00B935EF" w:rsidRPr="00745B4D">
        <w:rPr>
          <w:rFonts w:cs="Arial"/>
        </w:rPr>
        <w:t>such as</w:t>
      </w:r>
      <w:r w:rsidRPr="00745B4D">
        <w:rPr>
          <w:rFonts w:cs="Arial"/>
        </w:rPr>
        <w:t xml:space="preserve"> lockdowns on a national scale or central buying of vaccines as was the case in Spain during later stages of the pandemic</w:t>
      </w:r>
      <w:r w:rsidR="00B935EF" w:rsidRPr="00745B4D">
        <w:rPr>
          <w:rFonts w:cs="Arial"/>
        </w:rPr>
        <w:t xml:space="preserve">(Navarro and Velasco, 2022). </w:t>
      </w:r>
      <w:r w:rsidRPr="00745B4D">
        <w:rPr>
          <w:rFonts w:cs="Arial"/>
        </w:rPr>
        <w:t xml:space="preserve">Conversely, the decentralisation </w:t>
      </w:r>
      <w:r w:rsidR="00A43974" w:rsidRPr="00745B4D">
        <w:rPr>
          <w:rFonts w:cs="Arial"/>
        </w:rPr>
        <w:t xml:space="preserve">can </w:t>
      </w:r>
      <w:r w:rsidRPr="00745B4D">
        <w:rPr>
          <w:rFonts w:cs="Arial"/>
        </w:rPr>
        <w:t>spread the power to regional or provincial governments where policies can be adjusted to the local situations, as seen in the province-based responses of public health in Canada</w:t>
      </w:r>
      <w:r w:rsidR="00A43974" w:rsidRPr="00745B4D">
        <w:rPr>
          <w:rFonts w:cs="Arial"/>
        </w:rPr>
        <w:t xml:space="preserve">(Bubela et al., 2023). </w:t>
      </w:r>
    </w:p>
    <w:p w14:paraId="46BF502F" w14:textId="77777777" w:rsidR="00583611" w:rsidRPr="00745B4D" w:rsidRDefault="00583611" w:rsidP="00850F73">
      <w:pPr>
        <w:rPr>
          <w:rFonts w:cs="Arial"/>
        </w:rPr>
      </w:pPr>
      <w:r w:rsidRPr="00745B4D">
        <w:rPr>
          <w:rFonts w:cs="Arial"/>
        </w:rPr>
        <w:t xml:space="preserve">The role of leadership during the emergence of the public health is a significant aspect since leaders must coordinate the systems, deliver risk communication and maintain public trust when uncertainty prevails </w:t>
      </w:r>
      <w:r w:rsidR="00850F73" w:rsidRPr="00745B4D">
        <w:rPr>
          <w:rFonts w:cs="Arial"/>
        </w:rPr>
        <w:t>(J. Fos, A. Honoré and L. Honoré, 2021). P</w:t>
      </w:r>
      <w:r w:rsidRPr="00745B4D">
        <w:rPr>
          <w:rFonts w:cs="Arial"/>
        </w:rPr>
        <w:t>articular interest are the case studies of Spain, South Korea and Canada since they represent a variety of different system structures and leadership styles, including those of initially delayed reaction of Spain, transparent and technology-based leadership style of South Korea and the federal and unifying approach of Canada, which gives us a good insight into how leadership and system design interact during the time of crisis.</w:t>
      </w:r>
    </w:p>
    <w:p w14:paraId="3473FAFC" w14:textId="77777777" w:rsidR="00583611" w:rsidRPr="00AE3BEE" w:rsidRDefault="00583611" w:rsidP="00AE3BEE">
      <w:pPr>
        <w:pStyle w:val="Heading1"/>
        <w:numPr>
          <w:ilvl w:val="0"/>
          <w:numId w:val="3"/>
        </w:numPr>
      </w:pPr>
      <w:bookmarkStart w:id="2" w:name="_Toc216746766"/>
      <w:r w:rsidRPr="00AE3BEE">
        <w:t xml:space="preserve">Section-1: Healthcare </w:t>
      </w:r>
      <w:r w:rsidR="008D24E3" w:rsidRPr="00AE3BEE">
        <w:t>S</w:t>
      </w:r>
      <w:r w:rsidRPr="00AE3BEE">
        <w:t xml:space="preserve">ystems </w:t>
      </w:r>
      <w:r w:rsidR="009C38DC" w:rsidRPr="00AE3BEE">
        <w:t>and</w:t>
      </w:r>
      <w:r w:rsidR="008D24E3" w:rsidRPr="00AE3BEE">
        <w:t>S</w:t>
      </w:r>
      <w:r w:rsidRPr="00AE3BEE">
        <w:t xml:space="preserve">ystems </w:t>
      </w:r>
      <w:r w:rsidR="008D24E3" w:rsidRPr="00AE3BEE">
        <w:t>A</w:t>
      </w:r>
      <w:r w:rsidRPr="00AE3BEE">
        <w:t>pproach</w:t>
      </w:r>
      <w:bookmarkEnd w:id="2"/>
    </w:p>
    <w:p w14:paraId="60705C34" w14:textId="77777777" w:rsidR="00583611" w:rsidRPr="00AE3BEE" w:rsidRDefault="00583611" w:rsidP="00745B4D">
      <w:pPr>
        <w:pStyle w:val="Heading2"/>
        <w:numPr>
          <w:ilvl w:val="1"/>
          <w:numId w:val="3"/>
        </w:numPr>
      </w:pPr>
      <w:bookmarkStart w:id="3" w:name="_Toc216746767"/>
      <w:r w:rsidRPr="00AE3BEE">
        <w:t>Spain: Healthcare System and Systems Approach to the COVID-19 Pandemic</w:t>
      </w:r>
      <w:bookmarkEnd w:id="3"/>
    </w:p>
    <w:p w14:paraId="518E1BBE" w14:textId="77777777" w:rsidR="00583611" w:rsidRPr="00745B4D" w:rsidRDefault="00583611" w:rsidP="00583611">
      <w:pPr>
        <w:rPr>
          <w:rFonts w:cs="Arial"/>
          <w:b/>
          <w:bCs/>
        </w:rPr>
      </w:pPr>
      <w:r w:rsidRPr="00745B4D">
        <w:rPr>
          <w:rFonts w:cs="Arial"/>
          <w:b/>
          <w:bCs/>
        </w:rPr>
        <w:t>Structure of the Healthcare System</w:t>
      </w:r>
    </w:p>
    <w:p w14:paraId="53CB3498" w14:textId="77777777" w:rsidR="00583611" w:rsidRPr="00745B4D" w:rsidRDefault="00583611" w:rsidP="00745B4D">
      <w:r w:rsidRPr="00745B4D">
        <w:t xml:space="preserve">Spain has a tax-funded, universal National Health System (Sistema Nacional de Salud -SNS) which is very decentralised in structure and provision. Although the health legislation, general financing framework and national coordination are the roles of the central government, 17 autonomous communities determine healthcare planning, service delivery, human resource managementand the execution of public health (European Observatory on Health Systems and Policies, 2024). This decentralised model </w:t>
      </w:r>
      <w:r w:rsidR="00745B4D" w:rsidRPr="00745B4D">
        <w:t>was</w:t>
      </w:r>
      <w:r w:rsidRPr="00745B4D">
        <w:t xml:space="preserve"> helpful to increase access and customise services to the requirements of local populations before COVID-19. </w:t>
      </w:r>
    </w:p>
    <w:p w14:paraId="35AD8CA0" w14:textId="77777777" w:rsidR="00583611" w:rsidRPr="00745B4D" w:rsidRDefault="00583611" w:rsidP="00583611">
      <w:pPr>
        <w:rPr>
          <w:rFonts w:cs="Arial"/>
          <w:b/>
          <w:bCs/>
        </w:rPr>
      </w:pPr>
      <w:r w:rsidRPr="00745B4D">
        <w:rPr>
          <w:rFonts w:cs="Arial"/>
          <w:b/>
          <w:bCs/>
        </w:rPr>
        <w:t>COVID-19 Response</w:t>
      </w:r>
    </w:p>
    <w:p w14:paraId="5DF8B50F" w14:textId="77777777" w:rsidR="00583611" w:rsidRPr="00745B4D" w:rsidRDefault="00583611" w:rsidP="00583611">
      <w:pPr>
        <w:rPr>
          <w:rFonts w:cs="Arial"/>
        </w:rPr>
      </w:pPr>
      <w:r w:rsidRPr="00745B4D">
        <w:rPr>
          <w:rFonts w:cs="Arial"/>
        </w:rPr>
        <w:t>Spain is one of the first and most severely affected European countries at the beginning of the COVID-19 epidemic in early 2020 (Tragaki and Richard, 2021). According to the media, the national government underestimated the gravity of the outbreak in the first place and people could attend large events despite the increasing count of cases(Alfonso Viguria and Casamitjana, 2021). In January 2020 Health Minister Salvador Illa made the claim that the health system was ready, which had been refuted by overwhelmed hospitals and increasing deaths (Royo, 2020). In the case of Spain, the decentralised form of governance implied that the regional governments took heterogeneous responses such as testing capacity, contact tracing and mobility restrictions. This disjointed early reaction was a factor in the fast transmission of the community, especially in Madrid and Catalonia(Lamoncloa, 2020).</w:t>
      </w:r>
    </w:p>
    <w:p w14:paraId="2946DF9C" w14:textId="77777777" w:rsidR="00583611" w:rsidRPr="00745B4D" w:rsidRDefault="00583611" w:rsidP="00583611">
      <w:pPr>
        <w:rPr>
          <w:rFonts w:cs="Arial"/>
          <w:b/>
          <w:bCs/>
        </w:rPr>
      </w:pPr>
      <w:r w:rsidRPr="00745B4D">
        <w:rPr>
          <w:rFonts w:cs="Arial"/>
          <w:b/>
          <w:bCs/>
        </w:rPr>
        <w:t>Centralised and Decentralised Decisions</w:t>
      </w:r>
    </w:p>
    <w:p w14:paraId="1EFD3160" w14:textId="77777777" w:rsidR="00583611" w:rsidRPr="00745B4D" w:rsidRDefault="00583611" w:rsidP="00583611">
      <w:pPr>
        <w:rPr>
          <w:rFonts w:cs="Arial"/>
        </w:rPr>
      </w:pPr>
      <w:r w:rsidRPr="00745B4D">
        <w:rPr>
          <w:rFonts w:cs="Arial"/>
        </w:rPr>
        <w:t>Spain still temporarily abandoned the policy of decentralisation in favor of a highly centralised policy as the number of cases increased. In March 2020, the Spanish Government declared national state of emergency and took direct control over healthcare coordination, emergency acquisition, border controls and lockdown enforcement(Ramonycajalabogados, 2020).</w:t>
      </w:r>
    </w:p>
    <w:p w14:paraId="725BF136" w14:textId="77777777" w:rsidR="00583611" w:rsidRPr="00745B4D" w:rsidRDefault="00583611" w:rsidP="00583611">
      <w:pPr>
        <w:keepNext/>
        <w:jc w:val="center"/>
      </w:pPr>
      <w:r w:rsidRPr="00745B4D">
        <w:rPr>
          <w:rFonts w:cs="Arial"/>
          <w:noProof/>
          <w:lang w:eastAsia="en-GB"/>
        </w:rPr>
        <w:drawing>
          <wp:inline distT="0" distB="0" distL="0" distR="0" wp14:anchorId="398A1310" wp14:editId="010A1C04">
            <wp:extent cx="5731510" cy="3778250"/>
            <wp:effectExtent l="0" t="0" r="2540" b="0"/>
            <wp:docPr id="1506716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716978" name="Picture 1506716978"/>
                    <pic:cNvPicPr/>
                  </pic:nvPicPr>
                  <pic:blipFill>
                    <a:blip r:embed="rId8">
                      <a:extLst>
                        <a:ext uri="{28A0092B-C50C-407E-A947-70E740481C1C}">
                          <a14:useLocalDpi xmlns:a14="http://schemas.microsoft.com/office/drawing/2010/main" val="0"/>
                        </a:ext>
                      </a:extLst>
                    </a:blip>
                    <a:stretch>
                      <a:fillRect/>
                    </a:stretch>
                  </pic:blipFill>
                  <pic:spPr>
                    <a:xfrm>
                      <a:off x="0" y="0"/>
                      <a:ext cx="5731510" cy="3778250"/>
                    </a:xfrm>
                    <a:prstGeom prst="rect">
                      <a:avLst/>
                    </a:prstGeom>
                  </pic:spPr>
                </pic:pic>
              </a:graphicData>
            </a:graphic>
          </wp:inline>
        </w:drawing>
      </w:r>
    </w:p>
    <w:p w14:paraId="4C418D71" w14:textId="77777777" w:rsidR="00583611" w:rsidRPr="00745B4D" w:rsidRDefault="00583611" w:rsidP="00583611">
      <w:pPr>
        <w:spacing w:after="200" w:line="240" w:lineRule="auto"/>
        <w:jc w:val="center"/>
        <w:rPr>
          <w:rFonts w:cs="Arial"/>
          <w:i/>
          <w:iCs/>
          <w:color w:val="0E2841" w:themeColor="text2"/>
        </w:rPr>
      </w:pPr>
      <w:r w:rsidRPr="00745B4D">
        <w:rPr>
          <w:rFonts w:cs="Arial"/>
          <w:i/>
          <w:iCs/>
          <w:color w:val="0E2841" w:themeColor="text2"/>
        </w:rPr>
        <w:t xml:space="preserve">Figure </w:t>
      </w:r>
      <w:r w:rsidR="00E437DD" w:rsidRPr="00745B4D">
        <w:rPr>
          <w:rFonts w:cs="Arial"/>
          <w:i/>
          <w:iCs/>
          <w:color w:val="0E2841" w:themeColor="text2"/>
        </w:rPr>
        <w:fldChar w:fldCharType="begin"/>
      </w:r>
      <w:r w:rsidRPr="00745B4D">
        <w:rPr>
          <w:rFonts w:cs="Arial"/>
          <w:i/>
          <w:iCs/>
          <w:color w:val="0E2841" w:themeColor="text2"/>
        </w:rPr>
        <w:instrText xml:space="preserve"> SEQ Figure \* ARABIC </w:instrText>
      </w:r>
      <w:r w:rsidR="00E437DD" w:rsidRPr="00745B4D">
        <w:rPr>
          <w:rFonts w:cs="Arial"/>
          <w:i/>
          <w:iCs/>
          <w:color w:val="0E2841" w:themeColor="text2"/>
        </w:rPr>
        <w:fldChar w:fldCharType="separate"/>
      </w:r>
      <w:r w:rsidRPr="00745B4D">
        <w:rPr>
          <w:rFonts w:cs="Arial"/>
          <w:i/>
          <w:iCs/>
          <w:noProof/>
          <w:color w:val="0E2841" w:themeColor="text2"/>
        </w:rPr>
        <w:t>1</w:t>
      </w:r>
      <w:r w:rsidR="00E437DD" w:rsidRPr="00745B4D">
        <w:rPr>
          <w:rFonts w:cs="Arial"/>
          <w:i/>
          <w:iCs/>
          <w:color w:val="0E2841" w:themeColor="text2"/>
        </w:rPr>
        <w:fldChar w:fldCharType="end"/>
      </w:r>
      <w:r w:rsidRPr="00745B4D">
        <w:rPr>
          <w:rFonts w:cs="Arial"/>
          <w:i/>
          <w:iCs/>
          <w:color w:val="0E2841" w:themeColor="text2"/>
        </w:rPr>
        <w:t>: Source (Jazeera, 2020).</w:t>
      </w:r>
    </w:p>
    <w:p w14:paraId="09DC0664" w14:textId="77777777" w:rsidR="00583611" w:rsidRPr="00745B4D" w:rsidRDefault="00583611" w:rsidP="00583611">
      <w:pPr>
        <w:rPr>
          <w:rFonts w:cs="Arial"/>
          <w:b/>
          <w:bCs/>
        </w:rPr>
      </w:pPr>
      <w:r w:rsidRPr="00745B4D">
        <w:rPr>
          <w:rFonts w:cs="Arial"/>
        </w:rPr>
        <w:t xml:space="preserve">This centralised decision-making facilitated quick countrywide restrictions, coordinated messages and mobilisation of the military and emergency facilities to assist area health facilities. </w:t>
      </w:r>
    </w:p>
    <w:p w14:paraId="58EDD1BD" w14:textId="77777777" w:rsidR="00583611" w:rsidRPr="00745B4D" w:rsidRDefault="00583611" w:rsidP="00583611">
      <w:pPr>
        <w:rPr>
          <w:rFonts w:cs="Arial"/>
        </w:rPr>
      </w:pPr>
      <w:r w:rsidRPr="00745B4D">
        <w:rPr>
          <w:rFonts w:cs="Arial"/>
        </w:rPr>
        <w:t>This method however created strife too. Spain’s central government was blamed by the regional leaders as restricting the local autonomy and not taking into consideration the regional characteristics of epidemiology. The bottlenecks in central procurement led to some areas being delayed in their delivery of personal protective equipment, which is a drawback of centralisation in situations where the administrative capacity is overwhelmed(Navarro and Velasco, 2022).</w:t>
      </w:r>
    </w:p>
    <w:p w14:paraId="36942E55" w14:textId="77777777" w:rsidR="00583611" w:rsidRPr="00745B4D" w:rsidRDefault="00583611" w:rsidP="00583611">
      <w:pPr>
        <w:rPr>
          <w:rFonts w:cs="Arial"/>
          <w:b/>
          <w:bCs/>
        </w:rPr>
      </w:pPr>
      <w:r w:rsidRPr="00745B4D">
        <w:rPr>
          <w:rFonts w:cs="Arial"/>
          <w:b/>
          <w:bCs/>
        </w:rPr>
        <w:t>Outcomes, Strengths and Failures</w:t>
      </w:r>
    </w:p>
    <w:p w14:paraId="6DC23137" w14:textId="77777777" w:rsidR="00583611" w:rsidRPr="00745B4D" w:rsidRDefault="00583611" w:rsidP="00583611">
      <w:pPr>
        <w:rPr>
          <w:rFonts w:cs="Arial"/>
        </w:rPr>
      </w:pPr>
      <w:r w:rsidRPr="00745B4D">
        <w:rPr>
          <w:rFonts w:cs="Arial"/>
        </w:rPr>
        <w:t>The initial results of the pandemic were unfavourable in Spain as the country witnessed a significant number of infected and killed people during the first wave of the pandemic. These consequences were embodied by the weaknesses of the decentralised decision-making when the coordination was not strong at the beginning especially in surveillance, testing and risk communication(Euro Surveill, 2020). Conversely, the subsequent vaccination rollout was brought into the limelight by the international media as one of the most successful in Europe. This was successful due to the hybrid system design, a central government controlled the procurement and prioritisation of vaccines and even regulatory approval and regional bodies conducted vaccinations by using the developed networks of primary healthcare (Agosti et al., 2022).</w:t>
      </w:r>
    </w:p>
    <w:p w14:paraId="4DE70FFA" w14:textId="77777777" w:rsidR="00583611" w:rsidRPr="00745B4D" w:rsidRDefault="00583611" w:rsidP="00583611">
      <w:pPr>
        <w:rPr>
          <w:rFonts w:cs="Arial"/>
          <w:b/>
          <w:bCs/>
        </w:rPr>
      </w:pPr>
      <w:r w:rsidRPr="00745B4D">
        <w:rPr>
          <w:rFonts w:cs="Arial"/>
          <w:b/>
          <w:bCs/>
        </w:rPr>
        <w:t>Critical Discussion: What Worked and What Did Not</w:t>
      </w:r>
    </w:p>
    <w:p w14:paraId="345CD38C" w14:textId="77777777" w:rsidR="00583611" w:rsidRPr="00745B4D" w:rsidRDefault="00583611" w:rsidP="00583611">
      <w:pPr>
        <w:rPr>
          <w:rFonts w:cs="Arial"/>
        </w:rPr>
      </w:pPr>
      <w:r w:rsidRPr="00745B4D">
        <w:rPr>
          <w:rFonts w:cs="Arial"/>
        </w:rPr>
        <w:t>The case of Spain demonstrates that the design of the system had a direct influence on the results of the pandemic. Decentralisation was done prematurely, which led to delayed and incoherent responses, undermining the process of containment. Temporary centralisation, on the other hand, allowed decisive action on the national level, but lowering flexibility and creating tension between centres and regions (Navarro and Velasco, 2022). The best period was when Spain implemented a hybrid implementation model, which is coordinated between the national leadership and the regional implementation. This case indicates that centralisation, as well as decentralisation is not enough, but adaptive governance, which combines both strategies, is essential in dealing with complex health crises in the community.</w:t>
      </w:r>
    </w:p>
    <w:p w14:paraId="682C60A6" w14:textId="77777777" w:rsidR="00583611" w:rsidRPr="00AE3BEE" w:rsidRDefault="00583611" w:rsidP="00745B4D">
      <w:pPr>
        <w:pStyle w:val="Heading2"/>
        <w:numPr>
          <w:ilvl w:val="1"/>
          <w:numId w:val="3"/>
        </w:numPr>
      </w:pPr>
      <w:bookmarkStart w:id="4" w:name="_Toc216746768"/>
      <w:r w:rsidRPr="00AE3BEE">
        <w:t>South Korea: Healthcare System and Systems Approach to the COVID-19 Pandemic</w:t>
      </w:r>
      <w:bookmarkEnd w:id="4"/>
    </w:p>
    <w:p w14:paraId="0984A264" w14:textId="77777777" w:rsidR="00583611" w:rsidRPr="00745B4D" w:rsidRDefault="00583611" w:rsidP="00583611">
      <w:pPr>
        <w:rPr>
          <w:rFonts w:cs="Arial"/>
          <w:b/>
          <w:bCs/>
        </w:rPr>
      </w:pPr>
      <w:r w:rsidRPr="00745B4D">
        <w:rPr>
          <w:rFonts w:cs="Arial"/>
          <w:b/>
          <w:bCs/>
        </w:rPr>
        <w:t>Government-Led Healthcare System</w:t>
      </w:r>
    </w:p>
    <w:p w14:paraId="405680E3" w14:textId="77777777" w:rsidR="00583611" w:rsidRPr="00745B4D" w:rsidRDefault="00583611" w:rsidP="00583611">
      <w:pPr>
        <w:rPr>
          <w:rFonts w:cs="Arial"/>
        </w:rPr>
      </w:pPr>
      <w:r w:rsidRPr="00745B4D">
        <w:rPr>
          <w:rFonts w:cs="Arial"/>
        </w:rPr>
        <w:t>South Korea has a nationally organi</w:t>
      </w:r>
      <w:r w:rsidR="00037697" w:rsidRPr="00745B4D">
        <w:rPr>
          <w:rFonts w:cs="Arial"/>
        </w:rPr>
        <w:t>s</w:t>
      </w:r>
      <w:r w:rsidRPr="00745B4D">
        <w:rPr>
          <w:rFonts w:cs="Arial"/>
        </w:rPr>
        <w:t xml:space="preserve">ed, government-run healthcare system through the National Health Insurance Service (NHIS) that covers more than 97% of the population with the remaining being covered by Medical Aid (Dongarwar and Salihu, 2021). The healthcare delivery system is highly centralised </w:t>
      </w:r>
      <w:r w:rsidR="00745B4D" w:rsidRPr="00745B4D">
        <w:rPr>
          <w:rFonts w:cs="Arial"/>
        </w:rPr>
        <w:t>even though</w:t>
      </w:r>
      <w:r w:rsidRPr="00745B4D">
        <w:rPr>
          <w:rFonts w:cs="Arial"/>
        </w:rPr>
        <w:t xml:space="preserve">the majority of the providers (more than 90 percent) are private hospitals and clinics. This system helped the South Korean government to implement a swift power during the COVID-19, without delays related to the disjointed decision-making in regions. Massive legal and institutional change before COVID-19, driven by the earlier </w:t>
      </w:r>
      <w:r w:rsidRPr="00745B4D">
        <w:rPr>
          <w:rFonts w:cs="Arial"/>
          <w:i/>
          <w:iCs/>
        </w:rPr>
        <w:t>MERS outbreak of 2015</w:t>
      </w:r>
      <w:r w:rsidRPr="00745B4D">
        <w:rPr>
          <w:rFonts w:cs="Arial"/>
        </w:rPr>
        <w:t xml:space="preserve"> had already led to significant changes in enhancing emergency preparedness(Oh, 2020).</w:t>
      </w:r>
    </w:p>
    <w:p w14:paraId="519B64E6" w14:textId="77777777" w:rsidR="00583611" w:rsidRPr="00745B4D" w:rsidRDefault="00583611" w:rsidP="00583611">
      <w:pPr>
        <w:rPr>
          <w:rFonts w:cs="Arial"/>
          <w:b/>
          <w:bCs/>
        </w:rPr>
      </w:pPr>
      <w:r w:rsidRPr="00745B4D">
        <w:rPr>
          <w:rFonts w:cs="Arial"/>
          <w:b/>
          <w:bCs/>
        </w:rPr>
        <w:t>Role of Key Institutions</w:t>
      </w:r>
    </w:p>
    <w:p w14:paraId="517A9CA0" w14:textId="77777777" w:rsidR="00583611" w:rsidRPr="00745B4D" w:rsidRDefault="00583611" w:rsidP="00583611">
      <w:pPr>
        <w:rPr>
          <w:rFonts w:cs="Arial"/>
        </w:rPr>
      </w:pPr>
      <w:r w:rsidRPr="00745B4D">
        <w:rPr>
          <w:rFonts w:cs="Arial"/>
        </w:rPr>
        <w:t xml:space="preserve">The core of the response of South Korea was the </w:t>
      </w:r>
      <w:r w:rsidRPr="00745B4D">
        <w:rPr>
          <w:rFonts w:cs="Arial"/>
          <w:i/>
          <w:iCs/>
        </w:rPr>
        <w:t>Korea Disease Control and Prevention Agency (KDCA)</w:t>
      </w:r>
      <w:r w:rsidRPr="00745B4D">
        <w:rPr>
          <w:rFonts w:cs="Arial"/>
        </w:rPr>
        <w:t xml:space="preserve">, which was under the ministry of Health and Welfare(Chu, 2025). Following </w:t>
      </w:r>
      <w:r w:rsidRPr="00745B4D">
        <w:rPr>
          <w:rFonts w:cs="Arial"/>
          <w:i/>
          <w:iCs/>
        </w:rPr>
        <w:t>MERS, the KDCA</w:t>
      </w:r>
      <w:r w:rsidRPr="00745B4D">
        <w:rPr>
          <w:rFonts w:cs="Arial"/>
        </w:rPr>
        <w:t xml:space="preserve"> received expanded powers enabling it to be at the forefront to conduct surveillance, tests, contact tracing and inform the masses(Schwak, 2021). The other ministries, including Ministries of Interior, Education and Transport, were operating on a whole-of-government approach and brought border controls, school shutdowns and quarantine enforcement in line. Media highlighted that </w:t>
      </w:r>
      <w:r w:rsidRPr="00745B4D">
        <w:rPr>
          <w:rFonts w:cs="Arial"/>
          <w:i/>
          <w:iCs/>
        </w:rPr>
        <w:t>Prime Minister, Chung Sye-kyun</w:t>
      </w:r>
      <w:r w:rsidRPr="00745B4D">
        <w:rPr>
          <w:rFonts w:cs="Arial"/>
        </w:rPr>
        <w:t>, conducted regular inter-ministerial briefings which ensured that policies were coherent and could be implemented quickly (Ministry of Foreign Affairs, Republic of Korea, 2024).</w:t>
      </w:r>
    </w:p>
    <w:p w14:paraId="67D7947E" w14:textId="77777777" w:rsidR="00583611" w:rsidRPr="00745B4D" w:rsidRDefault="00583611" w:rsidP="00583611">
      <w:pPr>
        <w:keepNext/>
        <w:jc w:val="center"/>
      </w:pPr>
      <w:r w:rsidRPr="00745B4D">
        <w:rPr>
          <w:rFonts w:cs="Arial"/>
          <w:noProof/>
          <w:lang w:eastAsia="en-GB"/>
        </w:rPr>
        <w:drawing>
          <wp:inline distT="0" distB="0" distL="0" distR="0" wp14:anchorId="7BE178B3" wp14:editId="13E07486">
            <wp:extent cx="5731510" cy="3797300"/>
            <wp:effectExtent l="0" t="0" r="2540" b="0"/>
            <wp:docPr id="1320923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3684" name="Picture 1320923684"/>
                    <pic:cNvPicPr/>
                  </pic:nvPicPr>
                  <pic:blipFill>
                    <a:blip r:embed="rId9">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inline>
        </w:drawing>
      </w:r>
    </w:p>
    <w:p w14:paraId="546894F7" w14:textId="77777777" w:rsidR="00583611" w:rsidRPr="00745B4D" w:rsidRDefault="00583611" w:rsidP="00583611">
      <w:pPr>
        <w:spacing w:after="200" w:line="240" w:lineRule="auto"/>
        <w:jc w:val="center"/>
        <w:rPr>
          <w:rFonts w:cs="Arial"/>
          <w:i/>
          <w:iCs/>
          <w:color w:val="0E2841" w:themeColor="text2"/>
        </w:rPr>
      </w:pPr>
      <w:r w:rsidRPr="00745B4D">
        <w:rPr>
          <w:rFonts w:cs="Arial"/>
          <w:i/>
          <w:iCs/>
          <w:color w:val="0E2841" w:themeColor="text2"/>
        </w:rPr>
        <w:t xml:space="preserve">Figure </w:t>
      </w:r>
      <w:r w:rsidR="00E437DD" w:rsidRPr="00745B4D">
        <w:rPr>
          <w:rFonts w:cs="Arial"/>
          <w:i/>
          <w:iCs/>
          <w:color w:val="0E2841" w:themeColor="text2"/>
        </w:rPr>
        <w:fldChar w:fldCharType="begin"/>
      </w:r>
      <w:r w:rsidRPr="00745B4D">
        <w:rPr>
          <w:rFonts w:cs="Arial"/>
          <w:i/>
          <w:iCs/>
          <w:color w:val="0E2841" w:themeColor="text2"/>
        </w:rPr>
        <w:instrText xml:space="preserve"> SEQ Figure \* ARABIC </w:instrText>
      </w:r>
      <w:r w:rsidR="00E437DD" w:rsidRPr="00745B4D">
        <w:rPr>
          <w:rFonts w:cs="Arial"/>
          <w:i/>
          <w:iCs/>
          <w:color w:val="0E2841" w:themeColor="text2"/>
        </w:rPr>
        <w:fldChar w:fldCharType="separate"/>
      </w:r>
      <w:r w:rsidRPr="00745B4D">
        <w:rPr>
          <w:rFonts w:cs="Arial"/>
          <w:i/>
          <w:iCs/>
          <w:noProof/>
          <w:color w:val="0E2841" w:themeColor="text2"/>
        </w:rPr>
        <w:t>2</w:t>
      </w:r>
      <w:r w:rsidR="00E437DD" w:rsidRPr="00745B4D">
        <w:rPr>
          <w:rFonts w:cs="Arial"/>
          <w:i/>
          <w:iCs/>
          <w:color w:val="0E2841" w:themeColor="text2"/>
        </w:rPr>
        <w:fldChar w:fldCharType="end"/>
      </w:r>
      <w:r w:rsidRPr="00745B4D">
        <w:rPr>
          <w:rFonts w:cs="Arial"/>
          <w:i/>
          <w:iCs/>
          <w:color w:val="0E2841" w:themeColor="text2"/>
        </w:rPr>
        <w:t>: Source (KBS World, 2020).</w:t>
      </w:r>
    </w:p>
    <w:p w14:paraId="4B27B6D9" w14:textId="77777777" w:rsidR="00583611" w:rsidRPr="00745B4D" w:rsidRDefault="00583611" w:rsidP="00583611">
      <w:pPr>
        <w:rPr>
          <w:rFonts w:cs="Arial"/>
          <w:b/>
          <w:bCs/>
        </w:rPr>
      </w:pPr>
      <w:r w:rsidRPr="00745B4D">
        <w:rPr>
          <w:rFonts w:cs="Arial"/>
          <w:b/>
          <w:bCs/>
        </w:rPr>
        <w:t>Surveillance, Transparency and Technology</w:t>
      </w:r>
    </w:p>
    <w:p w14:paraId="4D9E8AFB" w14:textId="77777777" w:rsidR="00583611" w:rsidRPr="00745B4D" w:rsidRDefault="00583611" w:rsidP="00583611">
      <w:pPr>
        <w:rPr>
          <w:rFonts w:cs="Arial"/>
        </w:rPr>
      </w:pPr>
      <w:r w:rsidRPr="00745B4D">
        <w:rPr>
          <w:rFonts w:cs="Arial"/>
        </w:rPr>
        <w:t xml:space="preserve">The response to COVID-19 in South Korea was internationally acknowledged to have state-of-the-art surveillance and digital infrastructure. Among its strategies, South Korea was performing more than </w:t>
      </w:r>
      <w:r w:rsidRPr="00745B4D">
        <w:rPr>
          <w:rFonts w:cs="Arial"/>
          <w:i/>
          <w:iCs/>
        </w:rPr>
        <w:t>20,000 PCR tests</w:t>
      </w:r>
      <w:r w:rsidRPr="00745B4D">
        <w:rPr>
          <w:rFonts w:cs="Arial"/>
        </w:rPr>
        <w:t xml:space="preserve"> daily as of March 2020, which has been expanded to over </w:t>
      </w:r>
      <w:r w:rsidRPr="00745B4D">
        <w:rPr>
          <w:rFonts w:cs="Arial"/>
          <w:i/>
          <w:iCs/>
        </w:rPr>
        <w:t xml:space="preserve">60,000 </w:t>
      </w:r>
      <w:r w:rsidRPr="00745B4D">
        <w:rPr>
          <w:rFonts w:cs="Arial"/>
        </w:rPr>
        <w:t>daily tests at its maximum capacity (Dighe et al., 2020). Drive- through and walk- through testing centres minimi</w:t>
      </w:r>
      <w:r w:rsidR="00037697" w:rsidRPr="00745B4D">
        <w:rPr>
          <w:rFonts w:cs="Arial"/>
        </w:rPr>
        <w:t>s</w:t>
      </w:r>
      <w:r w:rsidRPr="00745B4D">
        <w:rPr>
          <w:rFonts w:cs="Arial"/>
        </w:rPr>
        <w:t xml:space="preserve">ed transmission risk and testing delays. </w:t>
      </w:r>
    </w:p>
    <w:p w14:paraId="5646AB74" w14:textId="77777777" w:rsidR="00583611" w:rsidRPr="00745B4D" w:rsidRDefault="00583611" w:rsidP="00583611">
      <w:pPr>
        <w:keepNext/>
        <w:jc w:val="center"/>
      </w:pPr>
      <w:r w:rsidRPr="00745B4D">
        <w:rPr>
          <w:rFonts w:cs="Arial"/>
          <w:noProof/>
          <w:lang w:eastAsia="en-GB"/>
        </w:rPr>
        <w:drawing>
          <wp:inline distT="0" distB="0" distL="0" distR="0" wp14:anchorId="24E30389" wp14:editId="340B63DB">
            <wp:extent cx="5731510" cy="3446145"/>
            <wp:effectExtent l="0" t="0" r="2540" b="1905"/>
            <wp:docPr id="5426348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34825" name="Picture 542634825"/>
                    <pic:cNvPicPr/>
                  </pic:nvPicPr>
                  <pic:blipFill>
                    <a:blip r:embed="rId10">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p>
    <w:p w14:paraId="702C6D09" w14:textId="77777777" w:rsidR="00583611" w:rsidRPr="00745B4D" w:rsidRDefault="00583611" w:rsidP="00583611">
      <w:pPr>
        <w:spacing w:after="200" w:line="240" w:lineRule="auto"/>
        <w:jc w:val="center"/>
        <w:rPr>
          <w:rFonts w:cs="Arial"/>
          <w:i/>
          <w:iCs/>
          <w:color w:val="0E2841" w:themeColor="text2"/>
        </w:rPr>
      </w:pPr>
      <w:r w:rsidRPr="00745B4D">
        <w:rPr>
          <w:rFonts w:cs="Arial"/>
          <w:i/>
          <w:iCs/>
          <w:color w:val="0E2841" w:themeColor="text2"/>
        </w:rPr>
        <w:t xml:space="preserve">Figure </w:t>
      </w:r>
      <w:r w:rsidR="00E437DD" w:rsidRPr="00745B4D">
        <w:rPr>
          <w:rFonts w:cs="Arial"/>
          <w:i/>
          <w:iCs/>
          <w:color w:val="0E2841" w:themeColor="text2"/>
        </w:rPr>
        <w:fldChar w:fldCharType="begin"/>
      </w:r>
      <w:r w:rsidRPr="00745B4D">
        <w:rPr>
          <w:rFonts w:cs="Arial"/>
          <w:i/>
          <w:iCs/>
          <w:color w:val="0E2841" w:themeColor="text2"/>
        </w:rPr>
        <w:instrText xml:space="preserve"> SEQ Figure \* ARABIC </w:instrText>
      </w:r>
      <w:r w:rsidR="00E437DD" w:rsidRPr="00745B4D">
        <w:rPr>
          <w:rFonts w:cs="Arial"/>
          <w:i/>
          <w:iCs/>
          <w:color w:val="0E2841" w:themeColor="text2"/>
        </w:rPr>
        <w:fldChar w:fldCharType="separate"/>
      </w:r>
      <w:r w:rsidRPr="00745B4D">
        <w:rPr>
          <w:rFonts w:cs="Arial"/>
          <w:i/>
          <w:iCs/>
          <w:noProof/>
          <w:color w:val="0E2841" w:themeColor="text2"/>
        </w:rPr>
        <w:t>3</w:t>
      </w:r>
      <w:r w:rsidR="00E437DD" w:rsidRPr="00745B4D">
        <w:rPr>
          <w:rFonts w:cs="Arial"/>
          <w:i/>
          <w:iCs/>
          <w:color w:val="0E2841" w:themeColor="text2"/>
        </w:rPr>
        <w:fldChar w:fldCharType="end"/>
      </w:r>
      <w:r w:rsidRPr="00745B4D">
        <w:rPr>
          <w:rFonts w:cs="Arial"/>
          <w:i/>
          <w:iCs/>
          <w:color w:val="0E2841" w:themeColor="text2"/>
        </w:rPr>
        <w:t>: Drive-Through Screening by South Korean Government (Korea, 2020).</w:t>
      </w:r>
    </w:p>
    <w:p w14:paraId="735FE1AF" w14:textId="77777777" w:rsidR="00583611" w:rsidRPr="00745B4D" w:rsidRDefault="00583611" w:rsidP="00583611">
      <w:pPr>
        <w:rPr>
          <w:rFonts w:cs="Arial"/>
        </w:rPr>
      </w:pPr>
      <w:r w:rsidRPr="00745B4D">
        <w:rPr>
          <w:rFonts w:cs="Arial"/>
        </w:rPr>
        <w:t>Using emergency legal provisions, digital contact tracing was implemented by the government through CCTV video footage, mobile phone GPS positioning and credit card transaction history. Based on the government data contact tracing timeline was decreased to less than 10 minutes during COVID-19 compared to the 24 hours during MERS (Korea, 2020).</w:t>
      </w:r>
    </w:p>
    <w:p w14:paraId="4061FAAC" w14:textId="77777777" w:rsidR="00583611" w:rsidRPr="00745B4D" w:rsidRDefault="00583611" w:rsidP="00583611">
      <w:pPr>
        <w:keepNext/>
        <w:jc w:val="center"/>
      </w:pPr>
      <w:r w:rsidRPr="00745B4D">
        <w:rPr>
          <w:rFonts w:cs="Arial"/>
          <w:noProof/>
          <w:lang w:eastAsia="en-GB"/>
        </w:rPr>
        <w:drawing>
          <wp:inline distT="0" distB="0" distL="0" distR="0" wp14:anchorId="34028E2B" wp14:editId="6114D7A5">
            <wp:extent cx="5639587" cy="3581900"/>
            <wp:effectExtent l="0" t="0" r="0" b="0"/>
            <wp:docPr id="10986490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49067" name="Picture 1098649067"/>
                    <pic:cNvPicPr/>
                  </pic:nvPicPr>
                  <pic:blipFill>
                    <a:blip r:embed="rId11">
                      <a:extLst>
                        <a:ext uri="{28A0092B-C50C-407E-A947-70E740481C1C}">
                          <a14:useLocalDpi xmlns:a14="http://schemas.microsoft.com/office/drawing/2010/main" val="0"/>
                        </a:ext>
                      </a:extLst>
                    </a:blip>
                    <a:stretch>
                      <a:fillRect/>
                    </a:stretch>
                  </pic:blipFill>
                  <pic:spPr>
                    <a:xfrm>
                      <a:off x="0" y="0"/>
                      <a:ext cx="5639587" cy="3581900"/>
                    </a:xfrm>
                    <a:prstGeom prst="rect">
                      <a:avLst/>
                    </a:prstGeom>
                  </pic:spPr>
                </pic:pic>
              </a:graphicData>
            </a:graphic>
          </wp:inline>
        </w:drawing>
      </w:r>
    </w:p>
    <w:p w14:paraId="09DA7B52" w14:textId="77777777" w:rsidR="00583611" w:rsidRPr="00745B4D" w:rsidRDefault="00583611" w:rsidP="00583611">
      <w:pPr>
        <w:spacing w:after="200" w:line="240" w:lineRule="auto"/>
        <w:jc w:val="center"/>
        <w:rPr>
          <w:rFonts w:cs="Arial"/>
          <w:i/>
          <w:iCs/>
          <w:color w:val="0E2841" w:themeColor="text2"/>
        </w:rPr>
      </w:pPr>
      <w:r w:rsidRPr="00745B4D">
        <w:rPr>
          <w:i/>
          <w:iCs/>
          <w:color w:val="0E2841" w:themeColor="text2"/>
        </w:rPr>
        <w:t xml:space="preserve">Figure </w:t>
      </w:r>
      <w:r w:rsidR="00E437DD" w:rsidRPr="00745B4D">
        <w:rPr>
          <w:i/>
          <w:iCs/>
          <w:color w:val="0E2841" w:themeColor="text2"/>
        </w:rPr>
        <w:fldChar w:fldCharType="begin"/>
      </w:r>
      <w:r w:rsidRPr="00745B4D">
        <w:rPr>
          <w:i/>
          <w:iCs/>
          <w:color w:val="0E2841" w:themeColor="text2"/>
        </w:rPr>
        <w:instrText xml:space="preserve"> SEQ Figure \* ARABIC </w:instrText>
      </w:r>
      <w:r w:rsidR="00E437DD" w:rsidRPr="00745B4D">
        <w:rPr>
          <w:i/>
          <w:iCs/>
          <w:color w:val="0E2841" w:themeColor="text2"/>
        </w:rPr>
        <w:fldChar w:fldCharType="separate"/>
      </w:r>
      <w:r w:rsidRPr="00745B4D">
        <w:rPr>
          <w:i/>
          <w:iCs/>
          <w:noProof/>
          <w:color w:val="0E2841" w:themeColor="text2"/>
        </w:rPr>
        <w:t>4</w:t>
      </w:r>
      <w:r w:rsidR="00E437DD" w:rsidRPr="00745B4D">
        <w:rPr>
          <w:i/>
          <w:iCs/>
          <w:color w:val="0E2841" w:themeColor="text2"/>
        </w:rPr>
        <w:fldChar w:fldCharType="end"/>
      </w:r>
      <w:r w:rsidRPr="00745B4D">
        <w:rPr>
          <w:i/>
          <w:iCs/>
          <w:color w:val="0E2841" w:themeColor="text2"/>
        </w:rPr>
        <w:t>: Open-Air Walk-Through Screening (Korea, 2020).</w:t>
      </w:r>
    </w:p>
    <w:p w14:paraId="1DB99C4F" w14:textId="77777777" w:rsidR="00583611" w:rsidRPr="00745B4D" w:rsidRDefault="00583611" w:rsidP="00583611">
      <w:pPr>
        <w:rPr>
          <w:rFonts w:cs="Arial"/>
        </w:rPr>
      </w:pPr>
      <w:r w:rsidRPr="00745B4D">
        <w:rPr>
          <w:rFonts w:cs="Arial"/>
        </w:rPr>
        <w:t xml:space="preserve">KDCA officials gave clear information on the cases and clusters on TV and explained the policy reasons. </w:t>
      </w:r>
    </w:p>
    <w:p w14:paraId="74AE39EB" w14:textId="77777777" w:rsidR="00583611" w:rsidRPr="00745B4D" w:rsidRDefault="00583611" w:rsidP="00583611">
      <w:pPr>
        <w:keepNext/>
        <w:jc w:val="center"/>
      </w:pPr>
      <w:r w:rsidRPr="00745B4D">
        <w:rPr>
          <w:rFonts w:cs="Arial"/>
          <w:noProof/>
          <w:lang w:eastAsia="en-GB"/>
        </w:rPr>
        <w:drawing>
          <wp:inline distT="0" distB="0" distL="0" distR="0" wp14:anchorId="77A1AE7A" wp14:editId="10AF80D9">
            <wp:extent cx="5731510" cy="3994785"/>
            <wp:effectExtent l="0" t="0" r="2540" b="5715"/>
            <wp:docPr id="352372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72291" name="Picture 352372291"/>
                    <pic:cNvPicPr/>
                  </pic:nvPicPr>
                  <pic:blipFill>
                    <a:blip r:embed="rId12">
                      <a:extLst>
                        <a:ext uri="{28A0092B-C50C-407E-A947-70E740481C1C}">
                          <a14:useLocalDpi xmlns:a14="http://schemas.microsoft.com/office/drawing/2010/main" val="0"/>
                        </a:ext>
                      </a:extLst>
                    </a:blip>
                    <a:stretch>
                      <a:fillRect/>
                    </a:stretch>
                  </pic:blipFill>
                  <pic:spPr>
                    <a:xfrm>
                      <a:off x="0" y="0"/>
                      <a:ext cx="5731510" cy="3994785"/>
                    </a:xfrm>
                    <a:prstGeom prst="rect">
                      <a:avLst/>
                    </a:prstGeom>
                  </pic:spPr>
                </pic:pic>
              </a:graphicData>
            </a:graphic>
          </wp:inline>
        </w:drawing>
      </w:r>
    </w:p>
    <w:p w14:paraId="5AF0E78D" w14:textId="77777777" w:rsidR="00583611" w:rsidRPr="00745B4D" w:rsidRDefault="00583611" w:rsidP="00583611">
      <w:pPr>
        <w:spacing w:after="200" w:line="240" w:lineRule="auto"/>
        <w:jc w:val="center"/>
        <w:rPr>
          <w:rFonts w:cs="Arial"/>
          <w:i/>
          <w:iCs/>
          <w:color w:val="0E2841" w:themeColor="text2"/>
        </w:rPr>
      </w:pPr>
      <w:r w:rsidRPr="00745B4D">
        <w:rPr>
          <w:i/>
          <w:iCs/>
          <w:color w:val="0E2841" w:themeColor="text2"/>
        </w:rPr>
        <w:t xml:space="preserve">Figure </w:t>
      </w:r>
      <w:r w:rsidR="00E437DD" w:rsidRPr="00745B4D">
        <w:rPr>
          <w:i/>
          <w:iCs/>
          <w:color w:val="0E2841" w:themeColor="text2"/>
        </w:rPr>
        <w:fldChar w:fldCharType="begin"/>
      </w:r>
      <w:r w:rsidRPr="00745B4D">
        <w:rPr>
          <w:i/>
          <w:iCs/>
          <w:color w:val="0E2841" w:themeColor="text2"/>
        </w:rPr>
        <w:instrText xml:space="preserve"> SEQ Figure \* ARABIC </w:instrText>
      </w:r>
      <w:r w:rsidR="00E437DD" w:rsidRPr="00745B4D">
        <w:rPr>
          <w:i/>
          <w:iCs/>
          <w:color w:val="0E2841" w:themeColor="text2"/>
        </w:rPr>
        <w:fldChar w:fldCharType="separate"/>
      </w:r>
      <w:r w:rsidRPr="00745B4D">
        <w:rPr>
          <w:i/>
          <w:iCs/>
          <w:noProof/>
          <w:color w:val="0E2841" w:themeColor="text2"/>
        </w:rPr>
        <w:t>5</w:t>
      </w:r>
      <w:r w:rsidR="00E437DD" w:rsidRPr="00745B4D">
        <w:rPr>
          <w:i/>
          <w:iCs/>
          <w:color w:val="0E2841" w:themeColor="text2"/>
        </w:rPr>
        <w:fldChar w:fldCharType="end"/>
      </w:r>
      <w:r w:rsidRPr="00745B4D">
        <w:rPr>
          <w:i/>
          <w:iCs/>
          <w:color w:val="0E2841" w:themeColor="text2"/>
        </w:rPr>
        <w:t>: Social Distancing Campaigns by South Korea (English and Korean Version) (Korea, 2020).</w:t>
      </w:r>
    </w:p>
    <w:p w14:paraId="66EFFDBD" w14:textId="77777777" w:rsidR="00583611" w:rsidRPr="00745B4D" w:rsidRDefault="00583611" w:rsidP="00583611">
      <w:pPr>
        <w:rPr>
          <w:rFonts w:cs="Arial"/>
          <w:b/>
          <w:bCs/>
        </w:rPr>
      </w:pPr>
      <w:r w:rsidRPr="00745B4D">
        <w:rPr>
          <w:rFonts w:cs="Arial"/>
          <w:b/>
          <w:bCs/>
        </w:rPr>
        <w:t>Balance of Centralisation and Decentralisation</w:t>
      </w:r>
    </w:p>
    <w:p w14:paraId="1FE61C9F" w14:textId="77777777" w:rsidR="00583611" w:rsidRPr="00745B4D" w:rsidRDefault="00583611" w:rsidP="00583611">
      <w:pPr>
        <w:rPr>
          <w:rFonts w:cs="Arial"/>
        </w:rPr>
      </w:pPr>
      <w:r w:rsidRPr="00745B4D">
        <w:rPr>
          <w:rFonts w:cs="Arial"/>
        </w:rPr>
        <w:t xml:space="preserve">This was observed in the system of South Korea which showed a balance of centralisation and decentralisation. Critical decision-making, border controls, testing protocols, data systems and risk communication were extremely centralised on the national government. Nonetheless, local governments still had the discretion in dealing with outbreaks, creating testing centres and imposing specific restrictions. For instance, </w:t>
      </w:r>
      <w:r w:rsidRPr="00745B4D">
        <w:rPr>
          <w:rFonts w:cs="Arial"/>
          <w:i/>
          <w:iCs/>
        </w:rPr>
        <w:t>Seoul and Daegu</w:t>
      </w:r>
      <w:r w:rsidRPr="00745B4D">
        <w:rPr>
          <w:rFonts w:cs="Arial"/>
        </w:rPr>
        <w:t xml:space="preserve"> took place-based responses to cluster outbreaks, without deviating off the national strategy (Kim et al., 2020). This balance prevented the policy fragmentation and retained the local responsiveness, which was one of the major advantages over the fully decentralised systems. </w:t>
      </w:r>
    </w:p>
    <w:p w14:paraId="59E4B4E2" w14:textId="77777777" w:rsidR="00583611" w:rsidRPr="00745B4D" w:rsidRDefault="00583611" w:rsidP="00583611">
      <w:pPr>
        <w:rPr>
          <w:rFonts w:cs="Arial"/>
          <w:b/>
          <w:bCs/>
        </w:rPr>
      </w:pPr>
      <w:r w:rsidRPr="00745B4D">
        <w:rPr>
          <w:rFonts w:cs="Arial"/>
          <w:b/>
          <w:bCs/>
        </w:rPr>
        <w:t>Outcomes: Strengths and Limitations</w:t>
      </w:r>
    </w:p>
    <w:p w14:paraId="35FC39FD" w14:textId="77777777" w:rsidR="00583611" w:rsidRPr="00745B4D" w:rsidRDefault="00583611" w:rsidP="00583611">
      <w:pPr>
        <w:rPr>
          <w:rFonts w:cs="Arial"/>
        </w:rPr>
      </w:pPr>
      <w:r w:rsidRPr="00745B4D">
        <w:rPr>
          <w:rFonts w:cs="Arial"/>
        </w:rPr>
        <w:t>The results of South Korea were one of the best in the world at the initial stage of the pandemic. The country achieved fewer than 1500 deaths due to COVID-19 by the end of 2020, as opposed to tens of thousands in most OECD countries, even without imposing total lockdowns on the country. The level of excess mortality was way below that of the OECD (Exemplars, 2025).</w:t>
      </w:r>
    </w:p>
    <w:p w14:paraId="28496A5D" w14:textId="77777777" w:rsidR="00583611" w:rsidRPr="00745B4D" w:rsidRDefault="00583611" w:rsidP="00583611">
      <w:pPr>
        <w:keepNext/>
        <w:jc w:val="center"/>
      </w:pPr>
      <w:r w:rsidRPr="00745B4D">
        <w:rPr>
          <w:rFonts w:cs="Arial"/>
          <w:noProof/>
          <w:lang w:eastAsia="en-GB"/>
        </w:rPr>
        <w:drawing>
          <wp:inline distT="0" distB="0" distL="0" distR="0" wp14:anchorId="37EEC858" wp14:editId="5E88A4B2">
            <wp:extent cx="5731510" cy="2809875"/>
            <wp:effectExtent l="0" t="0" r="2540" b="9525"/>
            <wp:docPr id="20283479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47995" name="Picture 2028347995"/>
                    <pic:cNvPicPr/>
                  </pic:nvPicPr>
                  <pic:blipFill>
                    <a:blip r:embed="rId13">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14:paraId="23824841" w14:textId="77777777" w:rsidR="00583611" w:rsidRPr="00745B4D" w:rsidRDefault="00583611" w:rsidP="00583611">
      <w:pPr>
        <w:spacing w:after="200" w:line="240" w:lineRule="auto"/>
        <w:jc w:val="center"/>
        <w:rPr>
          <w:rFonts w:cs="Arial"/>
          <w:i/>
          <w:iCs/>
          <w:color w:val="0E2841" w:themeColor="text2"/>
        </w:rPr>
      </w:pPr>
      <w:r w:rsidRPr="00745B4D">
        <w:rPr>
          <w:i/>
          <w:iCs/>
          <w:color w:val="0E2841" w:themeColor="text2"/>
        </w:rPr>
        <w:t xml:space="preserve">Figure </w:t>
      </w:r>
      <w:r w:rsidR="00E437DD" w:rsidRPr="00745B4D">
        <w:rPr>
          <w:i/>
          <w:iCs/>
          <w:color w:val="0E2841" w:themeColor="text2"/>
        </w:rPr>
        <w:fldChar w:fldCharType="begin"/>
      </w:r>
      <w:r w:rsidRPr="00745B4D">
        <w:rPr>
          <w:i/>
          <w:iCs/>
          <w:color w:val="0E2841" w:themeColor="text2"/>
        </w:rPr>
        <w:instrText xml:space="preserve"> SEQ Figure \* ARABIC </w:instrText>
      </w:r>
      <w:r w:rsidR="00E437DD" w:rsidRPr="00745B4D">
        <w:rPr>
          <w:i/>
          <w:iCs/>
          <w:color w:val="0E2841" w:themeColor="text2"/>
        </w:rPr>
        <w:fldChar w:fldCharType="separate"/>
      </w:r>
      <w:r w:rsidRPr="00745B4D">
        <w:rPr>
          <w:i/>
          <w:iCs/>
          <w:noProof/>
          <w:color w:val="0E2841" w:themeColor="text2"/>
        </w:rPr>
        <w:t>6</w:t>
      </w:r>
      <w:r w:rsidR="00E437DD" w:rsidRPr="00745B4D">
        <w:rPr>
          <w:i/>
          <w:iCs/>
          <w:color w:val="0E2841" w:themeColor="text2"/>
        </w:rPr>
        <w:fldChar w:fldCharType="end"/>
      </w:r>
      <w:r w:rsidRPr="00745B4D">
        <w:rPr>
          <w:i/>
          <w:iCs/>
          <w:color w:val="0E2841" w:themeColor="text2"/>
        </w:rPr>
        <w:t>: South Korean Tool for Contact Tracing (Exemplars, 2025).</w:t>
      </w:r>
    </w:p>
    <w:p w14:paraId="581AB09E" w14:textId="77777777" w:rsidR="00583611" w:rsidRPr="00745B4D" w:rsidRDefault="00583611" w:rsidP="00583611">
      <w:pPr>
        <w:rPr>
          <w:rFonts w:cs="Arial"/>
        </w:rPr>
      </w:pPr>
      <w:r w:rsidRPr="00745B4D">
        <w:rPr>
          <w:rFonts w:cs="Arial"/>
        </w:rPr>
        <w:t>This success was attributed by media analysis to early testing, rapid isolation and the high compliance of the people. There were shortcomings of the system, however. Groups that advocate civil liberties were concerned with the breach of privacy to digital surveillance and not all marginalised groups claimed that they faced stigma about publicly accessible information on their movements. In 2021, the process of vaccine rollout was slower than some Western countries because the country did not produce it independently but used the global supply chains(Das et al., 2022).</w:t>
      </w:r>
    </w:p>
    <w:p w14:paraId="12F6706C" w14:textId="77777777" w:rsidR="00583611" w:rsidRPr="00AE3BEE" w:rsidRDefault="00583611" w:rsidP="00745B4D">
      <w:pPr>
        <w:pStyle w:val="Heading2"/>
        <w:numPr>
          <w:ilvl w:val="1"/>
          <w:numId w:val="3"/>
        </w:numPr>
      </w:pPr>
      <w:bookmarkStart w:id="5" w:name="_Toc216746769"/>
      <w:r w:rsidRPr="00AE3BEE">
        <w:t>Canada: Healthcare System and Systems Approach to the COVID-19 Pandemic</w:t>
      </w:r>
      <w:bookmarkEnd w:id="5"/>
    </w:p>
    <w:p w14:paraId="13439C9B" w14:textId="77777777" w:rsidR="00583611" w:rsidRPr="00745B4D" w:rsidRDefault="00583611" w:rsidP="00583611">
      <w:pPr>
        <w:rPr>
          <w:rFonts w:cs="Arial"/>
          <w:b/>
          <w:bCs/>
        </w:rPr>
      </w:pPr>
      <w:r w:rsidRPr="00745B4D">
        <w:rPr>
          <w:rFonts w:cs="Arial"/>
          <w:b/>
          <w:bCs/>
        </w:rPr>
        <w:t>Federal and Decentralised Healthcare System</w:t>
      </w:r>
    </w:p>
    <w:p w14:paraId="23DB90B8" w14:textId="77777777" w:rsidR="00583611" w:rsidRPr="00745B4D" w:rsidRDefault="00583611" w:rsidP="00583611">
      <w:pPr>
        <w:rPr>
          <w:rFonts w:cs="Arial"/>
        </w:rPr>
      </w:pPr>
      <w:r w:rsidRPr="00745B4D">
        <w:rPr>
          <w:rFonts w:cs="Arial"/>
        </w:rPr>
        <w:t xml:space="preserve">Canada has a federally organised yet greatly </w:t>
      </w:r>
      <w:r w:rsidRPr="00745B4D">
        <w:rPr>
          <w:rFonts w:cs="Arial"/>
          <w:i/>
          <w:iCs/>
        </w:rPr>
        <w:t>Decentralised Healthcare System</w:t>
      </w:r>
      <w:r w:rsidRPr="00745B4D">
        <w:rPr>
          <w:rFonts w:cs="Arial"/>
        </w:rPr>
        <w:t xml:space="preserve"> which is based on the concepts of the </w:t>
      </w:r>
      <w:r w:rsidRPr="00745B4D">
        <w:rPr>
          <w:rFonts w:cs="Arial"/>
          <w:i/>
          <w:iCs/>
        </w:rPr>
        <w:t>Canada Health Act (1984)</w:t>
      </w:r>
      <w:r w:rsidRPr="00745B4D">
        <w:rPr>
          <w:rFonts w:eastAsia="Times New Roman" w:cs="Arial"/>
          <w:kern w:val="0"/>
        </w:rPr>
        <w:t xml:space="preserve"> (Anazia, 2025). </w:t>
      </w:r>
      <w:r w:rsidRPr="00745B4D">
        <w:rPr>
          <w:rFonts w:cs="Arial"/>
        </w:rPr>
        <w:t xml:space="preserve">Although the federal government establishes national standards and offers funding transfers, the provinces and territories have a constitutional duty to deliver healthcare, offer public health and respond to emergencies. The healthcare infrastructure, workforce planning, surveillance system and legislation of public health are controlled by each province separately(Government of Canada, 2023). Before the COVID-19, this non-centralised model was appreciated as it did not ignore regional autonomy and adapted services to the needs of local population. </w:t>
      </w:r>
    </w:p>
    <w:p w14:paraId="394BB557" w14:textId="77777777" w:rsidR="00583611" w:rsidRPr="00745B4D" w:rsidRDefault="00583611" w:rsidP="00583611">
      <w:pPr>
        <w:rPr>
          <w:rFonts w:cs="Arial"/>
          <w:b/>
          <w:bCs/>
        </w:rPr>
      </w:pPr>
      <w:r w:rsidRPr="00745B4D">
        <w:rPr>
          <w:rFonts w:cs="Arial"/>
          <w:b/>
          <w:bCs/>
        </w:rPr>
        <w:t>Role of Provinces Versus the Federal Government</w:t>
      </w:r>
    </w:p>
    <w:p w14:paraId="2878A3EC" w14:textId="77777777" w:rsidR="00583611" w:rsidRPr="00745B4D" w:rsidRDefault="00583611" w:rsidP="00583611">
      <w:pPr>
        <w:rPr>
          <w:rFonts w:cs="Arial"/>
        </w:rPr>
      </w:pPr>
      <w:r w:rsidRPr="00745B4D">
        <w:rPr>
          <w:rFonts w:cs="Arial"/>
        </w:rPr>
        <w:t xml:space="preserve">The provincial governments took over the lead role in the COVID-19 pandemic in regards to testing strategies, lockdown measures, school closures, masks requirements and contact tracing. Early restrictions such as in the province of </w:t>
      </w:r>
      <w:r w:rsidRPr="00745B4D">
        <w:rPr>
          <w:rFonts w:cs="Arial"/>
          <w:i/>
          <w:iCs/>
        </w:rPr>
        <w:t>British Columbia and Atlantic Canada</w:t>
      </w:r>
      <w:r w:rsidRPr="00745B4D">
        <w:rPr>
          <w:rFonts w:cs="Arial"/>
        </w:rPr>
        <w:t xml:space="preserve"> recorded comparatively low rates of transmission in 2020 and relatively low transmission rates managed to implement restrictions early whereas other provinces, including </w:t>
      </w:r>
      <w:r w:rsidRPr="00745B4D">
        <w:rPr>
          <w:rFonts w:cs="Arial"/>
          <w:i/>
          <w:iCs/>
        </w:rPr>
        <w:t>Ontario and Quebec</w:t>
      </w:r>
      <w:r w:rsidRPr="00745B4D">
        <w:rPr>
          <w:rFonts w:cs="Arial"/>
        </w:rPr>
        <w:t xml:space="preserve">, had to deal with repeated waves and a strain on the healthcare system(Canada, 2022). The federal government under </w:t>
      </w:r>
      <w:r w:rsidRPr="00745B4D">
        <w:rPr>
          <w:rFonts w:cs="Arial"/>
          <w:i/>
          <w:iCs/>
        </w:rPr>
        <w:t>Prime Minister Justin Trudeau</w:t>
      </w:r>
      <w:r w:rsidRPr="00745B4D">
        <w:rPr>
          <w:rFonts w:cs="Arial"/>
        </w:rPr>
        <w:t xml:space="preserve"> was a coordinating and supportive role and no longer a directive role. The roles of the federal government were border control, international travel bans, vaccine procurement, financial support programs and national direction of public health via the Public Health Agency of Canada (PHAC) (Global Affairs Canada, 2020).</w:t>
      </w:r>
    </w:p>
    <w:p w14:paraId="37355BFE" w14:textId="77777777" w:rsidR="00583611" w:rsidRPr="00745B4D" w:rsidRDefault="00583611" w:rsidP="00583611">
      <w:pPr>
        <w:rPr>
          <w:rFonts w:cs="Arial"/>
          <w:b/>
          <w:bCs/>
        </w:rPr>
      </w:pPr>
      <w:r w:rsidRPr="00745B4D">
        <w:rPr>
          <w:rFonts w:cs="Arial"/>
          <w:b/>
          <w:bCs/>
        </w:rPr>
        <w:t>Coordination Challenges</w:t>
      </w:r>
    </w:p>
    <w:p w14:paraId="1516EF26" w14:textId="77777777" w:rsidR="00583611" w:rsidRPr="00745B4D" w:rsidRDefault="00583611" w:rsidP="00583611">
      <w:pPr>
        <w:rPr>
          <w:rFonts w:cs="Arial"/>
        </w:rPr>
      </w:pPr>
      <w:r w:rsidRPr="00745B4D">
        <w:rPr>
          <w:rFonts w:cs="Arial"/>
        </w:rPr>
        <w:t>The decentralised system in Canada has brought about serious coordination issues, particularly at the beginning of the pandemic. Different public health policies were implemented by provinces, which led to incongruent communication and fragmentation of policies. For instance, Atlantic provinces constituted a coordinated “Atlantic Bubble” with heavy travel restrictions, whereas in other provinces interprovincial travel restrictions were limited by the constitution(Catarina Ianni Segatto, Béland and Dinan, 2021). News coverage pointed to friction between federal directives and provincial freedom, especially on the issue of long-term care management, whereby standards were widely different. The federal data indicates that in 2020, about 78% of COVID-19 deaths occurred among the residents of long-term care, one of the largest rates of such deaths in the OECD countries(Brown et al., 2021).</w:t>
      </w:r>
    </w:p>
    <w:p w14:paraId="2BE15069" w14:textId="77777777" w:rsidR="00583611" w:rsidRPr="00745B4D" w:rsidRDefault="00583611" w:rsidP="00583611">
      <w:pPr>
        <w:rPr>
          <w:rFonts w:cs="Arial"/>
          <w:b/>
          <w:bCs/>
        </w:rPr>
      </w:pPr>
      <w:r w:rsidRPr="00745B4D">
        <w:rPr>
          <w:rFonts w:cs="Arial"/>
          <w:b/>
          <w:bCs/>
        </w:rPr>
        <w:t>Vaccine Rollout Issues</w:t>
      </w:r>
    </w:p>
    <w:p w14:paraId="7DD68A2F" w14:textId="77777777" w:rsidR="00583611" w:rsidRPr="00745B4D" w:rsidRDefault="00583611" w:rsidP="00583611">
      <w:pPr>
        <w:rPr>
          <w:rFonts w:cs="Arial"/>
        </w:rPr>
      </w:pPr>
      <w:r w:rsidRPr="00745B4D">
        <w:rPr>
          <w:rFonts w:cs="Arial"/>
        </w:rPr>
        <w:t xml:space="preserve">The vaccine rollout in Canada was initially characterised by significant challenges, or so widely covered by national and international media as </w:t>
      </w:r>
      <w:r w:rsidRPr="00745B4D">
        <w:rPr>
          <w:rFonts w:cs="Arial"/>
          <w:i/>
          <w:iCs/>
        </w:rPr>
        <w:t>slow but eventually successful</w:t>
      </w:r>
      <w:r w:rsidRPr="00745B4D">
        <w:rPr>
          <w:rFonts w:cs="Arial"/>
        </w:rPr>
        <w:t>. Canada was exposed to international supply chains, unlike the countries that produced their own vaccines, when supply chains failed globally in early 2021 (Bown and Bollyky, 2021). As of February 2021, Canada was second to a few of its OECD counterparts in terms of doses per 100 individuals. The provincial difference also complicated the rate of the rollout, as there were variations in the prioritisation models and distribution logistics(BBC, 2021). But when supply was stabilised the decentralised delivery model was a benefit. Provinces used the available primary care and pharmacy networks to grow at a rapid scale. Since September 2021, more than 72% of the entire Canadian population is fully vaccinated, which puts Canada at the top of the vaccination rates in the whole world (Public, 2020).</w:t>
      </w:r>
    </w:p>
    <w:p w14:paraId="2A801633" w14:textId="77777777" w:rsidR="00583611" w:rsidRPr="00745B4D" w:rsidRDefault="00583611" w:rsidP="00583611">
      <w:pPr>
        <w:rPr>
          <w:rFonts w:cs="Arial"/>
          <w:b/>
          <w:bCs/>
        </w:rPr>
      </w:pPr>
      <w:r w:rsidRPr="00745B4D">
        <w:rPr>
          <w:rFonts w:cs="Arial"/>
          <w:b/>
          <w:bCs/>
        </w:rPr>
        <w:t>Critical Assessment of Effectiveness</w:t>
      </w:r>
    </w:p>
    <w:p w14:paraId="0EE07660" w14:textId="77777777" w:rsidR="00583611" w:rsidRPr="00745B4D" w:rsidRDefault="00583611" w:rsidP="00583611">
      <w:pPr>
        <w:rPr>
          <w:rFonts w:cs="Arial"/>
        </w:rPr>
      </w:pPr>
      <w:r w:rsidRPr="00745B4D">
        <w:rPr>
          <w:rFonts w:cs="Arial"/>
        </w:rPr>
        <w:t>The results of the pandemic in Canada can be attributed to the advantages and disadvantages of designing decentralised systems. Lack of a powerful central authority inhibited initial standardisation of measures and coordinated reactions in high-risk environments like long-term care. These were weak points that led to preventable death and long-time limitations in certain provinces. On the other hand, decentralisation enabled the provinces to test the customi</w:t>
      </w:r>
      <w:r w:rsidR="00037697" w:rsidRPr="00745B4D">
        <w:rPr>
          <w:rFonts w:cs="Arial"/>
        </w:rPr>
        <w:t>s</w:t>
      </w:r>
      <w:r w:rsidRPr="00745B4D">
        <w:rPr>
          <w:rFonts w:cs="Arial"/>
        </w:rPr>
        <w:t xml:space="preserve">ed strategies, including the approach to elimination in Atlantic Canada, which resulted in a smaller number of cases and shorter reopening times (Bubela et al., 2023). The best approach to federal leadership was the one aimed at coordination, financing and national procurement but not the direct control. </w:t>
      </w:r>
    </w:p>
    <w:p w14:paraId="5429FE2A" w14:textId="77777777" w:rsidR="001D1D6E" w:rsidRPr="00AE3BEE" w:rsidRDefault="001D1D6E" w:rsidP="00AE3BEE">
      <w:pPr>
        <w:pStyle w:val="Heading1"/>
        <w:numPr>
          <w:ilvl w:val="0"/>
          <w:numId w:val="3"/>
        </w:numPr>
      </w:pPr>
      <w:bookmarkStart w:id="6" w:name="_Toc216746770"/>
      <w:r w:rsidRPr="00AE3BEE">
        <w:t>Section-</w:t>
      </w:r>
      <w:r w:rsidR="008D24E3" w:rsidRPr="00AE3BEE">
        <w:t>2</w:t>
      </w:r>
      <w:r w:rsidRPr="00AE3BEE">
        <w:t xml:space="preserve">: Leadership </w:t>
      </w:r>
      <w:r w:rsidR="008D24E3" w:rsidRPr="00AE3BEE">
        <w:t>S</w:t>
      </w:r>
      <w:r w:rsidRPr="00AE3BEE">
        <w:t xml:space="preserve">tyles </w:t>
      </w:r>
      <w:r w:rsidR="008D24E3" w:rsidRPr="00AE3BEE">
        <w:t>A</w:t>
      </w:r>
      <w:r w:rsidRPr="00AE3BEE">
        <w:t>nalysis</w:t>
      </w:r>
      <w:bookmarkEnd w:id="6"/>
    </w:p>
    <w:p w14:paraId="6A08816C" w14:textId="77777777" w:rsidR="001D1D6E" w:rsidRPr="00AE3BEE" w:rsidRDefault="001D1D6E" w:rsidP="00745B4D">
      <w:pPr>
        <w:pStyle w:val="Heading2"/>
        <w:numPr>
          <w:ilvl w:val="1"/>
          <w:numId w:val="3"/>
        </w:numPr>
      </w:pPr>
      <w:bookmarkStart w:id="7" w:name="_Toc216746771"/>
      <w:r w:rsidRPr="00AE3BEE">
        <w:t>Spain: Leadership Styles and COVID-19 Response</w:t>
      </w:r>
      <w:bookmarkEnd w:id="7"/>
    </w:p>
    <w:p w14:paraId="635A0937" w14:textId="77777777" w:rsidR="001D1D6E" w:rsidRPr="00745B4D" w:rsidRDefault="001D1D6E" w:rsidP="001D1D6E">
      <w:pPr>
        <w:rPr>
          <w:rFonts w:cs="Arial"/>
          <w:b/>
          <w:bCs/>
        </w:rPr>
      </w:pPr>
      <w:r w:rsidRPr="00745B4D">
        <w:rPr>
          <w:rFonts w:cs="Arial"/>
          <w:b/>
          <w:bCs/>
        </w:rPr>
        <w:t>Government Leadership Response</w:t>
      </w:r>
    </w:p>
    <w:p w14:paraId="10205BEC" w14:textId="77777777" w:rsidR="001D1D6E" w:rsidRPr="00745B4D" w:rsidRDefault="001D1D6E" w:rsidP="001D1D6E">
      <w:pPr>
        <w:rPr>
          <w:rFonts w:cs="Arial"/>
        </w:rPr>
      </w:pPr>
      <w:r w:rsidRPr="00745B4D">
        <w:rPr>
          <w:rFonts w:cs="Arial"/>
        </w:rPr>
        <w:t xml:space="preserve">The activity of the central government led by </w:t>
      </w:r>
      <w:r w:rsidR="00D01D80" w:rsidRPr="00745B4D">
        <w:rPr>
          <w:rFonts w:cs="Arial"/>
          <w:i/>
          <w:iCs/>
        </w:rPr>
        <w:t>P</w:t>
      </w:r>
      <w:r w:rsidRPr="00745B4D">
        <w:rPr>
          <w:rFonts w:cs="Arial"/>
          <w:i/>
          <w:iCs/>
        </w:rPr>
        <w:t xml:space="preserve">rime </w:t>
      </w:r>
      <w:r w:rsidR="00D01D80" w:rsidRPr="00745B4D">
        <w:rPr>
          <w:rFonts w:cs="Arial"/>
          <w:i/>
          <w:iCs/>
        </w:rPr>
        <w:t>M</w:t>
      </w:r>
      <w:r w:rsidRPr="00745B4D">
        <w:rPr>
          <w:rFonts w:cs="Arial"/>
          <w:i/>
          <w:iCs/>
        </w:rPr>
        <w:t>inister Pedro Sánchez</w:t>
      </w:r>
      <w:r w:rsidRPr="00745B4D">
        <w:rPr>
          <w:rFonts w:cs="Arial"/>
        </w:rPr>
        <w:t>, with the help of the Ministry of Health, was the most influential factor influencing the leadership response to COVID-19 in Spain. At the initial stage of the pandemic (January</w:t>
      </w:r>
      <w:r w:rsidR="00190822" w:rsidRPr="00745B4D">
        <w:rPr>
          <w:rFonts w:cs="Arial"/>
        </w:rPr>
        <w:t>-</w:t>
      </w:r>
      <w:r w:rsidRPr="00745B4D">
        <w:rPr>
          <w:rFonts w:cs="Arial"/>
        </w:rPr>
        <w:t>February 2020), leadership was generally described in the media as slow and reactive (Royo, 2020). The Spanish government has permitted mass gatherings, such as political rallies and sporting events, even after the World Health Organi</w:t>
      </w:r>
      <w:r w:rsidR="00037697" w:rsidRPr="00745B4D">
        <w:rPr>
          <w:rFonts w:cs="Arial"/>
        </w:rPr>
        <w:t>s</w:t>
      </w:r>
      <w:r w:rsidRPr="00745B4D">
        <w:rPr>
          <w:rFonts w:cs="Arial"/>
        </w:rPr>
        <w:t xml:space="preserve">ation warned of the danger such events would cause, especially regarding the spread of the Covid-19 virus. Towards the end of January 2020, the Health Minister Salvador Illa publicly declared that Spain was ready to control the virus, which was later refuted by cases that were quickly escalating </w:t>
      </w:r>
      <w:r w:rsidRPr="00745B4D">
        <w:rPr>
          <w:rFonts w:eastAsia="Times New Roman" w:cs="Arial"/>
          <w:kern w:val="0"/>
          <w:lang w:eastAsia="en-GB"/>
        </w:rPr>
        <w:t>(Royo, 2020)</w:t>
      </w:r>
      <w:r w:rsidRPr="00745B4D">
        <w:rPr>
          <w:rFonts w:cs="Arial"/>
        </w:rPr>
        <w:t xml:space="preserve">. By the middle of March 2020, more than 7500 cases and more than 300 deaths had been reported in Spainand hospitals in Madrid and Catalonia were on the verge of collapsing </w:t>
      </w:r>
      <w:r w:rsidRPr="00745B4D">
        <w:rPr>
          <w:rFonts w:eastAsia="Times New Roman" w:cs="Arial"/>
          <w:kern w:val="0"/>
          <w:lang w:eastAsia="en-GB"/>
        </w:rPr>
        <w:t>(BBC, 2020)</w:t>
      </w:r>
      <w:r w:rsidRPr="00745B4D">
        <w:rPr>
          <w:rFonts w:cs="Arial"/>
        </w:rPr>
        <w:t>.</w:t>
      </w:r>
    </w:p>
    <w:p w14:paraId="44733783" w14:textId="77777777" w:rsidR="001D1D6E" w:rsidRPr="00745B4D" w:rsidRDefault="001D1D6E" w:rsidP="001D1D6E">
      <w:pPr>
        <w:rPr>
          <w:rFonts w:cs="Arial"/>
        </w:rPr>
      </w:pPr>
      <w:r w:rsidRPr="00745B4D">
        <w:rPr>
          <w:rFonts w:cs="Arial"/>
        </w:rPr>
        <w:t xml:space="preserve">This initial stage was indicative of reactive leadership style, whereby the risk is not identified quickly and also there is a reluctance to take restrictive measures. </w:t>
      </w:r>
    </w:p>
    <w:p w14:paraId="13258112" w14:textId="77777777" w:rsidR="001D1D6E" w:rsidRPr="00745B4D" w:rsidRDefault="001D1D6E" w:rsidP="001D1D6E">
      <w:pPr>
        <w:rPr>
          <w:rFonts w:cs="Arial"/>
          <w:b/>
          <w:bCs/>
        </w:rPr>
      </w:pPr>
      <w:r w:rsidRPr="00745B4D">
        <w:rPr>
          <w:rFonts w:cs="Arial"/>
          <w:b/>
          <w:bCs/>
        </w:rPr>
        <w:t>Early Delay Versus Later Success</w:t>
      </w:r>
    </w:p>
    <w:p w14:paraId="20D55945" w14:textId="77777777" w:rsidR="001D1D6E" w:rsidRPr="00745B4D" w:rsidRDefault="001D1D6E" w:rsidP="001D1D6E">
      <w:pPr>
        <w:rPr>
          <w:rFonts w:cs="Arial"/>
        </w:rPr>
      </w:pPr>
      <w:r w:rsidRPr="00745B4D">
        <w:rPr>
          <w:rFonts w:cs="Arial"/>
        </w:rPr>
        <w:t xml:space="preserve">The leadership of Spain took a new turn after the situation had gone out of control very fast. The government declared a national state of emergency on 14 March 2020 that placed one of the most restrictive lockdowns in Europe. This radical action bore the nature of a transactional approach to leadership which is typified by top-down authority, rule implementation and governance by compliance </w:t>
      </w:r>
      <w:r w:rsidRPr="00745B4D">
        <w:rPr>
          <w:rFonts w:eastAsia="Times New Roman" w:cs="Arial"/>
          <w:kern w:val="0"/>
          <w:lang w:eastAsia="en-GB"/>
        </w:rPr>
        <w:t>(Teruel, Pino and Real-Dato, 2023)</w:t>
      </w:r>
      <w:r w:rsidRPr="00745B4D">
        <w:rPr>
          <w:rFonts w:cs="Arial"/>
        </w:rPr>
        <w:t xml:space="preserve">. Regional health systems, mobility measures and emergency procurement were temporarily placed under temporary control of the central government. It was reported in the media that these measures were both socially and economically </w:t>
      </w:r>
      <w:r w:rsidR="00745B4D" w:rsidRPr="00745B4D">
        <w:rPr>
          <w:rFonts w:cs="Arial"/>
        </w:rPr>
        <w:t>expensive but</w:t>
      </w:r>
      <w:r w:rsidRPr="00745B4D">
        <w:rPr>
          <w:rFonts w:cs="Arial"/>
        </w:rPr>
        <w:t xml:space="preserve"> lowered the rate of transmissions in weeks.</w:t>
      </w:r>
    </w:p>
    <w:p w14:paraId="33CE7BB7" w14:textId="77777777" w:rsidR="001D1D6E" w:rsidRPr="00745B4D" w:rsidRDefault="001D1D6E" w:rsidP="001D1D6E">
      <w:pPr>
        <w:rPr>
          <w:rFonts w:cs="Arial"/>
        </w:rPr>
      </w:pPr>
      <w:r w:rsidRPr="00745B4D">
        <w:rPr>
          <w:rFonts w:cs="Arial"/>
        </w:rPr>
        <w:t xml:space="preserve">The subsequent pandemic period of Spain, especially in the process of vaccination (2021), proved that there was a shift towards transformational aspects of leadership. A clear national vision of collective responsibility, solidarity and protection of the vulnerable populations was articulated by the government </w:t>
      </w:r>
      <w:r w:rsidRPr="00745B4D">
        <w:rPr>
          <w:rFonts w:eastAsia="Times New Roman" w:cs="Arial"/>
          <w:kern w:val="0"/>
          <w:lang w:eastAsia="en-GB"/>
        </w:rPr>
        <w:t>(Antonini et al., 2021)</w:t>
      </w:r>
      <w:r w:rsidRPr="00745B4D">
        <w:rPr>
          <w:rFonts w:cs="Arial"/>
        </w:rPr>
        <w:t xml:space="preserve">. Spain has pursued a centrally aligned vaccine acquisition policy with the European Union and enabled the regional health systems to implement the provision of vaccines in an efficient way </w:t>
      </w:r>
      <w:r w:rsidRPr="00745B4D">
        <w:rPr>
          <w:rFonts w:eastAsia="Times New Roman" w:cs="Arial"/>
          <w:kern w:val="0"/>
          <w:lang w:eastAsia="en-GB"/>
        </w:rPr>
        <w:t>(European Commission, 2021)</w:t>
      </w:r>
      <w:r w:rsidRPr="00745B4D">
        <w:rPr>
          <w:rFonts w:cs="Arial"/>
        </w:rPr>
        <w:t>. As of September 2021</w:t>
      </w:r>
      <w:r w:rsidR="00377823" w:rsidRPr="00745B4D">
        <w:rPr>
          <w:rFonts w:cs="Arial"/>
        </w:rPr>
        <w:t>,</w:t>
      </w:r>
      <w:r w:rsidRPr="00745B4D">
        <w:rPr>
          <w:rFonts w:cs="Arial"/>
        </w:rPr>
        <w:t xml:space="preserve"> and above 78</w:t>
      </w:r>
      <w:r w:rsidR="00D01D80" w:rsidRPr="00745B4D">
        <w:rPr>
          <w:rFonts w:cs="Arial"/>
        </w:rPr>
        <w:t xml:space="preserve">% </w:t>
      </w:r>
      <w:r w:rsidRPr="00745B4D">
        <w:rPr>
          <w:rFonts w:cs="Arial"/>
        </w:rPr>
        <w:t xml:space="preserve">of the population in Spain was fully vaccinated, one of the highest rates in Europe (Stewart, 2025). The Guardian, among other international media outlets, referred to Spain as a success story in terms of vaccination, with better coordination by institutions and the population </w:t>
      </w:r>
      <w:r w:rsidRPr="00745B4D">
        <w:rPr>
          <w:rFonts w:eastAsia="Times New Roman" w:cs="Arial"/>
          <w:kern w:val="0"/>
          <w:lang w:eastAsia="en-GB"/>
        </w:rPr>
        <w:t>(Kassam, 2022)</w:t>
      </w:r>
      <w:r w:rsidRPr="00745B4D">
        <w:rPr>
          <w:rFonts w:cs="Arial"/>
        </w:rPr>
        <w:t>.</w:t>
      </w:r>
    </w:p>
    <w:p w14:paraId="136CF88B" w14:textId="77777777" w:rsidR="001D1D6E" w:rsidRPr="00745B4D" w:rsidRDefault="001D1D6E" w:rsidP="001D1D6E">
      <w:pPr>
        <w:rPr>
          <w:rFonts w:cs="Arial"/>
          <w:b/>
        </w:rPr>
      </w:pPr>
      <w:r w:rsidRPr="00745B4D">
        <w:rPr>
          <w:rFonts w:cs="Arial"/>
          <w:b/>
        </w:rPr>
        <w:t>Leadership Styles Applied</w:t>
      </w:r>
    </w:p>
    <w:p w14:paraId="5687B6E6" w14:textId="77777777" w:rsidR="001D1D6E" w:rsidRPr="00745B4D" w:rsidRDefault="001D1D6E" w:rsidP="001D1D6E">
      <w:pPr>
        <w:rPr>
          <w:rFonts w:cs="Arial"/>
        </w:rPr>
      </w:pPr>
      <w:r w:rsidRPr="00745B4D">
        <w:rPr>
          <w:rFonts w:cs="Arial"/>
        </w:rPr>
        <w:t>The leadership of the Spanish situation in the face of COVID-19 cannot be summari</w:t>
      </w:r>
      <w:r w:rsidR="00037697" w:rsidRPr="00745B4D">
        <w:rPr>
          <w:rFonts w:cs="Arial"/>
        </w:rPr>
        <w:t>s</w:t>
      </w:r>
      <w:r w:rsidRPr="00745B4D">
        <w:rPr>
          <w:rFonts w:cs="Arial"/>
        </w:rPr>
        <w:t xml:space="preserve">ed to a single </w:t>
      </w:r>
      <w:r w:rsidR="00745B4D" w:rsidRPr="00745B4D">
        <w:rPr>
          <w:rFonts w:cs="Arial"/>
        </w:rPr>
        <w:t>style;</w:t>
      </w:r>
      <w:r w:rsidRPr="00745B4D">
        <w:rPr>
          <w:rFonts w:cs="Arial"/>
        </w:rPr>
        <w:t xml:space="preserve"> it was developed over the course of the crisis. Underestimation of the risk and dependence on reassurance and not precaution characteri</w:t>
      </w:r>
      <w:r w:rsidR="00037697" w:rsidRPr="00745B4D">
        <w:rPr>
          <w:rFonts w:cs="Arial"/>
        </w:rPr>
        <w:t>s</w:t>
      </w:r>
      <w:r w:rsidRPr="00745B4D">
        <w:rPr>
          <w:rFonts w:cs="Arial"/>
        </w:rPr>
        <w:t xml:space="preserve">ed the initial reactive phase of leadership </w:t>
      </w:r>
      <w:r w:rsidRPr="00745B4D">
        <w:rPr>
          <w:rFonts w:eastAsia="Times New Roman" w:cs="Arial"/>
          <w:kern w:val="0"/>
          <w:lang w:eastAsia="en-GB"/>
        </w:rPr>
        <w:t>(Cebada Romero and Dominguez Redondo, 2021)</w:t>
      </w:r>
      <w:r w:rsidRPr="00745B4D">
        <w:rPr>
          <w:rFonts w:cs="Arial"/>
        </w:rPr>
        <w:t>. This strategy undermined early containment and led to the fact that as of May 2020, Spain had more than 28,000 deaths, which were one of the highest countries in the world at the time of the pandemic (Oliver et al., 2020).</w:t>
      </w:r>
    </w:p>
    <w:p w14:paraId="2F807D8E" w14:textId="77777777" w:rsidR="001D1D6E" w:rsidRPr="00745B4D" w:rsidRDefault="001D1D6E" w:rsidP="001D1D6E">
      <w:pPr>
        <w:rPr>
          <w:rFonts w:cs="Arial"/>
        </w:rPr>
      </w:pPr>
      <w:r w:rsidRPr="00745B4D">
        <w:rPr>
          <w:rFonts w:cs="Arial"/>
        </w:rPr>
        <w:t xml:space="preserve">The next stage of transactional leadership was more focused on control and compliance and enforcement with emergency legislation </w:t>
      </w:r>
      <w:r w:rsidRPr="00745B4D">
        <w:rPr>
          <w:rFonts w:eastAsia="Times New Roman" w:cs="Arial"/>
          <w:kern w:val="0"/>
          <w:lang w:eastAsia="en-GB"/>
        </w:rPr>
        <w:t>(Rameshan, 2022)</w:t>
      </w:r>
      <w:r w:rsidRPr="00745B4D">
        <w:rPr>
          <w:rFonts w:cs="Arial"/>
        </w:rPr>
        <w:t>. This style was successful in minimi</w:t>
      </w:r>
      <w:r w:rsidR="00037697" w:rsidRPr="00745B4D">
        <w:rPr>
          <w:rFonts w:cs="Arial"/>
        </w:rPr>
        <w:t>s</w:t>
      </w:r>
      <w:r w:rsidRPr="00745B4D">
        <w:rPr>
          <w:rFonts w:cs="Arial"/>
        </w:rPr>
        <w:t xml:space="preserve">ing transmission </w:t>
      </w:r>
      <w:r w:rsidR="00745B4D" w:rsidRPr="00745B4D">
        <w:rPr>
          <w:rFonts w:cs="Arial"/>
        </w:rPr>
        <w:t>quickly but</w:t>
      </w:r>
      <w:r w:rsidRPr="00745B4D">
        <w:rPr>
          <w:rFonts w:cs="Arial"/>
        </w:rPr>
        <w:t xml:space="preserve"> created political pressure with the regional governments and civil society, especially in terms of curtailing civil liberties and economic activity. The transactional leadership provided uniformity and speed but not flexibility and participatory endeavo</w:t>
      </w:r>
      <w:r w:rsidR="00D01D80" w:rsidRPr="00745B4D">
        <w:rPr>
          <w:rFonts w:cs="Arial"/>
        </w:rPr>
        <w:t>u</w:t>
      </w:r>
      <w:r w:rsidRPr="00745B4D">
        <w:rPr>
          <w:rFonts w:cs="Arial"/>
        </w:rPr>
        <w:t>rs.</w:t>
      </w:r>
    </w:p>
    <w:p w14:paraId="6F5D8EEB" w14:textId="77777777" w:rsidR="001D1D6E" w:rsidRPr="00745B4D" w:rsidRDefault="001D1D6E" w:rsidP="001D1D6E">
      <w:pPr>
        <w:rPr>
          <w:rFonts w:cs="Arial"/>
        </w:rPr>
      </w:pPr>
      <w:r w:rsidRPr="00745B4D">
        <w:rPr>
          <w:rFonts w:cs="Arial"/>
        </w:rPr>
        <w:t>The immuni</w:t>
      </w:r>
      <w:r w:rsidR="00037697" w:rsidRPr="00745B4D">
        <w:rPr>
          <w:rFonts w:cs="Arial"/>
        </w:rPr>
        <w:t>s</w:t>
      </w:r>
      <w:r w:rsidRPr="00745B4D">
        <w:rPr>
          <w:rFonts w:cs="Arial"/>
        </w:rPr>
        <w:t xml:space="preserve">ation stage used the transformational leadership attributes such as inspirational communication, collective-good focus and relationship-building with open communication </w:t>
      </w:r>
      <w:r w:rsidRPr="00745B4D">
        <w:rPr>
          <w:rFonts w:eastAsia="Times New Roman" w:cs="Arial"/>
          <w:kern w:val="0"/>
          <w:lang w:eastAsia="en-GB"/>
        </w:rPr>
        <w:t>(Rameshan, 2022)</w:t>
      </w:r>
      <w:r w:rsidRPr="00745B4D">
        <w:rPr>
          <w:rFonts w:cs="Arial"/>
        </w:rPr>
        <w:t>. Frequent press conferences and regular messages by the national leadership strengthened trust in the vaccination campaign. This can be seen to agree with the transformational leadership theory that focuses on inspiring populations that are not driven by personal interests to reach a common goal.</w:t>
      </w:r>
    </w:p>
    <w:p w14:paraId="7340C182" w14:textId="77777777" w:rsidR="001D1D6E" w:rsidRPr="00745B4D" w:rsidRDefault="001D1D6E" w:rsidP="001D1D6E">
      <w:pPr>
        <w:rPr>
          <w:rFonts w:cs="Arial"/>
          <w:b/>
        </w:rPr>
      </w:pPr>
      <w:r w:rsidRPr="00745B4D">
        <w:rPr>
          <w:rFonts w:cs="Arial"/>
          <w:b/>
        </w:rPr>
        <w:t>Strengths, Weaknesses and Consequences</w:t>
      </w:r>
    </w:p>
    <w:p w14:paraId="164C86E6" w14:textId="77777777" w:rsidR="001D1D6E" w:rsidRPr="00745B4D" w:rsidRDefault="001D1D6E" w:rsidP="001D1D6E">
      <w:pPr>
        <w:rPr>
          <w:rFonts w:cs="Arial"/>
        </w:rPr>
      </w:pPr>
      <w:r w:rsidRPr="00745B4D">
        <w:rPr>
          <w:rFonts w:cs="Arial"/>
        </w:rPr>
        <w:t xml:space="preserve">One of the main strengths of the leadership in Spain was its ability to change the leadership style with the change of the crisis </w:t>
      </w:r>
      <w:r w:rsidRPr="00745B4D">
        <w:rPr>
          <w:rFonts w:eastAsia="Times New Roman" w:cs="Arial"/>
          <w:kern w:val="0"/>
          <w:lang w:eastAsia="en-GB"/>
        </w:rPr>
        <w:t>(Jesús Labrador Fernández, César and Gisela Isabel Delfino, 2023)</w:t>
      </w:r>
      <w:r w:rsidRPr="00745B4D">
        <w:rPr>
          <w:rFonts w:cs="Arial"/>
        </w:rPr>
        <w:t>. Although initial delays were expensive, the government was learning and adaptation through tougher control and subsequent support of societal cooperation when carrying out the vaccination process. The transactional power and transformational message led to increased vaccine coverage and a smaller number of hospitalisation</w:t>
      </w:r>
      <w:r w:rsidR="00FE1CE4" w:rsidRPr="00745B4D">
        <w:rPr>
          <w:rFonts w:cs="Arial"/>
        </w:rPr>
        <w:t>s</w:t>
      </w:r>
      <w:r w:rsidRPr="00745B4D">
        <w:rPr>
          <w:rFonts w:cs="Arial"/>
        </w:rPr>
        <w:t xml:space="preserve"> during the later waves.</w:t>
      </w:r>
    </w:p>
    <w:p w14:paraId="10DFE3F9" w14:textId="77777777" w:rsidR="001D1D6E" w:rsidRPr="00745B4D" w:rsidRDefault="001D1D6E" w:rsidP="001D1D6E">
      <w:pPr>
        <w:rPr>
          <w:rFonts w:cs="Arial"/>
        </w:rPr>
      </w:pPr>
      <w:r w:rsidRPr="00745B4D">
        <w:rPr>
          <w:rFonts w:cs="Arial"/>
        </w:rPr>
        <w:t xml:space="preserve">Nonetheless, weaknesses were high. Premature reactive leadership had the cost of unnecessary mortality and excess workloads in the health system, especially in long-term care hospitals, where thousands of deaths were caused </w:t>
      </w:r>
      <w:r w:rsidRPr="00745B4D">
        <w:rPr>
          <w:rFonts w:eastAsia="Times New Roman" w:cs="Arial"/>
          <w:kern w:val="0"/>
          <w:lang w:eastAsia="en-GB"/>
        </w:rPr>
        <w:t>(Otero-García et al., 2023)</w:t>
      </w:r>
      <w:r w:rsidRPr="00745B4D">
        <w:rPr>
          <w:rFonts w:cs="Arial"/>
        </w:rPr>
        <w:t>. The emergency response was also centralised, which further worsened the relationship with autonomous communities, revealing the vulnerability of governance to highly decentralised regimes. Investigations by media attacked discrepancies in data reporting and early lack of personal protective equipment, which demorali</w:t>
      </w:r>
      <w:r w:rsidR="00037697" w:rsidRPr="00745B4D">
        <w:rPr>
          <w:rFonts w:cs="Arial"/>
        </w:rPr>
        <w:t>s</w:t>
      </w:r>
      <w:r w:rsidRPr="00745B4D">
        <w:rPr>
          <w:rFonts w:cs="Arial"/>
        </w:rPr>
        <w:t>ed the troops on the ground.</w:t>
      </w:r>
    </w:p>
    <w:p w14:paraId="783986B2" w14:textId="77777777" w:rsidR="001D1D6E" w:rsidRPr="00745B4D" w:rsidRDefault="001D1D6E" w:rsidP="001D1D6E">
      <w:pPr>
        <w:rPr>
          <w:rFonts w:cs="Arial"/>
        </w:rPr>
      </w:pPr>
      <w:r w:rsidRPr="00745B4D">
        <w:rPr>
          <w:rFonts w:cs="Arial"/>
        </w:rPr>
        <w:t xml:space="preserve">In general, the COVID-19 leadership of Spain is an example when the leadership style has a direct impact on the population health. Reactive delay amplified initial damage, transactional management settled the crisis and transformational aspects aided in long-term restoration. The case of Spain highlights the significance of adopting leadership in a timely manner, selection of adaptive style and compatibility between leadership and the trust of the population in cases of health emergencies </w:t>
      </w:r>
      <w:r w:rsidRPr="00745B4D">
        <w:rPr>
          <w:rFonts w:eastAsia="Times New Roman" w:cs="Arial"/>
          <w:kern w:val="0"/>
          <w:lang w:eastAsia="en-GB"/>
        </w:rPr>
        <w:t>(Royo, 2020)</w:t>
      </w:r>
      <w:r w:rsidRPr="00745B4D">
        <w:rPr>
          <w:rFonts w:cs="Arial"/>
        </w:rPr>
        <w:t>.</w:t>
      </w:r>
    </w:p>
    <w:p w14:paraId="51F14031" w14:textId="77777777" w:rsidR="001D1D6E" w:rsidRPr="00AE3BEE" w:rsidRDefault="001D1D6E" w:rsidP="00745B4D">
      <w:pPr>
        <w:pStyle w:val="Heading2"/>
        <w:numPr>
          <w:ilvl w:val="1"/>
          <w:numId w:val="3"/>
        </w:numPr>
      </w:pPr>
      <w:bookmarkStart w:id="8" w:name="_Toc216746772"/>
      <w:r w:rsidRPr="00AE3BEE">
        <w:t>South Korea: Leadership Styles and COVID-19 Response</w:t>
      </w:r>
      <w:bookmarkEnd w:id="8"/>
    </w:p>
    <w:p w14:paraId="2F387670" w14:textId="77777777" w:rsidR="001D1D6E" w:rsidRPr="00745B4D" w:rsidRDefault="001D1D6E" w:rsidP="002675B2">
      <w:pPr>
        <w:rPr>
          <w:b/>
        </w:rPr>
      </w:pPr>
      <w:r w:rsidRPr="00745B4D">
        <w:rPr>
          <w:b/>
        </w:rPr>
        <w:t xml:space="preserve">Transparency, </w:t>
      </w:r>
      <w:r w:rsidR="00FE1CE4" w:rsidRPr="00745B4D">
        <w:rPr>
          <w:b/>
        </w:rPr>
        <w:t>Tr</w:t>
      </w:r>
      <w:r w:rsidRPr="00745B4D">
        <w:rPr>
          <w:b/>
        </w:rPr>
        <w:t xml:space="preserve">ust and </w:t>
      </w:r>
      <w:r w:rsidR="00FE1CE4" w:rsidRPr="00745B4D">
        <w:rPr>
          <w:b/>
        </w:rPr>
        <w:t>O</w:t>
      </w:r>
      <w:r w:rsidRPr="00745B4D">
        <w:rPr>
          <w:b/>
        </w:rPr>
        <w:t>penness</w:t>
      </w:r>
    </w:p>
    <w:p w14:paraId="242469FA" w14:textId="77777777" w:rsidR="001D1D6E" w:rsidRPr="00745B4D" w:rsidRDefault="001D1D6E" w:rsidP="001D1D6E">
      <w:pPr>
        <w:rPr>
          <w:rFonts w:cs="Arial"/>
        </w:rPr>
      </w:pPr>
      <w:r w:rsidRPr="00745B4D">
        <w:rPr>
          <w:rFonts w:cs="Arial"/>
        </w:rPr>
        <w:t>The management of COVID-19 in South Korea was characteri</w:t>
      </w:r>
      <w:r w:rsidR="00037697" w:rsidRPr="00745B4D">
        <w:rPr>
          <w:rFonts w:cs="Arial"/>
        </w:rPr>
        <w:t>s</w:t>
      </w:r>
      <w:r w:rsidRPr="00745B4D">
        <w:rPr>
          <w:rFonts w:cs="Arial"/>
        </w:rPr>
        <w:t>ed by the transparency and establishment of the trust-based system that relied on the open manifestation of the public-health expertise. KCDC/KDCA authorities organi</w:t>
      </w:r>
      <w:r w:rsidR="00037697" w:rsidRPr="00745B4D">
        <w:rPr>
          <w:rFonts w:cs="Arial"/>
        </w:rPr>
        <w:t>s</w:t>
      </w:r>
      <w:r w:rsidRPr="00745B4D">
        <w:rPr>
          <w:rFonts w:cs="Arial"/>
        </w:rPr>
        <w:t xml:space="preserve">ed regular briefings and provided extensive epidemiological updates; academic commentary that </w:t>
      </w:r>
      <w:r w:rsidRPr="00745B4D">
        <w:rPr>
          <w:rFonts w:cs="Arial"/>
          <w:i/>
          <w:iCs/>
        </w:rPr>
        <w:t>Jung Eun-kyeong</w:t>
      </w:r>
      <w:r w:rsidRPr="00745B4D">
        <w:rPr>
          <w:rFonts w:cs="Arial"/>
        </w:rPr>
        <w:t xml:space="preserve"> and other professionals conducted daily press conferences during the pandemic made the action more legitimate and encouraged collaboration </w:t>
      </w:r>
      <w:r w:rsidRPr="00745B4D">
        <w:rPr>
          <w:rFonts w:eastAsia="Times New Roman" w:cs="Arial"/>
          <w:kern w:val="0"/>
          <w:lang w:eastAsia="en-GB"/>
        </w:rPr>
        <w:t>(Shin Ae Hong, 2024)</w:t>
      </w:r>
      <w:r w:rsidRPr="00745B4D">
        <w:rPr>
          <w:rFonts w:cs="Arial"/>
        </w:rPr>
        <w:t xml:space="preserve">.Openness also emerged in signs of escalation and congruent account of policy decisions, which served to sustain predictability during a period of scientific uncertainty and social panic. According to the media, BBC and The New York Times, this transparency stood in stark contrast to less transparent answers in other places and was able to maintain the trust of the population, which would not impose nationwide lockdowns </w:t>
      </w:r>
      <w:r w:rsidRPr="00745B4D">
        <w:rPr>
          <w:rFonts w:eastAsia="Times New Roman" w:cs="Arial"/>
          <w:kern w:val="0"/>
          <w:lang w:eastAsia="en-GB"/>
        </w:rPr>
        <w:t>(Baraniuk, 2025)</w:t>
      </w:r>
      <w:r w:rsidRPr="00745B4D">
        <w:rPr>
          <w:rFonts w:cs="Arial"/>
        </w:rPr>
        <w:t>. On the theory of leadership, this strategy is representative of democratic and transformational leadership, among which leaders were actively involved in engaging citi</w:t>
      </w:r>
      <w:r w:rsidR="00037697" w:rsidRPr="00745B4D">
        <w:rPr>
          <w:rFonts w:cs="Arial"/>
        </w:rPr>
        <w:t>z</w:t>
      </w:r>
      <w:r w:rsidRPr="00745B4D">
        <w:rPr>
          <w:rFonts w:cs="Arial"/>
        </w:rPr>
        <w:t>ens, promoting voluntary compliance and the development of a feeling of personal responsibility to the collective health outcomes.</w:t>
      </w:r>
    </w:p>
    <w:p w14:paraId="240253A5" w14:textId="77777777" w:rsidR="001D1D6E" w:rsidRPr="00745B4D" w:rsidRDefault="001D1D6E" w:rsidP="001D1D6E">
      <w:pPr>
        <w:rPr>
          <w:rFonts w:cs="Arial"/>
        </w:rPr>
      </w:pPr>
      <w:r w:rsidRPr="00745B4D">
        <w:rPr>
          <w:rFonts w:cs="Arial"/>
        </w:rPr>
        <w:t>Leadership-theory wise, the communication approach was a combination of democratic leadership (two-way risk communication and sensitivity to the general alarm) and transformational leadership (rallying collective responsibility and unity). Harmoni</w:t>
      </w:r>
      <w:r w:rsidR="00037697" w:rsidRPr="00745B4D">
        <w:rPr>
          <w:rFonts w:cs="Arial"/>
        </w:rPr>
        <w:t>s</w:t>
      </w:r>
      <w:r w:rsidRPr="00745B4D">
        <w:rPr>
          <w:rFonts w:cs="Arial"/>
        </w:rPr>
        <w:t>ation of expert briefing and policy behavior minimised the mixed messages and contributed to maintaining compliance across multiple waves. nationwide discipline.</w:t>
      </w:r>
    </w:p>
    <w:p w14:paraId="084FA0C9" w14:textId="77777777" w:rsidR="001D1D6E" w:rsidRPr="00745B4D" w:rsidRDefault="001D1D6E" w:rsidP="001D1D6E">
      <w:pPr>
        <w:rPr>
          <w:rFonts w:cs="Arial"/>
          <w:b/>
          <w:bCs/>
        </w:rPr>
      </w:pPr>
      <w:r w:rsidRPr="00745B4D">
        <w:rPr>
          <w:rFonts w:cs="Arial"/>
          <w:b/>
          <w:bCs/>
        </w:rPr>
        <w:t xml:space="preserve">Crisis </w:t>
      </w:r>
      <w:r w:rsidR="00FE1CE4" w:rsidRPr="00745B4D">
        <w:rPr>
          <w:rFonts w:cs="Arial"/>
          <w:b/>
          <w:bCs/>
        </w:rPr>
        <w:t>Leadership Under Uncertainty</w:t>
      </w:r>
    </w:p>
    <w:p w14:paraId="71D7E934" w14:textId="77777777" w:rsidR="001D1D6E" w:rsidRPr="00745B4D" w:rsidRDefault="001D1D6E" w:rsidP="001D1D6E">
      <w:pPr>
        <w:rPr>
          <w:rFonts w:cs="Arial"/>
        </w:rPr>
      </w:pPr>
      <w:r w:rsidRPr="00745B4D">
        <w:rPr>
          <w:rFonts w:cs="Arial"/>
        </w:rPr>
        <w:t xml:space="preserve">Quick judgments and strict guidelines of operations were needed in crisis leadership. The speed of response of South Korea was made possible by preparedness reforms following the MERS including emergency use authorisation procedures that expedited the introduction of diagnostic tests </w:t>
      </w:r>
      <w:r w:rsidRPr="00745B4D">
        <w:rPr>
          <w:rFonts w:eastAsia="Times New Roman" w:cs="Arial"/>
          <w:kern w:val="0"/>
          <w:lang w:eastAsia="en-GB"/>
        </w:rPr>
        <w:t>(Oh, 2020)</w:t>
      </w:r>
      <w:r w:rsidRPr="00745B4D">
        <w:rPr>
          <w:rFonts w:cs="Arial"/>
        </w:rPr>
        <w:t xml:space="preserve">. A peer-reviewed records that by 23 March 2020 South Korea had performed 338,036 tests and detected 8,961 confirmed individuals which illustrates high-volume testing and case detection </w:t>
      </w:r>
      <w:r w:rsidRPr="00745B4D">
        <w:rPr>
          <w:rFonts w:eastAsia="Times New Roman" w:cs="Arial"/>
          <w:kern w:val="0"/>
          <w:lang w:eastAsia="en-GB"/>
        </w:rPr>
        <w:t>(Kim et al., 2020)</w:t>
      </w:r>
      <w:r w:rsidRPr="00745B4D">
        <w:rPr>
          <w:rFonts w:cs="Arial"/>
        </w:rPr>
        <w:t>.</w:t>
      </w:r>
      <w:r w:rsidR="002675B2" w:rsidRPr="00745B4D">
        <w:rPr>
          <w:rFonts w:cs="Arial"/>
        </w:rPr>
        <w:t xml:space="preserve"> A</w:t>
      </w:r>
      <w:r w:rsidRPr="00745B4D">
        <w:rPr>
          <w:rFonts w:cs="Arial"/>
        </w:rPr>
        <w:t xml:space="preserve">s at the end of April 2020, testing capacity is averaging approximately 15,000 per day (up to 20, 000) due to the rapid expansion of laboratory networks and access points, including drive-through locations </w:t>
      </w:r>
      <w:r w:rsidRPr="00745B4D">
        <w:rPr>
          <w:rFonts w:eastAsia="Times New Roman" w:cs="Arial"/>
          <w:kern w:val="0"/>
          <w:lang w:eastAsia="en-GB"/>
        </w:rPr>
        <w:t>(Kim et al., 2025)</w:t>
      </w:r>
      <w:r w:rsidRPr="00745B4D">
        <w:rPr>
          <w:rFonts w:cs="Arial"/>
        </w:rPr>
        <w:t xml:space="preserve">. Simultaneously, such an answer also incorporated the aspects of transactional leadership, such as unambiguous regulations regarding quarantine, tracing and distancing, supported by the force, meant to decrease uncertainty and enhance compliance. According to ethical arguments, the explained measures were effective due in part to the fact that the results could be returned in a short period of time and the decisions about the isolation could be taken quickly </w:t>
      </w:r>
      <w:r w:rsidRPr="00745B4D">
        <w:rPr>
          <w:rFonts w:eastAsia="Times New Roman" w:cs="Arial"/>
          <w:kern w:val="0"/>
          <w:lang w:eastAsia="en-GB"/>
        </w:rPr>
        <w:t>(Ryan, 2020)</w:t>
      </w:r>
      <w:r w:rsidRPr="00745B4D">
        <w:rPr>
          <w:rFonts w:cs="Arial"/>
        </w:rPr>
        <w:t>.</w:t>
      </w:r>
    </w:p>
    <w:p w14:paraId="031A53D9" w14:textId="77777777" w:rsidR="001D1D6E" w:rsidRPr="00745B4D" w:rsidRDefault="001D1D6E" w:rsidP="001D1D6E">
      <w:pPr>
        <w:rPr>
          <w:rFonts w:cs="Arial"/>
          <w:b/>
          <w:bCs/>
        </w:rPr>
      </w:pPr>
      <w:r w:rsidRPr="00745B4D">
        <w:rPr>
          <w:rFonts w:cs="Arial"/>
          <w:b/>
          <w:bCs/>
        </w:rPr>
        <w:t xml:space="preserve">Systems </w:t>
      </w:r>
      <w:r w:rsidR="00FE1CE4" w:rsidRPr="00745B4D">
        <w:rPr>
          <w:rFonts w:cs="Arial"/>
          <w:b/>
          <w:bCs/>
        </w:rPr>
        <w:t>T</w:t>
      </w:r>
      <w:r w:rsidRPr="00745B4D">
        <w:rPr>
          <w:rFonts w:cs="Arial"/>
          <w:b/>
          <w:bCs/>
        </w:rPr>
        <w:t xml:space="preserve">hinking and </w:t>
      </w:r>
      <w:r w:rsidR="00FE1CE4" w:rsidRPr="00745B4D">
        <w:rPr>
          <w:rFonts w:cs="Arial"/>
          <w:b/>
          <w:bCs/>
        </w:rPr>
        <w:t>W</w:t>
      </w:r>
      <w:r w:rsidRPr="00745B4D">
        <w:rPr>
          <w:rFonts w:cs="Arial"/>
          <w:b/>
          <w:bCs/>
        </w:rPr>
        <w:t>hole-of-</w:t>
      </w:r>
      <w:r w:rsidR="00FE1CE4" w:rsidRPr="00745B4D">
        <w:rPr>
          <w:rFonts w:cs="Arial"/>
          <w:b/>
          <w:bCs/>
        </w:rPr>
        <w:t>G</w:t>
      </w:r>
      <w:r w:rsidRPr="00745B4D">
        <w:rPr>
          <w:rFonts w:cs="Arial"/>
          <w:b/>
          <w:bCs/>
        </w:rPr>
        <w:t xml:space="preserve">overnment </w:t>
      </w:r>
      <w:r w:rsidR="00FE1CE4" w:rsidRPr="00745B4D">
        <w:rPr>
          <w:rFonts w:cs="Arial"/>
          <w:b/>
          <w:bCs/>
        </w:rPr>
        <w:t>C</w:t>
      </w:r>
      <w:r w:rsidRPr="00745B4D">
        <w:rPr>
          <w:rFonts w:cs="Arial"/>
          <w:b/>
          <w:bCs/>
        </w:rPr>
        <w:t>oordination</w:t>
      </w:r>
    </w:p>
    <w:p w14:paraId="240F6B26" w14:textId="77777777" w:rsidR="001D1D6E" w:rsidRPr="00745B4D" w:rsidRDefault="001D1D6E" w:rsidP="001D1D6E">
      <w:pPr>
        <w:rPr>
          <w:rFonts w:cs="Arial"/>
        </w:rPr>
      </w:pPr>
      <w:r w:rsidRPr="00745B4D">
        <w:rPr>
          <w:rFonts w:cs="Arial"/>
        </w:rPr>
        <w:t xml:space="preserve">The response of South Korea was system thinking: the leaders viewed COVID-19 as a system issue that involved coordinated levers: surveillance, regulation, logistics and public behaviour. Government reports explain the use of integrated digital tools, which cut the time per case of investigation to less than 10 minutes, as an example of leadership investment in feedback between data and action </w:t>
      </w:r>
      <w:r w:rsidRPr="00745B4D">
        <w:rPr>
          <w:rFonts w:eastAsia="Times New Roman" w:cs="Arial"/>
          <w:kern w:val="0"/>
          <w:lang w:eastAsia="en-GB"/>
        </w:rPr>
        <w:t>(Government of the Republic of Korea, 2025)</w:t>
      </w:r>
      <w:r w:rsidRPr="00745B4D">
        <w:rPr>
          <w:rFonts w:cs="Arial"/>
        </w:rPr>
        <w:t xml:space="preserve">. A media report by the Korean media covered a programme that was aimed at fulfilling an exposure tracing process in approximately 10 minutes linking health authorities with various sources of data, an effort to make decisions on isolation faster and more focused on containment </w:t>
      </w:r>
      <w:r w:rsidRPr="00745B4D">
        <w:rPr>
          <w:rFonts w:eastAsia="Times New Roman" w:cs="Arial"/>
          <w:kern w:val="0"/>
          <w:lang w:eastAsia="en-GB"/>
        </w:rPr>
        <w:t>(Park Han-na, 2020)</w:t>
      </w:r>
      <w:r w:rsidRPr="00745B4D">
        <w:rPr>
          <w:rFonts w:cs="Arial"/>
        </w:rPr>
        <w:t xml:space="preserve">. The effectiveness of leadership thus was not just as to who was leading, but rather the coordination of institutions, that is, KDCA/KCDC as the technical leader, central government as the coordinator and local authorities as the implementers. Such choreography of institutions is in line with systems leadership and is the reason why the targeted interventions might substitute blanket national shutdowns </w:t>
      </w:r>
      <w:r w:rsidRPr="00745B4D">
        <w:rPr>
          <w:rFonts w:eastAsia="Times New Roman" w:cs="Arial"/>
          <w:kern w:val="0"/>
          <w:lang w:eastAsia="en-GB"/>
        </w:rPr>
        <w:t>(Tereza Novotná and Nam Kook Kim, 2023)</w:t>
      </w:r>
      <w:r w:rsidRPr="00745B4D">
        <w:rPr>
          <w:rFonts w:cs="Arial"/>
        </w:rPr>
        <w:t>.</w:t>
      </w:r>
    </w:p>
    <w:p w14:paraId="7E8E56F0" w14:textId="77777777" w:rsidR="001D1D6E" w:rsidRPr="00745B4D" w:rsidRDefault="001D1D6E" w:rsidP="001D1D6E">
      <w:pPr>
        <w:rPr>
          <w:rFonts w:cs="Arial"/>
          <w:b/>
          <w:bCs/>
        </w:rPr>
      </w:pPr>
      <w:r w:rsidRPr="00745B4D">
        <w:rPr>
          <w:rFonts w:cs="Arial"/>
          <w:b/>
          <w:bCs/>
        </w:rPr>
        <w:t xml:space="preserve">Leadership </w:t>
      </w:r>
      <w:r w:rsidR="00FE1CE4" w:rsidRPr="00745B4D">
        <w:rPr>
          <w:rFonts w:cs="Arial"/>
          <w:b/>
          <w:bCs/>
        </w:rPr>
        <w:t>E</w:t>
      </w:r>
      <w:r w:rsidRPr="00745B4D">
        <w:rPr>
          <w:rFonts w:cs="Arial"/>
          <w:b/>
          <w:bCs/>
        </w:rPr>
        <w:t xml:space="preserve">ffectiveness: </w:t>
      </w:r>
      <w:r w:rsidR="00FE1CE4" w:rsidRPr="00745B4D">
        <w:rPr>
          <w:rFonts w:cs="Arial"/>
          <w:b/>
          <w:bCs/>
        </w:rPr>
        <w:t>O</w:t>
      </w:r>
      <w:r w:rsidRPr="00745B4D">
        <w:rPr>
          <w:rFonts w:cs="Arial"/>
          <w:b/>
          <w:bCs/>
        </w:rPr>
        <w:t xml:space="preserve">utcomes and </w:t>
      </w:r>
      <w:r w:rsidR="00FE1CE4" w:rsidRPr="00745B4D">
        <w:rPr>
          <w:rFonts w:cs="Arial"/>
          <w:b/>
          <w:bCs/>
        </w:rPr>
        <w:t>T</w:t>
      </w:r>
      <w:r w:rsidRPr="00745B4D">
        <w:rPr>
          <w:rFonts w:cs="Arial"/>
          <w:b/>
          <w:bCs/>
        </w:rPr>
        <w:t>rade-</w:t>
      </w:r>
      <w:r w:rsidR="00FE1CE4" w:rsidRPr="00745B4D">
        <w:rPr>
          <w:rFonts w:cs="Arial"/>
          <w:b/>
          <w:bCs/>
        </w:rPr>
        <w:t>O</w:t>
      </w:r>
      <w:r w:rsidRPr="00745B4D">
        <w:rPr>
          <w:rFonts w:cs="Arial"/>
          <w:b/>
          <w:bCs/>
        </w:rPr>
        <w:t>ffs</w:t>
      </w:r>
    </w:p>
    <w:p w14:paraId="35AA26A1" w14:textId="77777777" w:rsidR="001D1D6E" w:rsidRPr="00745B4D" w:rsidRDefault="001D1D6E" w:rsidP="001D1D6E">
      <w:pPr>
        <w:rPr>
          <w:rFonts w:cs="Arial"/>
        </w:rPr>
      </w:pPr>
      <w:r w:rsidRPr="00745B4D">
        <w:rPr>
          <w:rFonts w:cs="Arial"/>
        </w:rPr>
        <w:t xml:space="preserve">Success can be measured through results and the </w:t>
      </w:r>
      <w:r w:rsidR="00745B4D" w:rsidRPr="00745B4D">
        <w:rPr>
          <w:rFonts w:cs="Arial"/>
        </w:rPr>
        <w:t>way</w:t>
      </w:r>
      <w:r w:rsidRPr="00745B4D">
        <w:rPr>
          <w:rFonts w:cs="Arial"/>
        </w:rPr>
        <w:t xml:space="preserve"> the leadership had to handle stress points. </w:t>
      </w:r>
      <w:r w:rsidR="00745B4D" w:rsidRPr="00745B4D">
        <w:rPr>
          <w:rFonts w:cs="Arial"/>
        </w:rPr>
        <w:t>In</w:t>
      </w:r>
      <w:r w:rsidRPr="00745B4D">
        <w:rPr>
          <w:rFonts w:cs="Arial"/>
        </w:rPr>
        <w:t xml:space="preserve"> December 2020, a significant winter wave was reported with successive days higher than 1,000 new cases, totals were 49,665 cases and 674 deaths on 20 December 2020 and it was alleged that restrictions were not tightened early enough when the community clusters continued to grow </w:t>
      </w:r>
      <w:r w:rsidRPr="00745B4D">
        <w:rPr>
          <w:rFonts w:eastAsia="Times New Roman" w:cs="Arial"/>
          <w:kern w:val="0"/>
          <w:lang w:eastAsia="en-GB"/>
        </w:rPr>
        <w:t>(Reuters Staff and Jin, 2020)</w:t>
      </w:r>
      <w:r w:rsidRPr="00745B4D">
        <w:rPr>
          <w:rFonts w:cs="Arial"/>
        </w:rPr>
        <w:t xml:space="preserve">. Patients waiting to find a place in the hospital died during the same surge, revealing the pressure of capacity and the exhaustion of the capacity of the surge, when the clusters become far apart at the same time, even though the process of containment was previously successful </w:t>
      </w:r>
      <w:r w:rsidRPr="00745B4D">
        <w:rPr>
          <w:rFonts w:eastAsia="Times New Roman" w:cs="Arial"/>
          <w:kern w:val="0"/>
          <w:lang w:eastAsia="en-GB"/>
        </w:rPr>
        <w:t>(Shin, 2020)</w:t>
      </w:r>
      <w:r w:rsidRPr="00745B4D">
        <w:rPr>
          <w:rFonts w:cs="Arial"/>
        </w:rPr>
        <w:t xml:space="preserve">. Ethical trade-offs also need to be discussed during a critical appraisal. Literary commentary states that the benefits of speed and accuracy in controlling outbreaks were at the cost of privacy and stigma in the practices of granular digital tracing and open disclosure </w:t>
      </w:r>
      <w:r w:rsidRPr="00745B4D">
        <w:rPr>
          <w:rFonts w:eastAsia="Times New Roman" w:cs="Arial"/>
          <w:kern w:val="0"/>
          <w:lang w:eastAsia="en-GB"/>
        </w:rPr>
        <w:t>(Ryan, 2020)</w:t>
      </w:r>
      <w:r w:rsidRPr="00745B4D">
        <w:rPr>
          <w:rFonts w:cs="Arial"/>
        </w:rPr>
        <w:t>. The success of leadership in this sense hinged on maintaining the trust and proportionality of the people on interventions based on surveillance since in the long-term crisis legitimacy is a vital asset.</w:t>
      </w:r>
    </w:p>
    <w:p w14:paraId="5B98C87A" w14:textId="77777777" w:rsidR="001D1D6E" w:rsidRPr="00745B4D" w:rsidRDefault="001D1D6E" w:rsidP="001D1D6E">
      <w:pPr>
        <w:rPr>
          <w:rFonts w:cs="Arial"/>
        </w:rPr>
      </w:pPr>
      <w:r w:rsidRPr="00745B4D">
        <w:rPr>
          <w:rFonts w:cs="Arial"/>
        </w:rPr>
        <w:t xml:space="preserve">In general, the COVID-19 leadership in South Korea shows that transformational, democratic and transactional leadership styles can be used with the adaptive application in a framework based on systems thinking and yield good results in terms of the overall level of population health </w:t>
      </w:r>
      <w:r w:rsidRPr="00745B4D">
        <w:rPr>
          <w:rFonts w:eastAsia="Times New Roman" w:cs="Arial"/>
          <w:kern w:val="0"/>
          <w:lang w:eastAsia="en-GB"/>
        </w:rPr>
        <w:t>(Shin Ae Hong, 2024)</w:t>
      </w:r>
      <w:r w:rsidRPr="00745B4D">
        <w:rPr>
          <w:rFonts w:cs="Arial"/>
        </w:rPr>
        <w:t>. Concurrently, it displays the trade-offs between the effectiveness, privacy and the legitimacy of the governance in the long term.</w:t>
      </w:r>
    </w:p>
    <w:p w14:paraId="0F4FCFEF" w14:textId="77777777" w:rsidR="001D1D6E" w:rsidRPr="00AE3BEE" w:rsidRDefault="001D1D6E" w:rsidP="00745B4D">
      <w:pPr>
        <w:pStyle w:val="Heading2"/>
        <w:numPr>
          <w:ilvl w:val="1"/>
          <w:numId w:val="3"/>
        </w:numPr>
      </w:pPr>
      <w:bookmarkStart w:id="9" w:name="_Toc216746773"/>
      <w:r w:rsidRPr="00AE3BEE">
        <w:t>Canada: Leadership Styles and COVID-19 Response</w:t>
      </w:r>
      <w:bookmarkEnd w:id="9"/>
    </w:p>
    <w:p w14:paraId="03E8AE9D" w14:textId="77777777" w:rsidR="001D1D6E" w:rsidRPr="00745B4D" w:rsidRDefault="001D1D6E" w:rsidP="001D1D6E">
      <w:pPr>
        <w:rPr>
          <w:rFonts w:cs="Arial"/>
          <w:b/>
          <w:bCs/>
        </w:rPr>
      </w:pPr>
      <w:r w:rsidRPr="00745B4D">
        <w:rPr>
          <w:rFonts w:cs="Arial"/>
          <w:b/>
          <w:bCs/>
        </w:rPr>
        <w:t>Justin Trudeau’s Unifying Leadership</w:t>
      </w:r>
    </w:p>
    <w:p w14:paraId="107F65A6" w14:textId="77777777" w:rsidR="001D1D6E" w:rsidRPr="00745B4D" w:rsidRDefault="001D1D6E" w:rsidP="001D1D6E">
      <w:pPr>
        <w:rPr>
          <w:rFonts w:cs="Arial"/>
        </w:rPr>
      </w:pPr>
      <w:r w:rsidRPr="00745B4D">
        <w:rPr>
          <w:rFonts w:cs="Arial"/>
        </w:rPr>
        <w:t xml:space="preserve">The leadership of the federal government on COVID-19 in Canada was characterised by the attempt of the Prime Minister, Justin Trudeau, to offer national unity and harmony in a highly decentralised federation </w:t>
      </w:r>
      <w:r w:rsidRPr="00745B4D">
        <w:rPr>
          <w:rFonts w:eastAsia="Times New Roman" w:cs="Arial"/>
          <w:kern w:val="0"/>
          <w:lang w:eastAsia="en-GB"/>
        </w:rPr>
        <w:t>(Allin et al., 2021)</w:t>
      </w:r>
      <w:r w:rsidRPr="00745B4D">
        <w:rPr>
          <w:rFonts w:cs="Arial"/>
        </w:rPr>
        <w:t xml:space="preserve">. Instead of enforcing uniform public-health requirements, the leadership of the Trudeau administration focused on federal co-ordination, the shared accountability and informed communication </w:t>
      </w:r>
      <w:r w:rsidRPr="00745B4D">
        <w:rPr>
          <w:rFonts w:eastAsia="Times New Roman" w:cs="Arial"/>
          <w:kern w:val="0"/>
          <w:lang w:eastAsia="en-GB"/>
        </w:rPr>
        <w:t>(Canadian Medical Association, 2025)</w:t>
      </w:r>
      <w:r w:rsidRPr="00745B4D">
        <w:rPr>
          <w:rFonts w:cs="Arial"/>
        </w:rPr>
        <w:t>. In the press briefing of 11 March 2020, Trudeau stated that COVID-19 Response Fund, based on a C$1 billion, was to aid public health preparedness, testing, surveillance and provincial mitigation strategies, a leadership approach of empowering partners, not command centrali</w:t>
      </w:r>
      <w:r w:rsidR="00037697" w:rsidRPr="00745B4D">
        <w:rPr>
          <w:rFonts w:cs="Arial"/>
        </w:rPr>
        <w:t>s</w:t>
      </w:r>
      <w:r w:rsidRPr="00745B4D">
        <w:rPr>
          <w:rFonts w:cs="Arial"/>
        </w:rPr>
        <w:t xml:space="preserve">ation </w:t>
      </w:r>
      <w:r w:rsidRPr="00745B4D">
        <w:rPr>
          <w:rFonts w:eastAsia="Times New Roman" w:cs="Arial"/>
          <w:kern w:val="0"/>
          <w:lang w:eastAsia="en-GB"/>
        </w:rPr>
        <w:t>(Geulette, 2020)</w:t>
      </w:r>
      <w:r w:rsidRPr="00745B4D">
        <w:rPr>
          <w:rFonts w:cs="Arial"/>
        </w:rPr>
        <w:t>.</w:t>
      </w:r>
    </w:p>
    <w:p w14:paraId="026B5605" w14:textId="77777777" w:rsidR="001D1D6E" w:rsidRPr="00745B4D" w:rsidRDefault="001D1D6E" w:rsidP="001D1D6E">
      <w:pPr>
        <w:rPr>
          <w:rFonts w:cs="Arial"/>
        </w:rPr>
      </w:pPr>
      <w:r w:rsidRPr="00745B4D">
        <w:rPr>
          <w:rFonts w:cs="Arial"/>
        </w:rPr>
        <w:t>As a leadership theory, the approach that Trudeau used was a combination of transformational and servant leadership. Transformational leadership is about being able to sell the common purpose and encourage citizens and governments to be able to achieve common results</w:t>
      </w:r>
      <w:r w:rsidR="00D62567" w:rsidRPr="00745B4D">
        <w:rPr>
          <w:rFonts w:cs="Arial"/>
        </w:rPr>
        <w:t>,</w:t>
      </w:r>
      <w:r w:rsidRPr="00745B4D">
        <w:rPr>
          <w:rFonts w:cs="Arial"/>
          <w:i/>
          <w:iCs/>
        </w:rPr>
        <w:t>Trudeau</w:t>
      </w:r>
      <w:r w:rsidRPr="00745B4D">
        <w:rPr>
          <w:rFonts w:cs="Arial"/>
        </w:rPr>
        <w:t xml:space="preserve"> has continually created the pandemic response as a collective effort to weary together in the goal of keeping Canadians safe, although provincial autonomy is also emphasi</w:t>
      </w:r>
      <w:r w:rsidR="00037697" w:rsidRPr="00745B4D">
        <w:rPr>
          <w:rFonts w:cs="Arial"/>
        </w:rPr>
        <w:t>s</w:t>
      </w:r>
      <w:r w:rsidRPr="00745B4D">
        <w:rPr>
          <w:rFonts w:cs="Arial"/>
        </w:rPr>
        <w:t xml:space="preserve">ed </w:t>
      </w:r>
      <w:r w:rsidRPr="00745B4D">
        <w:rPr>
          <w:rFonts w:eastAsia="Times New Roman" w:cs="Arial"/>
          <w:kern w:val="0"/>
          <w:lang w:eastAsia="en-GB"/>
        </w:rPr>
        <w:t>(Ontario, 2020)</w:t>
      </w:r>
      <w:r w:rsidRPr="00745B4D">
        <w:rPr>
          <w:rFonts w:cs="Arial"/>
        </w:rPr>
        <w:t xml:space="preserve">. Servant leadership where one helps others to achieve was evident in the federal support programmes that were aimed at empowering provinces and territories to perform effectively in their jurisdictions. </w:t>
      </w:r>
      <w:r w:rsidR="00D62567" w:rsidRPr="00745B4D">
        <w:rPr>
          <w:rFonts w:cs="Arial"/>
        </w:rPr>
        <w:t>In order t</w:t>
      </w:r>
      <w:r w:rsidRPr="00745B4D">
        <w:rPr>
          <w:rFonts w:cs="Arial"/>
        </w:rPr>
        <w:t xml:space="preserve">o illustrate, federal communication stressed on several occasions that the Government of Canada was collaborating with provinces and territories to deliver vaccines and enhance testing capacity, but not provincial policy </w:t>
      </w:r>
      <w:r w:rsidRPr="00745B4D">
        <w:rPr>
          <w:rFonts w:eastAsia="Times New Roman" w:cs="Arial"/>
          <w:kern w:val="0"/>
          <w:lang w:eastAsia="en-GB"/>
        </w:rPr>
        <w:t>(Saich and Martiniuk, 2021)</w:t>
      </w:r>
      <w:r w:rsidRPr="00745B4D">
        <w:rPr>
          <w:rFonts w:cs="Arial"/>
        </w:rPr>
        <w:t>.</w:t>
      </w:r>
    </w:p>
    <w:p w14:paraId="6ACFA095" w14:textId="77777777" w:rsidR="001D1D6E" w:rsidRPr="00745B4D" w:rsidRDefault="001D1D6E" w:rsidP="001D1D6E">
      <w:pPr>
        <w:rPr>
          <w:rFonts w:cs="Arial"/>
        </w:rPr>
      </w:pPr>
      <w:r w:rsidRPr="00745B4D">
        <w:rPr>
          <w:rFonts w:cs="Arial"/>
        </w:rPr>
        <w:t xml:space="preserve">Yet, the study of political science mentions that in a decentralised federation, the leaders of the federation can act solely as coordinators and possess moral authority, but not as the directors of the whole public-health matters </w:t>
      </w:r>
      <w:r w:rsidRPr="00745B4D">
        <w:rPr>
          <w:rFonts w:eastAsia="Times New Roman" w:cs="Arial"/>
          <w:kern w:val="0"/>
          <w:lang w:eastAsia="en-GB"/>
        </w:rPr>
        <w:t>(OECD, 2021)</w:t>
      </w:r>
      <w:r w:rsidRPr="00745B4D">
        <w:rPr>
          <w:rFonts w:cs="Arial"/>
        </w:rPr>
        <w:t xml:space="preserve">. Provinces had autonomy in lockdown measures, mask mandates and school policies even though experts and national guidance were offered by the Public Health Agency of Canada (PHAC) and Chief Public Health Officer </w:t>
      </w:r>
      <w:r w:rsidRPr="00745B4D">
        <w:rPr>
          <w:rFonts w:eastAsia="Times New Roman" w:cs="Arial"/>
          <w:kern w:val="0"/>
          <w:lang w:eastAsia="en-GB"/>
        </w:rPr>
        <w:t>(Cotton, LaBarge and Nordstrom, 2025)</w:t>
      </w:r>
      <w:r w:rsidRPr="00745B4D">
        <w:rPr>
          <w:rFonts w:cs="Arial"/>
        </w:rPr>
        <w:t>.</w:t>
      </w:r>
    </w:p>
    <w:p w14:paraId="3A5058C3" w14:textId="77777777" w:rsidR="001D1D6E" w:rsidRPr="00745B4D" w:rsidRDefault="001D1D6E" w:rsidP="001D1D6E">
      <w:pPr>
        <w:rPr>
          <w:rFonts w:cs="Arial"/>
          <w:b/>
        </w:rPr>
      </w:pPr>
      <w:r w:rsidRPr="00745B4D">
        <w:rPr>
          <w:rFonts w:cs="Arial"/>
          <w:b/>
        </w:rPr>
        <w:t>Federal Coordination Role</w:t>
      </w:r>
    </w:p>
    <w:p w14:paraId="3769F926" w14:textId="77777777" w:rsidR="001D1D6E" w:rsidRPr="00745B4D" w:rsidRDefault="001D1D6E" w:rsidP="001D1D6E">
      <w:pPr>
        <w:rPr>
          <w:rFonts w:cs="Arial"/>
        </w:rPr>
      </w:pPr>
      <w:r w:rsidRPr="00745B4D">
        <w:rPr>
          <w:rFonts w:cs="Arial"/>
        </w:rPr>
        <w:t>The government of Trudeau was a leadership of coordination and mobilisation of resources instead of command and control. The response of Canada to COVID-19 included several federal efforts</w:t>
      </w:r>
      <w:r w:rsidR="00A31A25" w:rsidRPr="00745B4D">
        <w:rPr>
          <w:rFonts w:cs="Arial"/>
        </w:rPr>
        <w:t>,</w:t>
      </w:r>
      <w:r w:rsidRPr="00745B4D">
        <w:rPr>
          <w:rFonts w:cs="Arial"/>
        </w:rPr>
        <w:t xml:space="preserve"> the provincial testing infrastructure support system; financial support of individuals and business via the C $82 billion COVID-19 Emergency Response Act</w:t>
      </w:r>
      <w:r w:rsidR="00A31A25" w:rsidRPr="00745B4D">
        <w:rPr>
          <w:rFonts w:cs="Arial"/>
        </w:rPr>
        <w:t>,</w:t>
      </w:r>
      <w:r w:rsidRPr="00745B4D">
        <w:rPr>
          <w:rFonts w:cs="Arial"/>
        </w:rPr>
        <w:t xml:space="preserve"> border control policies</w:t>
      </w:r>
      <w:r w:rsidR="00A31A25" w:rsidRPr="00745B4D">
        <w:rPr>
          <w:rFonts w:cs="Arial"/>
        </w:rPr>
        <w:t>,</w:t>
      </w:r>
      <w:r w:rsidRPr="00745B4D">
        <w:rPr>
          <w:rFonts w:cs="Arial"/>
        </w:rPr>
        <w:t xml:space="preserve"> collaboration with the provinces in the acquisition and rollout logistics of vaccines </w:t>
      </w:r>
      <w:r w:rsidRPr="00745B4D">
        <w:rPr>
          <w:rFonts w:eastAsia="Times New Roman" w:cs="Arial"/>
          <w:kern w:val="0"/>
          <w:lang w:eastAsia="en-GB"/>
        </w:rPr>
        <w:t>(Branch, 2021)</w:t>
      </w:r>
      <w:r w:rsidRPr="00745B4D">
        <w:rPr>
          <w:rFonts w:cs="Arial"/>
        </w:rPr>
        <w:t>.</w:t>
      </w:r>
    </w:p>
    <w:p w14:paraId="7787E524" w14:textId="77777777" w:rsidR="001D1D6E" w:rsidRPr="00745B4D" w:rsidRDefault="001D1D6E" w:rsidP="001D1D6E">
      <w:pPr>
        <w:rPr>
          <w:rFonts w:cs="Arial"/>
        </w:rPr>
      </w:pPr>
      <w:r w:rsidRPr="00745B4D">
        <w:rPr>
          <w:rFonts w:cs="Arial"/>
        </w:rPr>
        <w:t xml:space="preserve">Coordination was critical in vaccine strategy. Though provinces managed the process of vaccination, they were the leaders in acquiring and distributing the vaccines, with the federal government acquiring numerous vaccine contracts and distributing the doses proportionately to the population. As of late 2022, Canada had delivered more than 32 million first doses and 85.4 percent of its population had received at least one vaccine against COVID-19, which has shown that federal-provincial coordination in immunisation logistics was successful </w:t>
      </w:r>
      <w:r w:rsidRPr="00745B4D">
        <w:rPr>
          <w:rFonts w:eastAsia="Times New Roman" w:cs="Arial"/>
          <w:kern w:val="0"/>
          <w:lang w:eastAsia="en-GB"/>
        </w:rPr>
        <w:t>(Public, 2020)</w:t>
      </w:r>
      <w:r w:rsidRPr="00745B4D">
        <w:rPr>
          <w:rFonts w:cs="Arial"/>
        </w:rPr>
        <w:t>.</w:t>
      </w:r>
    </w:p>
    <w:p w14:paraId="336E9B14" w14:textId="77777777" w:rsidR="001D1D6E" w:rsidRPr="00745B4D" w:rsidRDefault="001D1D6E" w:rsidP="001D1D6E">
      <w:pPr>
        <w:rPr>
          <w:rFonts w:cs="Arial"/>
        </w:rPr>
      </w:pPr>
      <w:r w:rsidRPr="00745B4D">
        <w:rPr>
          <w:rFonts w:cs="Arial"/>
        </w:rPr>
        <w:t xml:space="preserve">The dissemination of the daily briefings by Trudeau and his daily presence shown in the media had a positive impact on the perceptions of leadership at the dawn of the pandemic. In April 2020, a survey revealed that the federal response was more likely to be satisfied with, as almost two-thirds of Canadians said they approved of it, meaning that the application of transformational and communicative leadership was instrumental in maintaining trust in a time of uncertainty </w:t>
      </w:r>
      <w:r w:rsidRPr="00745B4D">
        <w:rPr>
          <w:rFonts w:eastAsia="Times New Roman" w:cs="Arial"/>
          <w:kern w:val="0"/>
          <w:lang w:eastAsia="en-GB"/>
        </w:rPr>
        <w:t>(Harell, 2020)</w:t>
      </w:r>
      <w:r w:rsidRPr="00745B4D">
        <w:rPr>
          <w:rFonts w:cs="Arial"/>
        </w:rPr>
        <w:t>.</w:t>
      </w:r>
    </w:p>
    <w:p w14:paraId="354011A1" w14:textId="77777777" w:rsidR="001D1D6E" w:rsidRPr="00745B4D" w:rsidRDefault="001D1D6E" w:rsidP="001D1D6E">
      <w:pPr>
        <w:rPr>
          <w:rFonts w:cs="Arial"/>
        </w:rPr>
      </w:pPr>
      <w:r w:rsidRPr="00745B4D">
        <w:rPr>
          <w:rFonts w:cs="Arial"/>
        </w:rPr>
        <w:t>Nonetheless, there were no restrictions to federal coordination. The accomplishment of decision rights to enforce or lift off public-health actions was vested on provincial premiers to a great extent. Since the provinces did not simultaneously relax their restrictions, with some being eased earlier than the rest, there was sometimes a seeming discrepancy in national communication, making the national leadership messages less clear. This disintegration brought out the structural limitations of the federal leadership in the Canadian system where federal power is invigilatory but not coercive.</w:t>
      </w:r>
    </w:p>
    <w:p w14:paraId="75F10C46" w14:textId="77777777" w:rsidR="001D1D6E" w:rsidRPr="00745B4D" w:rsidRDefault="001D1D6E" w:rsidP="001D1D6E">
      <w:pPr>
        <w:rPr>
          <w:rFonts w:cs="Arial"/>
          <w:b/>
          <w:bCs/>
        </w:rPr>
      </w:pPr>
      <w:r w:rsidRPr="00745B4D">
        <w:rPr>
          <w:rFonts w:cs="Arial"/>
          <w:b/>
          <w:bCs/>
        </w:rPr>
        <w:t>Strengths and Limitations of Decentralised Leadership</w:t>
      </w:r>
    </w:p>
    <w:p w14:paraId="3B70E1E0" w14:textId="77777777" w:rsidR="001D1D6E" w:rsidRPr="00745B4D" w:rsidRDefault="001D1D6E" w:rsidP="001D1D6E">
      <w:pPr>
        <w:rPr>
          <w:rFonts w:cs="Arial"/>
        </w:rPr>
      </w:pPr>
      <w:r w:rsidRPr="00745B4D">
        <w:rPr>
          <w:rFonts w:cs="Arial"/>
        </w:rPr>
        <w:t>The decentralised public-health system in Canada, which allows ten provinces and three territories to decide on the major policies on pandemic developed its strong and weak points. The capacity of the provinces to adjust to local epidemiological situations and health system capabilities was one of the strengths. In Atlantic Canada, as an example, a coordinated local travel and quarantine policy, named informally the Atlantic Bubble, was implemented in the middle of 2020 and delayed community transmissionand enabled less disruptive local management until volumes of cases were reduced. This is a sign of situational leadership theory in which the leaders make locali</w:t>
      </w:r>
      <w:r w:rsidR="00037697" w:rsidRPr="00745B4D">
        <w:rPr>
          <w:rFonts w:cs="Arial"/>
        </w:rPr>
        <w:t>s</w:t>
      </w:r>
      <w:r w:rsidRPr="00745B4D">
        <w:rPr>
          <w:rFonts w:cs="Arial"/>
        </w:rPr>
        <w:t xml:space="preserve">ed decisions </w:t>
      </w:r>
      <w:r w:rsidRPr="00745B4D">
        <w:rPr>
          <w:rFonts w:eastAsia="Times New Roman" w:cs="Arial"/>
          <w:kern w:val="0"/>
          <w:lang w:eastAsia="en-GB"/>
        </w:rPr>
        <w:t>(NAO, 2021)</w:t>
      </w:r>
      <w:r w:rsidRPr="00745B4D">
        <w:rPr>
          <w:rFonts w:cs="Arial"/>
        </w:rPr>
        <w:t>.</w:t>
      </w:r>
    </w:p>
    <w:p w14:paraId="74961F5F" w14:textId="77777777" w:rsidR="001D1D6E" w:rsidRPr="00745B4D" w:rsidRDefault="00713BAA" w:rsidP="001D1D6E">
      <w:pPr>
        <w:rPr>
          <w:rFonts w:cs="Arial"/>
        </w:rPr>
      </w:pPr>
      <w:r w:rsidRPr="00745B4D">
        <w:rPr>
          <w:rFonts w:cs="Arial"/>
        </w:rPr>
        <w:t>T</w:t>
      </w:r>
      <w:r w:rsidR="001D1D6E" w:rsidRPr="00745B4D">
        <w:rPr>
          <w:rFonts w:cs="Arial"/>
        </w:rPr>
        <w:t xml:space="preserve">here was also inconsistency and coordination problems with the decentralised leadership. A study of the disjointed response in Canada reports that variations in definitions of cases, data reporting and other efforts to track the pandemic by the government complicated decision-making and prevented the tracking of the pandemic countrywide in the early days. Divergence in testing policies and reporting arrangements restricted the capability to easily gauge and react to any emergent outbreaks across jurisdictions due to differences in interoperability of epidemiological information </w:t>
      </w:r>
      <w:r w:rsidR="001D1D6E" w:rsidRPr="00745B4D">
        <w:rPr>
          <w:rFonts w:eastAsia="Times New Roman" w:cs="Arial"/>
          <w:kern w:val="0"/>
          <w:lang w:eastAsia="en-GB"/>
        </w:rPr>
        <w:t>(Bubela et al., 2023)</w:t>
      </w:r>
      <w:r w:rsidR="001D1D6E" w:rsidRPr="00745B4D">
        <w:rPr>
          <w:rFonts w:cs="Arial"/>
        </w:rPr>
        <w:t>.</w:t>
      </w:r>
    </w:p>
    <w:p w14:paraId="3E3E66EA" w14:textId="77777777" w:rsidR="001D1D6E" w:rsidRPr="00745B4D" w:rsidRDefault="001D1D6E" w:rsidP="001D1D6E">
      <w:pPr>
        <w:rPr>
          <w:rFonts w:cs="Arial"/>
        </w:rPr>
      </w:pPr>
      <w:r w:rsidRPr="00745B4D">
        <w:rPr>
          <w:rFonts w:cs="Arial"/>
        </w:rPr>
        <w:t xml:space="preserve">The other weakness was found in high-risk environments like long-term care homes where provincial authority and lack of Federal control led to disparities in results. At the beginning of the pandemic, provinces </w:t>
      </w:r>
      <w:r w:rsidR="00745B4D" w:rsidRPr="00745B4D">
        <w:rPr>
          <w:rFonts w:cs="Arial"/>
        </w:rPr>
        <w:t>could not</w:t>
      </w:r>
      <w:r w:rsidRPr="00745B4D">
        <w:rPr>
          <w:rFonts w:cs="Arial"/>
        </w:rPr>
        <w:t xml:space="preserve"> ensure the safety of its citizens and Canada had increased mortality rates in certain long-term care homes</w:t>
      </w:r>
      <w:r w:rsidR="00F923FF" w:rsidRPr="00745B4D">
        <w:rPr>
          <w:rFonts w:cs="Arial"/>
        </w:rPr>
        <w:t>,</w:t>
      </w:r>
      <w:r w:rsidRPr="00745B4D">
        <w:rPr>
          <w:rFonts w:cs="Arial"/>
        </w:rPr>
        <w:t xml:space="preserve"> a development that has been attributed in the policy research to broken leadership and accountability across jurisdictions. The quality of any research has been profoundly influenced by technological advancements </w:t>
      </w:r>
      <w:r w:rsidRPr="00745B4D">
        <w:rPr>
          <w:rFonts w:eastAsia="Times New Roman" w:cs="Arial"/>
          <w:kern w:val="0"/>
          <w:lang w:eastAsia="en-GB"/>
        </w:rPr>
        <w:t>(Allin et al., 2021)</w:t>
      </w:r>
      <w:r w:rsidRPr="00745B4D">
        <w:rPr>
          <w:rFonts w:cs="Arial"/>
        </w:rPr>
        <w:t>.</w:t>
      </w:r>
    </w:p>
    <w:p w14:paraId="7AFEEBF5" w14:textId="77777777" w:rsidR="001D1D6E" w:rsidRPr="00745B4D" w:rsidRDefault="001D1D6E" w:rsidP="001D1D6E">
      <w:pPr>
        <w:rPr>
          <w:rFonts w:cs="Arial"/>
        </w:rPr>
      </w:pPr>
      <w:r w:rsidRPr="00745B4D">
        <w:rPr>
          <w:rFonts w:cs="Arial"/>
        </w:rPr>
        <w:t xml:space="preserve">Political tensions were also reported in the media when federal advocacy of national requirements like vaccine requirements on cross-border truck drivers received criticism and protest, which is an example of how even a convincing federal leadership can nonetheless become polarising in a decentralised system </w:t>
      </w:r>
      <w:r w:rsidRPr="00745B4D">
        <w:rPr>
          <w:rFonts w:eastAsia="Times New Roman" w:cs="Arial"/>
          <w:kern w:val="0"/>
          <w:lang w:eastAsia="en-GB"/>
        </w:rPr>
        <w:t>(Scherer, 2022)</w:t>
      </w:r>
      <w:r w:rsidRPr="00745B4D">
        <w:rPr>
          <w:rFonts w:cs="Arial"/>
        </w:rPr>
        <w:t>.</w:t>
      </w:r>
    </w:p>
    <w:p w14:paraId="20AF04C0" w14:textId="77777777" w:rsidR="001D1D6E" w:rsidRPr="00745B4D" w:rsidRDefault="001D1D6E" w:rsidP="001D1D6E">
      <w:pPr>
        <w:rPr>
          <w:rFonts w:cs="Arial"/>
        </w:rPr>
      </w:pPr>
      <w:r w:rsidRPr="00745B4D">
        <w:rPr>
          <w:rFonts w:cs="Arial"/>
        </w:rPr>
        <w:t>According to leadership theory, federations need integrative and collaborative practices of leadership to achieve a balance between the national coordination and the subnational independence. The Canadian leadership during the pandemic showed that efficient results can be achieved through the collaborative frameworks, however, decentralised control restricts the area of federal efforts when provinces seek divergent policies.</w:t>
      </w:r>
    </w:p>
    <w:p w14:paraId="7555FF0E" w14:textId="77777777" w:rsidR="00FE1CE4" w:rsidRPr="00AE3BEE" w:rsidRDefault="000A240A" w:rsidP="00AE3BEE">
      <w:pPr>
        <w:pStyle w:val="Heading1"/>
        <w:numPr>
          <w:ilvl w:val="0"/>
          <w:numId w:val="3"/>
        </w:numPr>
      </w:pPr>
      <w:bookmarkStart w:id="10" w:name="_Toc216746774"/>
      <w:r w:rsidRPr="00AE3BEE">
        <w:t>Conclusion</w:t>
      </w:r>
      <w:bookmarkEnd w:id="10"/>
    </w:p>
    <w:p w14:paraId="7F26BCF6" w14:textId="77777777" w:rsidR="00E40000" w:rsidRPr="00745B4D" w:rsidRDefault="006D1B74" w:rsidP="006768F1">
      <w:r w:rsidRPr="00745B4D">
        <w:rPr>
          <w:b/>
          <w:bCs/>
          <w:i/>
          <w:iCs/>
          <w:u w:val="single"/>
        </w:rPr>
        <w:t>System Approaches:</w:t>
      </w:r>
      <w:r w:rsidR="00E40000" w:rsidRPr="00745B4D">
        <w:t>Based on this report, it has been established that healthcare system design and leadership style played a decisive role in determining how countries in Spain, South Korea, and Canada responded to national COVID-19. Centralisation and decentralisation differences affected the rate, consistency and fairness of interventions. The highly decentralised system in Spain did not work well in the initial stages of the pandemic, as it fractured the decision-making, and the situation has changed as soon as temporary centralisation and coordinated vaccination strategies were implemented. The centrally coordinated but operationally flexible system that was used in South Korea allowed quick surveillance, targeted interventions, and efficient control of an outbreak without lockdowns throughout the nation. The federal and decentralised nature of Canada gave provinces the flexibility to address local needs and demands but created coordination problems especially when it comes to long-term care and early vaccine implementation.</w:t>
      </w:r>
    </w:p>
    <w:p w14:paraId="0C2C1365" w14:textId="77777777" w:rsidR="00E40000" w:rsidRPr="00745B4D" w:rsidRDefault="000E509E" w:rsidP="006768F1">
      <w:r w:rsidRPr="00745B4D">
        <w:rPr>
          <w:b/>
          <w:bCs/>
          <w:i/>
          <w:iCs/>
          <w:u w:val="single"/>
        </w:rPr>
        <w:t>Leadership Styles:</w:t>
      </w:r>
      <w:r w:rsidR="00E40000" w:rsidRPr="00745B4D">
        <w:t>These responses of the system were also influenced by the style of leadership. The leadership in Spain shifted to transactional and, subsequently, with transformational aspects in the context of vaccination, which is why the adaptive leadership is necessary. The leadership of South Korea adopted a combination of transformational, democratic and transactional strategies, through transparency, trust, systems thinking to enlist the cooperation of the masses. The Canadian leadership was transformational and servant leadership in that the federal government leaders were intent on uniting, coordinating and supporting instead of commanding.</w:t>
      </w:r>
    </w:p>
    <w:p w14:paraId="11F0BE12" w14:textId="77777777" w:rsidR="00E40000" w:rsidRPr="00745B4D" w:rsidRDefault="00CA70D2" w:rsidP="006768F1">
      <w:r w:rsidRPr="00745B4D">
        <w:rPr>
          <w:b/>
          <w:bCs/>
          <w:i/>
          <w:iCs/>
          <w:u w:val="single"/>
        </w:rPr>
        <w:t>Key Lessons:</w:t>
      </w:r>
      <w:r w:rsidR="00E40000" w:rsidRPr="00745B4D">
        <w:t>The main lessons of this comparative analysis are that there is no most optimal way of system model or style of leadership. Crisis management necessitates adaptive leadership, mechanism of good coordination, open communication and the structure between the governance body and the trust of the people. Resilience to a public health crisis is the final outcome of the interaction between system design and leadership capacity to provide.</w:t>
      </w:r>
    </w:p>
    <w:p w14:paraId="5BB86ABD" w14:textId="77777777" w:rsidR="00E40000" w:rsidRPr="00745B4D" w:rsidRDefault="00E40000" w:rsidP="000A240A"/>
    <w:p w14:paraId="4CE3C953" w14:textId="77777777" w:rsidR="001D1D6E" w:rsidRPr="00745B4D" w:rsidRDefault="001D1D6E" w:rsidP="00583611">
      <w:pPr>
        <w:rPr>
          <w:rFonts w:cs="Arial"/>
        </w:rPr>
      </w:pPr>
    </w:p>
    <w:p w14:paraId="59AF47DF" w14:textId="77777777" w:rsidR="001D1D6E" w:rsidRPr="00745B4D" w:rsidRDefault="001D1D6E" w:rsidP="00583611">
      <w:pPr>
        <w:rPr>
          <w:rFonts w:cs="Arial"/>
        </w:rPr>
      </w:pPr>
    </w:p>
    <w:p w14:paraId="3465243B" w14:textId="77777777" w:rsidR="001D1D6E" w:rsidRPr="00745B4D" w:rsidRDefault="001D1D6E" w:rsidP="00583611">
      <w:pPr>
        <w:rPr>
          <w:rFonts w:cs="Arial"/>
        </w:rPr>
      </w:pPr>
    </w:p>
    <w:p w14:paraId="272BCCB1" w14:textId="77777777" w:rsidR="000A240A" w:rsidRPr="00745B4D" w:rsidRDefault="000A240A" w:rsidP="00583611">
      <w:pPr>
        <w:rPr>
          <w:rFonts w:cs="Arial"/>
        </w:rPr>
      </w:pPr>
    </w:p>
    <w:p w14:paraId="5658734C" w14:textId="77777777" w:rsidR="000A240A" w:rsidRPr="00745B4D" w:rsidRDefault="000A240A" w:rsidP="00583611">
      <w:pPr>
        <w:rPr>
          <w:rFonts w:cs="Arial"/>
        </w:rPr>
      </w:pPr>
    </w:p>
    <w:p w14:paraId="1A4C1203" w14:textId="77777777" w:rsidR="000A240A" w:rsidRPr="00745B4D" w:rsidRDefault="000A240A" w:rsidP="00583611">
      <w:pPr>
        <w:rPr>
          <w:rFonts w:cs="Arial"/>
        </w:rPr>
      </w:pPr>
    </w:p>
    <w:p w14:paraId="735BCA0A" w14:textId="77777777" w:rsidR="000A240A" w:rsidRPr="00745B4D" w:rsidRDefault="000A240A" w:rsidP="00583611">
      <w:pPr>
        <w:rPr>
          <w:rFonts w:cs="Arial"/>
        </w:rPr>
      </w:pPr>
    </w:p>
    <w:p w14:paraId="2362D061" w14:textId="77777777" w:rsidR="000A240A" w:rsidRPr="00745B4D" w:rsidRDefault="000A240A" w:rsidP="00583611">
      <w:pPr>
        <w:rPr>
          <w:rFonts w:cs="Arial"/>
        </w:rPr>
      </w:pPr>
    </w:p>
    <w:p w14:paraId="20E0DE8D" w14:textId="77777777" w:rsidR="000A240A" w:rsidRPr="00745B4D" w:rsidRDefault="000A240A" w:rsidP="00583611">
      <w:pPr>
        <w:rPr>
          <w:rFonts w:cs="Arial"/>
        </w:rPr>
      </w:pPr>
    </w:p>
    <w:p w14:paraId="6DC67B5F" w14:textId="77777777" w:rsidR="000A240A" w:rsidRPr="00745B4D" w:rsidRDefault="000A240A" w:rsidP="00583611">
      <w:pPr>
        <w:rPr>
          <w:rFonts w:cs="Arial"/>
        </w:rPr>
      </w:pPr>
    </w:p>
    <w:p w14:paraId="7277D588" w14:textId="77777777" w:rsidR="000A240A" w:rsidRPr="00745B4D" w:rsidRDefault="000A240A" w:rsidP="00583611">
      <w:pPr>
        <w:rPr>
          <w:rFonts w:cs="Arial"/>
        </w:rPr>
      </w:pPr>
    </w:p>
    <w:p w14:paraId="7A47C381" w14:textId="77777777" w:rsidR="000A240A" w:rsidRPr="00AE3BEE" w:rsidRDefault="000A240A" w:rsidP="00AE3BEE">
      <w:pPr>
        <w:pStyle w:val="ListParagraph"/>
        <w:numPr>
          <w:ilvl w:val="0"/>
          <w:numId w:val="2"/>
        </w:numPr>
        <w:rPr>
          <w:rFonts w:cs="Arial"/>
        </w:rPr>
      </w:pPr>
    </w:p>
    <w:p w14:paraId="2E242ADE" w14:textId="77777777" w:rsidR="000A240A" w:rsidRPr="00745B4D" w:rsidRDefault="000A240A" w:rsidP="00583611">
      <w:pPr>
        <w:rPr>
          <w:rFonts w:cs="Arial"/>
        </w:rPr>
      </w:pPr>
    </w:p>
    <w:p w14:paraId="3C8D5BFE" w14:textId="77777777" w:rsidR="000A240A" w:rsidRPr="00745B4D" w:rsidRDefault="000A240A" w:rsidP="00583611">
      <w:pPr>
        <w:rPr>
          <w:rFonts w:cs="Arial"/>
        </w:rPr>
      </w:pPr>
    </w:p>
    <w:p w14:paraId="160EF4D8" w14:textId="77777777" w:rsidR="000A240A" w:rsidRPr="00745B4D" w:rsidRDefault="000A240A" w:rsidP="00583611">
      <w:pPr>
        <w:rPr>
          <w:rFonts w:cs="Arial"/>
        </w:rPr>
      </w:pPr>
    </w:p>
    <w:p w14:paraId="56D3C694" w14:textId="77777777" w:rsidR="000A240A" w:rsidRPr="00745B4D" w:rsidRDefault="000A240A" w:rsidP="00583611">
      <w:pPr>
        <w:rPr>
          <w:rFonts w:cs="Arial"/>
        </w:rPr>
      </w:pPr>
    </w:p>
    <w:p w14:paraId="1575F9E1" w14:textId="77777777" w:rsidR="000A240A" w:rsidRPr="00745B4D" w:rsidRDefault="000A240A" w:rsidP="00583611">
      <w:pPr>
        <w:rPr>
          <w:rFonts w:cs="Arial"/>
        </w:rPr>
      </w:pPr>
    </w:p>
    <w:p w14:paraId="69FFE59B" w14:textId="77777777" w:rsidR="000A240A" w:rsidRPr="00745B4D" w:rsidRDefault="000A240A" w:rsidP="00583611">
      <w:pPr>
        <w:rPr>
          <w:rFonts w:cs="Arial"/>
        </w:rPr>
      </w:pPr>
    </w:p>
    <w:p w14:paraId="19186658" w14:textId="77777777" w:rsidR="001D1D6E" w:rsidRPr="00745B4D" w:rsidRDefault="001D1D6E" w:rsidP="00583611">
      <w:pPr>
        <w:rPr>
          <w:rFonts w:cs="Arial"/>
        </w:rPr>
      </w:pPr>
    </w:p>
    <w:p w14:paraId="581AFB2F" w14:textId="77777777" w:rsidR="00377823" w:rsidRPr="00745B4D" w:rsidRDefault="00377823" w:rsidP="00583611">
      <w:pPr>
        <w:rPr>
          <w:rFonts w:cs="Arial"/>
        </w:rPr>
      </w:pPr>
    </w:p>
    <w:p w14:paraId="1E232347" w14:textId="77777777" w:rsidR="00745B4D" w:rsidRDefault="00745B4D">
      <w:pPr>
        <w:spacing w:after="160" w:line="259" w:lineRule="auto"/>
        <w:jc w:val="left"/>
        <w:rPr>
          <w:rFonts w:eastAsiaTheme="majorEastAsia" w:cstheme="majorBidi"/>
          <w:b/>
          <w:color w:val="3A3A3A" w:themeColor="background2" w:themeShade="40"/>
          <w:sz w:val="28"/>
          <w:szCs w:val="28"/>
        </w:rPr>
      </w:pPr>
      <w:r>
        <w:br w:type="page"/>
      </w:r>
    </w:p>
    <w:p w14:paraId="450D0F2B" w14:textId="77777777" w:rsidR="00646799" w:rsidRPr="00AE3BEE" w:rsidRDefault="00A53FBF" w:rsidP="00745B4D">
      <w:pPr>
        <w:pStyle w:val="Heading1"/>
        <w:numPr>
          <w:ilvl w:val="0"/>
          <w:numId w:val="0"/>
        </w:numPr>
        <w:ind w:left="432" w:hanging="432"/>
      </w:pPr>
      <w:bookmarkStart w:id="11" w:name="_Toc216746775"/>
      <w:r w:rsidRPr="00AE3BEE">
        <w:t>References</w:t>
      </w:r>
      <w:bookmarkEnd w:id="11"/>
    </w:p>
    <w:p w14:paraId="210BBD30"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Agosti, F., Toffolutti, V., Cavalli, N., Nivakoski, S., Mascherini, M. and Aassve, A. (2022) Information and vaccine hesitancy: Evidence from the early stage of the vaccine roll-out in 28 European countries. </w:t>
      </w:r>
      <w:r w:rsidRPr="00A40E58">
        <w:rPr>
          <w:rFonts w:ascii="Arial" w:hAnsi="Arial" w:cs="Arial"/>
          <w:sz w:val="22"/>
          <w:szCs w:val="22"/>
          <w:u w:val="single"/>
        </w:rPr>
        <w:t>PLOS ONE</w:t>
      </w:r>
      <w:r w:rsidRPr="00A40E58">
        <w:rPr>
          <w:rFonts w:ascii="Arial" w:hAnsi="Arial" w:cs="Arial"/>
          <w:sz w:val="22"/>
          <w:szCs w:val="22"/>
        </w:rPr>
        <w:t>. Vol.17 (9), p. e0273555.</w:t>
      </w:r>
    </w:p>
    <w:p w14:paraId="5A65A8BC"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Alfonso Viguria, U. and Casamitjana, N. (2021) Early Interventions and Impact of COVID-19 in Spain. </w:t>
      </w:r>
      <w:r w:rsidRPr="00A40E58">
        <w:rPr>
          <w:rFonts w:ascii="Arial" w:hAnsi="Arial" w:cs="Arial"/>
          <w:sz w:val="22"/>
          <w:szCs w:val="22"/>
          <w:u w:val="single"/>
        </w:rPr>
        <w:t>International Journal of Environmental Research and Public Health</w:t>
      </w:r>
      <w:r w:rsidRPr="00A40E58">
        <w:rPr>
          <w:rFonts w:ascii="Arial" w:hAnsi="Arial" w:cs="Arial"/>
          <w:sz w:val="22"/>
          <w:szCs w:val="22"/>
        </w:rPr>
        <w:t>. Vol.18 (8), p.4026.</w:t>
      </w:r>
    </w:p>
    <w:p w14:paraId="09072D6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Allin, S., Fitzpatrick, T., Marchildon, G. and Quesnel-Vallée, A. (2021) The Federal Government and Canada’s COVID-19 Responses: From ‘We’re ready, we’re prepared’ to ‘Fires are burning’. </w:t>
      </w:r>
      <w:r w:rsidRPr="00A40E58">
        <w:rPr>
          <w:rFonts w:ascii="Arial" w:hAnsi="Arial" w:cs="Arial"/>
          <w:sz w:val="22"/>
          <w:szCs w:val="22"/>
          <w:u w:val="single"/>
        </w:rPr>
        <w:t>Health Economics, Policy and Law</w:t>
      </w:r>
      <w:r w:rsidRPr="00A40E58">
        <w:rPr>
          <w:rFonts w:ascii="Arial" w:hAnsi="Arial" w:cs="Arial"/>
          <w:sz w:val="22"/>
          <w:szCs w:val="22"/>
        </w:rPr>
        <w:t>. [Online] Vol.17 (1), pp.1–40. Available: https://pmc.ncbi.nlm.nih.gov/articles/PMC8326669 [Accessed 13 Dec 2025].</w:t>
      </w:r>
    </w:p>
    <w:p w14:paraId="7364D074"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Anazia, C. (2025) A Comparative Analysis of U.S. and Canadian Healthcare Expenditures (1975-2008): Insights from Canada’s Regulatory Framework. </w:t>
      </w:r>
      <w:r w:rsidRPr="00A40E58">
        <w:rPr>
          <w:rFonts w:ascii="Arial" w:hAnsi="Arial" w:cs="Arial"/>
          <w:sz w:val="22"/>
          <w:szCs w:val="22"/>
          <w:u w:val="single"/>
        </w:rPr>
        <w:t>International Journal of Social Sciences and Management Research E-ISSN</w:t>
      </w:r>
      <w:r w:rsidRPr="00A40E58">
        <w:rPr>
          <w:rFonts w:ascii="Arial" w:hAnsi="Arial" w:cs="Arial"/>
          <w:sz w:val="22"/>
          <w:szCs w:val="22"/>
        </w:rPr>
        <w:t>. [Online] Vol.11 (5), p.2025. Available: https://www.iiardjournals.org/get/IJSSMR/VOL.%2011%20NO.%205%202025/A%20Comparative%20Analysis%20of%20U.S.%20351-375.pdf [Accessed 13 Dec 2025].</w:t>
      </w:r>
    </w:p>
    <w:p w14:paraId="7D9DF9C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Antonini, M., Eid, M. A., Falkenbach, M., Rosenbluth, S. T., Prieto, P. A., Brammli-Greenberg, S., McMeekin, P. and Paolucci, F. (2021) An analysis of the COVID-19 vaccination campaigns in France, Israel, Italy and Spain and their impact on health and economic outcomes. </w:t>
      </w:r>
      <w:r w:rsidRPr="00A40E58">
        <w:rPr>
          <w:rFonts w:ascii="Arial" w:hAnsi="Arial" w:cs="Arial"/>
          <w:sz w:val="22"/>
          <w:szCs w:val="22"/>
          <w:u w:val="single"/>
        </w:rPr>
        <w:t>Health Policy and Technology</w:t>
      </w:r>
      <w:r w:rsidRPr="00A40E58">
        <w:rPr>
          <w:rFonts w:ascii="Arial" w:hAnsi="Arial" w:cs="Arial"/>
          <w:sz w:val="22"/>
          <w:szCs w:val="22"/>
        </w:rPr>
        <w:t>. [Online] Vol.11 (2), pp.100594–100603. Available: https://reader.elsevier.com/reader/sd/pii/S2211883721001179?token=FA239D9963982325EB25329694CDDF3B6598864BD3ADF86FD2DF8A24E5730E6DD8BA5A67452BC74DD5F25F342AE6B0EC&amp;originRegion=eu-west-1&amp;originCreation=20220112142626 [Accessed 13 Dec 2025].</w:t>
      </w:r>
    </w:p>
    <w:p w14:paraId="30837ED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Assefa, Y., Gilks, C. F., Reid, S., van de Pas, R., Gete, D. G. and Van Damme, W. (2022) Analysis of the COVID-19 pandemic: lessons towards a more effective response to public health emergencies. </w:t>
      </w:r>
      <w:r w:rsidRPr="00A40E58">
        <w:rPr>
          <w:rFonts w:ascii="Arial" w:hAnsi="Arial" w:cs="Arial"/>
          <w:sz w:val="22"/>
          <w:szCs w:val="22"/>
          <w:u w:val="single"/>
        </w:rPr>
        <w:t>Globalization and Health</w:t>
      </w:r>
      <w:r w:rsidRPr="00A40E58">
        <w:rPr>
          <w:rFonts w:ascii="Arial" w:hAnsi="Arial" w:cs="Arial"/>
          <w:sz w:val="22"/>
          <w:szCs w:val="22"/>
        </w:rPr>
        <w:t>. Vol.18 (1).</w:t>
      </w:r>
    </w:p>
    <w:p w14:paraId="3FA5BF38"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Baraniuk, C. (2025) </w:t>
      </w:r>
      <w:r w:rsidRPr="00A40E58">
        <w:rPr>
          <w:rFonts w:ascii="Arial" w:hAnsi="Arial" w:cs="Arial"/>
          <w:sz w:val="22"/>
          <w:szCs w:val="22"/>
          <w:u w:val="single"/>
        </w:rPr>
        <w:t>Five years on: The countries that never locked down for Covid-19</w:t>
      </w:r>
      <w:r w:rsidRPr="00A40E58">
        <w:rPr>
          <w:rFonts w:ascii="Arial" w:hAnsi="Arial" w:cs="Arial"/>
          <w:sz w:val="22"/>
          <w:szCs w:val="22"/>
        </w:rPr>
        <w:t xml:space="preserve"> [Online]. Bbc.com. Available: https://www.bbc.com/future/article/20250304-the-countries-that-never-locked-down-for-covid-19 [Accessed 13 Dec 2025].</w:t>
      </w:r>
    </w:p>
    <w:p w14:paraId="54A59B43"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BBC (2020) </w:t>
      </w:r>
      <w:r w:rsidRPr="00A40E58">
        <w:rPr>
          <w:rFonts w:ascii="Arial" w:hAnsi="Arial" w:cs="Arial"/>
          <w:sz w:val="22"/>
          <w:szCs w:val="22"/>
          <w:u w:val="single"/>
        </w:rPr>
        <w:t>Spain’s coronavirus death toll jumps 514 in 24 hours</w:t>
      </w:r>
      <w:r w:rsidRPr="00A40E58">
        <w:rPr>
          <w:rFonts w:ascii="Arial" w:hAnsi="Arial" w:cs="Arial"/>
          <w:sz w:val="22"/>
          <w:szCs w:val="22"/>
        </w:rPr>
        <w:t xml:space="preserve"> [Online]. www.bbc.com. Available: https://www.bbc.com/news/world-europe-52020060 [Accessed 13 Dec 2025].</w:t>
      </w:r>
    </w:p>
    <w:p w14:paraId="704243F6"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BBC (2021) Why Canada is falling behind in Covid vaccinations. </w:t>
      </w:r>
      <w:r w:rsidRPr="00A40E58">
        <w:rPr>
          <w:rFonts w:ascii="Arial" w:hAnsi="Arial" w:cs="Arial"/>
          <w:sz w:val="22"/>
          <w:szCs w:val="22"/>
          <w:u w:val="single"/>
        </w:rPr>
        <w:t>BBC News</w:t>
      </w:r>
      <w:r w:rsidRPr="00A40E58">
        <w:rPr>
          <w:rFonts w:ascii="Arial" w:hAnsi="Arial" w:cs="Arial"/>
          <w:sz w:val="22"/>
          <w:szCs w:val="22"/>
        </w:rPr>
        <w:t>. [Online], 19 February 2021. Available: https://www.bbc.com/news/world-us-canada-56035306 [Accessed 13 Dec 2025].</w:t>
      </w:r>
    </w:p>
    <w:p w14:paraId="3936206A"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Bown, C. P. and Bollyky, T. J. (2021) How COVID</w:t>
      </w:r>
      <w:r w:rsidRPr="00A40E58">
        <w:rPr>
          <w:rFonts w:ascii="Cambria Math" w:hAnsi="Cambria Math" w:cs="Cambria Math"/>
          <w:sz w:val="22"/>
          <w:szCs w:val="22"/>
        </w:rPr>
        <w:t>‐</w:t>
      </w:r>
      <w:r w:rsidRPr="00A40E58">
        <w:rPr>
          <w:rFonts w:ascii="Arial" w:hAnsi="Arial" w:cs="Arial"/>
          <w:sz w:val="22"/>
          <w:szCs w:val="22"/>
        </w:rPr>
        <w:t xml:space="preserve">19 Vaccine Supply Chains Emerged in the Midst of a Pandemic. </w:t>
      </w:r>
      <w:r w:rsidRPr="00A40E58">
        <w:rPr>
          <w:rFonts w:ascii="Arial" w:hAnsi="Arial" w:cs="Arial"/>
          <w:sz w:val="22"/>
          <w:szCs w:val="22"/>
          <w:u w:val="single"/>
        </w:rPr>
        <w:t>The World Economy</w:t>
      </w:r>
      <w:r w:rsidRPr="00A40E58">
        <w:rPr>
          <w:rFonts w:ascii="Arial" w:hAnsi="Arial" w:cs="Arial"/>
          <w:sz w:val="22"/>
          <w:szCs w:val="22"/>
        </w:rPr>
        <w:t>. Vol.45 (2), pp.468–522.</w:t>
      </w:r>
    </w:p>
    <w:p w14:paraId="6C86597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Branch, L. S. (2021) </w:t>
      </w:r>
      <w:r w:rsidRPr="00A40E58">
        <w:rPr>
          <w:rFonts w:ascii="Arial" w:hAnsi="Arial" w:cs="Arial"/>
          <w:sz w:val="22"/>
          <w:szCs w:val="22"/>
          <w:u w:val="single"/>
        </w:rPr>
        <w:t>Consolidated federal laws of canada, COVID-19 Emergency Response Act</w:t>
      </w:r>
      <w:r w:rsidRPr="00A40E58">
        <w:rPr>
          <w:rFonts w:ascii="Arial" w:hAnsi="Arial" w:cs="Arial"/>
          <w:sz w:val="22"/>
          <w:szCs w:val="22"/>
        </w:rPr>
        <w:t xml:space="preserve"> [Online]. laws-lois.justice.gc.ca. Available: https://laws-lois.justice.gc.ca/eng/AnnualStatutes/2020_5/page-1.html [Accessed 13 Dec 2025].</w:t>
      </w:r>
    </w:p>
    <w:p w14:paraId="792458EA"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Brown, K. A., Daneman, N., Buchan, S. A., Chan, A. K. and Stall, N. M. (2021) Variation in Care of Community and Nursing Home Residents Who Died of COVID-19 in Ontario, Canada. </w:t>
      </w:r>
      <w:r w:rsidRPr="00A40E58">
        <w:rPr>
          <w:rFonts w:ascii="Arial" w:hAnsi="Arial" w:cs="Arial"/>
          <w:sz w:val="22"/>
          <w:szCs w:val="22"/>
          <w:u w:val="single"/>
        </w:rPr>
        <w:t>Journal of the American Medical Directors Association</w:t>
      </w:r>
      <w:r w:rsidRPr="00A40E58">
        <w:rPr>
          <w:rFonts w:ascii="Arial" w:hAnsi="Arial" w:cs="Arial"/>
          <w:sz w:val="22"/>
          <w:szCs w:val="22"/>
        </w:rPr>
        <w:t>. Vol.22 (6), pp.1149–1150.</w:t>
      </w:r>
    </w:p>
    <w:p w14:paraId="02740BE9"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Bubela, T., Flood, C. M., McGrail, K., Straus, S. E. and Mishra, S. (2023) How Canada’s decentralised covid-19 response affected public health data and decision making. </w:t>
      </w:r>
      <w:r w:rsidRPr="00A40E58">
        <w:rPr>
          <w:rFonts w:ascii="Arial" w:hAnsi="Arial" w:cs="Arial"/>
          <w:sz w:val="22"/>
          <w:szCs w:val="22"/>
          <w:u w:val="single"/>
        </w:rPr>
        <w:t>BMJ</w:t>
      </w:r>
      <w:r w:rsidRPr="00A40E58">
        <w:rPr>
          <w:rFonts w:ascii="Arial" w:hAnsi="Arial" w:cs="Arial"/>
          <w:sz w:val="22"/>
          <w:szCs w:val="22"/>
        </w:rPr>
        <w:t>. [Online] Vol.382 (4), pp.e075665–e075677. Available: https://www.bmj.com/content/382/bmj-2023-075665.full [Accessed 13 Dec 2025].</w:t>
      </w:r>
    </w:p>
    <w:p w14:paraId="38F9A9B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Canada, S. (2022) COVID-19 restrictions index update. </w:t>
      </w:r>
      <w:r w:rsidRPr="00A40E58">
        <w:rPr>
          <w:rFonts w:ascii="Arial" w:hAnsi="Arial" w:cs="Arial"/>
          <w:sz w:val="22"/>
          <w:szCs w:val="22"/>
          <w:u w:val="single"/>
        </w:rPr>
        <w:t>DOAJ (DOAJ: Directory of Open Access Journals)</w:t>
      </w:r>
      <w:r w:rsidRPr="00A40E58">
        <w:rPr>
          <w:rFonts w:ascii="Arial" w:hAnsi="Arial" w:cs="Arial"/>
          <w:sz w:val="22"/>
          <w:szCs w:val="22"/>
        </w:rPr>
        <w:t>. [Online] Vol.3 (7). Available: https://www150.statcan.gc.ca/n1/pub/36-28-0001/2022008/article/00002-eng.htm [Accessed 13 Dec 2025].</w:t>
      </w:r>
    </w:p>
    <w:p w14:paraId="5CF06A3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Canadian Medical Association (2025) </w:t>
      </w:r>
      <w:r w:rsidRPr="00A40E58">
        <w:rPr>
          <w:rFonts w:ascii="Arial" w:hAnsi="Arial" w:cs="Arial"/>
          <w:sz w:val="22"/>
          <w:szCs w:val="22"/>
          <w:u w:val="single"/>
        </w:rPr>
        <w:t>What role does the federal government play in health care?</w:t>
      </w:r>
      <w:r w:rsidRPr="00A40E58">
        <w:rPr>
          <w:rFonts w:ascii="Arial" w:hAnsi="Arial" w:cs="Arial"/>
          <w:sz w:val="22"/>
          <w:szCs w:val="22"/>
        </w:rPr>
        <w:t xml:space="preserve"> [Online]. Canadian Medical Association. Available: https://www.cma.ca/latest-stories/what-role-does-federal-government-play-health-care [Accessed 13 Dec 2025].</w:t>
      </w:r>
    </w:p>
    <w:p w14:paraId="0E2761DA"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Catarina Ianni Segatto, Béland, D. and Dinan, S. (2021) Canadian Federalism in the Pandemic. </w:t>
      </w:r>
      <w:r w:rsidRPr="00A40E58">
        <w:rPr>
          <w:rFonts w:ascii="Arial" w:hAnsi="Arial" w:cs="Arial"/>
          <w:sz w:val="22"/>
          <w:szCs w:val="22"/>
          <w:u w:val="single"/>
        </w:rPr>
        <w:t>Emerald Insight</w:t>
      </w:r>
      <w:r w:rsidRPr="00A40E58">
        <w:rPr>
          <w:rFonts w:ascii="Arial" w:hAnsi="Arial" w:cs="Arial"/>
          <w:sz w:val="22"/>
          <w:szCs w:val="22"/>
        </w:rPr>
        <w:t>. Vol.3 (6), pp.89–106.</w:t>
      </w:r>
    </w:p>
    <w:p w14:paraId="17E19F9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Cebada Romero, A. and Dominguez Redondo, E. (2021) Spain: One Pandemic and Two Versions of the State of Alarm. </w:t>
      </w:r>
      <w:r w:rsidRPr="00A40E58">
        <w:rPr>
          <w:rFonts w:ascii="Arial" w:hAnsi="Arial" w:cs="Arial"/>
          <w:sz w:val="22"/>
          <w:szCs w:val="22"/>
          <w:u w:val="single"/>
        </w:rPr>
        <w:t>Verfassungsblog</w:t>
      </w:r>
      <w:r w:rsidRPr="00A40E58">
        <w:rPr>
          <w:rFonts w:ascii="Arial" w:hAnsi="Arial" w:cs="Arial"/>
          <w:sz w:val="22"/>
          <w:szCs w:val="22"/>
        </w:rPr>
        <w:t>. [Online] Vol.4 (7), pp.1–8. Available: https://verfassungsblog.de/spain-one-pandemic-and-two-versions-of-the-state-of-alarm/ [Accessed 13 Dec 2025].</w:t>
      </w:r>
    </w:p>
    <w:p w14:paraId="45B3606E"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Chu, C. (2025) Effect of the establishment of the Korea Centers for Disease Control and Prevention/Korea Disease Control and Prevention Agency from the perspective of global health security. </w:t>
      </w:r>
      <w:r w:rsidRPr="00A40E58">
        <w:rPr>
          <w:rFonts w:ascii="Arial" w:hAnsi="Arial" w:cs="Arial"/>
          <w:sz w:val="22"/>
          <w:szCs w:val="22"/>
          <w:u w:val="single"/>
        </w:rPr>
        <w:t>Global Health &amp; Medicine</w:t>
      </w:r>
      <w:r w:rsidRPr="00A40E58">
        <w:rPr>
          <w:rFonts w:ascii="Arial" w:hAnsi="Arial" w:cs="Arial"/>
          <w:sz w:val="22"/>
          <w:szCs w:val="22"/>
        </w:rPr>
        <w:t>. Vol.2 (5).</w:t>
      </w:r>
    </w:p>
    <w:p w14:paraId="0D87453D"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Cotton, C. S., LaBarge, M. C. and Nordstrom, A. (2025) Canadian public health experiences during COVID-19: a new framework for assessing evidence. </w:t>
      </w:r>
      <w:r w:rsidRPr="00A40E58">
        <w:rPr>
          <w:rFonts w:ascii="Arial" w:hAnsi="Arial" w:cs="Arial"/>
          <w:sz w:val="22"/>
          <w:szCs w:val="22"/>
          <w:u w:val="single"/>
        </w:rPr>
        <w:t>Frontiers in Public Health</w:t>
      </w:r>
      <w:r w:rsidRPr="00A40E58">
        <w:rPr>
          <w:rFonts w:ascii="Arial" w:hAnsi="Arial" w:cs="Arial"/>
          <w:sz w:val="22"/>
          <w:szCs w:val="22"/>
        </w:rPr>
        <w:t>. [Online] Vol.13 (4), pp.1620514–1620514. Available: https://pmc.ncbi.nlm.nih.gov/articles/PMC12500612 [Accessed 13 Dec 2025].</w:t>
      </w:r>
    </w:p>
    <w:p w14:paraId="1977F08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Das, J. K., Chee, H. Y., Lakhani, S., Khan, M. H., Islam, M., Muhammad, S. and Bhutta, Z. A. (2022) COVID-19 Vaccines: How Efficient and Equitable Was the Initial Vaccination Process? </w:t>
      </w:r>
      <w:r w:rsidRPr="00A40E58">
        <w:rPr>
          <w:rFonts w:ascii="Arial" w:hAnsi="Arial" w:cs="Arial"/>
          <w:sz w:val="22"/>
          <w:szCs w:val="22"/>
          <w:u w:val="single"/>
        </w:rPr>
        <w:t>Vaccines</w:t>
      </w:r>
      <w:r w:rsidRPr="00A40E58">
        <w:rPr>
          <w:rFonts w:ascii="Arial" w:hAnsi="Arial" w:cs="Arial"/>
          <w:sz w:val="22"/>
          <w:szCs w:val="22"/>
        </w:rPr>
        <w:t>. [Online] Vol.11 (1), p.11. Available: https://pmc.ncbi.nlm.nih.gov/articles/PMC9862832/ [Accessed 13 Dec 2025].</w:t>
      </w:r>
    </w:p>
    <w:p w14:paraId="2952594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Dighe, A., Cattarino, L., Cuomo-Dannenburg, G., Skarp, J., Imai, N., Bhatia, S., Gaythorpe, K. A. M., Ainslie, K. E. C., Baguelin, M., Bhatt, S., Boonyasiri, A., Brazeau, N. F., Cooper, L. V., Coupland, H., Cucunuba, Z., Dorigatti, I., Eales, O. D., van Elsland, S. L., FitzJohn, R. G. and Green, W. D. (2020) Response to COVID-19 in South Korea and implications for lifting stringent interventions. </w:t>
      </w:r>
      <w:r w:rsidRPr="00A40E58">
        <w:rPr>
          <w:rFonts w:ascii="Arial" w:hAnsi="Arial" w:cs="Arial"/>
          <w:sz w:val="22"/>
          <w:szCs w:val="22"/>
          <w:u w:val="single"/>
        </w:rPr>
        <w:t>BMC Medicine</w:t>
      </w:r>
      <w:r w:rsidRPr="00A40E58">
        <w:rPr>
          <w:rFonts w:ascii="Arial" w:hAnsi="Arial" w:cs="Arial"/>
          <w:sz w:val="22"/>
          <w:szCs w:val="22"/>
        </w:rPr>
        <w:t>. [Online] Vol.18 (1). Available: https://bmcmedicine.biomedcentral.com/articles/10.1186/s12916-020-01791-8 [Accessed 13 Dec 2025].</w:t>
      </w:r>
    </w:p>
    <w:p w14:paraId="5738FA5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Dongarwar, D. and Salihu, H. M. (2021) Implementation of universal health coverage by South Korea during the COVID-19 pandemic. </w:t>
      </w:r>
      <w:r w:rsidRPr="00A40E58">
        <w:rPr>
          <w:rFonts w:ascii="Arial" w:hAnsi="Arial" w:cs="Arial"/>
          <w:sz w:val="22"/>
          <w:szCs w:val="22"/>
          <w:u w:val="single"/>
        </w:rPr>
        <w:t>The Lancet Regional Health - Western Pacific</w:t>
      </w:r>
      <w:r w:rsidRPr="00A40E58">
        <w:rPr>
          <w:rFonts w:ascii="Arial" w:hAnsi="Arial" w:cs="Arial"/>
          <w:sz w:val="22"/>
          <w:szCs w:val="22"/>
        </w:rPr>
        <w:t>. Vol.7 (3), p.100093.</w:t>
      </w:r>
    </w:p>
    <w:p w14:paraId="3FEA0413"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Euro Surveill (2020) The first wave of the COVID-19 pandemic in Spain: characterisation of cases and risk factors for severe outcomes, as at 27 April 2020. </w:t>
      </w:r>
      <w:r w:rsidRPr="00A40E58">
        <w:rPr>
          <w:rFonts w:ascii="Arial" w:hAnsi="Arial" w:cs="Arial"/>
          <w:sz w:val="22"/>
          <w:szCs w:val="22"/>
          <w:u w:val="single"/>
        </w:rPr>
        <w:t>Eurosurveillance</w:t>
      </w:r>
      <w:r w:rsidRPr="00A40E58">
        <w:rPr>
          <w:rFonts w:ascii="Arial" w:hAnsi="Arial" w:cs="Arial"/>
          <w:sz w:val="22"/>
          <w:szCs w:val="22"/>
        </w:rPr>
        <w:t>. Vol.25 (50).</w:t>
      </w:r>
    </w:p>
    <w:p w14:paraId="0FAB268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European Commission (2021) </w:t>
      </w:r>
      <w:r w:rsidRPr="00A40E58">
        <w:rPr>
          <w:rFonts w:ascii="Arial" w:hAnsi="Arial" w:cs="Arial"/>
          <w:sz w:val="22"/>
          <w:szCs w:val="22"/>
          <w:u w:val="single"/>
        </w:rPr>
        <w:t>EU Vaccines Strategy</w:t>
      </w:r>
      <w:r w:rsidRPr="00A40E58">
        <w:rPr>
          <w:rFonts w:ascii="Arial" w:hAnsi="Arial" w:cs="Arial"/>
          <w:sz w:val="22"/>
          <w:szCs w:val="22"/>
        </w:rPr>
        <w:t xml:space="preserve"> [Online]. commission.europa.eu. Available: https://commission.europa.eu/strategy-and-policy/coronavirus-response/public-health/eu-vaccines-strategy_en [Accessed 13 Dec 2025].</w:t>
      </w:r>
    </w:p>
    <w:p w14:paraId="33F17916"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European Observatory on Health Systems and Policies (2024) </w:t>
      </w:r>
      <w:r w:rsidRPr="00A40E58">
        <w:rPr>
          <w:rFonts w:ascii="Arial" w:hAnsi="Arial" w:cs="Arial"/>
          <w:sz w:val="22"/>
          <w:szCs w:val="22"/>
          <w:u w:val="single"/>
        </w:rPr>
        <w:t>Spain: Health System Review 2024</w:t>
      </w:r>
      <w:r w:rsidRPr="00A40E58">
        <w:rPr>
          <w:rFonts w:ascii="Arial" w:hAnsi="Arial" w:cs="Arial"/>
          <w:sz w:val="22"/>
          <w:szCs w:val="22"/>
        </w:rPr>
        <w:t xml:space="preserve"> [Online]. Who.int. Available: https://eurohealthobservatory.who.int/publications/i/spain-health-system-review-2024 [Accessed 13 Dec 2025].</w:t>
      </w:r>
    </w:p>
    <w:p w14:paraId="51BF0061"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Exemplars (2025) </w:t>
      </w:r>
      <w:r w:rsidRPr="00A40E58">
        <w:rPr>
          <w:rFonts w:ascii="Arial" w:hAnsi="Arial" w:cs="Arial"/>
          <w:sz w:val="22"/>
          <w:szCs w:val="22"/>
          <w:u w:val="single"/>
        </w:rPr>
        <w:t>South Korea</w:t>
      </w:r>
      <w:r w:rsidRPr="00A40E58">
        <w:rPr>
          <w:rFonts w:ascii="Arial" w:hAnsi="Arial" w:cs="Arial"/>
          <w:sz w:val="22"/>
          <w:szCs w:val="22"/>
        </w:rPr>
        <w:t xml:space="preserve"> [Online]. exemplars.health. Available: https://www.exemplars.health/emerging-topics/epidemic-preparedness-and-response/covid-19/south-korea [Accessed 13 Dec 2025].</w:t>
      </w:r>
    </w:p>
    <w:p w14:paraId="277E7CB4"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Geulette, M. (2020) </w:t>
      </w:r>
      <w:r w:rsidRPr="00A40E58">
        <w:rPr>
          <w:rFonts w:ascii="Arial" w:hAnsi="Arial" w:cs="Arial"/>
          <w:sz w:val="22"/>
          <w:szCs w:val="22"/>
          <w:u w:val="single"/>
        </w:rPr>
        <w:t>Canada pledges C$275M for coronavirus R&amp;D, adding to global funding rush</w:t>
      </w:r>
      <w:r w:rsidRPr="00A40E58">
        <w:rPr>
          <w:rFonts w:ascii="Arial" w:hAnsi="Arial" w:cs="Arial"/>
          <w:sz w:val="22"/>
          <w:szCs w:val="22"/>
        </w:rPr>
        <w:t xml:space="preserve"> [Online]. Science|Business. Available: https://sciencebusiness.net/news/covid-19/canada-pledges-c275m-coronavirus-rd-adding-global-funding-rush [Accessed 13 Dec 2025].</w:t>
      </w:r>
    </w:p>
    <w:p w14:paraId="3A82DBB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Global Affairs Canada (2020) </w:t>
      </w:r>
      <w:r w:rsidRPr="00A40E58">
        <w:rPr>
          <w:rFonts w:ascii="Arial" w:hAnsi="Arial" w:cs="Arial"/>
          <w:sz w:val="22"/>
          <w:szCs w:val="22"/>
          <w:u w:val="single"/>
        </w:rPr>
        <w:t>COVID-19: Travel, testing, quarantine and borders - Travel.gc.ca</w:t>
      </w:r>
      <w:r w:rsidRPr="00A40E58">
        <w:rPr>
          <w:rFonts w:ascii="Arial" w:hAnsi="Arial" w:cs="Arial"/>
          <w:sz w:val="22"/>
          <w:szCs w:val="22"/>
        </w:rPr>
        <w:t xml:space="preserve"> [Online]. travel.gc.ca. Available: https://travel.gc.ca/travel-covid [Accessed 13 Dec 2025].</w:t>
      </w:r>
    </w:p>
    <w:p w14:paraId="4933922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Government of Canada (2023) </w:t>
      </w:r>
      <w:r w:rsidRPr="00A40E58">
        <w:rPr>
          <w:rFonts w:ascii="Arial" w:hAnsi="Arial" w:cs="Arial"/>
          <w:sz w:val="22"/>
          <w:szCs w:val="22"/>
          <w:u w:val="single"/>
        </w:rPr>
        <w:t>About Canada’s health care system</w:t>
      </w:r>
      <w:r w:rsidRPr="00A40E58">
        <w:rPr>
          <w:rFonts w:ascii="Arial" w:hAnsi="Arial" w:cs="Arial"/>
          <w:sz w:val="22"/>
          <w:szCs w:val="22"/>
        </w:rPr>
        <w:t xml:space="preserve"> [Online]. Government of Canada. Available: https://www.canada.ca/en/health-canada/services/canada-health-care-system.html [Accessed 13 Dec 2025].</w:t>
      </w:r>
    </w:p>
    <w:p w14:paraId="5A7BF056"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Government of the Republic of Korea (2025) </w:t>
      </w:r>
      <w:r w:rsidRPr="00A40E58">
        <w:rPr>
          <w:rFonts w:ascii="Arial" w:hAnsi="Arial" w:cs="Arial"/>
          <w:sz w:val="22"/>
          <w:szCs w:val="22"/>
          <w:u w:val="single"/>
        </w:rPr>
        <w:t>Government of the Republic of Korea</w:t>
      </w:r>
      <w:r w:rsidRPr="00A40E58">
        <w:rPr>
          <w:rFonts w:ascii="Arial" w:hAnsi="Arial" w:cs="Arial"/>
          <w:sz w:val="22"/>
          <w:szCs w:val="22"/>
        </w:rPr>
        <w:t xml:space="preserve"> [Online]. www.korea.net. korea: foreward. Available: https://www.korea.net/FILE/pdfdata/2020/10/All_about_Korea_Responseto_COVID19_re.pdf [Accessed 13 Dec 2025].</w:t>
      </w:r>
    </w:p>
    <w:p w14:paraId="5FBFF639"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Harell, A. (2020) </w:t>
      </w:r>
      <w:r w:rsidRPr="00A40E58">
        <w:rPr>
          <w:rFonts w:ascii="Arial" w:hAnsi="Arial" w:cs="Arial"/>
          <w:sz w:val="22"/>
          <w:szCs w:val="22"/>
          <w:u w:val="single"/>
        </w:rPr>
        <w:t>How Canada’s pandemic response is shifting political views</w:t>
      </w:r>
      <w:r w:rsidRPr="00A40E58">
        <w:rPr>
          <w:rFonts w:ascii="Arial" w:hAnsi="Arial" w:cs="Arial"/>
          <w:sz w:val="22"/>
          <w:szCs w:val="22"/>
        </w:rPr>
        <w:t xml:space="preserve"> [Online]. Policy Options. Available: https://policyoptions.irpp.org/2020/04/how-canadas-pandemic-response-is-shifting-political-views [Accessed 13 Dec 2025].</w:t>
      </w:r>
    </w:p>
    <w:p w14:paraId="6255C08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J. Fos, P., A. Honoré, P. and L. Honoré, R. (2021) Coordination of Public Health Response: The Role of Leadership in Responding to Public Health Emergencies. </w:t>
      </w:r>
      <w:r w:rsidRPr="00A40E58">
        <w:rPr>
          <w:rFonts w:ascii="Arial" w:hAnsi="Arial" w:cs="Arial"/>
          <w:sz w:val="22"/>
          <w:szCs w:val="22"/>
          <w:u w:val="single"/>
        </w:rPr>
        <w:t>Science-Based Approaches to Respond to COVID and Other Public Health Threats</w:t>
      </w:r>
      <w:r w:rsidRPr="00A40E58">
        <w:rPr>
          <w:rFonts w:ascii="Arial" w:hAnsi="Arial" w:cs="Arial"/>
          <w:sz w:val="22"/>
          <w:szCs w:val="22"/>
        </w:rPr>
        <w:t>. Vol.3 (5).</w:t>
      </w:r>
    </w:p>
    <w:p w14:paraId="0EC7AA0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Jazeera, A. (2020) </w:t>
      </w:r>
      <w:r w:rsidRPr="00A40E58">
        <w:rPr>
          <w:rFonts w:ascii="Arial" w:hAnsi="Arial" w:cs="Arial"/>
          <w:sz w:val="22"/>
          <w:szCs w:val="22"/>
          <w:u w:val="single"/>
        </w:rPr>
        <w:t>Spain declares state of emergency over coronavirus</w:t>
      </w:r>
      <w:r w:rsidRPr="00A40E58">
        <w:rPr>
          <w:rFonts w:ascii="Arial" w:hAnsi="Arial" w:cs="Arial"/>
          <w:sz w:val="22"/>
          <w:szCs w:val="22"/>
        </w:rPr>
        <w:t xml:space="preserve"> [Online]. Al Jazeera. Available: https://www.aljazeera.com/news/2020/3/13/spain-declares-state-of-emergency-over-coronavirus [Accessed 13 Dec 2025].</w:t>
      </w:r>
    </w:p>
    <w:p w14:paraId="1CD27DC0"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Jesús Labrador Fernández, César, P. and Gisela Isabel Delfino (2023) Lessons learned in people management after COVID-19 crisis. A qualitative study in Spain. </w:t>
      </w:r>
      <w:r w:rsidRPr="00A40E58">
        <w:rPr>
          <w:rFonts w:ascii="Arial" w:hAnsi="Arial" w:cs="Arial"/>
          <w:sz w:val="22"/>
          <w:szCs w:val="22"/>
          <w:u w:val="single"/>
        </w:rPr>
        <w:t>Cogent Business &amp; Management</w:t>
      </w:r>
      <w:r w:rsidRPr="00A40E58">
        <w:rPr>
          <w:rFonts w:ascii="Arial" w:hAnsi="Arial" w:cs="Arial"/>
          <w:sz w:val="22"/>
          <w:szCs w:val="22"/>
        </w:rPr>
        <w:t>. [Online] Vol.10 (3), pp.1–9. Available: https://www.tandfonline.com/doi/full/10.1080/23311975.2023.2275370#abstract [Accessed 13 Dec 2025].</w:t>
      </w:r>
    </w:p>
    <w:p w14:paraId="522EF2DC"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Kassam, A. (2022) </w:t>
      </w:r>
      <w:r w:rsidRPr="00A40E58">
        <w:rPr>
          <w:rFonts w:ascii="Arial" w:hAnsi="Arial" w:cs="Arial"/>
          <w:sz w:val="22"/>
          <w:szCs w:val="22"/>
          <w:u w:val="single"/>
        </w:rPr>
        <w:t>Spain reports more Covid reinfections in one fortnight than rest of pandemic</w:t>
      </w:r>
      <w:r w:rsidRPr="00A40E58">
        <w:rPr>
          <w:rFonts w:ascii="Arial" w:hAnsi="Arial" w:cs="Arial"/>
          <w:sz w:val="22"/>
          <w:szCs w:val="22"/>
        </w:rPr>
        <w:t xml:space="preserve"> [Online]. the Guardian. Available: https://www.theguardian.com/world/2022/jan/09/spain-reports-more-covid-reinfections-in-one-fortnight-than-rest-of-pandemic [Accessed 13 Dec 2025].</w:t>
      </w:r>
    </w:p>
    <w:p w14:paraId="6E27C008"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KBS World (2020) </w:t>
      </w:r>
      <w:r w:rsidRPr="00A40E58">
        <w:rPr>
          <w:rFonts w:ascii="Arial" w:hAnsi="Arial" w:cs="Arial"/>
          <w:sz w:val="22"/>
          <w:szCs w:val="22"/>
          <w:u w:val="single"/>
        </w:rPr>
        <w:t>Prime Minister Underlines Meticulous Quarantine Efforts amid Eased Social Distancing</w:t>
      </w:r>
      <w:r w:rsidRPr="00A40E58">
        <w:rPr>
          <w:rFonts w:ascii="Arial" w:hAnsi="Arial" w:cs="Arial"/>
          <w:sz w:val="22"/>
          <w:szCs w:val="22"/>
        </w:rPr>
        <w:t xml:space="preserve"> [Online]. Kbs.co.kr. Available: https://world.kbs.co.kr/service/news_view.htm?lang=e&amp;Seq_Code=152884 [Accessed 13 Dec 2025].</w:t>
      </w:r>
    </w:p>
    <w:p w14:paraId="05FED22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Kim, J.-H., Ah-Reum An, J., Jackie Oh, S., Oh, J. and Lee, J.-K. (2025) </w:t>
      </w:r>
      <w:r w:rsidRPr="00A40E58">
        <w:rPr>
          <w:rFonts w:ascii="Arial" w:hAnsi="Arial" w:cs="Arial"/>
          <w:sz w:val="22"/>
          <w:szCs w:val="22"/>
          <w:u w:val="single"/>
        </w:rPr>
        <w:t>Emerging COVID-19 Success Story: South Korea Learned the Lessons of MERS</w:t>
      </w:r>
      <w:r w:rsidRPr="00A40E58">
        <w:rPr>
          <w:rFonts w:ascii="Arial" w:hAnsi="Arial" w:cs="Arial"/>
          <w:sz w:val="22"/>
          <w:szCs w:val="22"/>
        </w:rPr>
        <w:t xml:space="preserve"> [Online]. exemplars.health. Available: https://www.exemplars.health/emerging-topics/epidemic-preparedness-and-response/covid-19/south-korea [Accessed 13 Dec 2025].</w:t>
      </w:r>
    </w:p>
    <w:p w14:paraId="1BD083D3"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Kim, J.-H., An, J. A.-R., Min, P., Bitton, A. and Gawande, A. A. (2020) How South Korea Responded to the Covid-19 Outbreak in Daegu. </w:t>
      </w:r>
      <w:r w:rsidRPr="00A40E58">
        <w:rPr>
          <w:rFonts w:ascii="Arial" w:hAnsi="Arial" w:cs="Arial"/>
          <w:sz w:val="22"/>
          <w:szCs w:val="22"/>
          <w:u w:val="single"/>
        </w:rPr>
        <w:t>NEJM Catalyst</w:t>
      </w:r>
      <w:r w:rsidRPr="00A40E58">
        <w:rPr>
          <w:rFonts w:ascii="Arial" w:hAnsi="Arial" w:cs="Arial"/>
          <w:sz w:val="22"/>
          <w:szCs w:val="22"/>
        </w:rPr>
        <w:t>. Vol.1 (4).</w:t>
      </w:r>
    </w:p>
    <w:p w14:paraId="295DF9D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Kim, Y. J., Sung, H., Ki, C.-S. and Hur, M. (2020) COVID-19 Testing in South Korea: Current Status and the Need for Faster Diagnostics. </w:t>
      </w:r>
      <w:r w:rsidRPr="00A40E58">
        <w:rPr>
          <w:rFonts w:ascii="Arial" w:hAnsi="Arial" w:cs="Arial"/>
          <w:sz w:val="22"/>
          <w:szCs w:val="22"/>
          <w:u w:val="single"/>
        </w:rPr>
        <w:t>Annals of Laboratory Medicine</w:t>
      </w:r>
      <w:r w:rsidRPr="00A40E58">
        <w:rPr>
          <w:rFonts w:ascii="Arial" w:hAnsi="Arial" w:cs="Arial"/>
          <w:sz w:val="22"/>
          <w:szCs w:val="22"/>
        </w:rPr>
        <w:t>. [Online] Vol.40 (5), pp.349–350. Available: https://pmc.ncbi.nlm.nih.gov/articles/PMC7169622/ [Accessed 13 Dec 2025].</w:t>
      </w:r>
    </w:p>
    <w:p w14:paraId="15466BD3"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Korea (2020) </w:t>
      </w:r>
      <w:r w:rsidRPr="00A40E58">
        <w:rPr>
          <w:rFonts w:ascii="Arial" w:hAnsi="Arial" w:cs="Arial"/>
          <w:sz w:val="22"/>
          <w:szCs w:val="22"/>
          <w:u w:val="single"/>
        </w:rPr>
        <w:t>Government of the Republic of Korea</w:t>
      </w:r>
      <w:r w:rsidRPr="00A40E58">
        <w:rPr>
          <w:rFonts w:ascii="Arial" w:hAnsi="Arial" w:cs="Arial"/>
          <w:sz w:val="22"/>
          <w:szCs w:val="22"/>
        </w:rPr>
        <w:t xml:space="preserve"> [Online]. Available: https://www.korea.net/FILE/pdfdata/2020/10/All_about_Korea_Responseto_COVID19_re.pdf [Accessed 13 Dec 2025].</w:t>
      </w:r>
    </w:p>
    <w:p w14:paraId="49A3326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Lamoncloa (2020) </w:t>
      </w:r>
      <w:r w:rsidRPr="00A40E58">
        <w:rPr>
          <w:rFonts w:ascii="Arial" w:hAnsi="Arial" w:cs="Arial"/>
          <w:sz w:val="22"/>
          <w:szCs w:val="22"/>
          <w:u w:val="single"/>
        </w:rPr>
        <w:t>‘The aim this week is to slow down COVID-19’, says Salvador Illa</w:t>
      </w:r>
      <w:r w:rsidRPr="00A40E58">
        <w:rPr>
          <w:rFonts w:ascii="Arial" w:hAnsi="Arial" w:cs="Arial"/>
          <w:sz w:val="22"/>
          <w:szCs w:val="22"/>
        </w:rPr>
        <w:t xml:space="preserve"> [Online]. Lamoncloa.gob.es. Available: https://www.lamoncloa.gob.es/lang/en/gobierno/news/Paginas/2020/20200406c19-slowdown.aspx [Accessed 13 Dec 2025].</w:t>
      </w:r>
    </w:p>
    <w:p w14:paraId="14D16E7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Ministry of Foreign Affairs, Republic of Korea (2024) </w:t>
      </w:r>
      <w:r w:rsidRPr="00A40E58">
        <w:rPr>
          <w:rFonts w:ascii="Arial" w:hAnsi="Arial" w:cs="Arial"/>
          <w:sz w:val="22"/>
          <w:szCs w:val="22"/>
          <w:u w:val="single"/>
        </w:rPr>
        <w:t>Prime Minister Chung Sye-kyun to Attend Meeting of Heads of State and Government on Financing for Development to be Held on Occasion of 75th Session of UN General Assembly View|Press Releases | Ministry of Foreign Affairs, Republic of Korea</w:t>
      </w:r>
      <w:r w:rsidRPr="00A40E58">
        <w:rPr>
          <w:rFonts w:ascii="Arial" w:hAnsi="Arial" w:cs="Arial"/>
          <w:sz w:val="22"/>
          <w:szCs w:val="22"/>
        </w:rPr>
        <w:t xml:space="preserve"> [Online]. Mofa.go.kr. Available: https://www.mofa.go.kr/eng/brd/m_5676/view.do?seq=321247&amp;srchFr=&amp;amp%3BsrchTo=&amp;amp%3BsrchWord=oreign&amp;amp%3BsrchTp=&amp;amp%3Bmulti_itm_seq=0&amp;amp%3Bitm_seq_1=0&amp;amp%3Bitm_seq_2=0&amp;amp%3Bcompany_cd=&amp;amp%3Bcompany_nm=&amp;page=12&amp;titleNm= [Accessed 13 Dec 2025].</w:t>
      </w:r>
    </w:p>
    <w:p w14:paraId="418784ED"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NAO (2021) </w:t>
      </w:r>
      <w:r w:rsidRPr="00A40E58">
        <w:rPr>
          <w:rFonts w:ascii="Arial" w:hAnsi="Arial" w:cs="Arial"/>
          <w:sz w:val="22"/>
          <w:szCs w:val="22"/>
          <w:u w:val="single"/>
        </w:rPr>
        <w:t>North American COVID-19 Policy Response Monitor: Newfoundland and Labrador</w:t>
      </w:r>
      <w:r w:rsidRPr="00A40E58">
        <w:rPr>
          <w:rFonts w:ascii="Arial" w:hAnsi="Arial" w:cs="Arial"/>
          <w:sz w:val="22"/>
          <w:szCs w:val="22"/>
        </w:rPr>
        <w:t xml:space="preserve"> [Online]. naohealthobservatory.ca. Available: https://naohealthobservatory.ca/wp-content/uploads/2021/05/NL-COVID19-Response-Monitor_20210221.pdf [Accessed 13 Dec 2025].</w:t>
      </w:r>
    </w:p>
    <w:p w14:paraId="07034CB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Navarro, C. and Velasco, F. (2022) From centralisation to new ways of multi-level coordination: Spain’s intergovernmental response to the COVID-19 pandemic. </w:t>
      </w:r>
      <w:r w:rsidRPr="00A40E58">
        <w:rPr>
          <w:rFonts w:ascii="Arial" w:hAnsi="Arial" w:cs="Arial"/>
          <w:sz w:val="22"/>
          <w:szCs w:val="22"/>
          <w:u w:val="single"/>
        </w:rPr>
        <w:t>Local Government Studies</w:t>
      </w:r>
      <w:r w:rsidRPr="00A40E58">
        <w:rPr>
          <w:rFonts w:ascii="Arial" w:hAnsi="Arial" w:cs="Arial"/>
          <w:sz w:val="22"/>
          <w:szCs w:val="22"/>
        </w:rPr>
        <w:t>. Vol.48 (2), pp.1–20.</w:t>
      </w:r>
    </w:p>
    <w:p w14:paraId="24A1FEEA"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OECD (2021) </w:t>
      </w:r>
      <w:r w:rsidRPr="00A40E58">
        <w:rPr>
          <w:rFonts w:ascii="Arial" w:hAnsi="Arial" w:cs="Arial"/>
          <w:sz w:val="22"/>
          <w:szCs w:val="22"/>
          <w:u w:val="single"/>
        </w:rPr>
        <w:t>Federalism and Public Health Decentralisation in the Time of COVID-19 Pietrangelo de Biase and Sean Dougherty OECD WORKING PAPERS ON FISCAL FEDERALISM</w:t>
      </w:r>
      <w:r w:rsidRPr="00A40E58">
        <w:rPr>
          <w:rFonts w:ascii="Arial" w:hAnsi="Arial" w:cs="Arial"/>
          <w:sz w:val="22"/>
          <w:szCs w:val="22"/>
        </w:rPr>
        <w:t xml:space="preserve"> [Online]. www.oecd.org. France: The Austrian government. Available: https://www.oecd.org/content/dam/oecd/en/publications/reports/2021/02/federalism-and-public-health-decentralisation-in-the-time-of-covid-19_57f95729/b78ec8bb-en.pdf [Accessed 13 Dec 2025].</w:t>
      </w:r>
    </w:p>
    <w:p w14:paraId="75BD1DF6"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Oh, S.-Y. (2020) From a ‘super spreader of </w:t>
      </w:r>
      <w:r w:rsidR="00745B4D" w:rsidRPr="00A40E58">
        <w:rPr>
          <w:rFonts w:ascii="Arial" w:hAnsi="Arial" w:cs="Arial"/>
          <w:sz w:val="22"/>
          <w:szCs w:val="22"/>
        </w:rPr>
        <w:t>MERS‘to</w:t>
      </w:r>
      <w:r w:rsidRPr="00A40E58">
        <w:rPr>
          <w:rFonts w:ascii="Arial" w:hAnsi="Arial" w:cs="Arial"/>
          <w:sz w:val="22"/>
          <w:szCs w:val="22"/>
        </w:rPr>
        <w:t xml:space="preserve"> a ‘super stopper‘ of COVID-19: Explaining the Evolution of South Korea’s Effective Crisis Management System. </w:t>
      </w:r>
      <w:r w:rsidRPr="00A40E58">
        <w:rPr>
          <w:rFonts w:ascii="Arial" w:hAnsi="Arial" w:cs="Arial"/>
          <w:sz w:val="22"/>
          <w:szCs w:val="22"/>
          <w:u w:val="single"/>
        </w:rPr>
        <w:t>Journal of Asian Public Policy</w:t>
      </w:r>
      <w:r w:rsidRPr="00A40E58">
        <w:rPr>
          <w:rFonts w:ascii="Arial" w:hAnsi="Arial" w:cs="Arial"/>
          <w:sz w:val="22"/>
          <w:szCs w:val="22"/>
        </w:rPr>
        <w:t>. Vol.4 (2), pp.1–16.</w:t>
      </w:r>
    </w:p>
    <w:p w14:paraId="73336717"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Oh, S.-Y. (2020) </w:t>
      </w:r>
      <w:r w:rsidRPr="00A40E58">
        <w:rPr>
          <w:rFonts w:ascii="Arial" w:hAnsi="Arial" w:cs="Arial"/>
          <w:sz w:val="22"/>
          <w:szCs w:val="22"/>
          <w:u w:val="single"/>
        </w:rPr>
        <w:t>South Korea’s Success Against COVID-19 | The Regulatory Review</w:t>
      </w:r>
      <w:r w:rsidRPr="00A40E58">
        <w:rPr>
          <w:rFonts w:ascii="Arial" w:hAnsi="Arial" w:cs="Arial"/>
          <w:sz w:val="22"/>
          <w:szCs w:val="22"/>
        </w:rPr>
        <w:t xml:space="preserve"> [Online]. The Regulatory Review. Available: https://www.theregreview.org/2020/05/14/oh-south-korea-success-against-covid-19 [Accessed 13 Dec 2025].</w:t>
      </w:r>
    </w:p>
    <w:p w14:paraId="1606DFC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Oliver, N., Barber, X., Roomp, K. and Roomp, K. (2020) Assessing the Impact of the COVID-19 Pandemic in Spain: Large-Scale, Online, Self-Reported Population Survey. </w:t>
      </w:r>
      <w:r w:rsidRPr="00A40E58">
        <w:rPr>
          <w:rFonts w:ascii="Arial" w:hAnsi="Arial" w:cs="Arial"/>
          <w:sz w:val="22"/>
          <w:szCs w:val="22"/>
          <w:u w:val="single"/>
        </w:rPr>
        <w:t>Journal of Medical Internet Research</w:t>
      </w:r>
      <w:r w:rsidRPr="00A40E58">
        <w:rPr>
          <w:rFonts w:ascii="Arial" w:hAnsi="Arial" w:cs="Arial"/>
          <w:sz w:val="22"/>
          <w:szCs w:val="22"/>
        </w:rPr>
        <w:t>. [Online] Vol.22 (9), p.e21319. Available: https://www.ncbi.nlm.nih.gov/pmc/articles/PMC7485997/ [Accessed 13 Dec 2025].</w:t>
      </w:r>
    </w:p>
    <w:p w14:paraId="20C4C4D2"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Ontario, O. (2020) </w:t>
      </w:r>
      <w:r w:rsidRPr="00A40E58">
        <w:rPr>
          <w:rFonts w:ascii="Arial" w:hAnsi="Arial" w:cs="Arial"/>
          <w:sz w:val="22"/>
          <w:szCs w:val="22"/>
          <w:u w:val="single"/>
        </w:rPr>
        <w:t>Prime Minister outlines Canada’s COVID-19 response</w:t>
      </w:r>
      <w:r w:rsidRPr="00A40E58">
        <w:rPr>
          <w:rFonts w:ascii="Arial" w:hAnsi="Arial" w:cs="Arial"/>
          <w:sz w:val="22"/>
          <w:szCs w:val="22"/>
        </w:rPr>
        <w:t xml:space="preserve"> [Online]. Prime Minister of Canada. Available: https://www.pm.gc.ca/en/news/news-releases/2020/03/11/prime-minister-outlines-canadas-covid-19-response [Accessed 13 Dec 2025].</w:t>
      </w:r>
    </w:p>
    <w:p w14:paraId="37BF5DBE"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Otero-García, L., Mateos, J. T., Esperato, A., Llubes-Arrià, L., Regulez-Campo, V., Muntaner, C. and Legido-Quigley, H. (2023) Austerity Measures and Underfunding of the Spanish Health System during the COVID-19 Pandemic—Perception of Healthcare Staff in Spain. </w:t>
      </w:r>
      <w:r w:rsidRPr="00A40E58">
        <w:rPr>
          <w:rFonts w:ascii="Arial" w:hAnsi="Arial" w:cs="Arial"/>
          <w:sz w:val="22"/>
          <w:szCs w:val="22"/>
          <w:u w:val="single"/>
        </w:rPr>
        <w:t>International Journal of Environmental Research and Public Health</w:t>
      </w:r>
      <w:r w:rsidRPr="00A40E58">
        <w:rPr>
          <w:rFonts w:ascii="Arial" w:hAnsi="Arial" w:cs="Arial"/>
          <w:sz w:val="22"/>
          <w:szCs w:val="22"/>
        </w:rPr>
        <w:t>. [Online] Vol.20 (3), p.2594. Available: https://www.mdpi.com/1660-4601/20/3/2594 [Accessed 13 Dec 2025].</w:t>
      </w:r>
    </w:p>
    <w:p w14:paraId="437C175E"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Park Han-na (2020) </w:t>
      </w:r>
      <w:r w:rsidRPr="00A40E58">
        <w:rPr>
          <w:rFonts w:ascii="Arial" w:hAnsi="Arial" w:cs="Arial"/>
          <w:sz w:val="22"/>
          <w:szCs w:val="22"/>
          <w:u w:val="single"/>
        </w:rPr>
        <w:t>Seoul to launch 10-minute contact tracing program - The Korea Herald</w:t>
      </w:r>
      <w:r w:rsidRPr="00A40E58">
        <w:rPr>
          <w:rFonts w:ascii="Arial" w:hAnsi="Arial" w:cs="Arial"/>
          <w:sz w:val="22"/>
          <w:szCs w:val="22"/>
        </w:rPr>
        <w:t xml:space="preserve"> [Online]. The Korea Herald. Available: https://www.koreaherald.com/article/2266287 [Accessed 13 Dec 2025].</w:t>
      </w:r>
    </w:p>
    <w:p w14:paraId="0A9946B8"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Public (2020) </w:t>
      </w:r>
      <w:r w:rsidRPr="00A40E58">
        <w:rPr>
          <w:rFonts w:ascii="Arial" w:hAnsi="Arial" w:cs="Arial"/>
          <w:sz w:val="22"/>
          <w:szCs w:val="22"/>
          <w:u w:val="single"/>
        </w:rPr>
        <w:t>COVID-19 vaccination coverage in Canada - Canada.ca</w:t>
      </w:r>
      <w:r w:rsidRPr="00A40E58">
        <w:rPr>
          <w:rFonts w:ascii="Arial" w:hAnsi="Arial" w:cs="Arial"/>
          <w:sz w:val="22"/>
          <w:szCs w:val="22"/>
        </w:rPr>
        <w:t xml:space="preserve"> [Online]. Canada.ca. Available: https://health-infobase.canada.ca/covid-19/vaccination-coverage/archive/2022-09-30/index.html [Accessed 13 Dec 2025].</w:t>
      </w:r>
    </w:p>
    <w:p w14:paraId="353AC4F4"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Rameshan, P. (2022) Leadership Behaviour in Covid-19 Crisis Response: A </w:t>
      </w:r>
      <w:r w:rsidRPr="00A40E58">
        <w:rPr>
          <w:rFonts w:ascii="Arial" w:hAnsi="Arial" w:cs="Arial"/>
          <w:i/>
          <w:iCs/>
          <w:sz w:val="22"/>
          <w:szCs w:val="22"/>
        </w:rPr>
        <w:t>Personal Strategy</w:t>
      </w:r>
      <w:r w:rsidRPr="00A40E58">
        <w:rPr>
          <w:rFonts w:ascii="Arial" w:hAnsi="Arial" w:cs="Arial"/>
          <w:sz w:val="22"/>
          <w:szCs w:val="22"/>
        </w:rPr>
        <w:t xml:space="preserve"> Proposition. </w:t>
      </w:r>
      <w:r w:rsidRPr="00A40E58">
        <w:rPr>
          <w:rFonts w:ascii="Arial" w:hAnsi="Arial" w:cs="Arial"/>
          <w:sz w:val="22"/>
          <w:szCs w:val="22"/>
          <w:u w:val="single"/>
        </w:rPr>
        <w:t>IIM Kozhikode Society &amp; Management Review</w:t>
      </w:r>
      <w:r w:rsidRPr="00A40E58">
        <w:rPr>
          <w:rFonts w:ascii="Arial" w:hAnsi="Arial" w:cs="Arial"/>
          <w:sz w:val="22"/>
          <w:szCs w:val="22"/>
        </w:rPr>
        <w:t>. [Online] Vol.13 (1), p.227797522210952. Available: https://journals.sagepub.com/doi/10.1177/22779752221095277 [Accessed 13 Dec 2025].</w:t>
      </w:r>
    </w:p>
    <w:p w14:paraId="2AA2A2C1"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Ramonycajalabogados (2020) </w:t>
      </w:r>
      <w:r w:rsidRPr="00A40E58">
        <w:rPr>
          <w:rFonts w:ascii="Arial" w:hAnsi="Arial" w:cs="Arial"/>
          <w:sz w:val="22"/>
          <w:szCs w:val="22"/>
          <w:u w:val="single"/>
        </w:rPr>
        <w:t>Spanish Royal Decree 463/2020, of March 14th, 2020, declaring the state of alarm</w:t>
      </w:r>
      <w:r w:rsidRPr="00A40E58">
        <w:rPr>
          <w:rFonts w:ascii="Arial" w:hAnsi="Arial" w:cs="Arial"/>
          <w:sz w:val="22"/>
          <w:szCs w:val="22"/>
        </w:rPr>
        <w:t xml:space="preserve"> [Online]. Ramon y Cajal. Available: https://www.ramonycajalabogados.com/en/spanish-royal-decree-4632020-march-14th-2020-declaring-state-alarm [Accessed 13 Dec 2025].</w:t>
      </w:r>
    </w:p>
    <w:p w14:paraId="3C4A7EFC"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Reuters Staff and Jin, H. (2020) S.Korea sets record COVID-19 cases as prison reports major outbreak. </w:t>
      </w:r>
      <w:r w:rsidRPr="00A40E58">
        <w:rPr>
          <w:rFonts w:ascii="Arial" w:hAnsi="Arial" w:cs="Arial"/>
          <w:sz w:val="22"/>
          <w:szCs w:val="22"/>
          <w:u w:val="single"/>
        </w:rPr>
        <w:t>Reuters</w:t>
      </w:r>
      <w:r w:rsidRPr="00A40E58">
        <w:rPr>
          <w:rFonts w:ascii="Arial" w:hAnsi="Arial" w:cs="Arial"/>
          <w:sz w:val="22"/>
          <w:szCs w:val="22"/>
        </w:rPr>
        <w:t>. [Online], 20 December 2020, pp.1–1. Available: https://www.reuters.com/business/healthcare-pharmaceuticals/skorea-sets-record-covid-19-cases-prison-reports-major-outbreak-2020-12-20/ [Accessed 13 Dec 2025].</w:t>
      </w:r>
    </w:p>
    <w:p w14:paraId="10F65E38"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Royo, S. (2020) Responding to COVID</w:t>
      </w:r>
      <w:r w:rsidRPr="00A40E58">
        <w:rPr>
          <w:rFonts w:ascii="Cambria Math" w:hAnsi="Cambria Math" w:cs="Cambria Math"/>
          <w:sz w:val="22"/>
          <w:szCs w:val="22"/>
        </w:rPr>
        <w:t>‐</w:t>
      </w:r>
      <w:r w:rsidRPr="00A40E58">
        <w:rPr>
          <w:rFonts w:ascii="Arial" w:hAnsi="Arial" w:cs="Arial"/>
          <w:sz w:val="22"/>
          <w:szCs w:val="22"/>
        </w:rPr>
        <w:t xml:space="preserve">19: The Case of Spain. </w:t>
      </w:r>
      <w:r w:rsidRPr="00A40E58">
        <w:rPr>
          <w:rFonts w:ascii="Arial" w:hAnsi="Arial" w:cs="Arial"/>
          <w:sz w:val="22"/>
          <w:szCs w:val="22"/>
          <w:u w:val="single"/>
        </w:rPr>
        <w:t>European Policy Analysis</w:t>
      </w:r>
      <w:r w:rsidRPr="00A40E58">
        <w:rPr>
          <w:rFonts w:ascii="Arial" w:hAnsi="Arial" w:cs="Arial"/>
          <w:sz w:val="22"/>
          <w:szCs w:val="22"/>
        </w:rPr>
        <w:t>. [Online] Vol.6 (2), pp.180–190. Available: https://pmc.ncbi.nlm.nih.gov/articles/PMC7753436/ [Accessed 13 Dec 2025].</w:t>
      </w:r>
    </w:p>
    <w:p w14:paraId="5689478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Ryan, M. (2020) In defence of digital contact-tracing: human rights, South Korea and Covid-19. </w:t>
      </w:r>
      <w:r w:rsidRPr="00A40E58">
        <w:rPr>
          <w:rFonts w:ascii="Arial" w:hAnsi="Arial" w:cs="Arial"/>
          <w:sz w:val="22"/>
          <w:szCs w:val="22"/>
          <w:u w:val="single"/>
        </w:rPr>
        <w:t>International Journal of Pervasive Computing and Communications</w:t>
      </w:r>
      <w:r w:rsidRPr="00A40E58">
        <w:rPr>
          <w:rFonts w:ascii="Arial" w:hAnsi="Arial" w:cs="Arial"/>
          <w:sz w:val="22"/>
          <w:szCs w:val="22"/>
        </w:rPr>
        <w:t>. [Online] Vol.16 (4), pp.383–407. Available: https://www.sciencedirect.com/org/science/article/pii/S1742737120000137 [Accessed 13 Dec 2025].</w:t>
      </w:r>
    </w:p>
    <w:p w14:paraId="6B8B222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Saich, F. and Martiniuk, A. (2021) Government messaging about COVID-19 vaccination in Canada and Australia: a Narrative Policy Framework study. </w:t>
      </w:r>
      <w:r w:rsidRPr="00A40E58">
        <w:rPr>
          <w:rFonts w:ascii="Arial" w:hAnsi="Arial" w:cs="Arial"/>
          <w:sz w:val="22"/>
          <w:szCs w:val="22"/>
          <w:u w:val="single"/>
        </w:rPr>
        <w:t>medRxiv (Cold Spring Harbor Laboratory)</w:t>
      </w:r>
      <w:r w:rsidRPr="00A40E58">
        <w:rPr>
          <w:rFonts w:ascii="Arial" w:hAnsi="Arial" w:cs="Arial"/>
          <w:sz w:val="22"/>
          <w:szCs w:val="22"/>
        </w:rPr>
        <w:t>. [Online] Vol.9 (1), pp.1–16. Available: https://www.medrxiv.org/content/10.1101/2021.12.19.21268042v1.full.pdf+html [Accessed 13 Dec 2025].</w:t>
      </w:r>
    </w:p>
    <w:p w14:paraId="53A9E68B"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Scherer, S. (2022) Pandemic fatigue a challenge for Canada’s Trudeau amid protests. </w:t>
      </w:r>
      <w:r w:rsidRPr="00A40E58">
        <w:rPr>
          <w:rFonts w:ascii="Arial" w:hAnsi="Arial" w:cs="Arial"/>
          <w:sz w:val="22"/>
          <w:szCs w:val="22"/>
          <w:u w:val="single"/>
        </w:rPr>
        <w:t>Reuters</w:t>
      </w:r>
      <w:r w:rsidRPr="00A40E58">
        <w:rPr>
          <w:rFonts w:ascii="Arial" w:hAnsi="Arial" w:cs="Arial"/>
          <w:sz w:val="22"/>
          <w:szCs w:val="22"/>
        </w:rPr>
        <w:t>. [Online], 17 February 2022, pp.1–1. Available: https://www.reuters.com/world/americas/pandemic-fatigue-challenge-canadas-trudeau-amid-protests-2022-02-17/ [Accessed 13 Dec 2025].</w:t>
      </w:r>
    </w:p>
    <w:p w14:paraId="37FE3B23"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Schwak, J. (2021) Korea’s Exemplary Response to the COVID-19 Pandemic: Successes and Challenges. </w:t>
      </w:r>
      <w:r w:rsidRPr="00A40E58">
        <w:rPr>
          <w:rFonts w:ascii="Arial" w:hAnsi="Arial" w:cs="Arial"/>
          <w:sz w:val="22"/>
          <w:szCs w:val="22"/>
          <w:u w:val="single"/>
        </w:rPr>
        <w:t>PRISM</w:t>
      </w:r>
      <w:r w:rsidRPr="00A40E58">
        <w:rPr>
          <w:rFonts w:ascii="Arial" w:hAnsi="Arial" w:cs="Arial"/>
          <w:sz w:val="22"/>
          <w:szCs w:val="22"/>
        </w:rPr>
        <w:t>. [Online] Vol.9 (4), pp.200–211. Available: https://www.jstor.org/stable/48697200 [Accessed 13 Dec 2025].</w:t>
      </w:r>
    </w:p>
    <w:p w14:paraId="2F2F82FC"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Shin Ae Hong (2024) Toward better pandemic governance and preparedness: South Korea’s whole-of-nation approach to COVID-19. </w:t>
      </w:r>
      <w:r w:rsidRPr="00A40E58">
        <w:rPr>
          <w:rFonts w:ascii="Arial" w:hAnsi="Arial" w:cs="Arial"/>
          <w:sz w:val="22"/>
          <w:szCs w:val="22"/>
          <w:u w:val="single"/>
        </w:rPr>
        <w:t>BMC Public Health</w:t>
      </w:r>
      <w:r w:rsidRPr="00A40E58">
        <w:rPr>
          <w:rFonts w:ascii="Arial" w:hAnsi="Arial" w:cs="Arial"/>
          <w:sz w:val="22"/>
          <w:szCs w:val="22"/>
        </w:rPr>
        <w:t>. [Online] Vol.24 (1), pp.1–16. Available: https://bmcpublichealth.biomedcentral.com/articles/10.1186/s12889-024-19655-8 [Accessed 13 Dec 2025].</w:t>
      </w:r>
    </w:p>
    <w:p w14:paraId="4CC0CC25"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Shin, H. (2020) Six South Koreans die of COVID awaiting hospital beds - report. </w:t>
      </w:r>
      <w:r w:rsidRPr="00A40E58">
        <w:rPr>
          <w:rFonts w:ascii="Arial" w:hAnsi="Arial" w:cs="Arial"/>
          <w:sz w:val="22"/>
          <w:szCs w:val="22"/>
          <w:u w:val="single"/>
        </w:rPr>
        <w:t>Reuters</w:t>
      </w:r>
      <w:r w:rsidRPr="00A40E58">
        <w:rPr>
          <w:rFonts w:ascii="Arial" w:hAnsi="Arial" w:cs="Arial"/>
          <w:sz w:val="22"/>
          <w:szCs w:val="22"/>
        </w:rPr>
        <w:t>. [Online], 18 December 2020, pp.1–2. Available: https://www.reuters.com/business/healthcare-pharmaceuticals/skorea-reports-more-than-1000-coronavirus-cases-third-straight-day-2020-12-18/ [Accessed 13 Dec 2025].</w:t>
      </w:r>
    </w:p>
    <w:p w14:paraId="1B64960A"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Stewart, C. (2025) </w:t>
      </w:r>
      <w:r w:rsidRPr="00A40E58">
        <w:rPr>
          <w:rFonts w:ascii="Arial" w:hAnsi="Arial" w:cs="Arial"/>
          <w:sz w:val="22"/>
          <w:szCs w:val="22"/>
          <w:u w:val="single"/>
        </w:rPr>
        <w:t>Spain: share people vaccinated against COVID-19 by region 2023| Statista</w:t>
      </w:r>
      <w:r w:rsidRPr="00A40E58">
        <w:rPr>
          <w:rFonts w:ascii="Arial" w:hAnsi="Arial" w:cs="Arial"/>
          <w:sz w:val="22"/>
          <w:szCs w:val="22"/>
        </w:rPr>
        <w:t xml:space="preserve"> [Online]. Statista. Available: https://www.statista.com/statistics/1218621/covid-19-share-population-vaccinated-spain-by-region [Accessed 13 Dec 2025].</w:t>
      </w:r>
    </w:p>
    <w:p w14:paraId="7CDCB500"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Tereza Novotná and Nam Kook Kim (2023) South Korea and the EU battling COVID-19: shared contribution to global health governance and human security. </w:t>
      </w:r>
      <w:r w:rsidRPr="00A40E58">
        <w:rPr>
          <w:rFonts w:ascii="Arial" w:hAnsi="Arial" w:cs="Arial"/>
          <w:sz w:val="22"/>
          <w:szCs w:val="22"/>
          <w:u w:val="single"/>
        </w:rPr>
        <w:t>Asia Europe journal</w:t>
      </w:r>
      <w:r w:rsidRPr="00A40E58">
        <w:rPr>
          <w:rFonts w:ascii="Arial" w:hAnsi="Arial" w:cs="Arial"/>
          <w:sz w:val="22"/>
          <w:szCs w:val="22"/>
        </w:rPr>
        <w:t>. [Online] Vol.21 (4), pp.545–564. Available: https://link.springer.com/article/10.1007/s10308-023-00684-8 [Accessed 13 Dec 2025].</w:t>
      </w:r>
    </w:p>
    <w:p w14:paraId="3A18CA1F" w14:textId="77777777" w:rsidR="003C3B5E" w:rsidRPr="00A40E58"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 xml:space="preserve">Teruel, J. R., Pino, E. del and Real-Dato, J. (2023) The Limits of Power Concentration and Expert Knowledge in Emergency Management: Spain’s Government Response during the First Phase of the Covid-19 Pandemic. </w:t>
      </w:r>
      <w:r w:rsidRPr="00A40E58">
        <w:rPr>
          <w:rFonts w:ascii="Arial" w:hAnsi="Arial" w:cs="Arial"/>
          <w:sz w:val="22"/>
          <w:szCs w:val="22"/>
          <w:u w:val="single"/>
        </w:rPr>
        <w:t>South European Society and Politics</w:t>
      </w:r>
      <w:r w:rsidRPr="00A40E58">
        <w:rPr>
          <w:rFonts w:ascii="Arial" w:hAnsi="Arial" w:cs="Arial"/>
          <w:sz w:val="22"/>
          <w:szCs w:val="22"/>
        </w:rPr>
        <w:t>. [Online] Vol.27 (4), pp.1–33. Available: https://www.tandfonline.com/doi/full/10.1080/13608746.2022.2091861#d1e235 [Accessed 13 Dec 2025].</w:t>
      </w:r>
    </w:p>
    <w:p w14:paraId="640ECA2C" w14:textId="77777777" w:rsidR="00A53FBF" w:rsidRPr="003C3B5E" w:rsidRDefault="003C3B5E" w:rsidP="003C3B5E">
      <w:pPr>
        <w:pStyle w:val="NormalWeb"/>
        <w:spacing w:before="0" w:beforeAutospacing="0" w:after="0" w:afterAutospacing="0" w:line="360" w:lineRule="auto"/>
        <w:ind w:left="720" w:hanging="720"/>
        <w:jc w:val="left"/>
        <w:rPr>
          <w:rFonts w:ascii="Arial" w:hAnsi="Arial" w:cs="Arial"/>
          <w:sz w:val="22"/>
          <w:szCs w:val="22"/>
        </w:rPr>
      </w:pPr>
      <w:r w:rsidRPr="00A40E58">
        <w:rPr>
          <w:rFonts w:ascii="Arial" w:hAnsi="Arial" w:cs="Arial"/>
          <w:sz w:val="22"/>
          <w:szCs w:val="22"/>
        </w:rPr>
        <w:t>Tragaki, A. and Richard, J. (2021) First wave of SARS</w:t>
      </w:r>
      <w:r w:rsidRPr="00A40E58">
        <w:rPr>
          <w:rFonts w:ascii="Cambria Math" w:hAnsi="Cambria Math" w:cs="Cambria Math"/>
          <w:sz w:val="22"/>
          <w:szCs w:val="22"/>
        </w:rPr>
        <w:t>‐</w:t>
      </w:r>
      <w:r w:rsidRPr="00A40E58">
        <w:rPr>
          <w:rFonts w:ascii="Arial" w:hAnsi="Arial" w:cs="Arial"/>
          <w:sz w:val="22"/>
          <w:szCs w:val="22"/>
        </w:rPr>
        <w:t xml:space="preserve">COV2 in Europe: Study and typology of the 15 worst affected European countries. </w:t>
      </w:r>
      <w:r w:rsidRPr="00A40E58">
        <w:rPr>
          <w:rFonts w:ascii="Arial" w:hAnsi="Arial" w:cs="Arial"/>
          <w:sz w:val="22"/>
          <w:szCs w:val="22"/>
          <w:u w:val="single"/>
        </w:rPr>
        <w:t>Population, Space and Place</w:t>
      </w:r>
      <w:r w:rsidRPr="00A40E58">
        <w:rPr>
          <w:rFonts w:ascii="Arial" w:hAnsi="Arial" w:cs="Arial"/>
          <w:sz w:val="22"/>
          <w:szCs w:val="22"/>
        </w:rPr>
        <w:t>. Vol.28 (1).</w:t>
      </w:r>
    </w:p>
    <w:sectPr w:rsidR="00A53FBF" w:rsidRPr="003C3B5E" w:rsidSect="00E437D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E6ED9" w14:textId="77777777" w:rsidR="00AA60C3" w:rsidRDefault="00AA60C3" w:rsidP="00745B4D">
      <w:pPr>
        <w:spacing w:line="240" w:lineRule="auto"/>
      </w:pPr>
      <w:r>
        <w:separator/>
      </w:r>
    </w:p>
  </w:endnote>
  <w:endnote w:type="continuationSeparator" w:id="0">
    <w:p w14:paraId="1354478E" w14:textId="77777777" w:rsidR="00AA60C3" w:rsidRDefault="00AA60C3" w:rsidP="00745B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242666"/>
      <w:docPartObj>
        <w:docPartGallery w:val="Page Numbers (Bottom of Page)"/>
        <w:docPartUnique/>
      </w:docPartObj>
    </w:sdtPr>
    <w:sdtEndPr>
      <w:rPr>
        <w:color w:val="7F7F7F" w:themeColor="background1" w:themeShade="7F"/>
        <w:spacing w:val="60"/>
      </w:rPr>
    </w:sdtEndPr>
    <w:sdtContent>
      <w:p w14:paraId="63CC7C9E" w14:textId="77777777" w:rsidR="00745B4D" w:rsidRDefault="00E437DD">
        <w:pPr>
          <w:pStyle w:val="Footer"/>
          <w:pBdr>
            <w:top w:val="single" w:sz="4" w:space="1" w:color="D9D9D9" w:themeColor="background1" w:themeShade="D9"/>
          </w:pBdr>
          <w:rPr>
            <w:b/>
            <w:bCs/>
          </w:rPr>
        </w:pPr>
        <w:r>
          <w:fldChar w:fldCharType="begin"/>
        </w:r>
        <w:r w:rsidR="00745B4D">
          <w:instrText xml:space="preserve"> PAGE   \* MERGEFORMAT </w:instrText>
        </w:r>
        <w:r>
          <w:fldChar w:fldCharType="separate"/>
        </w:r>
        <w:r w:rsidR="0099591B" w:rsidRPr="0099591B">
          <w:rPr>
            <w:b/>
            <w:bCs/>
            <w:noProof/>
          </w:rPr>
          <w:t>1</w:t>
        </w:r>
        <w:r>
          <w:rPr>
            <w:b/>
            <w:bCs/>
            <w:noProof/>
          </w:rPr>
          <w:fldChar w:fldCharType="end"/>
        </w:r>
        <w:r w:rsidR="00745B4D">
          <w:rPr>
            <w:b/>
            <w:bCs/>
          </w:rPr>
          <w:t xml:space="preserve"> | </w:t>
        </w:r>
        <w:r w:rsidR="00745B4D">
          <w:rPr>
            <w:color w:val="7F7F7F" w:themeColor="background1" w:themeShade="7F"/>
            <w:spacing w:val="60"/>
          </w:rPr>
          <w:t>Page</w:t>
        </w:r>
      </w:p>
    </w:sdtContent>
  </w:sdt>
  <w:p w14:paraId="36D594E3" w14:textId="77777777" w:rsidR="00745B4D" w:rsidRDefault="00745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49928" w14:textId="77777777" w:rsidR="00AA60C3" w:rsidRDefault="00AA60C3" w:rsidP="00745B4D">
      <w:pPr>
        <w:spacing w:line="240" w:lineRule="auto"/>
      </w:pPr>
      <w:r>
        <w:separator/>
      </w:r>
    </w:p>
  </w:footnote>
  <w:footnote w:type="continuationSeparator" w:id="0">
    <w:p w14:paraId="3046D904" w14:textId="77777777" w:rsidR="00AA60C3" w:rsidRDefault="00AA60C3" w:rsidP="00745B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A4DC8"/>
    <w:multiLevelType w:val="multilevel"/>
    <w:tmpl w:val="95FA3F7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F7D110A"/>
    <w:multiLevelType w:val="multilevel"/>
    <w:tmpl w:val="95FA3F7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1AB72E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6FC7CC3"/>
    <w:multiLevelType w:val="hybridMultilevel"/>
    <w:tmpl w:val="1A0232E6"/>
    <w:lvl w:ilvl="0" w:tplc="46B2AE7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365D57"/>
    <w:multiLevelType w:val="hybridMultilevel"/>
    <w:tmpl w:val="5F98A2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9272792">
    <w:abstractNumId w:val="3"/>
  </w:num>
  <w:num w:numId="2" w16cid:durableId="728923755">
    <w:abstractNumId w:val="4"/>
  </w:num>
  <w:num w:numId="3" w16cid:durableId="1064179639">
    <w:abstractNumId w:val="0"/>
  </w:num>
  <w:num w:numId="4" w16cid:durableId="3828903">
    <w:abstractNumId w:val="2"/>
  </w:num>
  <w:num w:numId="5" w16cid:durableId="666640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611"/>
    <w:rsid w:val="00037697"/>
    <w:rsid w:val="000A240A"/>
    <w:rsid w:val="000B3805"/>
    <w:rsid w:val="000E509E"/>
    <w:rsid w:val="00115FDA"/>
    <w:rsid w:val="00190822"/>
    <w:rsid w:val="001C2BAA"/>
    <w:rsid w:val="001D1D6E"/>
    <w:rsid w:val="002153AF"/>
    <w:rsid w:val="00220DE1"/>
    <w:rsid w:val="002675B2"/>
    <w:rsid w:val="002A538E"/>
    <w:rsid w:val="002C6745"/>
    <w:rsid w:val="00330ADF"/>
    <w:rsid w:val="00377823"/>
    <w:rsid w:val="00395C31"/>
    <w:rsid w:val="003C3B5E"/>
    <w:rsid w:val="003E6381"/>
    <w:rsid w:val="00474DFC"/>
    <w:rsid w:val="004A61C3"/>
    <w:rsid w:val="00571BAD"/>
    <w:rsid w:val="00583611"/>
    <w:rsid w:val="00646799"/>
    <w:rsid w:val="006768F1"/>
    <w:rsid w:val="00676CEA"/>
    <w:rsid w:val="006D1B74"/>
    <w:rsid w:val="00713BAA"/>
    <w:rsid w:val="00727D6D"/>
    <w:rsid w:val="00745B4D"/>
    <w:rsid w:val="007E49B7"/>
    <w:rsid w:val="008454FA"/>
    <w:rsid w:val="00850F73"/>
    <w:rsid w:val="00877172"/>
    <w:rsid w:val="008A2DC1"/>
    <w:rsid w:val="008D24E3"/>
    <w:rsid w:val="0090082F"/>
    <w:rsid w:val="00910778"/>
    <w:rsid w:val="0096009A"/>
    <w:rsid w:val="00966902"/>
    <w:rsid w:val="00976570"/>
    <w:rsid w:val="0099591B"/>
    <w:rsid w:val="00996DA7"/>
    <w:rsid w:val="009C38DC"/>
    <w:rsid w:val="00A22F25"/>
    <w:rsid w:val="00A31A25"/>
    <w:rsid w:val="00A40E58"/>
    <w:rsid w:val="00A43974"/>
    <w:rsid w:val="00A53FBF"/>
    <w:rsid w:val="00AA60C3"/>
    <w:rsid w:val="00AC4124"/>
    <w:rsid w:val="00AE3BEE"/>
    <w:rsid w:val="00B552A6"/>
    <w:rsid w:val="00B755B1"/>
    <w:rsid w:val="00B922AD"/>
    <w:rsid w:val="00B935EF"/>
    <w:rsid w:val="00C94EAF"/>
    <w:rsid w:val="00CA70D2"/>
    <w:rsid w:val="00CD2435"/>
    <w:rsid w:val="00D01D80"/>
    <w:rsid w:val="00D14DB2"/>
    <w:rsid w:val="00D313FD"/>
    <w:rsid w:val="00D62567"/>
    <w:rsid w:val="00DA0B21"/>
    <w:rsid w:val="00E40000"/>
    <w:rsid w:val="00E437DD"/>
    <w:rsid w:val="00EC64E1"/>
    <w:rsid w:val="00ED2D3E"/>
    <w:rsid w:val="00F35820"/>
    <w:rsid w:val="00F923FF"/>
    <w:rsid w:val="00F978EC"/>
    <w:rsid w:val="00FE1CE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7C9A"/>
  <w15:docId w15:val="{4209A8F6-840B-8E4F-BBB1-5042AB574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5B1"/>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AE3BEE"/>
    <w:pPr>
      <w:keepNext/>
      <w:keepLines/>
      <w:numPr>
        <w:numId w:val="4"/>
      </w:numPr>
      <w:outlineLvl w:val="0"/>
    </w:pPr>
    <w:rPr>
      <w:rFonts w:eastAsiaTheme="majorEastAsia" w:cstheme="majorBidi"/>
      <w:b/>
      <w:color w:val="3A3A3A" w:themeColor="background2" w:themeShade="40"/>
      <w:sz w:val="28"/>
      <w:szCs w:val="28"/>
    </w:rPr>
  </w:style>
  <w:style w:type="paragraph" w:styleId="Heading2">
    <w:name w:val="heading 2"/>
    <w:basedOn w:val="Normal"/>
    <w:next w:val="Normal"/>
    <w:link w:val="Heading2Char"/>
    <w:autoRedefine/>
    <w:uiPriority w:val="9"/>
    <w:unhideWhenUsed/>
    <w:qFormat/>
    <w:rsid w:val="00AE3BEE"/>
    <w:pPr>
      <w:keepNext/>
      <w:keepLines/>
      <w:numPr>
        <w:ilvl w:val="1"/>
        <w:numId w:val="4"/>
      </w:numPr>
      <w:outlineLvl w:val="1"/>
    </w:pPr>
    <w:rPr>
      <w:rFonts w:eastAsiaTheme="majorEastAsia" w:cstheme="majorBidi"/>
      <w:bCs/>
      <w:i/>
      <w:iCs/>
      <w:color w:val="3A3A3A" w:themeColor="background2" w:themeShade="40"/>
      <w:sz w:val="26"/>
      <w:szCs w:val="26"/>
    </w:rPr>
  </w:style>
  <w:style w:type="paragraph" w:styleId="Heading3">
    <w:name w:val="heading 3"/>
    <w:basedOn w:val="Normal"/>
    <w:next w:val="Normal"/>
    <w:link w:val="Heading3Char"/>
    <w:uiPriority w:val="9"/>
    <w:semiHidden/>
    <w:unhideWhenUsed/>
    <w:qFormat/>
    <w:rsid w:val="00B755B1"/>
    <w:pPr>
      <w:keepNext/>
      <w:keepLines/>
      <w:numPr>
        <w:ilvl w:val="2"/>
        <w:numId w:val="4"/>
      </w:numPr>
      <w:outlineLvl w:val="2"/>
    </w:pPr>
    <w:rPr>
      <w:rFonts w:eastAsiaTheme="majorEastAsia" w:cstheme="majorBidi"/>
      <w:color w:val="0F4761" w:themeColor="accent1" w:themeShade="BF"/>
      <w:sz w:val="24"/>
      <w:szCs w:val="28"/>
    </w:rPr>
  </w:style>
  <w:style w:type="paragraph" w:styleId="Heading4">
    <w:name w:val="heading 4"/>
    <w:basedOn w:val="Normal"/>
    <w:next w:val="Normal"/>
    <w:link w:val="Heading4Char"/>
    <w:uiPriority w:val="9"/>
    <w:semiHidden/>
    <w:unhideWhenUsed/>
    <w:qFormat/>
    <w:rsid w:val="00583611"/>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611"/>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611"/>
    <w:pPr>
      <w:keepNext/>
      <w:keepLines/>
      <w:numPr>
        <w:ilvl w:val="5"/>
        <w:numId w:val="4"/>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611"/>
    <w:pPr>
      <w:keepNext/>
      <w:keepLines/>
      <w:numPr>
        <w:ilvl w:val="6"/>
        <w:numId w:val="4"/>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611"/>
    <w:pPr>
      <w:keepNext/>
      <w:keepLines/>
      <w:numPr>
        <w:ilvl w:val="7"/>
        <w:numId w:val="4"/>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611"/>
    <w:pPr>
      <w:keepNext/>
      <w:keepLines/>
      <w:numPr>
        <w:ilvl w:val="8"/>
        <w:numId w:val="4"/>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BEE"/>
    <w:rPr>
      <w:rFonts w:ascii="Arial" w:eastAsiaTheme="majorEastAsia" w:hAnsi="Arial" w:cstheme="majorBidi"/>
      <w:b/>
      <w:color w:val="3A3A3A" w:themeColor="background2" w:themeShade="40"/>
      <w:sz w:val="28"/>
      <w:szCs w:val="28"/>
    </w:rPr>
  </w:style>
  <w:style w:type="character" w:customStyle="1" w:styleId="Heading2Char">
    <w:name w:val="Heading 2 Char"/>
    <w:basedOn w:val="DefaultParagraphFont"/>
    <w:link w:val="Heading2"/>
    <w:uiPriority w:val="9"/>
    <w:rsid w:val="00AE3BEE"/>
    <w:rPr>
      <w:rFonts w:ascii="Arial" w:eastAsiaTheme="majorEastAsia" w:hAnsi="Arial" w:cstheme="majorBidi"/>
      <w:bCs/>
      <w:i/>
      <w:iCs/>
      <w:color w:val="3A3A3A" w:themeColor="background2" w:themeShade="40"/>
      <w:sz w:val="26"/>
      <w:szCs w:val="26"/>
    </w:rPr>
  </w:style>
  <w:style w:type="character" w:customStyle="1" w:styleId="Heading3Char">
    <w:name w:val="Heading 3 Char"/>
    <w:basedOn w:val="DefaultParagraphFont"/>
    <w:link w:val="Heading3"/>
    <w:uiPriority w:val="9"/>
    <w:semiHidden/>
    <w:rsid w:val="00B755B1"/>
    <w:rPr>
      <w:rFonts w:ascii="Arial" w:eastAsiaTheme="majorEastAsia" w:hAnsi="Arial" w:cstheme="majorBidi"/>
      <w:color w:val="0F4761" w:themeColor="accent1" w:themeShade="BF"/>
      <w:sz w:val="24"/>
      <w:szCs w:val="28"/>
      <w:lang w:val="en-GB"/>
    </w:rPr>
  </w:style>
  <w:style w:type="character" w:customStyle="1" w:styleId="Heading4Char">
    <w:name w:val="Heading 4 Char"/>
    <w:basedOn w:val="DefaultParagraphFont"/>
    <w:link w:val="Heading4"/>
    <w:uiPriority w:val="9"/>
    <w:semiHidden/>
    <w:rsid w:val="0058361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8361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8361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8361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8361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8361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836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61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836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6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83611"/>
    <w:pPr>
      <w:spacing w:before="160"/>
      <w:jc w:val="center"/>
    </w:pPr>
    <w:rPr>
      <w:i/>
      <w:iCs/>
      <w:color w:val="404040" w:themeColor="text1" w:themeTint="BF"/>
    </w:rPr>
  </w:style>
  <w:style w:type="character" w:customStyle="1" w:styleId="QuoteChar">
    <w:name w:val="Quote Char"/>
    <w:basedOn w:val="DefaultParagraphFont"/>
    <w:link w:val="Quote"/>
    <w:uiPriority w:val="29"/>
    <w:rsid w:val="00583611"/>
    <w:rPr>
      <w:i/>
      <w:iCs/>
      <w:color w:val="404040" w:themeColor="text1" w:themeTint="BF"/>
      <w:lang w:val="en-GB"/>
    </w:rPr>
  </w:style>
  <w:style w:type="paragraph" w:styleId="ListParagraph">
    <w:name w:val="List Paragraph"/>
    <w:basedOn w:val="Normal"/>
    <w:uiPriority w:val="34"/>
    <w:qFormat/>
    <w:rsid w:val="00583611"/>
    <w:pPr>
      <w:ind w:left="720"/>
      <w:contextualSpacing/>
    </w:pPr>
  </w:style>
  <w:style w:type="character" w:styleId="IntenseEmphasis">
    <w:name w:val="Intense Emphasis"/>
    <w:basedOn w:val="DefaultParagraphFont"/>
    <w:uiPriority w:val="21"/>
    <w:qFormat/>
    <w:rsid w:val="00583611"/>
    <w:rPr>
      <w:i/>
      <w:iCs/>
      <w:color w:val="0F4761" w:themeColor="accent1" w:themeShade="BF"/>
    </w:rPr>
  </w:style>
  <w:style w:type="paragraph" w:styleId="IntenseQuote">
    <w:name w:val="Intense Quote"/>
    <w:basedOn w:val="Normal"/>
    <w:next w:val="Normal"/>
    <w:link w:val="IntenseQuoteChar"/>
    <w:uiPriority w:val="30"/>
    <w:qFormat/>
    <w:rsid w:val="005836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611"/>
    <w:rPr>
      <w:i/>
      <w:iCs/>
      <w:color w:val="0F4761" w:themeColor="accent1" w:themeShade="BF"/>
      <w:lang w:val="en-GB"/>
    </w:rPr>
  </w:style>
  <w:style w:type="character" w:styleId="IntenseReference">
    <w:name w:val="Intense Reference"/>
    <w:basedOn w:val="DefaultParagraphFont"/>
    <w:uiPriority w:val="32"/>
    <w:qFormat/>
    <w:rsid w:val="00583611"/>
    <w:rPr>
      <w:b/>
      <w:bCs/>
      <w:smallCaps/>
      <w:color w:val="0F4761" w:themeColor="accent1" w:themeShade="BF"/>
      <w:spacing w:val="5"/>
    </w:rPr>
  </w:style>
  <w:style w:type="paragraph" w:styleId="NormalWeb">
    <w:name w:val="Normal (Web)"/>
    <w:basedOn w:val="Normal"/>
    <w:uiPriority w:val="99"/>
    <w:unhideWhenUsed/>
    <w:rsid w:val="00ED2D3E"/>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CD2435"/>
    <w:rPr>
      <w:color w:val="0563C1"/>
      <w:u w:val="single"/>
    </w:rPr>
  </w:style>
  <w:style w:type="paragraph" w:styleId="TOC1">
    <w:name w:val="toc 1"/>
    <w:basedOn w:val="Normal"/>
    <w:next w:val="Normal"/>
    <w:autoRedefine/>
    <w:uiPriority w:val="39"/>
    <w:unhideWhenUsed/>
    <w:rsid w:val="00CD2435"/>
    <w:pPr>
      <w:spacing w:after="100" w:line="259" w:lineRule="auto"/>
      <w:jc w:val="left"/>
    </w:pPr>
    <w:rPr>
      <w:rFonts w:asciiTheme="minorHAnsi" w:hAnsiTheme="minorHAnsi"/>
    </w:rPr>
  </w:style>
  <w:style w:type="paragraph" w:styleId="TOC2">
    <w:name w:val="toc 2"/>
    <w:basedOn w:val="Normal"/>
    <w:next w:val="Normal"/>
    <w:autoRedefine/>
    <w:uiPriority w:val="39"/>
    <w:unhideWhenUsed/>
    <w:rsid w:val="00CD2435"/>
    <w:pPr>
      <w:spacing w:after="100" w:line="259" w:lineRule="auto"/>
      <w:ind w:left="220"/>
      <w:jc w:val="left"/>
    </w:pPr>
    <w:rPr>
      <w:rFonts w:asciiTheme="minorHAnsi" w:hAnsiTheme="minorHAnsi"/>
    </w:rPr>
  </w:style>
  <w:style w:type="paragraph" w:styleId="TOCHeading">
    <w:name w:val="TOC Heading"/>
    <w:basedOn w:val="Heading1"/>
    <w:next w:val="Normal"/>
    <w:uiPriority w:val="39"/>
    <w:unhideWhenUsed/>
    <w:qFormat/>
    <w:rsid w:val="00CD2435"/>
    <w:pPr>
      <w:spacing w:before="240" w:line="259" w:lineRule="auto"/>
      <w:ind w:left="0" w:firstLine="0"/>
      <w:jc w:val="left"/>
      <w:outlineLvl w:val="9"/>
    </w:pPr>
    <w:rPr>
      <w:rFonts w:asciiTheme="majorHAnsi" w:hAnsiTheme="majorHAnsi"/>
      <w:bCs/>
      <w:color w:val="0F4761" w:themeColor="accent1" w:themeShade="BF"/>
      <w:kern w:val="0"/>
      <w:szCs w:val="32"/>
      <w:lang w:val="en-US"/>
    </w:rPr>
  </w:style>
  <w:style w:type="paragraph" w:styleId="Header">
    <w:name w:val="header"/>
    <w:basedOn w:val="Normal"/>
    <w:link w:val="HeaderChar"/>
    <w:uiPriority w:val="99"/>
    <w:unhideWhenUsed/>
    <w:rsid w:val="00745B4D"/>
    <w:pPr>
      <w:tabs>
        <w:tab w:val="center" w:pos="4680"/>
        <w:tab w:val="right" w:pos="9360"/>
      </w:tabs>
      <w:spacing w:line="240" w:lineRule="auto"/>
    </w:pPr>
  </w:style>
  <w:style w:type="character" w:customStyle="1" w:styleId="HeaderChar">
    <w:name w:val="Header Char"/>
    <w:basedOn w:val="DefaultParagraphFont"/>
    <w:link w:val="Header"/>
    <w:uiPriority w:val="99"/>
    <w:rsid w:val="00745B4D"/>
    <w:rPr>
      <w:rFonts w:ascii="Arial" w:hAnsi="Arial"/>
    </w:rPr>
  </w:style>
  <w:style w:type="paragraph" w:styleId="Footer">
    <w:name w:val="footer"/>
    <w:basedOn w:val="Normal"/>
    <w:link w:val="FooterChar"/>
    <w:uiPriority w:val="99"/>
    <w:unhideWhenUsed/>
    <w:rsid w:val="00745B4D"/>
    <w:pPr>
      <w:tabs>
        <w:tab w:val="center" w:pos="4680"/>
        <w:tab w:val="right" w:pos="9360"/>
      </w:tabs>
      <w:spacing w:line="240" w:lineRule="auto"/>
    </w:pPr>
  </w:style>
  <w:style w:type="character" w:customStyle="1" w:styleId="FooterChar">
    <w:name w:val="Footer Char"/>
    <w:basedOn w:val="DefaultParagraphFont"/>
    <w:link w:val="Footer"/>
    <w:uiPriority w:val="99"/>
    <w:rsid w:val="00745B4D"/>
    <w:rPr>
      <w:rFonts w:ascii="Arial" w:hAnsi="Arial"/>
    </w:rPr>
  </w:style>
  <w:style w:type="paragraph" w:styleId="BalloonText">
    <w:name w:val="Balloon Text"/>
    <w:basedOn w:val="Normal"/>
    <w:link w:val="BalloonTextChar"/>
    <w:uiPriority w:val="99"/>
    <w:semiHidden/>
    <w:unhideWhenUsed/>
    <w:rsid w:val="009959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9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9614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8557</Words>
  <Characters>48776</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dc:creator>
  <cp:keywords/>
  <dc:description/>
  <cp:lastModifiedBy>Keval Miyani</cp:lastModifiedBy>
  <cp:revision>2</cp:revision>
  <dcterms:created xsi:type="dcterms:W3CDTF">2025-12-15T23:24:00Z</dcterms:created>
  <dcterms:modified xsi:type="dcterms:W3CDTF">2025-12-15T23:24:00Z</dcterms:modified>
</cp:coreProperties>
</file>