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540F19" w14:textId="77777777" w:rsidR="006C2FC2" w:rsidRDefault="006C2FC2" w:rsidP="006C2FC2">
      <w:pPr>
        <w:spacing w:before="120" w:after="120" w:line="360" w:lineRule="auto"/>
        <w:jc w:val="center"/>
        <w:rPr>
          <w:b/>
          <w:bCs/>
          <w:sz w:val="32"/>
          <w:szCs w:val="32"/>
        </w:rPr>
      </w:pPr>
    </w:p>
    <w:p w14:paraId="16D4136B" w14:textId="77777777" w:rsidR="006C2FC2" w:rsidRDefault="000525A2" w:rsidP="006C2FC2">
      <w:pPr>
        <w:spacing w:before="120" w:after="120" w:line="360" w:lineRule="auto"/>
        <w:jc w:val="center"/>
        <w:rPr>
          <w:b/>
          <w:bCs/>
          <w:sz w:val="32"/>
          <w:szCs w:val="32"/>
        </w:rPr>
      </w:pPr>
      <w:r w:rsidRPr="00A406E5">
        <w:rPr>
          <w:noProof/>
          <w:lang w:val="en-IN"/>
        </w:rPr>
        <w:drawing>
          <wp:anchor distT="0" distB="0" distL="114300" distR="114300" simplePos="0" relativeHeight="251659264" behindDoc="0" locked="0" layoutInCell="1" allowOverlap="1" wp14:anchorId="61AB2CFE" wp14:editId="7EE9FD43">
            <wp:simplePos x="0" y="0"/>
            <wp:positionH relativeFrom="column">
              <wp:posOffset>2066925</wp:posOffset>
            </wp:positionH>
            <wp:positionV relativeFrom="paragraph">
              <wp:posOffset>287655</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0F9A179" w14:textId="77777777" w:rsidR="006C2FC2" w:rsidRDefault="006C2FC2" w:rsidP="006C2FC2">
      <w:pPr>
        <w:spacing w:before="120" w:after="120" w:line="360" w:lineRule="auto"/>
        <w:jc w:val="center"/>
        <w:rPr>
          <w:b/>
          <w:bCs/>
          <w:sz w:val="32"/>
          <w:szCs w:val="32"/>
        </w:rPr>
      </w:pPr>
    </w:p>
    <w:p w14:paraId="63B4823C" w14:textId="77777777" w:rsidR="006C2FC2" w:rsidRDefault="006C2FC2" w:rsidP="006C2FC2">
      <w:pPr>
        <w:spacing w:before="120" w:after="120" w:line="360" w:lineRule="auto"/>
        <w:jc w:val="center"/>
        <w:rPr>
          <w:b/>
          <w:bCs/>
          <w:sz w:val="32"/>
          <w:szCs w:val="32"/>
        </w:rPr>
      </w:pPr>
    </w:p>
    <w:p w14:paraId="1EF52B7D" w14:textId="77777777" w:rsidR="006C2FC2" w:rsidRDefault="006C2FC2" w:rsidP="006C2FC2">
      <w:pPr>
        <w:spacing w:before="120" w:after="120" w:line="360" w:lineRule="auto"/>
        <w:jc w:val="center"/>
        <w:rPr>
          <w:b/>
          <w:bCs/>
          <w:sz w:val="32"/>
          <w:szCs w:val="32"/>
        </w:rPr>
      </w:pPr>
    </w:p>
    <w:p w14:paraId="3E921F45" w14:textId="77777777" w:rsidR="002E02ED" w:rsidRDefault="0063367C" w:rsidP="006C2FC2">
      <w:pPr>
        <w:spacing w:before="120" w:after="120" w:line="360" w:lineRule="auto"/>
        <w:jc w:val="center"/>
        <w:rPr>
          <w:b/>
          <w:bCs/>
          <w:sz w:val="32"/>
          <w:szCs w:val="32"/>
        </w:rPr>
      </w:pPr>
      <w:r>
        <w:rPr>
          <w:b/>
          <w:bCs/>
          <w:sz w:val="32"/>
          <w:szCs w:val="32"/>
        </w:rPr>
        <w:t>LCHS7000</w:t>
      </w:r>
    </w:p>
    <w:p w14:paraId="06C67123" w14:textId="77777777" w:rsidR="002E02ED" w:rsidRDefault="0063367C" w:rsidP="006C2FC2">
      <w:pPr>
        <w:spacing w:before="120" w:after="120" w:line="360" w:lineRule="auto"/>
        <w:jc w:val="center"/>
        <w:rPr>
          <w:b/>
          <w:bCs/>
          <w:sz w:val="32"/>
          <w:szCs w:val="32"/>
        </w:rPr>
      </w:pPr>
      <w:r>
        <w:rPr>
          <w:b/>
          <w:bCs/>
          <w:sz w:val="32"/>
          <w:szCs w:val="32"/>
        </w:rPr>
        <w:t>COMPONENT 2</w:t>
      </w:r>
    </w:p>
    <w:p w14:paraId="05EF01BE" w14:textId="77777777" w:rsidR="002E02ED" w:rsidRDefault="0063367C" w:rsidP="006C2FC2">
      <w:pPr>
        <w:spacing w:line="360" w:lineRule="auto"/>
        <w:jc w:val="center"/>
        <w:rPr>
          <w:sz w:val="32"/>
          <w:szCs w:val="32"/>
        </w:rPr>
      </w:pPr>
      <w:r>
        <w:rPr>
          <w:b/>
          <w:bCs/>
          <w:sz w:val="32"/>
          <w:szCs w:val="32"/>
        </w:rPr>
        <w:t>SOCIAL EPIDEMIOLOGY AND PUBLIC HEALTH DEVELOPMENT</w:t>
      </w:r>
      <w:r>
        <w:rPr>
          <w:sz w:val="32"/>
          <w:szCs w:val="32"/>
        </w:rPr>
        <w:t xml:space="preserve"> </w:t>
      </w:r>
    </w:p>
    <w:p w14:paraId="3D228813" w14:textId="77777777" w:rsidR="006C2FC2" w:rsidRDefault="006C2FC2" w:rsidP="006C2FC2">
      <w:pPr>
        <w:spacing w:line="360" w:lineRule="auto"/>
        <w:jc w:val="center"/>
        <w:rPr>
          <w:sz w:val="32"/>
          <w:szCs w:val="32"/>
        </w:rPr>
      </w:pPr>
    </w:p>
    <w:p w14:paraId="70CB27A0" w14:textId="77777777" w:rsidR="006C2FC2" w:rsidRDefault="006C2FC2" w:rsidP="006C2FC2">
      <w:pPr>
        <w:spacing w:line="360" w:lineRule="auto"/>
        <w:jc w:val="center"/>
        <w:rPr>
          <w:sz w:val="32"/>
          <w:szCs w:val="32"/>
        </w:rPr>
      </w:pPr>
    </w:p>
    <w:p w14:paraId="3CBC2674" w14:textId="222B2EB0" w:rsidR="006C2FC2" w:rsidRPr="006C2FC2" w:rsidRDefault="0063367C" w:rsidP="006C2FC2">
      <w:pPr>
        <w:spacing w:line="360" w:lineRule="auto"/>
        <w:jc w:val="center"/>
        <w:rPr>
          <w:b/>
          <w:sz w:val="24"/>
          <w:szCs w:val="24"/>
        </w:rPr>
      </w:pPr>
      <w:r w:rsidRPr="006C2FC2">
        <w:rPr>
          <w:b/>
          <w:sz w:val="24"/>
          <w:szCs w:val="24"/>
        </w:rPr>
        <w:t>STUDENT NAME:</w:t>
      </w:r>
      <w:r w:rsidR="001B70E4">
        <w:rPr>
          <w:b/>
          <w:sz w:val="24"/>
          <w:szCs w:val="24"/>
        </w:rPr>
        <w:t>Nayi Krupa</w:t>
      </w:r>
    </w:p>
    <w:p w14:paraId="191BF740" w14:textId="553AF683" w:rsidR="000525A2" w:rsidRDefault="0063367C" w:rsidP="006C2FC2">
      <w:pPr>
        <w:spacing w:line="360" w:lineRule="auto"/>
        <w:jc w:val="center"/>
        <w:rPr>
          <w:b/>
          <w:sz w:val="24"/>
          <w:szCs w:val="24"/>
        </w:rPr>
      </w:pPr>
      <w:r w:rsidRPr="006C2FC2">
        <w:rPr>
          <w:b/>
          <w:sz w:val="24"/>
          <w:szCs w:val="24"/>
        </w:rPr>
        <w:t>ID:</w:t>
      </w:r>
      <w:r w:rsidR="00E21284">
        <w:rPr>
          <w:b/>
          <w:sz w:val="24"/>
          <w:szCs w:val="24"/>
        </w:rPr>
        <w:t>25</w:t>
      </w:r>
      <w:r w:rsidR="00CC1E2A">
        <w:rPr>
          <w:b/>
          <w:sz w:val="24"/>
          <w:szCs w:val="24"/>
        </w:rPr>
        <w:t>40964</w:t>
      </w:r>
    </w:p>
    <w:p w14:paraId="60E9142F" w14:textId="77777777" w:rsidR="000525A2" w:rsidRDefault="000525A2">
      <w:pPr>
        <w:rPr>
          <w:b/>
          <w:sz w:val="24"/>
          <w:szCs w:val="24"/>
        </w:rPr>
      </w:pPr>
      <w:r>
        <w:rPr>
          <w:b/>
          <w:sz w:val="24"/>
          <w:szCs w:val="24"/>
        </w:rPr>
        <w:br w:type="page"/>
      </w:r>
    </w:p>
    <w:sdt>
      <w:sdtPr>
        <w:rPr>
          <w:rFonts w:ascii="Arial" w:eastAsia="Arial" w:hAnsi="Arial" w:cs="Arial"/>
          <w:b w:val="0"/>
          <w:color w:val="auto"/>
          <w:sz w:val="22"/>
          <w:szCs w:val="22"/>
          <w:lang w:val="en" w:eastAsia="en-IN"/>
        </w:rPr>
        <w:id w:val="-1792352956"/>
        <w:docPartObj>
          <w:docPartGallery w:val="Table of Contents"/>
          <w:docPartUnique/>
        </w:docPartObj>
      </w:sdtPr>
      <w:sdtEndPr>
        <w:rPr>
          <w:bCs/>
          <w:noProof/>
        </w:rPr>
      </w:sdtEndPr>
      <w:sdtContent>
        <w:p w14:paraId="68B84948" w14:textId="77777777" w:rsidR="000525A2" w:rsidRPr="000525A2" w:rsidRDefault="000525A2" w:rsidP="000525A2">
          <w:pPr>
            <w:pStyle w:val="TOCHeading"/>
            <w:spacing w:line="360" w:lineRule="auto"/>
            <w:jc w:val="center"/>
            <w:rPr>
              <w:rFonts w:ascii="Arial" w:hAnsi="Arial" w:cs="Arial"/>
              <w:color w:val="000000" w:themeColor="text1"/>
              <w:sz w:val="24"/>
              <w:szCs w:val="24"/>
            </w:rPr>
          </w:pPr>
          <w:r w:rsidRPr="000525A2">
            <w:rPr>
              <w:rFonts w:ascii="Arial" w:hAnsi="Arial" w:cs="Arial"/>
              <w:color w:val="000000" w:themeColor="text1"/>
              <w:sz w:val="24"/>
              <w:szCs w:val="24"/>
            </w:rPr>
            <w:t>Table of Contents</w:t>
          </w:r>
        </w:p>
        <w:p w14:paraId="00E032D1" w14:textId="4CD1AE10" w:rsidR="000525A2" w:rsidRPr="000525A2" w:rsidRDefault="000525A2" w:rsidP="000525A2">
          <w:pPr>
            <w:pStyle w:val="TOC1"/>
            <w:tabs>
              <w:tab w:val="right" w:leader="dot" w:pos="9350"/>
            </w:tabs>
            <w:spacing w:line="360" w:lineRule="auto"/>
            <w:jc w:val="both"/>
            <w:rPr>
              <w:noProof/>
            </w:rPr>
          </w:pPr>
          <w:r w:rsidRPr="000525A2">
            <w:fldChar w:fldCharType="begin"/>
          </w:r>
          <w:r w:rsidRPr="000525A2">
            <w:instrText xml:space="preserve"> TOC \o "1-3" \h \z \u </w:instrText>
          </w:r>
          <w:r w:rsidRPr="000525A2">
            <w:fldChar w:fldCharType="separate"/>
          </w:r>
          <w:hyperlink w:anchor="_Toc237871564" w:history="1">
            <w:r w:rsidRPr="000525A2">
              <w:rPr>
                <w:rStyle w:val="Hyperlink"/>
                <w:noProof/>
              </w:rPr>
              <w:t>Task 1: Social Epidemiological Analysis</w:t>
            </w:r>
            <w:r w:rsidRPr="000525A2">
              <w:rPr>
                <w:noProof/>
                <w:webHidden/>
              </w:rPr>
              <w:tab/>
            </w:r>
            <w:r w:rsidRPr="000525A2">
              <w:rPr>
                <w:noProof/>
                <w:webHidden/>
              </w:rPr>
              <w:fldChar w:fldCharType="begin"/>
            </w:r>
            <w:r w:rsidRPr="000525A2">
              <w:rPr>
                <w:noProof/>
                <w:webHidden/>
              </w:rPr>
              <w:instrText xml:space="preserve"> PAGEREF _Toc237871564 \h </w:instrText>
            </w:r>
            <w:r w:rsidRPr="000525A2">
              <w:rPr>
                <w:noProof/>
                <w:webHidden/>
              </w:rPr>
            </w:r>
            <w:r w:rsidRPr="000525A2">
              <w:rPr>
                <w:noProof/>
                <w:webHidden/>
              </w:rPr>
              <w:fldChar w:fldCharType="separate"/>
            </w:r>
            <w:r w:rsidR="00603732">
              <w:rPr>
                <w:noProof/>
                <w:webHidden/>
              </w:rPr>
              <w:t>2</w:t>
            </w:r>
            <w:r w:rsidRPr="000525A2">
              <w:rPr>
                <w:noProof/>
                <w:webHidden/>
              </w:rPr>
              <w:fldChar w:fldCharType="end"/>
            </w:r>
          </w:hyperlink>
        </w:p>
        <w:p w14:paraId="340A1F5E" w14:textId="24B3F3B7" w:rsidR="000525A2" w:rsidRPr="000525A2" w:rsidRDefault="000525A2" w:rsidP="000525A2">
          <w:pPr>
            <w:pStyle w:val="TOC1"/>
            <w:tabs>
              <w:tab w:val="right" w:leader="dot" w:pos="9350"/>
            </w:tabs>
            <w:spacing w:line="360" w:lineRule="auto"/>
            <w:jc w:val="both"/>
            <w:rPr>
              <w:noProof/>
            </w:rPr>
          </w:pPr>
          <w:hyperlink w:anchor="_Toc237871565" w:history="1">
            <w:r w:rsidRPr="000525A2">
              <w:rPr>
                <w:rStyle w:val="Hyperlink"/>
                <w:noProof/>
              </w:rPr>
              <w:t>1. Introduction</w:t>
            </w:r>
            <w:r w:rsidRPr="000525A2">
              <w:rPr>
                <w:noProof/>
                <w:webHidden/>
              </w:rPr>
              <w:tab/>
            </w:r>
            <w:r w:rsidRPr="000525A2">
              <w:rPr>
                <w:noProof/>
                <w:webHidden/>
              </w:rPr>
              <w:fldChar w:fldCharType="begin"/>
            </w:r>
            <w:r w:rsidRPr="000525A2">
              <w:rPr>
                <w:noProof/>
                <w:webHidden/>
              </w:rPr>
              <w:instrText xml:space="preserve"> PAGEREF _Toc237871565 \h </w:instrText>
            </w:r>
            <w:r w:rsidRPr="000525A2">
              <w:rPr>
                <w:noProof/>
                <w:webHidden/>
              </w:rPr>
            </w:r>
            <w:r w:rsidRPr="000525A2">
              <w:rPr>
                <w:noProof/>
                <w:webHidden/>
              </w:rPr>
              <w:fldChar w:fldCharType="separate"/>
            </w:r>
            <w:r w:rsidR="00603732">
              <w:rPr>
                <w:noProof/>
                <w:webHidden/>
              </w:rPr>
              <w:t>2</w:t>
            </w:r>
            <w:r w:rsidRPr="000525A2">
              <w:rPr>
                <w:noProof/>
                <w:webHidden/>
              </w:rPr>
              <w:fldChar w:fldCharType="end"/>
            </w:r>
          </w:hyperlink>
        </w:p>
        <w:p w14:paraId="03622FC5" w14:textId="4365B0E6" w:rsidR="000525A2" w:rsidRPr="000525A2" w:rsidRDefault="000525A2" w:rsidP="000525A2">
          <w:pPr>
            <w:pStyle w:val="TOC1"/>
            <w:tabs>
              <w:tab w:val="right" w:leader="dot" w:pos="9350"/>
            </w:tabs>
            <w:spacing w:line="360" w:lineRule="auto"/>
            <w:jc w:val="both"/>
            <w:rPr>
              <w:noProof/>
            </w:rPr>
          </w:pPr>
          <w:hyperlink w:anchor="_Toc237871566" w:history="1">
            <w:r w:rsidRPr="000525A2">
              <w:rPr>
                <w:rStyle w:val="Hyperlink"/>
                <w:noProof/>
              </w:rPr>
              <w:t>2. Contextual background and underlying factors</w:t>
            </w:r>
            <w:r w:rsidRPr="000525A2">
              <w:rPr>
                <w:noProof/>
                <w:webHidden/>
              </w:rPr>
              <w:tab/>
            </w:r>
            <w:r w:rsidRPr="000525A2">
              <w:rPr>
                <w:noProof/>
                <w:webHidden/>
              </w:rPr>
              <w:fldChar w:fldCharType="begin"/>
            </w:r>
            <w:r w:rsidRPr="000525A2">
              <w:rPr>
                <w:noProof/>
                <w:webHidden/>
              </w:rPr>
              <w:instrText xml:space="preserve"> PAGEREF _Toc237871566 \h </w:instrText>
            </w:r>
            <w:r w:rsidRPr="000525A2">
              <w:rPr>
                <w:noProof/>
                <w:webHidden/>
              </w:rPr>
            </w:r>
            <w:r w:rsidRPr="000525A2">
              <w:rPr>
                <w:noProof/>
                <w:webHidden/>
              </w:rPr>
              <w:fldChar w:fldCharType="separate"/>
            </w:r>
            <w:r w:rsidR="00603732">
              <w:rPr>
                <w:noProof/>
                <w:webHidden/>
              </w:rPr>
              <w:t>2</w:t>
            </w:r>
            <w:r w:rsidRPr="000525A2">
              <w:rPr>
                <w:noProof/>
                <w:webHidden/>
              </w:rPr>
              <w:fldChar w:fldCharType="end"/>
            </w:r>
          </w:hyperlink>
        </w:p>
        <w:p w14:paraId="68CF56A4" w14:textId="4F35861D" w:rsidR="000525A2" w:rsidRPr="000525A2" w:rsidRDefault="000525A2" w:rsidP="000525A2">
          <w:pPr>
            <w:pStyle w:val="TOC2"/>
            <w:tabs>
              <w:tab w:val="right" w:leader="dot" w:pos="9350"/>
            </w:tabs>
            <w:spacing w:line="360" w:lineRule="auto"/>
            <w:jc w:val="both"/>
            <w:rPr>
              <w:noProof/>
            </w:rPr>
          </w:pPr>
          <w:hyperlink w:anchor="_Toc237871567" w:history="1">
            <w:r w:rsidRPr="000525A2">
              <w:rPr>
                <w:rStyle w:val="Hyperlink"/>
                <w:noProof/>
              </w:rPr>
              <w:t>2.1 Three illnesses</w:t>
            </w:r>
            <w:r w:rsidRPr="000525A2">
              <w:rPr>
                <w:noProof/>
                <w:webHidden/>
              </w:rPr>
              <w:tab/>
            </w:r>
            <w:r w:rsidRPr="000525A2">
              <w:rPr>
                <w:noProof/>
                <w:webHidden/>
              </w:rPr>
              <w:fldChar w:fldCharType="begin"/>
            </w:r>
            <w:r w:rsidRPr="000525A2">
              <w:rPr>
                <w:noProof/>
                <w:webHidden/>
              </w:rPr>
              <w:instrText xml:space="preserve"> PAGEREF _Toc237871567 \h </w:instrText>
            </w:r>
            <w:r w:rsidRPr="000525A2">
              <w:rPr>
                <w:noProof/>
                <w:webHidden/>
              </w:rPr>
            </w:r>
            <w:r w:rsidRPr="000525A2">
              <w:rPr>
                <w:noProof/>
                <w:webHidden/>
              </w:rPr>
              <w:fldChar w:fldCharType="separate"/>
            </w:r>
            <w:r w:rsidR="00603732">
              <w:rPr>
                <w:noProof/>
                <w:webHidden/>
              </w:rPr>
              <w:t>2</w:t>
            </w:r>
            <w:r w:rsidRPr="000525A2">
              <w:rPr>
                <w:noProof/>
                <w:webHidden/>
              </w:rPr>
              <w:fldChar w:fldCharType="end"/>
            </w:r>
          </w:hyperlink>
        </w:p>
        <w:p w14:paraId="753BD15E" w14:textId="7A8AD961" w:rsidR="000525A2" w:rsidRPr="000525A2" w:rsidRDefault="000525A2" w:rsidP="000525A2">
          <w:pPr>
            <w:pStyle w:val="TOC2"/>
            <w:tabs>
              <w:tab w:val="right" w:leader="dot" w:pos="9350"/>
            </w:tabs>
            <w:spacing w:line="360" w:lineRule="auto"/>
            <w:jc w:val="both"/>
            <w:rPr>
              <w:noProof/>
            </w:rPr>
          </w:pPr>
          <w:hyperlink w:anchor="_Toc237871568" w:history="1">
            <w:r w:rsidRPr="000525A2">
              <w:rPr>
                <w:rStyle w:val="Hyperlink"/>
                <w:noProof/>
              </w:rPr>
              <w:t>2.2 Three social issues</w:t>
            </w:r>
            <w:r w:rsidRPr="000525A2">
              <w:rPr>
                <w:noProof/>
                <w:webHidden/>
              </w:rPr>
              <w:tab/>
            </w:r>
            <w:r w:rsidRPr="000525A2">
              <w:rPr>
                <w:noProof/>
                <w:webHidden/>
              </w:rPr>
              <w:fldChar w:fldCharType="begin"/>
            </w:r>
            <w:r w:rsidRPr="000525A2">
              <w:rPr>
                <w:noProof/>
                <w:webHidden/>
              </w:rPr>
              <w:instrText xml:space="preserve"> PAGEREF _Toc237871568 \h </w:instrText>
            </w:r>
            <w:r w:rsidRPr="000525A2">
              <w:rPr>
                <w:noProof/>
                <w:webHidden/>
              </w:rPr>
            </w:r>
            <w:r w:rsidRPr="000525A2">
              <w:rPr>
                <w:noProof/>
                <w:webHidden/>
              </w:rPr>
              <w:fldChar w:fldCharType="separate"/>
            </w:r>
            <w:r w:rsidR="00603732">
              <w:rPr>
                <w:noProof/>
                <w:webHidden/>
              </w:rPr>
              <w:t>4</w:t>
            </w:r>
            <w:r w:rsidRPr="000525A2">
              <w:rPr>
                <w:noProof/>
                <w:webHidden/>
              </w:rPr>
              <w:fldChar w:fldCharType="end"/>
            </w:r>
          </w:hyperlink>
        </w:p>
        <w:p w14:paraId="12DBE814" w14:textId="3DFE62DC" w:rsidR="000525A2" w:rsidRPr="000525A2" w:rsidRDefault="000525A2" w:rsidP="000525A2">
          <w:pPr>
            <w:pStyle w:val="TOC1"/>
            <w:tabs>
              <w:tab w:val="right" w:leader="dot" w:pos="9350"/>
            </w:tabs>
            <w:spacing w:line="360" w:lineRule="auto"/>
            <w:jc w:val="both"/>
            <w:rPr>
              <w:noProof/>
            </w:rPr>
          </w:pPr>
          <w:hyperlink w:anchor="_Toc237871569" w:history="1">
            <w:r w:rsidRPr="000525A2">
              <w:rPr>
                <w:rStyle w:val="Hyperlink"/>
                <w:noProof/>
              </w:rPr>
              <w:t>3. National Response to reduce health inequalities in your chosen group</w:t>
            </w:r>
            <w:r w:rsidRPr="000525A2">
              <w:rPr>
                <w:noProof/>
                <w:webHidden/>
              </w:rPr>
              <w:tab/>
            </w:r>
            <w:r w:rsidRPr="000525A2">
              <w:rPr>
                <w:noProof/>
                <w:webHidden/>
              </w:rPr>
              <w:fldChar w:fldCharType="begin"/>
            </w:r>
            <w:r w:rsidRPr="000525A2">
              <w:rPr>
                <w:noProof/>
                <w:webHidden/>
              </w:rPr>
              <w:instrText xml:space="preserve"> PAGEREF _Toc237871569 \h </w:instrText>
            </w:r>
            <w:r w:rsidRPr="000525A2">
              <w:rPr>
                <w:noProof/>
                <w:webHidden/>
              </w:rPr>
            </w:r>
            <w:r w:rsidRPr="000525A2">
              <w:rPr>
                <w:noProof/>
                <w:webHidden/>
              </w:rPr>
              <w:fldChar w:fldCharType="separate"/>
            </w:r>
            <w:r w:rsidR="00603732">
              <w:rPr>
                <w:noProof/>
                <w:webHidden/>
              </w:rPr>
              <w:t>5</w:t>
            </w:r>
            <w:r w:rsidRPr="000525A2">
              <w:rPr>
                <w:noProof/>
                <w:webHidden/>
              </w:rPr>
              <w:fldChar w:fldCharType="end"/>
            </w:r>
          </w:hyperlink>
        </w:p>
        <w:p w14:paraId="19631485" w14:textId="6DC016E7" w:rsidR="000525A2" w:rsidRPr="000525A2" w:rsidRDefault="000525A2" w:rsidP="000525A2">
          <w:pPr>
            <w:pStyle w:val="TOC1"/>
            <w:tabs>
              <w:tab w:val="right" w:leader="dot" w:pos="9350"/>
            </w:tabs>
            <w:spacing w:line="360" w:lineRule="auto"/>
            <w:jc w:val="both"/>
            <w:rPr>
              <w:noProof/>
            </w:rPr>
          </w:pPr>
          <w:hyperlink w:anchor="_Toc237871570" w:history="1">
            <w:r w:rsidRPr="000525A2">
              <w:rPr>
                <w:rStyle w:val="Hyperlink"/>
                <w:noProof/>
              </w:rPr>
              <w:t>4. Organisations that support chosen group</w:t>
            </w:r>
            <w:r w:rsidRPr="000525A2">
              <w:rPr>
                <w:noProof/>
                <w:webHidden/>
              </w:rPr>
              <w:tab/>
            </w:r>
            <w:r w:rsidRPr="000525A2">
              <w:rPr>
                <w:noProof/>
                <w:webHidden/>
              </w:rPr>
              <w:fldChar w:fldCharType="begin"/>
            </w:r>
            <w:r w:rsidRPr="000525A2">
              <w:rPr>
                <w:noProof/>
                <w:webHidden/>
              </w:rPr>
              <w:instrText xml:space="preserve"> PAGEREF _Toc237871570 \h </w:instrText>
            </w:r>
            <w:r w:rsidRPr="000525A2">
              <w:rPr>
                <w:noProof/>
                <w:webHidden/>
              </w:rPr>
            </w:r>
            <w:r w:rsidRPr="000525A2">
              <w:rPr>
                <w:noProof/>
                <w:webHidden/>
              </w:rPr>
              <w:fldChar w:fldCharType="separate"/>
            </w:r>
            <w:r w:rsidR="00603732">
              <w:rPr>
                <w:noProof/>
                <w:webHidden/>
              </w:rPr>
              <w:t>5</w:t>
            </w:r>
            <w:r w:rsidRPr="000525A2">
              <w:rPr>
                <w:noProof/>
                <w:webHidden/>
              </w:rPr>
              <w:fldChar w:fldCharType="end"/>
            </w:r>
          </w:hyperlink>
        </w:p>
        <w:p w14:paraId="0916F036" w14:textId="2D581332" w:rsidR="000525A2" w:rsidRPr="000525A2" w:rsidRDefault="000525A2" w:rsidP="000525A2">
          <w:pPr>
            <w:pStyle w:val="TOC1"/>
            <w:tabs>
              <w:tab w:val="right" w:leader="dot" w:pos="9350"/>
            </w:tabs>
            <w:spacing w:line="360" w:lineRule="auto"/>
            <w:jc w:val="both"/>
            <w:rPr>
              <w:noProof/>
            </w:rPr>
          </w:pPr>
          <w:hyperlink w:anchor="_Toc237871571" w:history="1">
            <w:r w:rsidRPr="000525A2">
              <w:rPr>
                <w:rStyle w:val="Hyperlink"/>
                <w:noProof/>
              </w:rPr>
              <w:t>5. Conclusion</w:t>
            </w:r>
            <w:r w:rsidRPr="000525A2">
              <w:rPr>
                <w:noProof/>
                <w:webHidden/>
              </w:rPr>
              <w:tab/>
            </w:r>
            <w:r w:rsidRPr="000525A2">
              <w:rPr>
                <w:noProof/>
                <w:webHidden/>
              </w:rPr>
              <w:fldChar w:fldCharType="begin"/>
            </w:r>
            <w:r w:rsidRPr="000525A2">
              <w:rPr>
                <w:noProof/>
                <w:webHidden/>
              </w:rPr>
              <w:instrText xml:space="preserve"> PAGEREF _Toc237871571 \h </w:instrText>
            </w:r>
            <w:r w:rsidRPr="000525A2">
              <w:rPr>
                <w:noProof/>
                <w:webHidden/>
              </w:rPr>
            </w:r>
            <w:r w:rsidRPr="000525A2">
              <w:rPr>
                <w:noProof/>
                <w:webHidden/>
              </w:rPr>
              <w:fldChar w:fldCharType="separate"/>
            </w:r>
            <w:r w:rsidR="00603732">
              <w:rPr>
                <w:noProof/>
                <w:webHidden/>
              </w:rPr>
              <w:t>6</w:t>
            </w:r>
            <w:r w:rsidRPr="000525A2">
              <w:rPr>
                <w:noProof/>
                <w:webHidden/>
              </w:rPr>
              <w:fldChar w:fldCharType="end"/>
            </w:r>
          </w:hyperlink>
        </w:p>
        <w:p w14:paraId="5009FC71" w14:textId="4073C912" w:rsidR="000525A2" w:rsidRPr="000525A2" w:rsidRDefault="000525A2" w:rsidP="000525A2">
          <w:pPr>
            <w:pStyle w:val="TOC1"/>
            <w:tabs>
              <w:tab w:val="right" w:leader="dot" w:pos="9350"/>
            </w:tabs>
            <w:spacing w:line="360" w:lineRule="auto"/>
            <w:jc w:val="both"/>
            <w:rPr>
              <w:noProof/>
            </w:rPr>
          </w:pPr>
          <w:hyperlink w:anchor="_Toc237871572" w:history="1">
            <w:r w:rsidRPr="000525A2">
              <w:rPr>
                <w:rStyle w:val="Hyperlink"/>
                <w:noProof/>
              </w:rPr>
              <w:t>Task 2:  Epidemiological Analysis</w:t>
            </w:r>
            <w:r w:rsidRPr="000525A2">
              <w:rPr>
                <w:noProof/>
                <w:webHidden/>
              </w:rPr>
              <w:tab/>
            </w:r>
            <w:r w:rsidRPr="000525A2">
              <w:rPr>
                <w:noProof/>
                <w:webHidden/>
              </w:rPr>
              <w:fldChar w:fldCharType="begin"/>
            </w:r>
            <w:r w:rsidRPr="000525A2">
              <w:rPr>
                <w:noProof/>
                <w:webHidden/>
              </w:rPr>
              <w:instrText xml:space="preserve"> PAGEREF _Toc237871572 \h </w:instrText>
            </w:r>
            <w:r w:rsidRPr="000525A2">
              <w:rPr>
                <w:noProof/>
                <w:webHidden/>
              </w:rPr>
            </w:r>
            <w:r w:rsidRPr="000525A2">
              <w:rPr>
                <w:noProof/>
                <w:webHidden/>
              </w:rPr>
              <w:fldChar w:fldCharType="separate"/>
            </w:r>
            <w:r w:rsidR="00603732">
              <w:rPr>
                <w:noProof/>
                <w:webHidden/>
              </w:rPr>
              <w:t>6</w:t>
            </w:r>
            <w:r w:rsidRPr="000525A2">
              <w:rPr>
                <w:noProof/>
                <w:webHidden/>
              </w:rPr>
              <w:fldChar w:fldCharType="end"/>
            </w:r>
          </w:hyperlink>
        </w:p>
        <w:p w14:paraId="2A265710" w14:textId="60AEF6DD" w:rsidR="000525A2" w:rsidRPr="000525A2" w:rsidRDefault="000525A2" w:rsidP="000525A2">
          <w:pPr>
            <w:pStyle w:val="TOC2"/>
            <w:tabs>
              <w:tab w:val="right" w:leader="dot" w:pos="9350"/>
            </w:tabs>
            <w:spacing w:line="360" w:lineRule="auto"/>
            <w:jc w:val="both"/>
            <w:rPr>
              <w:noProof/>
            </w:rPr>
          </w:pPr>
          <w:hyperlink w:anchor="_Toc237871573" w:history="1">
            <w:r w:rsidRPr="000525A2">
              <w:rPr>
                <w:rStyle w:val="Hyperlink"/>
                <w:noProof/>
              </w:rPr>
              <w:t>Introduction</w:t>
            </w:r>
            <w:r w:rsidRPr="000525A2">
              <w:rPr>
                <w:noProof/>
                <w:webHidden/>
              </w:rPr>
              <w:tab/>
            </w:r>
            <w:r w:rsidRPr="000525A2">
              <w:rPr>
                <w:noProof/>
                <w:webHidden/>
              </w:rPr>
              <w:fldChar w:fldCharType="begin"/>
            </w:r>
            <w:r w:rsidRPr="000525A2">
              <w:rPr>
                <w:noProof/>
                <w:webHidden/>
              </w:rPr>
              <w:instrText xml:space="preserve"> PAGEREF _Toc237871573 \h </w:instrText>
            </w:r>
            <w:r w:rsidRPr="000525A2">
              <w:rPr>
                <w:noProof/>
                <w:webHidden/>
              </w:rPr>
            </w:r>
            <w:r w:rsidRPr="000525A2">
              <w:rPr>
                <w:noProof/>
                <w:webHidden/>
              </w:rPr>
              <w:fldChar w:fldCharType="separate"/>
            </w:r>
            <w:r w:rsidR="00603732">
              <w:rPr>
                <w:noProof/>
                <w:webHidden/>
              </w:rPr>
              <w:t>6</w:t>
            </w:r>
            <w:r w:rsidRPr="000525A2">
              <w:rPr>
                <w:noProof/>
                <w:webHidden/>
              </w:rPr>
              <w:fldChar w:fldCharType="end"/>
            </w:r>
          </w:hyperlink>
        </w:p>
        <w:p w14:paraId="1BE6DCC1" w14:textId="162E3DAD" w:rsidR="000525A2" w:rsidRPr="000525A2" w:rsidRDefault="000525A2" w:rsidP="000525A2">
          <w:pPr>
            <w:pStyle w:val="TOC2"/>
            <w:tabs>
              <w:tab w:val="right" w:leader="dot" w:pos="9350"/>
            </w:tabs>
            <w:spacing w:line="360" w:lineRule="auto"/>
            <w:jc w:val="both"/>
            <w:rPr>
              <w:noProof/>
            </w:rPr>
          </w:pPr>
          <w:hyperlink w:anchor="_Toc237871574" w:history="1">
            <w:r w:rsidRPr="000525A2">
              <w:rPr>
                <w:rStyle w:val="Hyperlink"/>
                <w:noProof/>
              </w:rPr>
              <w:t>Main Body</w:t>
            </w:r>
            <w:r w:rsidRPr="000525A2">
              <w:rPr>
                <w:noProof/>
                <w:webHidden/>
              </w:rPr>
              <w:tab/>
            </w:r>
            <w:r w:rsidRPr="000525A2">
              <w:rPr>
                <w:noProof/>
                <w:webHidden/>
              </w:rPr>
              <w:fldChar w:fldCharType="begin"/>
            </w:r>
            <w:r w:rsidRPr="000525A2">
              <w:rPr>
                <w:noProof/>
                <w:webHidden/>
              </w:rPr>
              <w:instrText xml:space="preserve"> PAGEREF _Toc237871574 \h </w:instrText>
            </w:r>
            <w:r w:rsidRPr="000525A2">
              <w:rPr>
                <w:noProof/>
                <w:webHidden/>
              </w:rPr>
            </w:r>
            <w:r w:rsidRPr="000525A2">
              <w:rPr>
                <w:noProof/>
                <w:webHidden/>
              </w:rPr>
              <w:fldChar w:fldCharType="separate"/>
            </w:r>
            <w:r w:rsidR="00603732">
              <w:rPr>
                <w:noProof/>
                <w:webHidden/>
              </w:rPr>
              <w:t>8</w:t>
            </w:r>
            <w:r w:rsidRPr="000525A2">
              <w:rPr>
                <w:noProof/>
                <w:webHidden/>
              </w:rPr>
              <w:fldChar w:fldCharType="end"/>
            </w:r>
          </w:hyperlink>
        </w:p>
        <w:p w14:paraId="02AF86B9" w14:textId="63EA99B9" w:rsidR="000525A2" w:rsidRPr="000525A2" w:rsidRDefault="000525A2" w:rsidP="000525A2">
          <w:pPr>
            <w:pStyle w:val="TOC3"/>
            <w:tabs>
              <w:tab w:val="right" w:leader="dot" w:pos="9350"/>
            </w:tabs>
            <w:spacing w:line="360" w:lineRule="auto"/>
            <w:jc w:val="both"/>
            <w:rPr>
              <w:noProof/>
            </w:rPr>
          </w:pPr>
          <w:hyperlink w:anchor="_Toc237871575" w:history="1">
            <w:r w:rsidRPr="000525A2">
              <w:rPr>
                <w:rStyle w:val="Hyperlink"/>
                <w:noProof/>
              </w:rPr>
              <w:t>Identification of the public health problem</w:t>
            </w:r>
            <w:r w:rsidRPr="000525A2">
              <w:rPr>
                <w:noProof/>
                <w:webHidden/>
              </w:rPr>
              <w:tab/>
            </w:r>
            <w:r w:rsidRPr="000525A2">
              <w:rPr>
                <w:noProof/>
                <w:webHidden/>
              </w:rPr>
              <w:fldChar w:fldCharType="begin"/>
            </w:r>
            <w:r w:rsidRPr="000525A2">
              <w:rPr>
                <w:noProof/>
                <w:webHidden/>
              </w:rPr>
              <w:instrText xml:space="preserve"> PAGEREF _Toc237871575 \h </w:instrText>
            </w:r>
            <w:r w:rsidRPr="000525A2">
              <w:rPr>
                <w:noProof/>
                <w:webHidden/>
              </w:rPr>
            </w:r>
            <w:r w:rsidRPr="000525A2">
              <w:rPr>
                <w:noProof/>
                <w:webHidden/>
              </w:rPr>
              <w:fldChar w:fldCharType="separate"/>
            </w:r>
            <w:r w:rsidR="00603732">
              <w:rPr>
                <w:noProof/>
                <w:webHidden/>
              </w:rPr>
              <w:t>8</w:t>
            </w:r>
            <w:r w:rsidRPr="000525A2">
              <w:rPr>
                <w:noProof/>
                <w:webHidden/>
              </w:rPr>
              <w:fldChar w:fldCharType="end"/>
            </w:r>
          </w:hyperlink>
        </w:p>
        <w:p w14:paraId="22D019F0" w14:textId="78E54C5E" w:rsidR="000525A2" w:rsidRPr="000525A2" w:rsidRDefault="000525A2" w:rsidP="000525A2">
          <w:pPr>
            <w:pStyle w:val="TOC3"/>
            <w:tabs>
              <w:tab w:val="right" w:leader="dot" w:pos="9350"/>
            </w:tabs>
            <w:spacing w:line="360" w:lineRule="auto"/>
            <w:jc w:val="both"/>
            <w:rPr>
              <w:noProof/>
            </w:rPr>
          </w:pPr>
          <w:hyperlink w:anchor="_Toc237871576" w:history="1">
            <w:r w:rsidRPr="000525A2">
              <w:rPr>
                <w:rStyle w:val="Hyperlink"/>
                <w:noProof/>
              </w:rPr>
              <w:t>Public Health measures using 3P's</w:t>
            </w:r>
            <w:r w:rsidRPr="000525A2">
              <w:rPr>
                <w:noProof/>
                <w:webHidden/>
              </w:rPr>
              <w:tab/>
            </w:r>
            <w:r w:rsidRPr="000525A2">
              <w:rPr>
                <w:noProof/>
                <w:webHidden/>
              </w:rPr>
              <w:fldChar w:fldCharType="begin"/>
            </w:r>
            <w:r w:rsidRPr="000525A2">
              <w:rPr>
                <w:noProof/>
                <w:webHidden/>
              </w:rPr>
              <w:instrText xml:space="preserve"> PAGEREF _Toc237871576 \h </w:instrText>
            </w:r>
            <w:r w:rsidRPr="000525A2">
              <w:rPr>
                <w:noProof/>
                <w:webHidden/>
              </w:rPr>
            </w:r>
            <w:r w:rsidRPr="000525A2">
              <w:rPr>
                <w:noProof/>
                <w:webHidden/>
              </w:rPr>
              <w:fldChar w:fldCharType="separate"/>
            </w:r>
            <w:r w:rsidR="00603732">
              <w:rPr>
                <w:noProof/>
                <w:webHidden/>
              </w:rPr>
              <w:t>9</w:t>
            </w:r>
            <w:r w:rsidRPr="000525A2">
              <w:rPr>
                <w:noProof/>
                <w:webHidden/>
              </w:rPr>
              <w:fldChar w:fldCharType="end"/>
            </w:r>
          </w:hyperlink>
        </w:p>
        <w:p w14:paraId="247FBE8B" w14:textId="7EAFE615" w:rsidR="000525A2" w:rsidRPr="000525A2" w:rsidRDefault="000525A2" w:rsidP="000525A2">
          <w:pPr>
            <w:pStyle w:val="TOC3"/>
            <w:tabs>
              <w:tab w:val="right" w:leader="dot" w:pos="9350"/>
            </w:tabs>
            <w:spacing w:line="360" w:lineRule="auto"/>
            <w:jc w:val="both"/>
            <w:rPr>
              <w:noProof/>
            </w:rPr>
          </w:pPr>
          <w:hyperlink w:anchor="_Toc237871577" w:history="1">
            <w:r w:rsidRPr="000525A2">
              <w:rPr>
                <w:rStyle w:val="Hyperlink"/>
                <w:noProof/>
              </w:rPr>
              <w:t>Key determinants and risk factors</w:t>
            </w:r>
            <w:r w:rsidRPr="000525A2">
              <w:rPr>
                <w:noProof/>
                <w:webHidden/>
              </w:rPr>
              <w:tab/>
            </w:r>
            <w:r w:rsidRPr="000525A2">
              <w:rPr>
                <w:noProof/>
                <w:webHidden/>
              </w:rPr>
              <w:fldChar w:fldCharType="begin"/>
            </w:r>
            <w:r w:rsidRPr="000525A2">
              <w:rPr>
                <w:noProof/>
                <w:webHidden/>
              </w:rPr>
              <w:instrText xml:space="preserve"> PAGEREF _Toc237871577 \h </w:instrText>
            </w:r>
            <w:r w:rsidRPr="000525A2">
              <w:rPr>
                <w:noProof/>
                <w:webHidden/>
              </w:rPr>
            </w:r>
            <w:r w:rsidRPr="000525A2">
              <w:rPr>
                <w:noProof/>
                <w:webHidden/>
              </w:rPr>
              <w:fldChar w:fldCharType="separate"/>
            </w:r>
            <w:r w:rsidR="00603732">
              <w:rPr>
                <w:noProof/>
                <w:webHidden/>
              </w:rPr>
              <w:t>10</w:t>
            </w:r>
            <w:r w:rsidRPr="000525A2">
              <w:rPr>
                <w:noProof/>
                <w:webHidden/>
              </w:rPr>
              <w:fldChar w:fldCharType="end"/>
            </w:r>
          </w:hyperlink>
        </w:p>
        <w:p w14:paraId="53BDA75F" w14:textId="3282707A" w:rsidR="000525A2" w:rsidRPr="000525A2" w:rsidRDefault="000525A2" w:rsidP="000525A2">
          <w:pPr>
            <w:pStyle w:val="TOC3"/>
            <w:tabs>
              <w:tab w:val="right" w:leader="dot" w:pos="9350"/>
            </w:tabs>
            <w:spacing w:line="360" w:lineRule="auto"/>
            <w:jc w:val="both"/>
            <w:rPr>
              <w:noProof/>
            </w:rPr>
          </w:pPr>
          <w:hyperlink w:anchor="_Toc237871578" w:history="1">
            <w:r w:rsidRPr="000525A2">
              <w:rPr>
                <w:rStyle w:val="Hyperlink"/>
                <w:noProof/>
              </w:rPr>
              <w:t>Epidemiological studies and health need assessment</w:t>
            </w:r>
            <w:r w:rsidRPr="000525A2">
              <w:rPr>
                <w:noProof/>
                <w:webHidden/>
              </w:rPr>
              <w:tab/>
            </w:r>
            <w:r w:rsidRPr="000525A2">
              <w:rPr>
                <w:noProof/>
                <w:webHidden/>
              </w:rPr>
              <w:fldChar w:fldCharType="begin"/>
            </w:r>
            <w:r w:rsidRPr="000525A2">
              <w:rPr>
                <w:noProof/>
                <w:webHidden/>
              </w:rPr>
              <w:instrText xml:space="preserve"> PAGEREF _Toc237871578 \h </w:instrText>
            </w:r>
            <w:r w:rsidRPr="000525A2">
              <w:rPr>
                <w:noProof/>
                <w:webHidden/>
              </w:rPr>
            </w:r>
            <w:r w:rsidRPr="000525A2">
              <w:rPr>
                <w:noProof/>
                <w:webHidden/>
              </w:rPr>
              <w:fldChar w:fldCharType="separate"/>
            </w:r>
            <w:r w:rsidR="00603732">
              <w:rPr>
                <w:noProof/>
                <w:webHidden/>
              </w:rPr>
              <w:t>11</w:t>
            </w:r>
            <w:r w:rsidRPr="000525A2">
              <w:rPr>
                <w:noProof/>
                <w:webHidden/>
              </w:rPr>
              <w:fldChar w:fldCharType="end"/>
            </w:r>
          </w:hyperlink>
        </w:p>
        <w:p w14:paraId="2DCACF4A" w14:textId="2A73A66B" w:rsidR="000525A2" w:rsidRPr="000525A2" w:rsidRDefault="000525A2" w:rsidP="000525A2">
          <w:pPr>
            <w:pStyle w:val="TOC3"/>
            <w:tabs>
              <w:tab w:val="right" w:leader="dot" w:pos="9350"/>
            </w:tabs>
            <w:spacing w:line="360" w:lineRule="auto"/>
            <w:jc w:val="both"/>
            <w:rPr>
              <w:noProof/>
            </w:rPr>
          </w:pPr>
          <w:hyperlink w:anchor="_Toc237871579" w:history="1">
            <w:r w:rsidRPr="000525A2">
              <w:rPr>
                <w:rStyle w:val="Hyperlink"/>
                <w:noProof/>
              </w:rPr>
              <w:t>Monitoring and surveillance system</w:t>
            </w:r>
            <w:r w:rsidRPr="000525A2">
              <w:rPr>
                <w:noProof/>
                <w:webHidden/>
              </w:rPr>
              <w:tab/>
            </w:r>
            <w:r w:rsidRPr="000525A2">
              <w:rPr>
                <w:noProof/>
                <w:webHidden/>
              </w:rPr>
              <w:fldChar w:fldCharType="begin"/>
            </w:r>
            <w:r w:rsidRPr="000525A2">
              <w:rPr>
                <w:noProof/>
                <w:webHidden/>
              </w:rPr>
              <w:instrText xml:space="preserve"> PAGEREF _Toc237871579 \h </w:instrText>
            </w:r>
            <w:r w:rsidRPr="000525A2">
              <w:rPr>
                <w:noProof/>
                <w:webHidden/>
              </w:rPr>
            </w:r>
            <w:r w:rsidRPr="000525A2">
              <w:rPr>
                <w:noProof/>
                <w:webHidden/>
              </w:rPr>
              <w:fldChar w:fldCharType="separate"/>
            </w:r>
            <w:r w:rsidR="00603732">
              <w:rPr>
                <w:noProof/>
                <w:webHidden/>
              </w:rPr>
              <w:t>11</w:t>
            </w:r>
            <w:r w:rsidRPr="000525A2">
              <w:rPr>
                <w:noProof/>
                <w:webHidden/>
              </w:rPr>
              <w:fldChar w:fldCharType="end"/>
            </w:r>
          </w:hyperlink>
        </w:p>
        <w:p w14:paraId="587F1350" w14:textId="3EDC1077" w:rsidR="000525A2" w:rsidRPr="000525A2" w:rsidRDefault="000525A2" w:rsidP="000525A2">
          <w:pPr>
            <w:pStyle w:val="TOC3"/>
            <w:tabs>
              <w:tab w:val="right" w:leader="dot" w:pos="9350"/>
            </w:tabs>
            <w:spacing w:line="360" w:lineRule="auto"/>
            <w:jc w:val="both"/>
            <w:rPr>
              <w:noProof/>
            </w:rPr>
          </w:pPr>
          <w:hyperlink w:anchor="_Toc237871580" w:history="1">
            <w:r w:rsidRPr="000525A2">
              <w:rPr>
                <w:rStyle w:val="Hyperlink"/>
                <w:noProof/>
              </w:rPr>
              <w:t>Public health and consequences</w:t>
            </w:r>
            <w:r w:rsidRPr="000525A2">
              <w:rPr>
                <w:noProof/>
                <w:webHidden/>
              </w:rPr>
              <w:tab/>
            </w:r>
            <w:r w:rsidRPr="000525A2">
              <w:rPr>
                <w:noProof/>
                <w:webHidden/>
              </w:rPr>
              <w:fldChar w:fldCharType="begin"/>
            </w:r>
            <w:r w:rsidRPr="000525A2">
              <w:rPr>
                <w:noProof/>
                <w:webHidden/>
              </w:rPr>
              <w:instrText xml:space="preserve"> PAGEREF _Toc237871580 \h </w:instrText>
            </w:r>
            <w:r w:rsidRPr="000525A2">
              <w:rPr>
                <w:noProof/>
                <w:webHidden/>
              </w:rPr>
            </w:r>
            <w:r w:rsidRPr="000525A2">
              <w:rPr>
                <w:noProof/>
                <w:webHidden/>
              </w:rPr>
              <w:fldChar w:fldCharType="separate"/>
            </w:r>
            <w:r w:rsidR="00603732">
              <w:rPr>
                <w:noProof/>
                <w:webHidden/>
              </w:rPr>
              <w:t>12</w:t>
            </w:r>
            <w:r w:rsidRPr="000525A2">
              <w:rPr>
                <w:noProof/>
                <w:webHidden/>
              </w:rPr>
              <w:fldChar w:fldCharType="end"/>
            </w:r>
          </w:hyperlink>
        </w:p>
        <w:p w14:paraId="1E14BE34" w14:textId="10C43374" w:rsidR="000525A2" w:rsidRPr="000525A2" w:rsidRDefault="000525A2" w:rsidP="000525A2">
          <w:pPr>
            <w:pStyle w:val="TOC3"/>
            <w:tabs>
              <w:tab w:val="right" w:leader="dot" w:pos="9350"/>
            </w:tabs>
            <w:spacing w:line="360" w:lineRule="auto"/>
            <w:jc w:val="both"/>
            <w:rPr>
              <w:noProof/>
            </w:rPr>
          </w:pPr>
          <w:hyperlink w:anchor="_Toc237871581" w:history="1">
            <w:r w:rsidRPr="000525A2">
              <w:rPr>
                <w:rStyle w:val="Hyperlink"/>
                <w:noProof/>
              </w:rPr>
              <w:t>Proposed health intervention program and evaluation</w:t>
            </w:r>
            <w:r w:rsidRPr="000525A2">
              <w:rPr>
                <w:noProof/>
                <w:webHidden/>
              </w:rPr>
              <w:tab/>
            </w:r>
            <w:r w:rsidRPr="000525A2">
              <w:rPr>
                <w:noProof/>
                <w:webHidden/>
              </w:rPr>
              <w:fldChar w:fldCharType="begin"/>
            </w:r>
            <w:r w:rsidRPr="000525A2">
              <w:rPr>
                <w:noProof/>
                <w:webHidden/>
              </w:rPr>
              <w:instrText xml:space="preserve"> PAGEREF _Toc237871581 \h </w:instrText>
            </w:r>
            <w:r w:rsidRPr="000525A2">
              <w:rPr>
                <w:noProof/>
                <w:webHidden/>
              </w:rPr>
            </w:r>
            <w:r w:rsidRPr="000525A2">
              <w:rPr>
                <w:noProof/>
                <w:webHidden/>
              </w:rPr>
              <w:fldChar w:fldCharType="separate"/>
            </w:r>
            <w:r w:rsidR="00603732">
              <w:rPr>
                <w:noProof/>
                <w:webHidden/>
              </w:rPr>
              <w:t>13</w:t>
            </w:r>
            <w:r w:rsidRPr="000525A2">
              <w:rPr>
                <w:noProof/>
                <w:webHidden/>
              </w:rPr>
              <w:fldChar w:fldCharType="end"/>
            </w:r>
          </w:hyperlink>
        </w:p>
        <w:p w14:paraId="1CD19813" w14:textId="42D3957D" w:rsidR="000525A2" w:rsidRPr="000525A2" w:rsidRDefault="000525A2" w:rsidP="000525A2">
          <w:pPr>
            <w:pStyle w:val="TOC3"/>
            <w:tabs>
              <w:tab w:val="right" w:leader="dot" w:pos="9350"/>
            </w:tabs>
            <w:spacing w:line="360" w:lineRule="auto"/>
            <w:jc w:val="both"/>
            <w:rPr>
              <w:noProof/>
            </w:rPr>
          </w:pPr>
          <w:hyperlink w:anchor="_Toc237871582" w:history="1">
            <w:r w:rsidRPr="000525A2">
              <w:rPr>
                <w:rStyle w:val="Hyperlink"/>
                <w:noProof/>
              </w:rPr>
              <w:t>Strengths and weaknesses of epidemiological approach</w:t>
            </w:r>
            <w:r w:rsidRPr="000525A2">
              <w:rPr>
                <w:noProof/>
                <w:webHidden/>
              </w:rPr>
              <w:tab/>
            </w:r>
            <w:r w:rsidRPr="000525A2">
              <w:rPr>
                <w:noProof/>
                <w:webHidden/>
              </w:rPr>
              <w:fldChar w:fldCharType="begin"/>
            </w:r>
            <w:r w:rsidRPr="000525A2">
              <w:rPr>
                <w:noProof/>
                <w:webHidden/>
              </w:rPr>
              <w:instrText xml:space="preserve"> PAGEREF _Toc237871582 \h </w:instrText>
            </w:r>
            <w:r w:rsidRPr="000525A2">
              <w:rPr>
                <w:noProof/>
                <w:webHidden/>
              </w:rPr>
            </w:r>
            <w:r w:rsidRPr="000525A2">
              <w:rPr>
                <w:noProof/>
                <w:webHidden/>
              </w:rPr>
              <w:fldChar w:fldCharType="separate"/>
            </w:r>
            <w:r w:rsidR="00603732">
              <w:rPr>
                <w:noProof/>
                <w:webHidden/>
              </w:rPr>
              <w:t>13</w:t>
            </w:r>
            <w:r w:rsidRPr="000525A2">
              <w:rPr>
                <w:noProof/>
                <w:webHidden/>
              </w:rPr>
              <w:fldChar w:fldCharType="end"/>
            </w:r>
          </w:hyperlink>
        </w:p>
        <w:p w14:paraId="2FC3D9CF" w14:textId="34D56004" w:rsidR="000525A2" w:rsidRPr="000525A2" w:rsidRDefault="000525A2" w:rsidP="000525A2">
          <w:pPr>
            <w:pStyle w:val="TOC2"/>
            <w:tabs>
              <w:tab w:val="right" w:leader="dot" w:pos="9350"/>
            </w:tabs>
            <w:spacing w:line="360" w:lineRule="auto"/>
            <w:jc w:val="both"/>
            <w:rPr>
              <w:noProof/>
            </w:rPr>
          </w:pPr>
          <w:hyperlink w:anchor="_Toc237871583" w:history="1">
            <w:r w:rsidRPr="000525A2">
              <w:rPr>
                <w:rStyle w:val="Hyperlink"/>
                <w:noProof/>
              </w:rPr>
              <w:t>Conclusion</w:t>
            </w:r>
            <w:r w:rsidRPr="000525A2">
              <w:rPr>
                <w:noProof/>
                <w:webHidden/>
              </w:rPr>
              <w:tab/>
            </w:r>
            <w:r w:rsidRPr="000525A2">
              <w:rPr>
                <w:noProof/>
                <w:webHidden/>
              </w:rPr>
              <w:fldChar w:fldCharType="begin"/>
            </w:r>
            <w:r w:rsidRPr="000525A2">
              <w:rPr>
                <w:noProof/>
                <w:webHidden/>
              </w:rPr>
              <w:instrText xml:space="preserve"> PAGEREF _Toc237871583 \h </w:instrText>
            </w:r>
            <w:r w:rsidRPr="000525A2">
              <w:rPr>
                <w:noProof/>
                <w:webHidden/>
              </w:rPr>
            </w:r>
            <w:r w:rsidRPr="000525A2">
              <w:rPr>
                <w:noProof/>
                <w:webHidden/>
              </w:rPr>
              <w:fldChar w:fldCharType="separate"/>
            </w:r>
            <w:r w:rsidR="00603732">
              <w:rPr>
                <w:noProof/>
                <w:webHidden/>
              </w:rPr>
              <w:t>14</w:t>
            </w:r>
            <w:r w:rsidRPr="000525A2">
              <w:rPr>
                <w:noProof/>
                <w:webHidden/>
              </w:rPr>
              <w:fldChar w:fldCharType="end"/>
            </w:r>
          </w:hyperlink>
        </w:p>
        <w:p w14:paraId="0787A9ED" w14:textId="1160D7E7" w:rsidR="000525A2" w:rsidRPr="000525A2" w:rsidRDefault="000525A2" w:rsidP="000525A2">
          <w:pPr>
            <w:pStyle w:val="TOC1"/>
            <w:tabs>
              <w:tab w:val="right" w:leader="dot" w:pos="9350"/>
            </w:tabs>
            <w:spacing w:line="360" w:lineRule="auto"/>
            <w:jc w:val="both"/>
            <w:rPr>
              <w:noProof/>
            </w:rPr>
          </w:pPr>
          <w:hyperlink w:anchor="_Toc237871584" w:history="1">
            <w:r w:rsidRPr="000525A2">
              <w:rPr>
                <w:rStyle w:val="Hyperlink"/>
                <w:noProof/>
              </w:rPr>
              <w:t>References</w:t>
            </w:r>
            <w:r w:rsidRPr="000525A2">
              <w:rPr>
                <w:noProof/>
                <w:webHidden/>
              </w:rPr>
              <w:tab/>
            </w:r>
            <w:r w:rsidRPr="000525A2">
              <w:rPr>
                <w:noProof/>
                <w:webHidden/>
              </w:rPr>
              <w:fldChar w:fldCharType="begin"/>
            </w:r>
            <w:r w:rsidRPr="000525A2">
              <w:rPr>
                <w:noProof/>
                <w:webHidden/>
              </w:rPr>
              <w:instrText xml:space="preserve"> PAGEREF _Toc237871584 \h </w:instrText>
            </w:r>
            <w:r w:rsidRPr="000525A2">
              <w:rPr>
                <w:noProof/>
                <w:webHidden/>
              </w:rPr>
            </w:r>
            <w:r w:rsidRPr="000525A2">
              <w:rPr>
                <w:noProof/>
                <w:webHidden/>
              </w:rPr>
              <w:fldChar w:fldCharType="separate"/>
            </w:r>
            <w:r w:rsidR="00603732">
              <w:rPr>
                <w:noProof/>
                <w:webHidden/>
              </w:rPr>
              <w:t>15</w:t>
            </w:r>
            <w:r w:rsidRPr="000525A2">
              <w:rPr>
                <w:noProof/>
                <w:webHidden/>
              </w:rPr>
              <w:fldChar w:fldCharType="end"/>
            </w:r>
          </w:hyperlink>
        </w:p>
        <w:p w14:paraId="7A8EA6C3" w14:textId="77777777" w:rsidR="000525A2" w:rsidRDefault="000525A2" w:rsidP="000525A2">
          <w:pPr>
            <w:spacing w:line="360" w:lineRule="auto"/>
            <w:jc w:val="both"/>
          </w:pPr>
          <w:r w:rsidRPr="000525A2">
            <w:rPr>
              <w:b/>
              <w:bCs/>
              <w:noProof/>
            </w:rPr>
            <w:fldChar w:fldCharType="end"/>
          </w:r>
        </w:p>
      </w:sdtContent>
    </w:sdt>
    <w:p w14:paraId="4DA0737C" w14:textId="77777777" w:rsidR="006C2FC2" w:rsidRPr="006C2FC2" w:rsidRDefault="006C2FC2" w:rsidP="006C2FC2">
      <w:pPr>
        <w:spacing w:line="360" w:lineRule="auto"/>
        <w:jc w:val="center"/>
        <w:rPr>
          <w:b/>
          <w:bCs/>
          <w:sz w:val="24"/>
          <w:szCs w:val="24"/>
        </w:rPr>
      </w:pPr>
    </w:p>
    <w:p w14:paraId="1F7B446D" w14:textId="77777777" w:rsidR="002E02ED" w:rsidRDefault="0063367C" w:rsidP="006C2FC2">
      <w:pPr>
        <w:spacing w:line="360" w:lineRule="auto"/>
        <w:jc w:val="center"/>
        <w:rPr>
          <w:rFonts w:ascii="Times New Roman" w:eastAsia="Times New Roman" w:hAnsi="Times New Roman" w:cs="Times New Roman"/>
          <w:sz w:val="24"/>
          <w:szCs w:val="24"/>
        </w:rPr>
      </w:pPr>
      <w:r>
        <w:br w:type="page"/>
      </w:r>
    </w:p>
    <w:p w14:paraId="56FCBE0C" w14:textId="77777777" w:rsidR="002E02ED" w:rsidRDefault="0063367C" w:rsidP="000525A2">
      <w:pPr>
        <w:pStyle w:val="Heading1"/>
      </w:pPr>
      <w:bookmarkStart w:id="0" w:name="_Toc237871564"/>
      <w:r>
        <w:lastRenderedPageBreak/>
        <w:t>Task 1: Social Epidemiological Analysis</w:t>
      </w:r>
      <w:bookmarkEnd w:id="0"/>
    </w:p>
    <w:p w14:paraId="3913B1E5" w14:textId="77777777" w:rsidR="002E02ED" w:rsidRDefault="0063367C">
      <w:pPr>
        <w:spacing w:line="360" w:lineRule="auto"/>
        <w:rPr>
          <w:b/>
          <w:bCs/>
        </w:rPr>
      </w:pPr>
      <w:r>
        <w:rPr>
          <w:b/>
          <w:bCs/>
        </w:rPr>
        <w:t>Disability and health inequalities</w:t>
      </w:r>
    </w:p>
    <w:p w14:paraId="439C685F" w14:textId="77777777" w:rsidR="002E02ED" w:rsidRDefault="0063367C" w:rsidP="000525A2">
      <w:pPr>
        <w:pStyle w:val="Heading1"/>
      </w:pPr>
      <w:bookmarkStart w:id="1" w:name="_Toc237871565"/>
      <w:r>
        <w:t>1. Introduction</w:t>
      </w:r>
      <w:bookmarkEnd w:id="1"/>
    </w:p>
    <w:p w14:paraId="625CD79B" w14:textId="77777777" w:rsidR="002E02ED" w:rsidRDefault="0063367C">
      <w:pPr>
        <w:spacing w:line="360" w:lineRule="auto"/>
        <w:jc w:val="both"/>
      </w:pPr>
      <w:r>
        <w:t xml:space="preserve">Disability is long term mental and physical impairment. The interaction of social and environmental barriers restricts individuals from participating in everyday life. According to </w:t>
      </w:r>
      <w:r>
        <w:rPr>
          <w:b/>
          <w:bCs/>
          <w:i/>
          <w:iCs/>
        </w:rPr>
        <w:t>the "UK Department for Work and Pensions"</w:t>
      </w:r>
      <w:r>
        <w:t xml:space="preserve"> (DWP), 16.8 million people in the UK are now classified as disabled (Parliament.uk, 2025). The current number is approximately 24% of the population. People with disabilities experience unfair differences in healthcare outcomes. The health inequalities impact people who are strongly associated with social determinants of health such as housing, education, poverty and social exclusion. The report will include contextual background, natural response and </w:t>
      </w:r>
      <w:proofErr w:type="spellStart"/>
      <w:r>
        <w:t>organisations</w:t>
      </w:r>
      <w:proofErr w:type="spellEnd"/>
      <w:r>
        <w:t xml:space="preserve">' support. </w:t>
      </w:r>
    </w:p>
    <w:p w14:paraId="1EC84002" w14:textId="77777777" w:rsidR="002E02ED" w:rsidRDefault="0063367C">
      <w:pPr>
        <w:spacing w:line="360" w:lineRule="auto"/>
        <w:jc w:val="center"/>
      </w:pPr>
      <w:r>
        <w:rPr>
          <w:noProof/>
          <w:lang w:val="en-IN"/>
        </w:rPr>
        <w:drawing>
          <wp:inline distT="114300" distB="114300" distL="114300" distR="114300" wp14:anchorId="0B0B7A44" wp14:editId="525E4923">
            <wp:extent cx="4957763" cy="3050931"/>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3" name="image8.png"/>
                    <pic:cNvPicPr/>
                  </pic:nvPicPr>
                  <pic:blipFill>
                    <a:blip r:embed="rId9"/>
                    <a:stretch>
                      <a:fillRect/>
                    </a:stretch>
                  </pic:blipFill>
                  <pic:spPr>
                    <a:xfrm>
                      <a:off x="0" y="0"/>
                      <a:ext cx="4957763" cy="3050931"/>
                    </a:xfrm>
                    <a:prstGeom prst="rect">
                      <a:avLst/>
                    </a:prstGeom>
                  </pic:spPr>
                </pic:pic>
              </a:graphicData>
            </a:graphic>
          </wp:inline>
        </w:drawing>
      </w:r>
    </w:p>
    <w:p w14:paraId="034C5962" w14:textId="77777777" w:rsidR="002E02ED" w:rsidRDefault="0063367C">
      <w:pPr>
        <w:spacing w:line="360" w:lineRule="auto"/>
        <w:jc w:val="center"/>
        <w:rPr>
          <w:b/>
          <w:bCs/>
        </w:rPr>
      </w:pPr>
      <w:r>
        <w:rPr>
          <w:b/>
          <w:bCs/>
        </w:rPr>
        <w:t>Figure 1: Disability prevalence in the UK</w:t>
      </w:r>
    </w:p>
    <w:p w14:paraId="230DB11C" w14:textId="77777777" w:rsidR="002E02ED" w:rsidRDefault="0063367C">
      <w:pPr>
        <w:spacing w:line="360" w:lineRule="auto"/>
        <w:jc w:val="center"/>
      </w:pPr>
      <w:r>
        <w:t>(Source: Parliament.uk, 2025)</w:t>
      </w:r>
    </w:p>
    <w:p w14:paraId="5F5054F7" w14:textId="77777777" w:rsidR="002E02ED" w:rsidRDefault="0063367C" w:rsidP="000525A2">
      <w:pPr>
        <w:pStyle w:val="Heading1"/>
      </w:pPr>
      <w:bookmarkStart w:id="2" w:name="_Toc237871566"/>
      <w:r>
        <w:t>2. Contextual background and underlying factors</w:t>
      </w:r>
      <w:bookmarkEnd w:id="2"/>
      <w:r>
        <w:t xml:space="preserve"> </w:t>
      </w:r>
    </w:p>
    <w:p w14:paraId="27D877C0" w14:textId="77777777" w:rsidR="002E02ED" w:rsidRDefault="0063367C" w:rsidP="000525A2">
      <w:pPr>
        <w:pStyle w:val="Heading2"/>
        <w:rPr>
          <w:b w:val="0"/>
        </w:rPr>
      </w:pPr>
      <w:bookmarkStart w:id="3" w:name="_Toc237871567"/>
      <w:r>
        <w:t>2.1 Three illnesses</w:t>
      </w:r>
      <w:bookmarkEnd w:id="3"/>
    </w:p>
    <w:p w14:paraId="3676C96E" w14:textId="77777777" w:rsidR="002E02ED" w:rsidRDefault="0063367C">
      <w:pPr>
        <w:spacing w:line="360" w:lineRule="auto"/>
        <w:rPr>
          <w:b/>
          <w:bCs/>
        </w:rPr>
      </w:pPr>
      <w:r>
        <w:rPr>
          <w:b/>
          <w:bCs/>
        </w:rPr>
        <w:t>Higher rates of mental illness</w:t>
      </w:r>
    </w:p>
    <w:p w14:paraId="061A6226" w14:textId="77777777" w:rsidR="002E02ED" w:rsidRDefault="0063367C">
      <w:pPr>
        <w:spacing w:line="360" w:lineRule="auto"/>
        <w:jc w:val="both"/>
      </w:pPr>
      <w:r>
        <w:t xml:space="preserve">People with disabilities are at higher risk of poor mental health than the wider population. According to the </w:t>
      </w:r>
      <w:r>
        <w:rPr>
          <w:b/>
          <w:bCs/>
          <w:i/>
          <w:iCs/>
        </w:rPr>
        <w:t>“Office for National Statistics”</w:t>
      </w:r>
      <w:r>
        <w:t xml:space="preserve"> (ONS), disabled adults have more </w:t>
      </w:r>
      <w:r>
        <w:lastRenderedPageBreak/>
        <w:t xml:space="preserve">cardiovascular disease, musculoskeletal disorders, diabetes and respiratory problems than non-disabled adults (Ons.gov, 2022). Disabled people aged between 16 and 64 had an average anxiety score of 4.6 out of 10 (Ons.gov, 2022). Additionally, 15.1% of disabled people aged in England (Ons.gov, 2022). Inequality is identified because disabled people may experience various forms of education, healthcare and social participation (Ons.gov, 2022). For instance, 53.5% of disabled people are in employment and 81.6% of non-disabled people are at increased risk of social exclusion and financial problems (Ons.gov, 2022). NHS services must provide integrated mental and physical health support to reduce inequality. </w:t>
      </w:r>
    </w:p>
    <w:p w14:paraId="3D33EF79" w14:textId="77777777" w:rsidR="002E02ED" w:rsidRDefault="0063367C">
      <w:pPr>
        <w:spacing w:line="360" w:lineRule="auto"/>
        <w:jc w:val="center"/>
      </w:pPr>
      <w:r>
        <w:rPr>
          <w:noProof/>
          <w:lang w:val="en-IN"/>
        </w:rPr>
        <w:drawing>
          <wp:inline distT="114300" distB="114300" distL="114300" distR="114300" wp14:anchorId="062893AB" wp14:editId="5DB5B354">
            <wp:extent cx="4929188" cy="2930655"/>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8" name="image3.png"/>
                    <pic:cNvPicPr/>
                  </pic:nvPicPr>
                  <pic:blipFill>
                    <a:blip r:embed="rId10"/>
                    <a:stretch>
                      <a:fillRect/>
                    </a:stretch>
                  </pic:blipFill>
                  <pic:spPr>
                    <a:xfrm>
                      <a:off x="0" y="0"/>
                      <a:ext cx="4929188" cy="2930655"/>
                    </a:xfrm>
                    <a:prstGeom prst="rect">
                      <a:avLst/>
                    </a:prstGeom>
                  </pic:spPr>
                </pic:pic>
              </a:graphicData>
            </a:graphic>
          </wp:inline>
        </w:drawing>
      </w:r>
    </w:p>
    <w:p w14:paraId="0C76BA1F" w14:textId="77777777" w:rsidR="002E02ED" w:rsidRDefault="0063367C">
      <w:pPr>
        <w:spacing w:line="360" w:lineRule="auto"/>
        <w:jc w:val="center"/>
        <w:rPr>
          <w:b/>
          <w:bCs/>
        </w:rPr>
      </w:pPr>
      <w:r>
        <w:rPr>
          <w:b/>
          <w:bCs/>
        </w:rPr>
        <w:t>Figure 2: Proportion of disabled people by highest qualification</w:t>
      </w:r>
    </w:p>
    <w:p w14:paraId="41CEDD7A" w14:textId="77777777" w:rsidR="002E02ED" w:rsidRDefault="0063367C">
      <w:pPr>
        <w:spacing w:line="360" w:lineRule="auto"/>
        <w:jc w:val="center"/>
      </w:pPr>
      <w:r>
        <w:t>(Source: Ons.gov, 2022)</w:t>
      </w:r>
    </w:p>
    <w:p w14:paraId="38135D39" w14:textId="77777777" w:rsidR="002E02ED" w:rsidRDefault="0063367C">
      <w:pPr>
        <w:spacing w:line="360" w:lineRule="auto"/>
        <w:rPr>
          <w:b/>
          <w:bCs/>
        </w:rPr>
      </w:pPr>
      <w:r>
        <w:rPr>
          <w:b/>
          <w:bCs/>
        </w:rPr>
        <w:t xml:space="preserve">Low rates of access to health </w:t>
      </w:r>
    </w:p>
    <w:p w14:paraId="59EC2D9F" w14:textId="77777777" w:rsidR="002E02ED" w:rsidRDefault="0063367C">
      <w:pPr>
        <w:spacing w:line="360" w:lineRule="auto"/>
        <w:jc w:val="both"/>
      </w:pPr>
      <w:r>
        <w:t xml:space="preserve">For disabled people, identifying accessible healthcare is essential. According to 2021 statistics, almost 10.4 million disabled people in England and Wales (Ons.gov, 2023). NHS England health statistics monitor various healthcare services for people. Disabled people face difficulties with transport, anxiety and negative experiences. Preventable conditions may remain undiagnosed. According to ONS data, around 1 in 4 disabled adults reported symptoms of depression or anxiety (Ons.gov, 2022). Psychological displacement is another problem because of discrimination, financial insecurity and exclusion. Improving psychological therapy and social activity can help address this inequality. </w:t>
      </w:r>
    </w:p>
    <w:p w14:paraId="549F0567" w14:textId="77777777" w:rsidR="002E02ED" w:rsidRDefault="0063367C">
      <w:pPr>
        <w:spacing w:line="360" w:lineRule="auto"/>
        <w:jc w:val="both"/>
        <w:rPr>
          <w:b/>
          <w:bCs/>
        </w:rPr>
      </w:pPr>
      <w:r>
        <w:rPr>
          <w:b/>
          <w:bCs/>
        </w:rPr>
        <w:t>Higher mortality rate and reduced life expectancy</w:t>
      </w:r>
    </w:p>
    <w:p w14:paraId="739F15AF" w14:textId="77777777" w:rsidR="002E02ED" w:rsidRDefault="0063367C">
      <w:pPr>
        <w:spacing w:line="360" w:lineRule="auto"/>
        <w:jc w:val="both"/>
      </w:pPr>
      <w:r>
        <w:lastRenderedPageBreak/>
        <w:t xml:space="preserve">Disability is strongly associated with deprivation. According to the ONS census 2021, 26% of people aged 40-44 live in the most deprived area of England (Ons.gov, 2022). Poverty can increase inadequate housing, nutrition, and unhealthy employment. As a solution focus on early diagnosis, prevention and coordinated care offer regular health reviews, vaccination and screening. </w:t>
      </w:r>
    </w:p>
    <w:p w14:paraId="390FCF8A" w14:textId="77777777" w:rsidR="002E02ED" w:rsidRDefault="0063367C" w:rsidP="000525A2">
      <w:pPr>
        <w:pStyle w:val="Heading2"/>
        <w:rPr>
          <w:b w:val="0"/>
        </w:rPr>
      </w:pPr>
      <w:bookmarkStart w:id="4" w:name="_Toc237871568"/>
      <w:r>
        <w:t>2.2 Three social issues</w:t>
      </w:r>
      <w:bookmarkEnd w:id="4"/>
    </w:p>
    <w:p w14:paraId="2E99A971" w14:textId="77777777" w:rsidR="002E02ED" w:rsidRDefault="0063367C">
      <w:pPr>
        <w:spacing w:line="360" w:lineRule="auto"/>
        <w:jc w:val="both"/>
        <w:rPr>
          <w:b/>
          <w:bCs/>
        </w:rPr>
      </w:pPr>
      <w:r>
        <w:rPr>
          <w:b/>
          <w:bCs/>
        </w:rPr>
        <w:t xml:space="preserve">Social isolation and loneliness </w:t>
      </w:r>
    </w:p>
    <w:p w14:paraId="58061264" w14:textId="77777777" w:rsidR="002E02ED" w:rsidRDefault="0063367C">
      <w:pPr>
        <w:spacing w:line="360" w:lineRule="auto"/>
        <w:jc w:val="both"/>
      </w:pPr>
      <w:r>
        <w:t xml:space="preserve">Social isolation and loneliness are the primary problems for disabled people because of a lack of transport, mobility limitations, and discrimination (Emerson </w:t>
      </w:r>
      <w:r>
        <w:rPr>
          <w:i/>
          <w:iCs/>
        </w:rPr>
        <w:t>et al.,</w:t>
      </w:r>
      <w:r>
        <w:t xml:space="preserve"> 2023). According to the ONS statistics, disabled people experience more loneliness than non-disabled people. In this regard, 15.1% of disabled adults feel loneliness in England (Ons.gov, 2022). Physical health, society and depression are the primary problems. It can be improved through peer support, proper transport, community activation and digital inclusion. </w:t>
      </w:r>
    </w:p>
    <w:p w14:paraId="7BFC64F6" w14:textId="77777777" w:rsidR="002E02ED" w:rsidRDefault="0063367C">
      <w:pPr>
        <w:spacing w:line="360" w:lineRule="auto"/>
        <w:jc w:val="both"/>
        <w:rPr>
          <w:b/>
          <w:bCs/>
        </w:rPr>
      </w:pPr>
      <w:r>
        <w:rPr>
          <w:b/>
          <w:bCs/>
        </w:rPr>
        <w:t xml:space="preserve">Poverty </w:t>
      </w:r>
    </w:p>
    <w:p w14:paraId="1CBA1B05" w14:textId="77777777" w:rsidR="002E02ED" w:rsidRDefault="0063367C">
      <w:pPr>
        <w:spacing w:line="360" w:lineRule="auto"/>
        <w:jc w:val="center"/>
        <w:rPr>
          <w:b/>
          <w:bCs/>
        </w:rPr>
      </w:pPr>
      <w:r>
        <w:rPr>
          <w:b/>
          <w:bCs/>
          <w:noProof/>
          <w:lang w:val="en-IN"/>
        </w:rPr>
        <w:drawing>
          <wp:inline distT="114300" distB="114300" distL="114300" distR="114300" wp14:anchorId="1EAD7DCD" wp14:editId="00BFE49D">
            <wp:extent cx="3767138" cy="3798016"/>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2" name="image7.png"/>
                    <pic:cNvPicPr/>
                  </pic:nvPicPr>
                  <pic:blipFill>
                    <a:blip r:embed="rId11"/>
                    <a:stretch>
                      <a:fillRect/>
                    </a:stretch>
                  </pic:blipFill>
                  <pic:spPr>
                    <a:xfrm>
                      <a:off x="0" y="0"/>
                      <a:ext cx="3767138" cy="3798016"/>
                    </a:xfrm>
                    <a:prstGeom prst="rect">
                      <a:avLst/>
                    </a:prstGeom>
                  </pic:spPr>
                </pic:pic>
              </a:graphicData>
            </a:graphic>
          </wp:inline>
        </w:drawing>
      </w:r>
    </w:p>
    <w:p w14:paraId="2AAB46A4" w14:textId="77777777" w:rsidR="002E02ED" w:rsidRDefault="0063367C">
      <w:pPr>
        <w:spacing w:line="360" w:lineRule="auto"/>
        <w:jc w:val="center"/>
        <w:rPr>
          <w:b/>
          <w:bCs/>
        </w:rPr>
      </w:pPr>
      <w:r>
        <w:rPr>
          <w:b/>
          <w:bCs/>
        </w:rPr>
        <w:t>Figure 3: Poverty rate for disabled people and non-disabled people</w:t>
      </w:r>
    </w:p>
    <w:p w14:paraId="07C1C16C" w14:textId="77777777" w:rsidR="002E02ED" w:rsidRDefault="0063367C">
      <w:pPr>
        <w:spacing w:line="360" w:lineRule="auto"/>
        <w:jc w:val="center"/>
      </w:pPr>
      <w:r>
        <w:t xml:space="preserve">(Source: </w:t>
      </w:r>
      <w:proofErr w:type="spellStart"/>
      <w:r>
        <w:t>Jrf</w:t>
      </w:r>
      <w:proofErr w:type="spellEnd"/>
      <w:r>
        <w:t>, 2026)</w:t>
      </w:r>
    </w:p>
    <w:p w14:paraId="2F25F66C" w14:textId="77777777" w:rsidR="002E02ED" w:rsidRDefault="0063367C">
      <w:pPr>
        <w:spacing w:line="360" w:lineRule="auto"/>
        <w:jc w:val="both"/>
      </w:pPr>
      <w:r>
        <w:lastRenderedPageBreak/>
        <w:t xml:space="preserve">Poverty is associated with financial problems. Disabled people may face lower household income, lack of transport, special equipment and personal assistance. According to </w:t>
      </w:r>
      <w:r>
        <w:rPr>
          <w:b/>
          <w:bCs/>
          <w:i/>
          <w:iCs/>
        </w:rPr>
        <w:t>the Joseph Rowntree Foundation</w:t>
      </w:r>
      <w:r>
        <w:t>, 4.3 million disabled people lived in poverty in 2023 (</w:t>
      </w:r>
      <w:proofErr w:type="spellStart"/>
      <w:r>
        <w:t>Jrf</w:t>
      </w:r>
      <w:proofErr w:type="spellEnd"/>
      <w:r>
        <w:t xml:space="preserve">, 2026). 53% of working age disabled adults are employed compared to 82% of non-disabled adults. Proper employee support, workplace adjustment and affordable services can reduce these problems. </w:t>
      </w:r>
    </w:p>
    <w:p w14:paraId="5E6B4AD3" w14:textId="77777777" w:rsidR="002E02ED" w:rsidRDefault="0063367C">
      <w:pPr>
        <w:spacing w:line="360" w:lineRule="auto"/>
        <w:jc w:val="both"/>
        <w:rPr>
          <w:b/>
          <w:bCs/>
        </w:rPr>
      </w:pPr>
      <w:r>
        <w:rPr>
          <w:b/>
          <w:bCs/>
        </w:rPr>
        <w:t>Housing issue</w:t>
      </w:r>
    </w:p>
    <w:p w14:paraId="55226654" w14:textId="77777777" w:rsidR="002E02ED" w:rsidRDefault="0063367C">
      <w:pPr>
        <w:spacing w:line="360" w:lineRule="auto"/>
        <w:jc w:val="both"/>
      </w:pPr>
      <w:r>
        <w:t xml:space="preserve">Inadequate housing is important for social equality for disabled people. ONS data found 46.4% of disabled people in their homes compared to non-disabled people with 72.8% (Ons.gov, 2022). Poor housing problems increase the risk of accidents and physical and mental consequences. Local authorities should increase the availability of proper housing and grants for necessary adaptations. </w:t>
      </w:r>
    </w:p>
    <w:p w14:paraId="23BC9104" w14:textId="77777777" w:rsidR="002E02ED" w:rsidRDefault="0063367C" w:rsidP="000525A2">
      <w:pPr>
        <w:pStyle w:val="Heading1"/>
      </w:pPr>
      <w:bookmarkStart w:id="5" w:name="_Toc237871569"/>
      <w:r>
        <w:t>3. National Response to reduce health inequalities in your chosen group</w:t>
      </w:r>
      <w:bookmarkEnd w:id="5"/>
      <w:r>
        <w:t xml:space="preserve"> </w:t>
      </w:r>
    </w:p>
    <w:p w14:paraId="1413FA88" w14:textId="77777777" w:rsidR="002E02ED" w:rsidRDefault="0063367C">
      <w:pPr>
        <w:spacing w:line="360" w:lineRule="auto"/>
        <w:jc w:val="both"/>
      </w:pPr>
      <w:r>
        <w:t xml:space="preserve">Based on the current problem, the </w:t>
      </w:r>
      <w:r>
        <w:rPr>
          <w:b/>
          <w:bCs/>
          <w:i/>
          <w:iCs/>
        </w:rPr>
        <w:t>“Equality Act 2010”</w:t>
      </w:r>
      <w:r>
        <w:t xml:space="preserve"> provides an important legal framework to protect disabled people from discrimination (Walkey </w:t>
      </w:r>
      <w:r>
        <w:rPr>
          <w:i/>
          <w:iCs/>
        </w:rPr>
        <w:t>et al.,</w:t>
      </w:r>
      <w:r>
        <w:t xml:space="preserve"> 2024).  The legislation makes adjustments where disabled people experience unfair disadvantage including education, services and employment. Additionally, the UK introduced a </w:t>
      </w:r>
      <w:r w:rsidRPr="006C2FC2">
        <w:rPr>
          <w:i/>
        </w:rPr>
        <w:t>“Disability Action Plan”</w:t>
      </w:r>
      <w:r>
        <w:t xml:space="preserve"> by the government to improve everyday life (Gov.uk, 2024). Besides that, the NHS has introduced Core20PLUS5 as a national framework to reduce healthcare inequality (</w:t>
      </w:r>
      <w:proofErr w:type="spellStart"/>
      <w:r>
        <w:t>England.nhs</w:t>
      </w:r>
      <w:proofErr w:type="spellEnd"/>
      <w:r>
        <w:t xml:space="preserve">, 2025). “PLUS” include proper learning and other necessities for people who have experienced social exclusion. All programs aim to challenge negative perceptions and improve proper employment opportunities for disabled people. </w:t>
      </w:r>
    </w:p>
    <w:p w14:paraId="5D7EF019" w14:textId="77777777" w:rsidR="002E02ED" w:rsidRDefault="0063367C" w:rsidP="000525A2">
      <w:pPr>
        <w:pStyle w:val="Heading1"/>
      </w:pPr>
      <w:bookmarkStart w:id="6" w:name="_Toc237871570"/>
      <w:r>
        <w:t xml:space="preserve">4. </w:t>
      </w:r>
      <w:proofErr w:type="spellStart"/>
      <w:r>
        <w:t>Organisations</w:t>
      </w:r>
      <w:proofErr w:type="spellEnd"/>
      <w:r>
        <w:t xml:space="preserve"> that support chosen group</w:t>
      </w:r>
      <w:bookmarkEnd w:id="6"/>
      <w:r>
        <w:t xml:space="preserve"> </w:t>
      </w:r>
    </w:p>
    <w:p w14:paraId="69CDCDDD" w14:textId="77777777" w:rsidR="002E02ED" w:rsidRDefault="0063367C">
      <w:pPr>
        <w:spacing w:line="360" w:lineRule="auto"/>
        <w:jc w:val="both"/>
      </w:pPr>
      <w:r>
        <w:t xml:space="preserve">UK charity support for disabled people. </w:t>
      </w:r>
      <w:r>
        <w:rPr>
          <w:b/>
          <w:bCs/>
          <w:i/>
          <w:iCs/>
        </w:rPr>
        <w:t>“Disability charities scope UK”</w:t>
      </w:r>
      <w:r>
        <w:t xml:space="preserve"> works according to the challenge of disability in equality and improves opportunities for a quality life. Scope adjusts a public awareness of discrimination and policy change (Scope, 2026). Scope also highlights inequality faced by disabled people in such areas as social participation, poverty and employment. The </w:t>
      </w:r>
      <w:proofErr w:type="spellStart"/>
      <w:r>
        <w:t>organisation</w:t>
      </w:r>
      <w:proofErr w:type="spellEnd"/>
      <w:r>
        <w:t xml:space="preserve"> wants to achieve an "Equal future" goal for disabled people. The strategy focuses on attitudes and improve structural inequalities. Apart from that, the </w:t>
      </w:r>
      <w:proofErr w:type="spellStart"/>
      <w:r>
        <w:t>organisation</w:t>
      </w:r>
      <w:proofErr w:type="spellEnd"/>
      <w:r>
        <w:t xml:space="preserve"> provides information and support through campaigns and service. Scope uses research evidence, which influences employers and policymakers. It supports individuals to understand their access and rights. According to current evidence, Scope adds £1.095 per month for household living (Scope, </w:t>
      </w:r>
      <w:r>
        <w:lastRenderedPageBreak/>
        <w:t xml:space="preserve">2026). Hence, financial policy is relevant in the strategy to meet transport, health and social participation. </w:t>
      </w:r>
    </w:p>
    <w:p w14:paraId="175F8EE0" w14:textId="77777777" w:rsidR="002E02ED" w:rsidRDefault="0063367C" w:rsidP="000525A2">
      <w:pPr>
        <w:pStyle w:val="Heading1"/>
      </w:pPr>
      <w:bookmarkStart w:id="7" w:name="_Toc237871571"/>
      <w:r>
        <w:t>5. Conclusion</w:t>
      </w:r>
      <w:bookmarkEnd w:id="7"/>
      <w:r>
        <w:t xml:space="preserve"> </w:t>
      </w:r>
    </w:p>
    <w:p w14:paraId="47F8D6F4" w14:textId="77777777" w:rsidR="002E02ED" w:rsidRDefault="0063367C">
      <w:pPr>
        <w:spacing w:line="360" w:lineRule="auto"/>
        <w:jc w:val="both"/>
      </w:pPr>
      <w:r>
        <w:t xml:space="preserve">In summary, disability is a major consequence of public and social inequality in the UK. Disabled people experience a higher risk of physical health, mental and long-term conditions. Social discrimination, property and housing are the major problems for inequalities. The evidence has been demonstrated by the ONS and NHS. In this response, the "Equality Act 2010" and the "Disability Action Plan" are important legislation to provide proper mechanisms to reduce inequalities. Additionally, the report has included charities like Scope that contribute practical support and research awareness. Hence, disability related inequalities need to be addressed to be treated without an individual medical barrier. </w:t>
      </w:r>
    </w:p>
    <w:p w14:paraId="305B3598" w14:textId="77777777" w:rsidR="002E02ED" w:rsidRDefault="0063367C" w:rsidP="000525A2">
      <w:pPr>
        <w:pStyle w:val="Heading1"/>
        <w:rPr>
          <w:b w:val="0"/>
        </w:rPr>
      </w:pPr>
      <w:bookmarkStart w:id="8" w:name="_Toc237871572"/>
      <w:r>
        <w:t>Task 2:  Epidemiological Analysis</w:t>
      </w:r>
      <w:bookmarkEnd w:id="8"/>
    </w:p>
    <w:p w14:paraId="3623D1B9" w14:textId="77777777" w:rsidR="002E02ED" w:rsidRDefault="0063367C" w:rsidP="000525A2">
      <w:pPr>
        <w:pStyle w:val="Heading2"/>
        <w:rPr>
          <w:b w:val="0"/>
        </w:rPr>
      </w:pPr>
      <w:bookmarkStart w:id="9" w:name="_Toc237871573"/>
      <w:r>
        <w:t>Introduction</w:t>
      </w:r>
      <w:bookmarkEnd w:id="9"/>
    </w:p>
    <w:p w14:paraId="17318751" w14:textId="77777777" w:rsidR="002E02ED" w:rsidRDefault="0063367C">
      <w:pPr>
        <w:spacing w:line="360" w:lineRule="auto"/>
        <w:jc w:val="both"/>
      </w:pPr>
      <w:r>
        <w:t xml:space="preserve">Tuberculosis (TB) is a communicable disease, which is caused by Mycobacterium tuberculosis. Tuberculosis is transmitted through the air and when a person with infectious laryngeal TB coughs, sneezes and speaks. However, TB can be curable. TB can create both immediate health consequences and long term social consequences. According to </w:t>
      </w:r>
      <w:r>
        <w:rPr>
          <w:b/>
          <w:bCs/>
          <w:i/>
          <w:iCs/>
        </w:rPr>
        <w:t xml:space="preserve">the "World Health </w:t>
      </w:r>
      <w:proofErr w:type="spellStart"/>
      <w:r>
        <w:rPr>
          <w:b/>
          <w:bCs/>
          <w:i/>
          <w:iCs/>
        </w:rPr>
        <w:t>Organisation</w:t>
      </w:r>
      <w:proofErr w:type="spellEnd"/>
      <w:r>
        <w:rPr>
          <w:b/>
          <w:bCs/>
          <w:i/>
          <w:iCs/>
        </w:rPr>
        <w:t xml:space="preserve">” </w:t>
      </w:r>
      <w:r>
        <w:t xml:space="preserve">(WHO), almost 10.7 million people will have problems with TB and 1.23 million will die from TB in 2024 (Who, 2026). In the UK, TB has increased by 13.6% in 2024 (Gov.uk, 2025). In England, the cases noticed were almost 5,490 in 2024 (Gov.uk, 2025). The report will focus on adults and children in the London Borough of Tower Hamlets. It is a significant epidemiological population because the borough has recorded 68 TB notifications, which is higher than 8.6 per 100,000 (Gov.uk, 2025). Untreated TB infection can cause serious illness, employment and financial hardships. </w:t>
      </w:r>
    </w:p>
    <w:p w14:paraId="6220F17C" w14:textId="77777777" w:rsidR="002E02ED" w:rsidRDefault="0063367C">
      <w:pPr>
        <w:spacing w:line="360" w:lineRule="auto"/>
        <w:jc w:val="center"/>
      </w:pPr>
      <w:r>
        <w:rPr>
          <w:noProof/>
          <w:lang w:val="en-IN"/>
        </w:rPr>
        <w:lastRenderedPageBreak/>
        <w:drawing>
          <wp:inline distT="114300" distB="114300" distL="114300" distR="114300" wp14:anchorId="5CB204EB" wp14:editId="347399D1">
            <wp:extent cx="4300538" cy="2654295"/>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12"/>
                    <a:stretch>
                      <a:fillRect/>
                    </a:stretch>
                  </pic:blipFill>
                  <pic:spPr>
                    <a:xfrm>
                      <a:off x="0" y="0"/>
                      <a:ext cx="4300538" cy="2654295"/>
                    </a:xfrm>
                    <a:prstGeom prst="rect">
                      <a:avLst/>
                    </a:prstGeom>
                  </pic:spPr>
                </pic:pic>
              </a:graphicData>
            </a:graphic>
          </wp:inline>
        </w:drawing>
      </w:r>
    </w:p>
    <w:p w14:paraId="24DD11B1" w14:textId="77777777" w:rsidR="002E02ED" w:rsidRDefault="000525A2">
      <w:pPr>
        <w:spacing w:line="360" w:lineRule="auto"/>
        <w:jc w:val="center"/>
        <w:rPr>
          <w:b/>
          <w:bCs/>
        </w:rPr>
      </w:pPr>
      <w:r>
        <w:rPr>
          <w:b/>
          <w:bCs/>
        </w:rPr>
        <w:t>Figure 4: Number of TB</w:t>
      </w:r>
      <w:r w:rsidR="0063367C">
        <w:rPr>
          <w:b/>
          <w:bCs/>
        </w:rPr>
        <w:t xml:space="preserve"> notifications per year</w:t>
      </w:r>
    </w:p>
    <w:p w14:paraId="4FFC7F81" w14:textId="77777777" w:rsidR="002E02ED" w:rsidRDefault="0063367C">
      <w:pPr>
        <w:spacing w:line="360" w:lineRule="auto"/>
        <w:jc w:val="center"/>
      </w:pPr>
      <w:r>
        <w:t>(Source: Gov.uk, 2025)</w:t>
      </w:r>
    </w:p>
    <w:p w14:paraId="24B4474A" w14:textId="77777777" w:rsidR="002E02ED" w:rsidRDefault="0063367C" w:rsidP="000525A2">
      <w:pPr>
        <w:pStyle w:val="Heading2"/>
        <w:rPr>
          <w:b w:val="0"/>
        </w:rPr>
      </w:pPr>
      <w:bookmarkStart w:id="10" w:name="_Toc237871574"/>
      <w:r>
        <w:lastRenderedPageBreak/>
        <w:t>Main Body</w:t>
      </w:r>
      <w:bookmarkEnd w:id="10"/>
    </w:p>
    <w:p w14:paraId="331FAA0A" w14:textId="77777777" w:rsidR="002E02ED" w:rsidRDefault="0063367C" w:rsidP="000525A2">
      <w:pPr>
        <w:pStyle w:val="Heading3"/>
        <w:rPr>
          <w:b w:val="0"/>
        </w:rPr>
      </w:pPr>
      <w:bookmarkStart w:id="11" w:name="_Toc237871575"/>
      <w:r>
        <w:t>Identification of the public health problem</w:t>
      </w:r>
      <w:bookmarkEnd w:id="11"/>
    </w:p>
    <w:p w14:paraId="60CB1866" w14:textId="77777777" w:rsidR="002E02ED" w:rsidRDefault="0063367C">
      <w:pPr>
        <w:spacing w:line="360" w:lineRule="auto"/>
        <w:ind w:right="100"/>
        <w:jc w:val="center"/>
        <w:rPr>
          <w:b/>
          <w:bCs/>
        </w:rPr>
      </w:pPr>
      <w:r>
        <w:rPr>
          <w:b/>
          <w:bCs/>
          <w:noProof/>
          <w:lang w:val="en-IN"/>
        </w:rPr>
        <w:drawing>
          <wp:inline distT="114300" distB="114300" distL="114300" distR="114300" wp14:anchorId="51E0C230" wp14:editId="36868E6B">
            <wp:extent cx="3738563" cy="4343648"/>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13"/>
                    <a:stretch>
                      <a:fillRect/>
                    </a:stretch>
                  </pic:blipFill>
                  <pic:spPr>
                    <a:xfrm>
                      <a:off x="0" y="0"/>
                      <a:ext cx="3738563" cy="4343648"/>
                    </a:xfrm>
                    <a:prstGeom prst="rect">
                      <a:avLst/>
                    </a:prstGeom>
                  </pic:spPr>
                </pic:pic>
              </a:graphicData>
            </a:graphic>
          </wp:inline>
        </w:drawing>
      </w:r>
    </w:p>
    <w:p w14:paraId="6A73E7EE" w14:textId="77777777" w:rsidR="002E02ED" w:rsidRDefault="0063367C">
      <w:pPr>
        <w:spacing w:line="360" w:lineRule="auto"/>
        <w:ind w:right="100"/>
        <w:jc w:val="center"/>
        <w:rPr>
          <w:b/>
          <w:bCs/>
        </w:rPr>
      </w:pPr>
      <w:r>
        <w:rPr>
          <w:b/>
          <w:bCs/>
        </w:rPr>
        <w:t>Figure 5: Number of TB notifications</w:t>
      </w:r>
    </w:p>
    <w:p w14:paraId="7B957E5B" w14:textId="77777777" w:rsidR="002E02ED" w:rsidRDefault="0063367C">
      <w:pPr>
        <w:spacing w:line="360" w:lineRule="auto"/>
        <w:ind w:right="100"/>
        <w:jc w:val="center"/>
      </w:pPr>
      <w:r>
        <w:t>(Source: Gov.uk, 2025)</w:t>
      </w:r>
    </w:p>
    <w:p w14:paraId="311D74A7" w14:textId="77777777" w:rsidR="002E02ED" w:rsidRDefault="0063367C">
      <w:pPr>
        <w:spacing w:line="360" w:lineRule="auto"/>
        <w:ind w:right="100"/>
        <w:jc w:val="both"/>
      </w:pPr>
      <w:r>
        <w:t xml:space="preserve">The epidemiological process is to establish the distribution, characteristics and magnitude of TB within Tower Hamlets. The selected epidemiological profile of Tower Hamlets makes TB relevant because the borough has a diverse population and a proportion of residents are outside of the UK. In 2024, Tower Hamlets recorded 68 notifications at 20.5 per 100,000 compared with London's overall rate of 20.0 per 100,000 (Gov.uk, 2025). The borough rate is now below the level because the disease is an important health protection issue. </w:t>
      </w:r>
    </w:p>
    <w:p w14:paraId="5210ED6E" w14:textId="77777777" w:rsidR="002E02ED" w:rsidRDefault="0063367C">
      <w:pPr>
        <w:spacing w:line="360" w:lineRule="auto"/>
        <w:ind w:right="100"/>
        <w:jc w:val="both"/>
      </w:pPr>
      <w:r>
        <w:t xml:space="preserve">According to the Tower Hamlets Council report, the cases have now reduced over the last 20 years but remain more than twice the rate of England overall. As per epidemiological identification, it may not simply be the number of cases that are affected but identify the factors that increase the risk (Gov.uk, 2025). The cases are recorded by deprivation, homelessness, age, sex and imprisonment. The significant methodological distinction is recorded due to the </w:t>
      </w:r>
      <w:r>
        <w:lastRenderedPageBreak/>
        <w:t xml:space="preserve">notification rate. As per notification data, reported cases and diagnoses are measured for every new infection. Late diagnosis can result in an underestimation of the true burden. </w:t>
      </w:r>
    </w:p>
    <w:p w14:paraId="6E7168BA" w14:textId="77777777" w:rsidR="002E02ED" w:rsidRDefault="0063367C" w:rsidP="000525A2">
      <w:pPr>
        <w:pStyle w:val="Heading3"/>
        <w:rPr>
          <w:b w:val="0"/>
        </w:rPr>
      </w:pPr>
      <w:bookmarkStart w:id="12" w:name="_Toc237871576"/>
      <w:r>
        <w:t>Public Health measures using 3P's</w:t>
      </w:r>
      <w:bookmarkEnd w:id="12"/>
    </w:p>
    <w:p w14:paraId="0FCBAAA0" w14:textId="77777777" w:rsidR="002E02ED" w:rsidRDefault="0063367C">
      <w:pPr>
        <w:spacing w:line="360" w:lineRule="auto"/>
        <w:ind w:right="100"/>
        <w:jc w:val="both"/>
      </w:pPr>
      <w:r>
        <w:t xml:space="preserve">The 3P's model provides an emergency-based approach to prevention, protection and health promotion for the safety of the patients and healthcare staff (Upreti Oli </w:t>
      </w:r>
      <w:r>
        <w:rPr>
          <w:i/>
          <w:iCs/>
        </w:rPr>
        <w:t>et al.,</w:t>
      </w:r>
      <w:r>
        <w:t xml:space="preserve"> 2026). Effective TB response should incorporate prevention, protection and promotion for managing TB in Tower Hamlets. </w:t>
      </w:r>
    </w:p>
    <w:p w14:paraId="135D63C4" w14:textId="77777777" w:rsidR="002E02ED" w:rsidRDefault="0063367C">
      <w:pPr>
        <w:spacing w:line="360" w:lineRule="auto"/>
        <w:ind w:right="100"/>
        <w:jc w:val="center"/>
      </w:pPr>
      <w:r>
        <w:rPr>
          <w:noProof/>
          <w:lang w:val="en-IN"/>
        </w:rPr>
        <w:drawing>
          <wp:inline distT="114300" distB="114300" distL="114300" distR="114300" wp14:anchorId="631276AF" wp14:editId="56601348">
            <wp:extent cx="5176838" cy="2972507"/>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4"/>
                    <a:stretch>
                      <a:fillRect/>
                    </a:stretch>
                  </pic:blipFill>
                  <pic:spPr>
                    <a:xfrm>
                      <a:off x="0" y="0"/>
                      <a:ext cx="5176838" cy="2972507"/>
                    </a:xfrm>
                    <a:prstGeom prst="rect">
                      <a:avLst/>
                    </a:prstGeom>
                  </pic:spPr>
                </pic:pic>
              </a:graphicData>
            </a:graphic>
          </wp:inline>
        </w:drawing>
      </w:r>
    </w:p>
    <w:p w14:paraId="00C90D0E" w14:textId="77777777" w:rsidR="002E02ED" w:rsidRDefault="0063367C">
      <w:pPr>
        <w:spacing w:line="360" w:lineRule="auto"/>
        <w:ind w:right="100"/>
        <w:jc w:val="center"/>
        <w:rPr>
          <w:b/>
          <w:bCs/>
        </w:rPr>
      </w:pPr>
      <w:r>
        <w:rPr>
          <w:b/>
          <w:bCs/>
        </w:rPr>
        <w:t xml:space="preserve">Figure 6: 3Ps on TB </w:t>
      </w:r>
    </w:p>
    <w:p w14:paraId="3C068410" w14:textId="77777777" w:rsidR="002E02ED" w:rsidRDefault="0063367C">
      <w:pPr>
        <w:spacing w:line="360" w:lineRule="auto"/>
        <w:ind w:right="100"/>
        <w:jc w:val="center"/>
      </w:pPr>
      <w:r>
        <w:t>(Source: Self-created)</w:t>
      </w:r>
    </w:p>
    <w:p w14:paraId="61053992" w14:textId="77777777" w:rsidR="002E02ED" w:rsidRDefault="0063367C">
      <w:pPr>
        <w:spacing w:line="360" w:lineRule="auto"/>
        <w:ind w:right="100"/>
        <w:jc w:val="both"/>
      </w:pPr>
      <w:r>
        <w:rPr>
          <w:b/>
          <w:bCs/>
        </w:rPr>
        <w:t>Prevention:</w:t>
      </w:r>
      <w:r>
        <w:t xml:space="preserve"> Prevention should reduce the probability of progression from latent infection to active disease (Vasiliu </w:t>
      </w:r>
      <w:r>
        <w:rPr>
          <w:i/>
          <w:iCs/>
        </w:rPr>
        <w:t>et al.</w:t>
      </w:r>
      <w:r>
        <w:t xml:space="preserve">, 2024). In this regard, BCG vaccination is an important factor for intervention as a population. According to 2024 data, Hamlets had a three-year average TB rate of 20.2 per 100,000 (Gov.uk, 2025). BCG can be given to eligible infants. Prevention should include treatment and identification of TB infection among the appropriate high risk group. NICE recommended BCG vaccination for babies and other groups. NICE recommended that adults aged 18 to 65 who are close to pulmonary TB cases may receive infection. </w:t>
      </w:r>
    </w:p>
    <w:p w14:paraId="207E8097" w14:textId="77777777" w:rsidR="002E02ED" w:rsidRDefault="0063367C">
      <w:pPr>
        <w:spacing w:line="360" w:lineRule="auto"/>
        <w:ind w:right="100"/>
        <w:jc w:val="both"/>
      </w:pPr>
      <w:r>
        <w:rPr>
          <w:b/>
          <w:bCs/>
        </w:rPr>
        <w:t>Protection:</w:t>
      </w:r>
      <w:r>
        <w:t xml:space="preserve"> Protection should involve restricting transmission. Protection is the </w:t>
      </w:r>
      <w:proofErr w:type="spellStart"/>
      <w:r>
        <w:t>centred</w:t>
      </w:r>
      <w:proofErr w:type="spellEnd"/>
      <w:r>
        <w:t xml:space="preserve"> approach that provides comprehensive services. Regular diagnosis, effective treatment and infection control measures should be useful. According to </w:t>
      </w:r>
      <w:r>
        <w:rPr>
          <w:i/>
          <w:iCs/>
        </w:rPr>
        <w:t xml:space="preserve">the </w:t>
      </w:r>
      <w:r w:rsidRPr="000525A2">
        <w:rPr>
          <w:b/>
          <w:i/>
          <w:iCs/>
        </w:rPr>
        <w:t>"UK Health Security Agency”</w:t>
      </w:r>
      <w:r>
        <w:t xml:space="preserve"> (UKHSA), contact identification is the primary factor for TB prevention because it identifies active disease and individuals eligible for BCG vaccination (Jones </w:t>
      </w:r>
      <w:r>
        <w:rPr>
          <w:i/>
          <w:iCs/>
        </w:rPr>
        <w:t>et al.,</w:t>
      </w:r>
      <w:r>
        <w:t xml:space="preserve"> 2024). TB teams must </w:t>
      </w:r>
      <w:r>
        <w:lastRenderedPageBreak/>
        <w:t xml:space="preserve">investigate households and other areas in Tower Hamlets. NICE recommended that respiratory samples and chest X-ray can identify the case. </w:t>
      </w:r>
    </w:p>
    <w:p w14:paraId="3017DF92" w14:textId="77777777" w:rsidR="002E02ED" w:rsidRDefault="0063367C">
      <w:pPr>
        <w:spacing w:line="360" w:lineRule="auto"/>
        <w:ind w:right="100"/>
        <w:jc w:val="both"/>
        <w:rPr>
          <w:b/>
          <w:bCs/>
        </w:rPr>
      </w:pPr>
      <w:r>
        <w:rPr>
          <w:b/>
          <w:bCs/>
        </w:rPr>
        <w:t>Promotion:</w:t>
      </w:r>
      <w:r>
        <w:t xml:space="preserve"> Promotion should involve proper awareness, services and treatment. Promotion needs appropriate education. Tower Hamlets must work with primary care services, faith groups, and community services to improve knowledge about symptoms and treatment. Early detection of fever, cough and unexplained weight loss can help diagnose TB properly and reduce transmission. </w:t>
      </w:r>
    </w:p>
    <w:p w14:paraId="1EE8BF27" w14:textId="77777777" w:rsidR="002E02ED" w:rsidRDefault="0063367C" w:rsidP="000525A2">
      <w:pPr>
        <w:pStyle w:val="Heading3"/>
        <w:rPr>
          <w:b w:val="0"/>
        </w:rPr>
      </w:pPr>
      <w:bookmarkStart w:id="13" w:name="_Toc237871577"/>
      <w:r>
        <w:t>Key determinants and risk factors</w:t>
      </w:r>
      <w:bookmarkEnd w:id="13"/>
    </w:p>
    <w:p w14:paraId="61FA1036" w14:textId="77777777" w:rsidR="002E02ED" w:rsidRDefault="0063367C">
      <w:pPr>
        <w:spacing w:line="360" w:lineRule="auto"/>
        <w:ind w:right="100"/>
        <w:jc w:val="both"/>
      </w:pPr>
      <w:r>
        <w:t xml:space="preserve">TB is influenced by environmental, social and biological determinants (Jones </w:t>
      </w:r>
      <w:r>
        <w:rPr>
          <w:i/>
          <w:iCs/>
        </w:rPr>
        <w:t>et al.,</w:t>
      </w:r>
      <w:r>
        <w:t xml:space="preserve"> 2024). The effective biological risk factors should include HIV infection. HIV increases TB infection and progression. Additionally, people with malnutrition and diabetes are at risk of TB. </w:t>
      </w:r>
    </w:p>
    <w:p w14:paraId="514CC7AD" w14:textId="77777777" w:rsidR="002E02ED" w:rsidRDefault="0063367C">
      <w:pPr>
        <w:spacing w:line="360" w:lineRule="auto"/>
        <w:ind w:right="100"/>
        <w:jc w:val="both"/>
      </w:pPr>
      <w:r>
        <w:t xml:space="preserve">As per the migration history, it is important for the UK because people who have lived in countries with high TB may receive infection. Meanwhile, migration is not regarded as the causal factor. The high-risk factors are recorded due to previous symptoms, socio-economic challenges and lack of healthcare access. </w:t>
      </w:r>
    </w:p>
    <w:p w14:paraId="09950C72" w14:textId="77777777" w:rsidR="002E02ED" w:rsidRDefault="0063367C">
      <w:pPr>
        <w:spacing w:line="360" w:lineRule="auto"/>
        <w:ind w:right="100"/>
        <w:jc w:val="both"/>
        <w:rPr>
          <w:b/>
          <w:bCs/>
        </w:rPr>
      </w:pPr>
      <w:r>
        <w:t xml:space="preserve">Social conditions and deprivation are another factor. According to the UK, people who live in the most deprived areas may have a higher risk of TB infection. Previous homelessness is also recorded as a risk. Besides that, overcrowding in houses can increase transmission. In the epidemiological profile of Tower Hamlets, TB is relevant because the borough has a diverse population and a high proportion of residents born outside the UK (Crawshaw </w:t>
      </w:r>
      <w:r>
        <w:rPr>
          <w:i/>
          <w:iCs/>
        </w:rPr>
        <w:t>et al.,</w:t>
      </w:r>
      <w:r>
        <w:t xml:space="preserve"> 2024). In this regard, 81.9% of TB notifications are recorded in England among people born outside the UK (Gov.uk, 2026). Besides that, other social factors like drug misuse, smoking, imprisonment, homelessness and alcohol use create barriers to treatment. </w:t>
      </w:r>
    </w:p>
    <w:p w14:paraId="360B27AA" w14:textId="77777777" w:rsidR="002E02ED" w:rsidRDefault="0063367C" w:rsidP="000525A2">
      <w:pPr>
        <w:pStyle w:val="Heading3"/>
        <w:rPr>
          <w:b w:val="0"/>
        </w:rPr>
      </w:pPr>
      <w:bookmarkStart w:id="14" w:name="_Toc237871578"/>
      <w:r>
        <w:lastRenderedPageBreak/>
        <w:t>Epidemiological studies and health need assessment</w:t>
      </w:r>
      <w:bookmarkEnd w:id="14"/>
      <w:r>
        <w:t xml:space="preserve"> </w:t>
      </w:r>
    </w:p>
    <w:p w14:paraId="64FD6BB7" w14:textId="77777777" w:rsidR="002E02ED" w:rsidRDefault="0063367C">
      <w:pPr>
        <w:spacing w:line="360" w:lineRule="auto"/>
        <w:ind w:right="100"/>
        <w:jc w:val="center"/>
        <w:rPr>
          <w:b/>
          <w:bCs/>
        </w:rPr>
      </w:pPr>
      <w:r>
        <w:rPr>
          <w:b/>
          <w:bCs/>
          <w:noProof/>
          <w:lang w:val="en-IN"/>
        </w:rPr>
        <w:drawing>
          <wp:inline distT="114300" distB="114300" distL="114300" distR="114300" wp14:anchorId="3ED086BA" wp14:editId="60CD51AE">
            <wp:extent cx="5130625" cy="357663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5"/>
                    <a:stretch>
                      <a:fillRect/>
                    </a:stretch>
                  </pic:blipFill>
                  <pic:spPr>
                    <a:xfrm>
                      <a:off x="0" y="0"/>
                      <a:ext cx="5130625" cy="3576638"/>
                    </a:xfrm>
                    <a:prstGeom prst="rect">
                      <a:avLst/>
                    </a:prstGeom>
                  </pic:spPr>
                </pic:pic>
              </a:graphicData>
            </a:graphic>
          </wp:inline>
        </w:drawing>
      </w:r>
    </w:p>
    <w:p w14:paraId="691A25D8" w14:textId="77777777" w:rsidR="002E02ED" w:rsidRDefault="0063367C">
      <w:pPr>
        <w:spacing w:line="360" w:lineRule="auto"/>
        <w:ind w:right="100"/>
        <w:jc w:val="center"/>
        <w:rPr>
          <w:b/>
          <w:bCs/>
        </w:rPr>
      </w:pPr>
      <w:r>
        <w:rPr>
          <w:b/>
          <w:bCs/>
        </w:rPr>
        <w:t>Figure 7: Countries of birth and entry to the UK and TB notification</w:t>
      </w:r>
    </w:p>
    <w:p w14:paraId="2B2AAB8F" w14:textId="77777777" w:rsidR="002E02ED" w:rsidRDefault="0063367C">
      <w:pPr>
        <w:spacing w:line="360" w:lineRule="auto"/>
        <w:ind w:right="100"/>
        <w:jc w:val="center"/>
      </w:pPr>
      <w:r>
        <w:t>(Source: Gov.uk, 2026)</w:t>
      </w:r>
    </w:p>
    <w:p w14:paraId="1F04497E" w14:textId="77777777" w:rsidR="002E02ED" w:rsidRDefault="0063367C">
      <w:pPr>
        <w:spacing w:line="360" w:lineRule="auto"/>
        <w:ind w:right="100"/>
        <w:jc w:val="both"/>
        <w:rPr>
          <w:b/>
          <w:bCs/>
        </w:rPr>
      </w:pPr>
      <w:r>
        <w:t xml:space="preserve">The epidemiological study has provided evidence about TB in East London. The retrospective study is noted in Tower Hamlets, where TB among Bangladeshi migrants was reported between 1985 and 1989 (Gov.uk, 2026). TB in London found a strong association between socioeconomic circumstances and infection rates. Unemployment, social class, overcrowding and migrants from high TB areas are noted as significant factors. Quantitative data should include age, sex, country of birth, ethnicity, treatment outcome and drug. </w:t>
      </w:r>
    </w:p>
    <w:p w14:paraId="028437A0" w14:textId="77777777" w:rsidR="002E02ED" w:rsidRDefault="0063367C" w:rsidP="000525A2">
      <w:pPr>
        <w:pStyle w:val="Heading3"/>
        <w:rPr>
          <w:b w:val="0"/>
        </w:rPr>
      </w:pPr>
      <w:bookmarkStart w:id="15" w:name="_Toc237871579"/>
      <w:r>
        <w:t>Monitoring and surveillance system</w:t>
      </w:r>
      <w:bookmarkEnd w:id="15"/>
      <w:r>
        <w:t xml:space="preserve"> </w:t>
      </w:r>
    </w:p>
    <w:p w14:paraId="2556A83A" w14:textId="77777777" w:rsidR="002E02ED" w:rsidRDefault="0063367C">
      <w:pPr>
        <w:spacing w:line="360" w:lineRule="auto"/>
        <w:ind w:right="100"/>
        <w:jc w:val="both"/>
        <w:rPr>
          <w:i/>
          <w:iCs/>
        </w:rPr>
      </w:pPr>
      <w:r>
        <w:t>Effective management depends on various surveillance systems. Routine surveillance diagnoses TB cases through local and national reporting systems. In this regard, UKHSA increased TB surveillance to collect information about diagnosis, demographics and treatment (Jones</w:t>
      </w:r>
      <w:r>
        <w:rPr>
          <w:i/>
          <w:iCs/>
        </w:rPr>
        <w:t xml:space="preserve"> et al.,</w:t>
      </w:r>
      <w:r>
        <w:t xml:space="preserve"> </w:t>
      </w:r>
      <w:r>
        <w:rPr>
          <w:i/>
          <w:iCs/>
        </w:rPr>
        <w:t xml:space="preserve">2024). </w:t>
      </w:r>
    </w:p>
    <w:p w14:paraId="08808E45" w14:textId="77777777" w:rsidR="002E02ED" w:rsidRDefault="0063367C">
      <w:pPr>
        <w:spacing w:line="360" w:lineRule="auto"/>
        <w:ind w:right="100"/>
        <w:jc w:val="both"/>
      </w:pPr>
      <w:r>
        <w:t>Active surveillance should involve case findings and contact investigation. Moreover, TB services should be identified in households and other contacts of infection cases. It is important because it depends on patient health. NICE recommended that TB testing is appropriate to find cases among the new entrants.</w:t>
      </w:r>
    </w:p>
    <w:p w14:paraId="46DEA556" w14:textId="77777777" w:rsidR="002E02ED" w:rsidRDefault="0063367C">
      <w:pPr>
        <w:spacing w:line="360" w:lineRule="auto"/>
        <w:ind w:right="100"/>
        <w:jc w:val="both"/>
      </w:pPr>
      <w:r>
        <w:lastRenderedPageBreak/>
        <w:t xml:space="preserve">Laboratory surveillance provides information about drug and microbiological confirmation. It is important for drug resistant TB (Liebenberg </w:t>
      </w:r>
      <w:r>
        <w:rPr>
          <w:i/>
          <w:iCs/>
        </w:rPr>
        <w:t>et al.,</w:t>
      </w:r>
      <w:r>
        <w:t xml:space="preserve"> 2022). </w:t>
      </w:r>
    </w:p>
    <w:p w14:paraId="6679BDE4" w14:textId="77777777" w:rsidR="002E02ED" w:rsidRDefault="0063367C">
      <w:pPr>
        <w:spacing w:line="360" w:lineRule="auto"/>
        <w:ind w:right="100"/>
        <w:jc w:val="both"/>
      </w:pPr>
      <w:r>
        <w:t xml:space="preserve">Contact tracing surveillance is effective because it monitors people exposed to infection cases. NICE should recommend close contact of pulmonary TB cases. Contact investigation can identify secondary cases and latent infection. </w:t>
      </w:r>
    </w:p>
    <w:p w14:paraId="6776B203" w14:textId="77777777" w:rsidR="002E02ED" w:rsidRDefault="0063367C">
      <w:pPr>
        <w:spacing w:line="360" w:lineRule="auto"/>
        <w:ind w:right="100"/>
        <w:jc w:val="both"/>
        <w:rPr>
          <w:b/>
          <w:bCs/>
        </w:rPr>
      </w:pPr>
      <w:r>
        <w:t xml:space="preserve">The surveillance is important because it should monitor treatment completion, death and drug resistance. The triangulation method should be used in surveillance systems. Notification data provide information, laboratory data and mortality statistics. </w:t>
      </w:r>
    </w:p>
    <w:p w14:paraId="4F98034B" w14:textId="77777777" w:rsidR="002E02ED" w:rsidRDefault="0063367C" w:rsidP="000525A2">
      <w:pPr>
        <w:pStyle w:val="Heading3"/>
        <w:rPr>
          <w:b w:val="0"/>
        </w:rPr>
      </w:pPr>
      <w:bookmarkStart w:id="16" w:name="_Toc237871580"/>
      <w:r>
        <w:t>Public health and consequences</w:t>
      </w:r>
      <w:bookmarkEnd w:id="16"/>
      <w:r>
        <w:t xml:space="preserve"> </w:t>
      </w:r>
    </w:p>
    <w:p w14:paraId="15C324CC" w14:textId="77777777" w:rsidR="002E02ED" w:rsidRDefault="0063367C">
      <w:pPr>
        <w:spacing w:line="360" w:lineRule="auto"/>
        <w:ind w:right="100"/>
        <w:jc w:val="both"/>
      </w:pPr>
      <w:r>
        <w:t xml:space="preserve">TB generates both long term and short term consequences for Tower Hamlets. The immediate impact of TB infection, transmission, </w:t>
      </w:r>
      <w:proofErr w:type="spellStart"/>
      <w:r>
        <w:t>hospitalisation</w:t>
      </w:r>
      <w:proofErr w:type="spellEnd"/>
      <w:r>
        <w:t xml:space="preserve"> and disruption to education and employment. Short-term TB can result in transmission to household members and colleagues (Liebenberg </w:t>
      </w:r>
      <w:r>
        <w:rPr>
          <w:i/>
          <w:iCs/>
        </w:rPr>
        <w:t>et al.,</w:t>
      </w:r>
      <w:r>
        <w:t xml:space="preserve"> 2022). The symptoms may include fever, cough, weight loss and fatigue. In terms of long term consequences, disability, social stigma and death are recorded. Untreated transmission can increase community infection and increase demand for NHS services. According to WHO data, 10.7 million TB cases are recorded (Who, 2026). Treatment procedures need several months, which impact household income. Public Health impact should be measured using mortality. Appropriate indicators are included as incidence, treatment completion, treatment success, contact investigation, TB-related deaths and hospital admission. </w:t>
      </w:r>
    </w:p>
    <w:p w14:paraId="7A6763B2" w14:textId="77777777" w:rsidR="002E02ED" w:rsidRDefault="0063367C" w:rsidP="000525A2">
      <w:pPr>
        <w:pStyle w:val="Heading3"/>
        <w:rPr>
          <w:b w:val="0"/>
        </w:rPr>
      </w:pPr>
      <w:bookmarkStart w:id="17" w:name="_Toc237871581"/>
      <w:r>
        <w:lastRenderedPageBreak/>
        <w:t>Proposed health intervention program and evaluation</w:t>
      </w:r>
      <w:bookmarkEnd w:id="17"/>
      <w:r>
        <w:t xml:space="preserve"> </w:t>
      </w:r>
    </w:p>
    <w:p w14:paraId="6B68AFB4" w14:textId="77777777" w:rsidR="002E02ED" w:rsidRDefault="0063367C">
      <w:pPr>
        <w:spacing w:line="360" w:lineRule="auto"/>
        <w:ind w:right="100"/>
        <w:jc w:val="both"/>
        <w:rPr>
          <w:b/>
          <w:bCs/>
        </w:rPr>
      </w:pPr>
      <w:r>
        <w:rPr>
          <w:b/>
          <w:bCs/>
          <w:noProof/>
          <w:lang w:val="en-IN"/>
        </w:rPr>
        <w:drawing>
          <wp:inline distT="114300" distB="114300" distL="114300" distR="114300" wp14:anchorId="3FC35E52" wp14:editId="45064F06">
            <wp:extent cx="5943600" cy="32258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5" name="image6.png"/>
                    <pic:cNvPicPr/>
                  </pic:nvPicPr>
                  <pic:blipFill>
                    <a:blip r:embed="rId16"/>
                    <a:stretch>
                      <a:fillRect/>
                    </a:stretch>
                  </pic:blipFill>
                  <pic:spPr>
                    <a:xfrm>
                      <a:off x="0" y="0"/>
                      <a:ext cx="5943600" cy="3225800"/>
                    </a:xfrm>
                    <a:prstGeom prst="rect">
                      <a:avLst/>
                    </a:prstGeom>
                  </pic:spPr>
                </pic:pic>
              </a:graphicData>
            </a:graphic>
          </wp:inline>
        </w:drawing>
      </w:r>
    </w:p>
    <w:p w14:paraId="2A2978F7" w14:textId="77777777" w:rsidR="002E02ED" w:rsidRDefault="0063367C">
      <w:pPr>
        <w:spacing w:line="360" w:lineRule="auto"/>
        <w:ind w:right="100"/>
        <w:jc w:val="center"/>
        <w:rPr>
          <w:b/>
          <w:bCs/>
        </w:rPr>
      </w:pPr>
      <w:r>
        <w:rPr>
          <w:b/>
          <w:bCs/>
        </w:rPr>
        <w:t>Figure 8: "Health belief model"</w:t>
      </w:r>
    </w:p>
    <w:p w14:paraId="141256DA" w14:textId="77777777" w:rsidR="002E02ED" w:rsidRDefault="0063367C">
      <w:pPr>
        <w:spacing w:line="360" w:lineRule="auto"/>
        <w:ind w:right="100"/>
        <w:jc w:val="center"/>
      </w:pPr>
      <w:r>
        <w:t>(Source: Lecture materials Week 4)</w:t>
      </w:r>
    </w:p>
    <w:p w14:paraId="1E9AA8BD" w14:textId="77777777" w:rsidR="002E02ED" w:rsidRDefault="0063367C">
      <w:pPr>
        <w:spacing w:line="360" w:lineRule="auto"/>
        <w:ind w:right="100"/>
        <w:jc w:val="both"/>
      </w:pPr>
      <w:r>
        <w:t>A suitable intervention strategy should be included based on the “Health belief model”.  The HBM was developed in 1950 by social psychologists Hochbaum, Rosenstock and others (</w:t>
      </w:r>
      <w:proofErr w:type="spellStart"/>
      <w:r>
        <w:t>Alyafei</w:t>
      </w:r>
      <w:proofErr w:type="spellEnd"/>
      <w:r>
        <w:t xml:space="preserve"> and Easton-Carr, 2024). The HBM suggests that a person's belief in a personal treatment of an illness or disease together with a person's belief in the effectiveness (week 4). The model addresses the public health concern and applies to a broad range of populations. </w:t>
      </w:r>
    </w:p>
    <w:p w14:paraId="2E480F56" w14:textId="77777777" w:rsidR="002E02ED" w:rsidRDefault="0063367C">
      <w:pPr>
        <w:spacing w:line="360" w:lineRule="auto"/>
        <w:ind w:right="100"/>
        <w:jc w:val="both"/>
      </w:pPr>
      <w:r>
        <w:t xml:space="preserve">Targeted community education should be increased where they can explain TB symptoms, early diagnosis and transmission. Community workers address barriers including stigma, language and NHS services. GP reminders provide cues to action. </w:t>
      </w:r>
    </w:p>
    <w:p w14:paraId="1D812452" w14:textId="77777777" w:rsidR="002E02ED" w:rsidRDefault="0063367C">
      <w:pPr>
        <w:spacing w:line="360" w:lineRule="auto"/>
        <w:ind w:right="100"/>
        <w:jc w:val="both"/>
        <w:rPr>
          <w:b/>
          <w:bCs/>
        </w:rPr>
      </w:pPr>
      <w:r>
        <w:t xml:space="preserve">All the programs should be evaluated using annual epidemiological indicators, infection cases and people living in crowded conditions. The intervention should include awareness, treatment support, BCG vaccination and contact tracing. Apart from that, NICE guidelines are also recommended for contact assessment. Before and after evolution can be compared during the two-year period. </w:t>
      </w:r>
    </w:p>
    <w:p w14:paraId="7E5B1B9A" w14:textId="77777777" w:rsidR="002E02ED" w:rsidRDefault="0063367C" w:rsidP="000525A2">
      <w:pPr>
        <w:pStyle w:val="Heading3"/>
        <w:rPr>
          <w:b w:val="0"/>
        </w:rPr>
      </w:pPr>
      <w:bookmarkStart w:id="18" w:name="_Toc237871582"/>
      <w:r>
        <w:t>Strengths and weaknesses of epidemiological approach</w:t>
      </w:r>
      <w:bookmarkEnd w:id="18"/>
    </w:p>
    <w:p w14:paraId="083EDD88" w14:textId="77777777" w:rsidR="002E02ED" w:rsidRDefault="0063367C">
      <w:pPr>
        <w:spacing w:line="360" w:lineRule="auto"/>
        <w:ind w:right="100"/>
        <w:jc w:val="both"/>
      </w:pPr>
      <w:r>
        <w:t xml:space="preserve">The primary strength of this approach includes multiple data sources, laboratory information, notification and treatment information. Local surveillance notices demographic characteristics, geographical burden and trends. It must help explain why inequality happens. Additionally, </w:t>
      </w:r>
      <w:r>
        <w:lastRenderedPageBreak/>
        <w:t xml:space="preserve">sufficient national and local surveillance systems should be useful for Tower Hamlets to identify the rate against England. </w:t>
      </w:r>
    </w:p>
    <w:p w14:paraId="6EC5642C" w14:textId="77777777" w:rsidR="002E02ED" w:rsidRDefault="0063367C">
      <w:pPr>
        <w:spacing w:line="360" w:lineRule="auto"/>
        <w:ind w:right="100"/>
        <w:jc w:val="both"/>
        <w:rPr>
          <w:b/>
          <w:bCs/>
        </w:rPr>
      </w:pPr>
      <w:r>
        <w:t xml:space="preserve">The epidemiological surveillance also has limitations. Delayed diagnosis and underdiagnosis systems cannot notify all infections (Ko </w:t>
      </w:r>
      <w:r>
        <w:rPr>
          <w:i/>
          <w:iCs/>
        </w:rPr>
        <w:t>et al.,</w:t>
      </w:r>
      <w:r>
        <w:t xml:space="preserve"> 2022). Additionally, small annual numbers can produce missing information or unstable local rates. There is a potential bias to identify the high risk group. The surveillance data focus on migrant and ethnic populations, which overlook the UK born population. Hence, epidemiologists must interpret national and international evidence. </w:t>
      </w:r>
    </w:p>
    <w:p w14:paraId="25A0EDE9" w14:textId="77777777" w:rsidR="002E02ED" w:rsidRDefault="0063367C" w:rsidP="000525A2">
      <w:pPr>
        <w:pStyle w:val="Heading2"/>
        <w:rPr>
          <w:b w:val="0"/>
        </w:rPr>
      </w:pPr>
      <w:bookmarkStart w:id="19" w:name="_Toc237871583"/>
      <w:r>
        <w:t>Conclusion</w:t>
      </w:r>
      <w:bookmarkEnd w:id="19"/>
    </w:p>
    <w:p w14:paraId="29D3DC23" w14:textId="77777777" w:rsidR="002E02ED" w:rsidRDefault="0063367C">
      <w:pPr>
        <w:spacing w:line="360" w:lineRule="auto"/>
        <w:jc w:val="both"/>
        <w:rPr>
          <w:rFonts w:ascii="Times New Roman" w:eastAsia="Times New Roman" w:hAnsi="Times New Roman" w:cs="Times New Roman"/>
          <w:sz w:val="24"/>
          <w:szCs w:val="24"/>
        </w:rPr>
      </w:pPr>
      <w:r>
        <w:t xml:space="preserve">In summary, TB is a non-communicable disease in Tower Hamlets. It is an appropriate target group because it has identified geographical boundaries. Epidemiological assessments indicate that TB is recorded by history, overcrowding, depression, homelessness and barriers to healthcare. The intervention strategy should include prevention, protection and promotion. BCG vaccination, TB testing, and support are the central strategies. HBM community programs improve early diagnosis and address risk. </w:t>
      </w:r>
      <w:r>
        <w:br w:type="page"/>
      </w:r>
    </w:p>
    <w:p w14:paraId="3FB0F20C" w14:textId="77777777" w:rsidR="002E02ED" w:rsidRDefault="0063367C" w:rsidP="000525A2">
      <w:pPr>
        <w:pStyle w:val="Heading1"/>
      </w:pPr>
      <w:bookmarkStart w:id="20" w:name="_Toc237871584"/>
      <w:r>
        <w:lastRenderedPageBreak/>
        <w:t>References</w:t>
      </w:r>
      <w:bookmarkEnd w:id="20"/>
      <w:r>
        <w:t xml:space="preserve"> </w:t>
      </w:r>
    </w:p>
    <w:p w14:paraId="02428D35" w14:textId="77777777" w:rsidR="000525A2" w:rsidRDefault="000525A2">
      <w:pPr>
        <w:rPr>
          <w:rFonts w:ascii="Times New Roman" w:eastAsia="Times New Roman" w:hAnsi="Times New Roman" w:cs="Times New Roman"/>
          <w:sz w:val="24"/>
          <w:szCs w:val="24"/>
        </w:rPr>
      </w:pPr>
    </w:p>
    <w:p w14:paraId="4E2FCB5F" w14:textId="77777777" w:rsidR="000525A2" w:rsidRDefault="000525A2">
      <w:pPr>
        <w:spacing w:after="200" w:line="360" w:lineRule="auto"/>
        <w:jc w:val="both"/>
      </w:pPr>
      <w:r>
        <w:t xml:space="preserve">Alyafei, A. and Easton-Carr, R., 2024. The health belief model of behavior change. In </w:t>
      </w:r>
      <w:r>
        <w:rPr>
          <w:i/>
          <w:iCs/>
        </w:rPr>
        <w:t>StatPearls [Internet]</w:t>
      </w:r>
      <w:r>
        <w:t xml:space="preserve">. StatPearls Publishing. </w:t>
      </w:r>
      <w:hyperlink r:id="rId17">
        <w:r>
          <w:rPr>
            <w:u w:val="single"/>
          </w:rPr>
          <w:t>https://www.ncbi.nlm.nih.gov/sites/books/NBK606120/?report=reader</w:t>
        </w:r>
      </w:hyperlink>
    </w:p>
    <w:p w14:paraId="1A99E04C" w14:textId="77777777" w:rsidR="000525A2" w:rsidRDefault="000525A2">
      <w:pPr>
        <w:spacing w:after="200" w:line="360" w:lineRule="auto"/>
        <w:jc w:val="both"/>
      </w:pPr>
      <w:r>
        <w:t xml:space="preserve">Crawshaw, A.F., Goldsmith, L.P., Deal, A., Carter, J., Knights, F., Seedat, F., Lau, K., Hayward, S.E., Yong, J., Fyle, D. and </w:t>
      </w:r>
      <w:proofErr w:type="spellStart"/>
      <w:r>
        <w:t>Aspray</w:t>
      </w:r>
      <w:proofErr w:type="spellEnd"/>
      <w:r>
        <w:t xml:space="preserve">, N., 2024. Driving delivery and uptake of catch-up vaccination among adolescent and adult migrants in UK general practice: a mixed methods pilot study. </w:t>
      </w:r>
      <w:r>
        <w:rPr>
          <w:i/>
          <w:iCs/>
        </w:rPr>
        <w:t>BMC medicine</w:t>
      </w:r>
      <w:r>
        <w:t xml:space="preserve">, </w:t>
      </w:r>
      <w:r>
        <w:rPr>
          <w:i/>
          <w:iCs/>
        </w:rPr>
        <w:t>22</w:t>
      </w:r>
      <w:r>
        <w:t xml:space="preserve">(1), p.186. </w:t>
      </w:r>
      <w:hyperlink r:id="rId18">
        <w:r>
          <w:rPr>
            <w:u w:val="single"/>
          </w:rPr>
          <w:t>https://link.springer.com/content/pdf/10.1186/s12916-024-03378-z.pdf</w:t>
        </w:r>
      </w:hyperlink>
    </w:p>
    <w:p w14:paraId="1C3E737E" w14:textId="77777777" w:rsidR="000525A2" w:rsidRDefault="000525A2">
      <w:pPr>
        <w:spacing w:after="200" w:line="360" w:lineRule="auto"/>
        <w:jc w:val="both"/>
      </w:pPr>
      <w:r>
        <w:t xml:space="preserve">Emerson, E., Stancliffe, R.J., Aitken, Z., Bailie, J., Bishop, G.M., Badland, H., Llewellyn, G. and Kavanagh, A.M., 2023. Disability and loneliness in the United Kingdom: cross-sectional and longitudinal analyses of trends and transitions. </w:t>
      </w:r>
      <w:r>
        <w:rPr>
          <w:i/>
          <w:iCs/>
        </w:rPr>
        <w:t>BMC Public Health</w:t>
      </w:r>
      <w:r>
        <w:t xml:space="preserve">, </w:t>
      </w:r>
      <w:r>
        <w:rPr>
          <w:i/>
          <w:iCs/>
        </w:rPr>
        <w:t>23</w:t>
      </w:r>
      <w:r>
        <w:t xml:space="preserve">(1), p.2537. </w:t>
      </w:r>
      <w:hyperlink r:id="rId19">
        <w:r>
          <w:rPr>
            <w:u w:val="single"/>
          </w:rPr>
          <w:t>https://link.springer.com/content/pdf/10.1186/s12889-023-17481-y.pdf</w:t>
        </w:r>
      </w:hyperlink>
    </w:p>
    <w:p w14:paraId="22E15EE0" w14:textId="77777777" w:rsidR="000525A2" w:rsidRDefault="000525A2">
      <w:pPr>
        <w:spacing w:after="200" w:line="360" w:lineRule="auto"/>
        <w:jc w:val="both"/>
      </w:pPr>
      <w:proofErr w:type="spellStart"/>
      <w:r>
        <w:t>England.nhs</w:t>
      </w:r>
      <w:proofErr w:type="spellEnd"/>
      <w:r>
        <w:t xml:space="preserve"> (2025). Core20PLUS5 (adults) – an approach to reducing healthcare inequalities. Available at: </w:t>
      </w:r>
      <w:hyperlink r:id="rId20">
        <w:r>
          <w:rPr>
            <w:u w:val="single"/>
          </w:rPr>
          <w:t>https://www.england.nhs.uk/about/equality/equality-hub/national-healthcare-inequalities-improvement-programme/core20plus5</w:t>
        </w:r>
      </w:hyperlink>
      <w:r>
        <w:t xml:space="preserve"> [Accessed on: 14 August 2026]</w:t>
      </w:r>
    </w:p>
    <w:p w14:paraId="3B017065" w14:textId="77777777" w:rsidR="000525A2" w:rsidRDefault="000525A2">
      <w:pPr>
        <w:spacing w:after="200" w:line="360" w:lineRule="auto"/>
        <w:jc w:val="both"/>
      </w:pPr>
      <w:r>
        <w:t xml:space="preserve">Gov.uk (2024). Disability Action Plan. Available at: </w:t>
      </w:r>
      <w:hyperlink r:id="rId21">
        <w:r>
          <w:rPr>
            <w:u w:val="single"/>
          </w:rPr>
          <w:t>https://www.gov.uk/government/publications/disability-action-plan/disability-action-plan</w:t>
        </w:r>
      </w:hyperlink>
      <w:r>
        <w:t xml:space="preserve"> [Accessed on: 14 August 2026]</w:t>
      </w:r>
    </w:p>
    <w:p w14:paraId="4141B54C" w14:textId="77777777" w:rsidR="000525A2" w:rsidRDefault="000525A2">
      <w:pPr>
        <w:spacing w:after="200" w:line="360" w:lineRule="auto"/>
        <w:jc w:val="both"/>
      </w:pPr>
      <w:r>
        <w:t xml:space="preserve">Gov.uk (2025). London: tuberculosis in 2024. Available at:  </w:t>
      </w:r>
      <w:hyperlink r:id="rId22">
        <w:r>
          <w:rPr>
            <w:u w:val="single"/>
          </w:rPr>
          <w:t>https://www.gov.uk/government/publications/tuberculosis-tb-regional-reports-2024/london-tuberculosis-in-2024</w:t>
        </w:r>
      </w:hyperlink>
      <w:r>
        <w:t xml:space="preserve">  [Accessed on: 17 August 2026]</w:t>
      </w:r>
    </w:p>
    <w:p w14:paraId="10D4FFF3" w14:textId="77777777" w:rsidR="000525A2" w:rsidRDefault="000525A2">
      <w:pPr>
        <w:spacing w:after="200" w:line="360" w:lineRule="auto"/>
        <w:jc w:val="both"/>
      </w:pPr>
      <w:r>
        <w:t xml:space="preserve">Gov.uk (2025). TB rates in England continue to increase in 2024. Available at: </w:t>
      </w:r>
      <w:hyperlink r:id="rId23">
        <w:r>
          <w:rPr>
            <w:u w:val="single"/>
          </w:rPr>
          <w:t>https://www.gov.uk/government/news/tb-rates-in-england-continue-to-increase-in-2024</w:t>
        </w:r>
      </w:hyperlink>
      <w:r>
        <w:t xml:space="preserve"> [Accessed on: 17 August 2026]</w:t>
      </w:r>
    </w:p>
    <w:p w14:paraId="566BD0DD" w14:textId="77777777" w:rsidR="000525A2" w:rsidRDefault="000525A2">
      <w:pPr>
        <w:spacing w:after="200" w:line="360" w:lineRule="auto"/>
        <w:jc w:val="both"/>
      </w:pPr>
      <w:r>
        <w:t xml:space="preserve">Gov.uk (2026). Tuberculosis incidence and epidemiology, England, 2024. Available at: </w:t>
      </w:r>
      <w:hyperlink r:id="rId24">
        <w:r>
          <w:rPr>
            <w:u w:val="single"/>
          </w:rPr>
          <w:t>https://www.gov.uk/government/publications/tuberculosis-in-england-2025-report/1-tuberculosis-incidence-and-epidemiology-england-2024</w:t>
        </w:r>
      </w:hyperlink>
      <w:r>
        <w:t xml:space="preserve"> [Accessed on: 17 August 2026]</w:t>
      </w:r>
    </w:p>
    <w:p w14:paraId="013881FC" w14:textId="77777777" w:rsidR="000525A2" w:rsidRDefault="000525A2">
      <w:pPr>
        <w:spacing w:after="200" w:line="360" w:lineRule="auto"/>
        <w:jc w:val="both"/>
      </w:pPr>
      <w:r>
        <w:t xml:space="preserve">Jones, K., Chisnall, G., </w:t>
      </w:r>
      <w:proofErr w:type="spellStart"/>
      <w:r>
        <w:t>Crocker-Buque</w:t>
      </w:r>
      <w:proofErr w:type="spellEnd"/>
      <w:r>
        <w:t xml:space="preserve">, T., Elliman, D., Horwood, J., Mounier-Jack, S., Campbell, C.N., Saliba, V. and Chantler, T., 2024. A new neonatal BCG vaccination pathway in England: a </w:t>
      </w:r>
      <w:r>
        <w:lastRenderedPageBreak/>
        <w:t xml:space="preserve">mixed methods evaluation of its implementation. </w:t>
      </w:r>
      <w:r>
        <w:rPr>
          <w:i/>
          <w:iCs/>
        </w:rPr>
        <w:t>BMC Public Health</w:t>
      </w:r>
      <w:r>
        <w:t xml:space="preserve">, </w:t>
      </w:r>
      <w:r>
        <w:rPr>
          <w:i/>
          <w:iCs/>
        </w:rPr>
        <w:t>24</w:t>
      </w:r>
      <w:r>
        <w:t xml:space="preserve">(1), p.1175. </w:t>
      </w:r>
      <w:hyperlink r:id="rId25">
        <w:r>
          <w:rPr>
            <w:u w:val="single"/>
          </w:rPr>
          <w:t>https://link.springer.com/content/pdf/10.1186/s12889-024-18586-8.pdf</w:t>
        </w:r>
      </w:hyperlink>
    </w:p>
    <w:p w14:paraId="6FDF4FE6" w14:textId="77777777" w:rsidR="000525A2" w:rsidRDefault="000525A2">
      <w:pPr>
        <w:spacing w:after="200" w:line="360" w:lineRule="auto"/>
        <w:jc w:val="both"/>
      </w:pPr>
      <w:proofErr w:type="spellStart"/>
      <w:r>
        <w:t>Jrf</w:t>
      </w:r>
      <w:proofErr w:type="spellEnd"/>
      <w:r>
        <w:t xml:space="preserve"> (2026). Disability and poverty. Available at: </w:t>
      </w:r>
      <w:hyperlink r:id="rId26">
        <w:r>
          <w:rPr>
            <w:u w:val="single"/>
          </w:rPr>
          <w:t>https://www.jrf.org.uk/uk-poverty-statistics/disability</w:t>
        </w:r>
      </w:hyperlink>
      <w:r>
        <w:t xml:space="preserve"> [Accessed on: 14 August 2026]</w:t>
      </w:r>
    </w:p>
    <w:p w14:paraId="650922F7" w14:textId="77777777" w:rsidR="000525A2" w:rsidRDefault="000525A2">
      <w:pPr>
        <w:spacing w:after="200" w:line="360" w:lineRule="auto"/>
        <w:jc w:val="both"/>
      </w:pPr>
      <w:r>
        <w:t xml:space="preserve">Ko, Y., Min, J., Kim, H.W., Koo, H.K., Oh, J.Y., Jeong, Y.J., Kang, H.H., Kang, J.Y., Kim, J.S., Lee, S.S. and Park, J.S., 2022. Time delays and risk factors in the management of patients with active pulmonary tuberculosis: nationwide cohort study. </w:t>
      </w:r>
      <w:r>
        <w:rPr>
          <w:i/>
          <w:iCs/>
        </w:rPr>
        <w:t>Scientific reports</w:t>
      </w:r>
      <w:r>
        <w:t xml:space="preserve">, </w:t>
      </w:r>
      <w:r>
        <w:rPr>
          <w:i/>
          <w:iCs/>
        </w:rPr>
        <w:t>12</w:t>
      </w:r>
      <w:r>
        <w:t xml:space="preserve">(1), p.11355. </w:t>
      </w:r>
      <w:hyperlink r:id="rId27">
        <w:r>
          <w:rPr>
            <w:u w:val="single"/>
          </w:rPr>
          <w:t>https://www.nature.com/articles/s41598-022-15264-w.pdf</w:t>
        </w:r>
      </w:hyperlink>
    </w:p>
    <w:p w14:paraId="2A8F3F10" w14:textId="77777777" w:rsidR="000525A2" w:rsidRDefault="000525A2">
      <w:pPr>
        <w:spacing w:after="200" w:line="360" w:lineRule="auto"/>
        <w:jc w:val="both"/>
      </w:pPr>
      <w:r>
        <w:t xml:space="preserve">Liebenberg, D., Gordhan, B.G. and Kana, B.D., 2022. Drug resistant tuberculosis: Implications for transmission, diagnosis, and disease management. </w:t>
      </w:r>
      <w:r>
        <w:rPr>
          <w:i/>
          <w:iCs/>
        </w:rPr>
        <w:t>Frontiers in cellular and infection microbiology</w:t>
      </w:r>
      <w:r>
        <w:t xml:space="preserve">, </w:t>
      </w:r>
      <w:r>
        <w:rPr>
          <w:i/>
          <w:iCs/>
        </w:rPr>
        <w:t>12</w:t>
      </w:r>
      <w:r>
        <w:t xml:space="preserve">, p.943545. </w:t>
      </w:r>
      <w:hyperlink r:id="rId28">
        <w:r>
          <w:rPr>
            <w:u w:val="single"/>
          </w:rPr>
          <w:t>https://www.frontiersin.org/journals/cellular-and-infection-microbiology/articles/10.3389/fcimb.2022.943545/pdf</w:t>
        </w:r>
      </w:hyperlink>
    </w:p>
    <w:p w14:paraId="547320C7" w14:textId="77777777" w:rsidR="000525A2" w:rsidRDefault="000525A2">
      <w:pPr>
        <w:spacing w:after="200" w:line="360" w:lineRule="auto"/>
        <w:jc w:val="both"/>
      </w:pPr>
      <w:r>
        <w:t xml:space="preserve">Ons.gov (2022). Disability. Available at: </w:t>
      </w:r>
      <w:hyperlink r:id="rId29">
        <w:r>
          <w:rPr>
            <w:u w:val="single"/>
          </w:rPr>
          <w:t>https://www.ons.gov.uk/peoplepopulationandcommunity/healthandsocialcare/disability</w:t>
        </w:r>
      </w:hyperlink>
      <w:r>
        <w:t xml:space="preserve"> [Accessed on: 14 August 2026]</w:t>
      </w:r>
    </w:p>
    <w:p w14:paraId="5FBD5592" w14:textId="77777777" w:rsidR="000525A2" w:rsidRDefault="000525A2">
      <w:pPr>
        <w:spacing w:after="200" w:line="360" w:lineRule="auto"/>
        <w:jc w:val="both"/>
      </w:pPr>
      <w:r>
        <w:t xml:space="preserve">Ons.gov (2022). Outcomes for disabled people in the UK: 2021. Available at: </w:t>
      </w:r>
      <w:hyperlink r:id="rId30">
        <w:r>
          <w:rPr>
            <w:u w:val="single"/>
          </w:rPr>
          <w:t>https://www.ons.gov.uk/peoplepopulationandcommunity/healthandsocialcare/disability/articles/outcomesfordisabledpeopleintheuk/2021</w:t>
        </w:r>
      </w:hyperlink>
      <w:r>
        <w:t xml:space="preserve"> [Accessed on: 14 August 2026]</w:t>
      </w:r>
    </w:p>
    <w:p w14:paraId="7D88B5BA" w14:textId="77777777" w:rsidR="000525A2" w:rsidRDefault="000525A2">
      <w:pPr>
        <w:spacing w:after="200" w:line="360" w:lineRule="auto"/>
        <w:jc w:val="both"/>
      </w:pPr>
      <w:r>
        <w:t xml:space="preserve">Ons.gov (2023). Disability, England and Wales: Census 2021. Available at: </w:t>
      </w:r>
      <w:hyperlink r:id="rId31">
        <w:r>
          <w:rPr>
            <w:u w:val="single"/>
          </w:rPr>
          <w:t>https://www.ons.gov.uk/peoplepopulationandcommunity/healthandsocialcare/healthandwellbeing/bulletins/disabilityenglandandwales/census2021</w:t>
        </w:r>
      </w:hyperlink>
      <w:r>
        <w:t xml:space="preserve">  [Accessed on: 14 August 2026]</w:t>
      </w:r>
    </w:p>
    <w:p w14:paraId="00B08BCC" w14:textId="77777777" w:rsidR="000525A2" w:rsidRDefault="000525A2">
      <w:pPr>
        <w:spacing w:after="200" w:line="360" w:lineRule="auto"/>
        <w:jc w:val="both"/>
      </w:pPr>
      <w:r>
        <w:t xml:space="preserve">Parliament.uk (2025). UK disability statistics: Prevalence and life experiences. Available at: </w:t>
      </w:r>
      <w:hyperlink r:id="rId32">
        <w:r>
          <w:rPr>
            <w:u w:val="single"/>
          </w:rPr>
          <w:t>https://commonslibrary.parliament.uk/research-briefings/cbp-9602</w:t>
        </w:r>
      </w:hyperlink>
      <w:r>
        <w:t xml:space="preserve"> [Accessed on: 14 August 2026]</w:t>
      </w:r>
    </w:p>
    <w:p w14:paraId="0FEFC1E4" w14:textId="77777777" w:rsidR="000525A2" w:rsidRDefault="000525A2">
      <w:pPr>
        <w:spacing w:after="200" w:line="360" w:lineRule="auto"/>
        <w:jc w:val="both"/>
      </w:pPr>
      <w:r>
        <w:t xml:space="preserve">Scope (2026). Disability Price Tag 2025. Available at: </w:t>
      </w:r>
      <w:hyperlink r:id="rId33">
        <w:r>
          <w:rPr>
            <w:u w:val="single"/>
          </w:rPr>
          <w:t>https://www.scope.org.uk/campaigns/disability-price-tag</w:t>
        </w:r>
      </w:hyperlink>
      <w:r>
        <w:t xml:space="preserve"> [Accessed on: 14 August 2026]</w:t>
      </w:r>
    </w:p>
    <w:p w14:paraId="7BEE04D1" w14:textId="77777777" w:rsidR="000525A2" w:rsidRDefault="000525A2">
      <w:pPr>
        <w:spacing w:after="200" w:line="360" w:lineRule="auto"/>
        <w:jc w:val="both"/>
      </w:pPr>
      <w:r>
        <w:t xml:space="preserve">Scope (2026). Equality Diversity and Inclusion policy. Available at: </w:t>
      </w:r>
      <w:hyperlink r:id="rId34">
        <w:r>
          <w:rPr>
            <w:u w:val="single"/>
          </w:rPr>
          <w:t>https://www.scope.org.uk/about-us/equality-diversity-and-inclusion/equality-diversity-and-inclusion-policy</w:t>
        </w:r>
      </w:hyperlink>
      <w:r>
        <w:t xml:space="preserve"> [Accessed on: 14 August 2026]</w:t>
      </w:r>
    </w:p>
    <w:p w14:paraId="753BCC15" w14:textId="77777777" w:rsidR="000525A2" w:rsidRDefault="000525A2">
      <w:pPr>
        <w:spacing w:after="200" w:line="360" w:lineRule="auto"/>
        <w:jc w:val="both"/>
      </w:pPr>
      <w:r>
        <w:lastRenderedPageBreak/>
        <w:t xml:space="preserve">Upreti Oli, R., Griffiths, T.R.L., Norman, R.I. and Anderson, E.S., 2026. Exploring the use of observational tools for advancing patient safety learning among preregistration healthcare students: a scoping review using the 3P model of teaching and learning. </w:t>
      </w:r>
      <w:r>
        <w:rPr>
          <w:i/>
          <w:iCs/>
        </w:rPr>
        <w:t>BMC Medical Education</w:t>
      </w:r>
      <w:r>
        <w:t xml:space="preserve">. </w:t>
      </w:r>
      <w:hyperlink r:id="rId35">
        <w:r>
          <w:rPr>
            <w:u w:val="single"/>
          </w:rPr>
          <w:t>https://link.springer.com/content/pdf/10.1186/s12909-026-09275-8.pdf</w:t>
        </w:r>
      </w:hyperlink>
    </w:p>
    <w:p w14:paraId="12113758" w14:textId="77777777" w:rsidR="000525A2" w:rsidRDefault="000525A2">
      <w:pPr>
        <w:spacing w:after="200" w:line="360" w:lineRule="auto"/>
        <w:jc w:val="both"/>
      </w:pPr>
      <w:r>
        <w:t xml:space="preserve">Vasiliu, A., Martinez, L., Gupta, R.K., Hamada, Y., Ness, T., Kay, A., Bonnet, M., Sester, M., Kaufmann, S.H., Lange, C. and </w:t>
      </w:r>
      <w:proofErr w:type="spellStart"/>
      <w:r>
        <w:t>Mandalakas</w:t>
      </w:r>
      <w:proofErr w:type="spellEnd"/>
      <w:r>
        <w:t xml:space="preserve">, A.M., 2024. Tuberculosis prevention: current strategies and future directions. </w:t>
      </w:r>
      <w:r>
        <w:rPr>
          <w:i/>
          <w:iCs/>
        </w:rPr>
        <w:t>Clinical Microbiology and Infection</w:t>
      </w:r>
      <w:r>
        <w:t xml:space="preserve">, </w:t>
      </w:r>
      <w:r>
        <w:rPr>
          <w:i/>
          <w:iCs/>
        </w:rPr>
        <w:t>30</w:t>
      </w:r>
      <w:r>
        <w:t xml:space="preserve">(9), pp.1123-1130. </w:t>
      </w:r>
      <w:hyperlink r:id="rId36">
        <w:r>
          <w:rPr>
            <w:u w:val="single"/>
          </w:rPr>
          <w:t>https://www.sciencedirect.com/science/article/pii/S1198743X23005335</w:t>
        </w:r>
      </w:hyperlink>
    </w:p>
    <w:p w14:paraId="3984EC3B" w14:textId="77777777" w:rsidR="000525A2" w:rsidRDefault="000525A2">
      <w:pPr>
        <w:spacing w:after="200" w:line="360" w:lineRule="auto"/>
        <w:jc w:val="both"/>
      </w:pPr>
      <w:r>
        <w:t xml:space="preserve">Walkey, C., Brown, P. and Martin, P., 2024. Breaking the impasse: rethinking refugee integration through the equality act 2010 in the United Kingdom. </w:t>
      </w:r>
      <w:r>
        <w:rPr>
          <w:i/>
          <w:iCs/>
        </w:rPr>
        <w:t>Social Policy and Society</w:t>
      </w:r>
      <w:r>
        <w:t xml:space="preserve">, </w:t>
      </w:r>
      <w:r>
        <w:rPr>
          <w:i/>
          <w:iCs/>
        </w:rPr>
        <w:t>23</w:t>
      </w:r>
      <w:r>
        <w:t xml:space="preserve">(3), pp.497-512. </w:t>
      </w:r>
      <w:hyperlink r:id="rId37">
        <w:r>
          <w:rPr>
            <w:u w:val="single"/>
          </w:rPr>
          <w:t>https://www.cambridge.org/core/services/aop-cambridge-core/content/view/0A40342AB326F6FFDD39C577A41031BF/S1474746422000239a.pdf/breaking-the-impasse-rethinking-refugee-integration-through-the-equality-act-2010-in-the-united-kingdom.pdf</w:t>
        </w:r>
      </w:hyperlink>
    </w:p>
    <w:p w14:paraId="3B67754A" w14:textId="77777777" w:rsidR="000525A2" w:rsidRDefault="000525A2">
      <w:pPr>
        <w:spacing w:after="200" w:line="360" w:lineRule="auto"/>
        <w:jc w:val="both"/>
      </w:pPr>
      <w:r>
        <w:t xml:space="preserve">Who (2026). Tuberculosis. Available at: </w:t>
      </w:r>
      <w:hyperlink r:id="rId38">
        <w:r>
          <w:rPr>
            <w:u w:val="single"/>
          </w:rPr>
          <w:t>https://www.who.int/news-room/fact-sheets/detail/tuberculosis</w:t>
        </w:r>
      </w:hyperlink>
      <w:r>
        <w:t xml:space="preserve">  [Accessed on: 17 August 2026]</w:t>
      </w:r>
    </w:p>
    <w:sectPr w:rsidR="000525A2" w:rsidSect="000525A2">
      <w:headerReference w:type="default" r:id="rId39"/>
      <w:footerReference w:type="default" r:id="rId4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85EBF6D" w14:textId="77777777" w:rsidR="00DF30A3" w:rsidRDefault="00DF30A3" w:rsidP="000525A2">
      <w:pPr>
        <w:spacing w:line="240" w:lineRule="auto"/>
      </w:pPr>
      <w:r>
        <w:separator/>
      </w:r>
    </w:p>
  </w:endnote>
  <w:endnote w:type="continuationSeparator" w:id="0">
    <w:p w14:paraId="472B92F5" w14:textId="77777777" w:rsidR="00DF30A3" w:rsidRDefault="00DF30A3" w:rsidP="000525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embedRegular r:id="rId1" w:fontKey="{0C5F6174-F153-5040-A5D1-4039A8639377}"/>
    <w:embedBold r:id="rId2" w:fontKey="{E18CA587-82A7-EB4D-A096-5BCD1BCDCDFE}"/>
    <w:embedItalic r:id="rId3" w:fontKey="{661307AF-8646-3343-A3A2-CD12C99BD5CC}"/>
    <w:embedBoldItalic r:id="rId4" w:fontKey="{1FE1446B-C982-4945-8584-23B956FE4774}"/>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7" w:fontKey="{89E2067E-BC60-2647-BCEA-C2FA210AF392}"/>
    <w:embedBold r:id="rId8" w:fontKey="{65FF8531-1013-FB40-ACDA-85EB0CD69C64}"/>
  </w:font>
  <w:font w:name="Cambria">
    <w:panose1 w:val="02040503050406030204"/>
    <w:charset w:val="00"/>
    <w:family w:val="roman"/>
    <w:pitch w:val="variable"/>
    <w:sig w:usb0="E00006FF" w:usb1="420024FF" w:usb2="02000000" w:usb3="00000000" w:csb0="0000019F" w:csb1="00000000"/>
    <w:embedRegular r:id="rId9" w:fontKey="{795148EA-5505-7245-92F8-19C88737777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577260929"/>
      <w:docPartObj>
        <w:docPartGallery w:val="Page Numbers (Bottom of Page)"/>
        <w:docPartUnique/>
      </w:docPartObj>
    </w:sdtPr>
    <w:sdtEndPr/>
    <w:sdtContent>
      <w:sdt>
        <w:sdtPr>
          <w:id w:val="-1769616900"/>
          <w:docPartObj>
            <w:docPartGallery w:val="Page Numbers (Top of Page)"/>
            <w:docPartUnique/>
          </w:docPartObj>
        </w:sdtPr>
        <w:sdtEndPr/>
        <w:sdtContent>
          <w:p w14:paraId="7F433720" w14:textId="77777777" w:rsidR="000525A2" w:rsidRPr="000525A2" w:rsidRDefault="000525A2">
            <w:pPr>
              <w:pStyle w:val="Footer"/>
              <w:jc w:val="right"/>
            </w:pPr>
            <w:r w:rsidRPr="000525A2">
              <w:rPr>
                <w:b/>
                <w:bCs/>
              </w:rPr>
              <w:fldChar w:fldCharType="begin"/>
            </w:r>
            <w:r w:rsidRPr="000525A2">
              <w:rPr>
                <w:b/>
                <w:bCs/>
              </w:rPr>
              <w:instrText xml:space="preserve"> PAGE </w:instrText>
            </w:r>
            <w:r w:rsidRPr="000525A2">
              <w:rPr>
                <w:b/>
                <w:bCs/>
              </w:rPr>
              <w:fldChar w:fldCharType="separate"/>
            </w:r>
            <w:r>
              <w:rPr>
                <w:b/>
                <w:bCs/>
                <w:noProof/>
              </w:rPr>
              <w:t>9</w:t>
            </w:r>
            <w:r w:rsidRPr="000525A2">
              <w:rPr>
                <w:b/>
                <w:bCs/>
              </w:rPr>
              <w:fldChar w:fldCharType="end"/>
            </w:r>
            <w:r w:rsidRPr="000525A2">
              <w:t xml:space="preserve"> of </w:t>
            </w:r>
            <w:r w:rsidRPr="000525A2">
              <w:rPr>
                <w:b/>
                <w:bCs/>
              </w:rPr>
              <w:fldChar w:fldCharType="begin"/>
            </w:r>
            <w:r w:rsidRPr="000525A2">
              <w:rPr>
                <w:b/>
                <w:bCs/>
              </w:rPr>
              <w:instrText xml:space="preserve"> NUMPAGES  </w:instrText>
            </w:r>
            <w:r w:rsidRPr="000525A2">
              <w:rPr>
                <w:b/>
                <w:bCs/>
              </w:rPr>
              <w:fldChar w:fldCharType="separate"/>
            </w:r>
            <w:r>
              <w:rPr>
                <w:b/>
                <w:bCs/>
                <w:noProof/>
              </w:rPr>
              <w:t>18</w:t>
            </w:r>
            <w:r w:rsidRPr="000525A2">
              <w:rPr>
                <w:b/>
                <w:bCs/>
              </w:rPr>
              <w:fldChar w:fldCharType="end"/>
            </w:r>
          </w:p>
        </w:sdtContent>
      </w:sdt>
    </w:sdtContent>
  </w:sdt>
  <w:p w14:paraId="50A6B838" w14:textId="77777777" w:rsidR="000525A2" w:rsidRDefault="00052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0F53558" w14:textId="77777777" w:rsidR="00DF30A3" w:rsidRDefault="00DF30A3" w:rsidP="000525A2">
      <w:pPr>
        <w:spacing w:line="240" w:lineRule="auto"/>
      </w:pPr>
      <w:r>
        <w:separator/>
      </w:r>
    </w:p>
  </w:footnote>
  <w:footnote w:type="continuationSeparator" w:id="0">
    <w:p w14:paraId="4082A834" w14:textId="77777777" w:rsidR="00DF30A3" w:rsidRDefault="00DF30A3" w:rsidP="000525A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9245950" w14:textId="77777777" w:rsidR="000525A2" w:rsidRDefault="000525A2">
    <w:pPr>
      <w:pStyle w:val="Header"/>
    </w:pPr>
    <w:r>
      <w:tab/>
    </w:r>
    <w:r>
      <w:tab/>
    </w: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2"/>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02ED"/>
    <w:rsid w:val="000525A2"/>
    <w:rsid w:val="0008584D"/>
    <w:rsid w:val="001A1364"/>
    <w:rsid w:val="001B70E4"/>
    <w:rsid w:val="002E02ED"/>
    <w:rsid w:val="00301365"/>
    <w:rsid w:val="00603732"/>
    <w:rsid w:val="00631278"/>
    <w:rsid w:val="0063367C"/>
    <w:rsid w:val="006C2FC2"/>
    <w:rsid w:val="00A029DC"/>
    <w:rsid w:val="00C3609B"/>
    <w:rsid w:val="00CC1E2A"/>
    <w:rsid w:val="00DF30A3"/>
    <w:rsid w:val="00E2128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A4E34"/>
  <w15:docId w15:val="{8550B446-CE8E-4AE9-AE92-D6E124AFE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0525A2"/>
    <w:pPr>
      <w:keepNext/>
      <w:keepLines/>
      <w:spacing w:before="400" w:after="120" w:line="240" w:lineRule="auto"/>
      <w:jc w:val="both"/>
      <w:outlineLvl w:val="0"/>
    </w:pPr>
    <w:rPr>
      <w:b/>
      <w:sz w:val="28"/>
      <w:szCs w:val="40"/>
    </w:rPr>
  </w:style>
  <w:style w:type="paragraph" w:styleId="Heading2">
    <w:name w:val="heading 2"/>
    <w:basedOn w:val="Normal"/>
    <w:next w:val="Normal"/>
    <w:rsid w:val="000525A2"/>
    <w:pPr>
      <w:keepNext/>
      <w:keepLines/>
      <w:spacing w:before="360" w:after="120" w:line="240" w:lineRule="auto"/>
      <w:jc w:val="both"/>
      <w:outlineLvl w:val="1"/>
    </w:pPr>
    <w:rPr>
      <w:b/>
      <w:sz w:val="26"/>
      <w:szCs w:val="32"/>
    </w:rPr>
  </w:style>
  <w:style w:type="paragraph" w:styleId="Heading3">
    <w:name w:val="heading 3"/>
    <w:basedOn w:val="Normal"/>
    <w:next w:val="Normal"/>
    <w:rsid w:val="000525A2"/>
    <w:pPr>
      <w:keepNext/>
      <w:keepLines/>
      <w:spacing w:before="320" w:after="80" w:line="240" w:lineRule="auto"/>
      <w:jc w:val="both"/>
      <w:outlineLvl w:val="2"/>
    </w:pPr>
    <w:rPr>
      <w:b/>
      <w:color w:val="000000" w:themeColor="text1"/>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0525A2"/>
    <w:pPr>
      <w:tabs>
        <w:tab w:val="center" w:pos="4513"/>
        <w:tab w:val="right" w:pos="9026"/>
      </w:tabs>
      <w:spacing w:line="240" w:lineRule="auto"/>
    </w:pPr>
  </w:style>
  <w:style w:type="character" w:customStyle="1" w:styleId="HeaderChar">
    <w:name w:val="Header Char"/>
    <w:basedOn w:val="DefaultParagraphFont"/>
    <w:link w:val="Header"/>
    <w:uiPriority w:val="99"/>
    <w:rsid w:val="000525A2"/>
  </w:style>
  <w:style w:type="paragraph" w:styleId="Footer">
    <w:name w:val="footer"/>
    <w:basedOn w:val="Normal"/>
    <w:link w:val="FooterChar"/>
    <w:uiPriority w:val="99"/>
    <w:unhideWhenUsed/>
    <w:rsid w:val="000525A2"/>
    <w:pPr>
      <w:tabs>
        <w:tab w:val="center" w:pos="4513"/>
        <w:tab w:val="right" w:pos="9026"/>
      </w:tabs>
      <w:spacing w:line="240" w:lineRule="auto"/>
    </w:pPr>
  </w:style>
  <w:style w:type="character" w:customStyle="1" w:styleId="FooterChar">
    <w:name w:val="Footer Char"/>
    <w:basedOn w:val="DefaultParagraphFont"/>
    <w:link w:val="Footer"/>
    <w:uiPriority w:val="99"/>
    <w:rsid w:val="000525A2"/>
  </w:style>
  <w:style w:type="paragraph" w:styleId="TOCHeading">
    <w:name w:val="TOC Heading"/>
    <w:basedOn w:val="Heading1"/>
    <w:next w:val="Normal"/>
    <w:uiPriority w:val="39"/>
    <w:unhideWhenUsed/>
    <w:qFormat/>
    <w:rsid w:val="000525A2"/>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0525A2"/>
    <w:pPr>
      <w:spacing w:after="100"/>
    </w:pPr>
  </w:style>
  <w:style w:type="paragraph" w:styleId="TOC2">
    <w:name w:val="toc 2"/>
    <w:basedOn w:val="Normal"/>
    <w:next w:val="Normal"/>
    <w:autoRedefine/>
    <w:uiPriority w:val="39"/>
    <w:unhideWhenUsed/>
    <w:rsid w:val="000525A2"/>
    <w:pPr>
      <w:spacing w:after="100"/>
      <w:ind w:left="220"/>
    </w:pPr>
  </w:style>
  <w:style w:type="paragraph" w:styleId="TOC3">
    <w:name w:val="toc 3"/>
    <w:basedOn w:val="Normal"/>
    <w:next w:val="Normal"/>
    <w:autoRedefine/>
    <w:uiPriority w:val="39"/>
    <w:unhideWhenUsed/>
    <w:rsid w:val="000525A2"/>
    <w:pPr>
      <w:spacing w:after="100"/>
      <w:ind w:left="440"/>
    </w:pPr>
  </w:style>
  <w:style w:type="character" w:styleId="Hyperlink">
    <w:name w:val="Hyperlink"/>
    <w:basedOn w:val="DefaultParagraphFont"/>
    <w:uiPriority w:val="99"/>
    <w:unhideWhenUsed/>
    <w:rsid w:val="000525A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link.springer.com/content/pdf/10.1186/s12916-024-03378-z.pdf" TargetMode="External"/><Relationship Id="rId26" Type="http://schemas.openxmlformats.org/officeDocument/2006/relationships/hyperlink" Target="https://www.jrf.org.uk/uk-poverty-statistics/disability" TargetMode="External"/><Relationship Id="rId39" Type="http://schemas.openxmlformats.org/officeDocument/2006/relationships/header" Target="header1.xml"/><Relationship Id="rId21" Type="http://schemas.openxmlformats.org/officeDocument/2006/relationships/hyperlink" Target="https://www.gov.uk/government/publications/disability-action-plan/disability-action-plan" TargetMode="External"/><Relationship Id="rId34" Type="http://schemas.openxmlformats.org/officeDocument/2006/relationships/hyperlink" Target="https://www.scope.org.uk/about-us/equality-diversity-and-inclusion/equality-diversity-and-inclusion-policy"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england.nhs.uk/about/equality/equality-hub/national-healthcare-inequalities-improvement-programme/core20plus5" TargetMode="External"/><Relationship Id="rId29" Type="http://schemas.openxmlformats.org/officeDocument/2006/relationships/hyperlink" Target="https://www.ons.gov.uk/peoplepopulationandcommunity/healthandsocialcare/disability"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gov.uk/government/publications/tuberculosis-in-england-2025-report/1-tuberculosis-incidence-and-epidemiology-england-2024" TargetMode="External"/><Relationship Id="rId32" Type="http://schemas.openxmlformats.org/officeDocument/2006/relationships/hyperlink" Target="https://commonslibrary.parliament.uk/research-briefings/cbp-9602" TargetMode="External"/><Relationship Id="rId37" Type="http://schemas.openxmlformats.org/officeDocument/2006/relationships/hyperlink" Target="https://www.cambridge.org/core/services/aop-cambridge-core/content/view/0A40342AB326F6FFDD39C577A41031BF/S1474746422000239a.pdf/breaking-the-impasse-rethinking-refugee-integration-through-the-equality-act-2010-in-the-united-kingdom.pdf"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gov.uk/government/news/tb-rates-in-england-continue-to-increase-in-2024" TargetMode="External"/><Relationship Id="rId28" Type="http://schemas.openxmlformats.org/officeDocument/2006/relationships/hyperlink" Target="https://www.frontiersin.org/journals/cellular-and-infection-microbiology/articles/10.3389/fcimb.2022.943545/pdf" TargetMode="External"/><Relationship Id="rId36" Type="http://schemas.openxmlformats.org/officeDocument/2006/relationships/hyperlink" Target="https://www.sciencedirect.com/science/article/pii/S1198743X23005335" TargetMode="External"/><Relationship Id="rId10" Type="http://schemas.openxmlformats.org/officeDocument/2006/relationships/image" Target="media/image3.png"/><Relationship Id="rId19" Type="http://schemas.openxmlformats.org/officeDocument/2006/relationships/hyperlink" Target="https://link.springer.com/content/pdf/10.1186/s12889-023-17481-y.pdf" TargetMode="External"/><Relationship Id="rId31" Type="http://schemas.openxmlformats.org/officeDocument/2006/relationships/hyperlink" Target="https://www.ons.gov.uk/peoplepopulationandcommunity/healthandsocialcare/healthandwellbeing/bulletins/disabilityenglandandwales/census2021"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ov.uk/government/publications/tuberculosis-tb-regional-reports-2024/london-tuberculosis-in-2024" TargetMode="External"/><Relationship Id="rId27" Type="http://schemas.openxmlformats.org/officeDocument/2006/relationships/hyperlink" Target="https://www.nature.com/articles/s41598-022-15264-w.pdf" TargetMode="External"/><Relationship Id="rId30" Type="http://schemas.openxmlformats.org/officeDocument/2006/relationships/hyperlink" Target="https://www.ons.gov.uk/peoplepopulationandcommunity/healthandsocialcare/disability/articles/outcomesfordisabledpeopleintheuk/2021" TargetMode="External"/><Relationship Id="rId35" Type="http://schemas.openxmlformats.org/officeDocument/2006/relationships/hyperlink" Target="https://link.springer.com/content/pdf/10.1186/s12909-026-09275-8.pdf" TargetMode="External"/><Relationship Id="rId8" Type="http://schemas.openxmlformats.org/officeDocument/2006/relationships/image" Target="cid:image001.png@01D0EA4A.2BD679A0"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www.ncbi.nlm.nih.gov/sites/books/NBK606120/?report=reader" TargetMode="External"/><Relationship Id="rId25" Type="http://schemas.openxmlformats.org/officeDocument/2006/relationships/hyperlink" Target="https://link.springer.com/content/pdf/10.1186/s12889-024-18586-8.pdf" TargetMode="External"/><Relationship Id="rId33" Type="http://schemas.openxmlformats.org/officeDocument/2006/relationships/hyperlink" Target="https://www.scope.org.uk/campaigns/disability-price-tag" TargetMode="External"/><Relationship Id="rId38" Type="http://schemas.openxmlformats.org/officeDocument/2006/relationships/hyperlink" Target="https://www.who.int/news-room/fact-sheets/detail/tuberculosis"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 Id="rId9" Type="http://schemas.openxmlformats.org/officeDocument/2006/relationships/font" Target="fonts/font5.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EEC516-6CA7-402F-865D-B05FCD4E25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4269</Words>
  <Characters>24338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28550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Krupa Nai</cp:lastModifiedBy>
  <cp:revision>2</cp:revision>
  <dcterms:created xsi:type="dcterms:W3CDTF">2026-08-18T09:41:00Z</dcterms:created>
  <dcterms:modified xsi:type="dcterms:W3CDTF">2026-08-18T09:41:00Z</dcterms:modified>
  <cp:category/>
</cp:coreProperties>
</file>