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33E6" w:rsidRDefault="00DA33E6" w:rsidP="00E22710">
      <w:pPr>
        <w:jc w:val="both"/>
        <w:rPr>
          <w:b/>
          <w:bCs/>
        </w:rPr>
      </w:pPr>
      <w:r>
        <w:rPr>
          <w:b/>
          <w:bCs/>
          <w:noProof/>
        </w:rPr>
        <w:drawing>
          <wp:inline distT="0" distB="0" distL="0" distR="0" wp14:anchorId="09CA9D2E">
            <wp:extent cx="1810385" cy="725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tbl>
      <w:tblPr>
        <w:tblW w:w="9397" w:type="dxa"/>
        <w:tblInd w:w="-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2"/>
        <w:gridCol w:w="3267"/>
        <w:gridCol w:w="2161"/>
        <w:gridCol w:w="1987"/>
      </w:tblGrid>
      <w:tr w:rsidR="00DA33E6" w:rsidRPr="00DA33E6" w:rsidTr="00DA33E6">
        <w:trPr>
          <w:trHeight w:val="473"/>
        </w:trPr>
        <w:tc>
          <w:tcPr>
            <w:tcW w:w="1982" w:type="dxa"/>
            <w:shd w:val="clear" w:color="auto" w:fill="D9D9D9"/>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Student name:</w:t>
            </w:r>
          </w:p>
        </w:tc>
        <w:tc>
          <w:tcPr>
            <w:tcW w:w="3267" w:type="dxa"/>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Hina Saeed</w:t>
            </w:r>
          </w:p>
        </w:tc>
        <w:tc>
          <w:tcPr>
            <w:tcW w:w="2161" w:type="dxa"/>
            <w:shd w:val="clear" w:color="auto" w:fill="D9D9D9"/>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Student ID number:</w:t>
            </w:r>
          </w:p>
        </w:tc>
        <w:tc>
          <w:tcPr>
            <w:tcW w:w="1987" w:type="dxa"/>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2513317</w:t>
            </w:r>
          </w:p>
        </w:tc>
      </w:tr>
      <w:tr w:rsidR="00DA33E6" w:rsidRPr="00DA33E6" w:rsidTr="00DA33E6">
        <w:trPr>
          <w:trHeight w:val="459"/>
        </w:trPr>
        <w:tc>
          <w:tcPr>
            <w:tcW w:w="1982" w:type="dxa"/>
            <w:shd w:val="clear" w:color="auto" w:fill="D9D9D9"/>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Programme:</w:t>
            </w:r>
          </w:p>
        </w:tc>
        <w:tc>
          <w:tcPr>
            <w:tcW w:w="7415" w:type="dxa"/>
            <w:gridSpan w:val="3"/>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Master of Business Administration</w:t>
            </w:r>
          </w:p>
        </w:tc>
      </w:tr>
      <w:tr w:rsidR="00DA33E6" w:rsidRPr="00DA33E6" w:rsidTr="00DA33E6">
        <w:trPr>
          <w:trHeight w:val="421"/>
        </w:trPr>
        <w:tc>
          <w:tcPr>
            <w:tcW w:w="1982" w:type="dxa"/>
            <w:shd w:val="clear" w:color="auto" w:fill="D9D9D9"/>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Module:</w:t>
            </w:r>
          </w:p>
        </w:tc>
        <w:tc>
          <w:tcPr>
            <w:tcW w:w="7415" w:type="dxa"/>
            <w:gridSpan w:val="3"/>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Strategic Management</w:t>
            </w:r>
          </w:p>
        </w:tc>
      </w:tr>
      <w:tr w:rsidR="00DA33E6" w:rsidRPr="00DA33E6" w:rsidTr="00DA33E6">
        <w:trPr>
          <w:gridAfter w:val="2"/>
          <w:wAfter w:w="4148" w:type="dxa"/>
          <w:trHeight w:val="459"/>
        </w:trPr>
        <w:tc>
          <w:tcPr>
            <w:tcW w:w="1982" w:type="dxa"/>
            <w:shd w:val="clear" w:color="auto" w:fill="D9D9D9"/>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Module code:</w:t>
            </w:r>
          </w:p>
        </w:tc>
        <w:tc>
          <w:tcPr>
            <w:tcW w:w="3267" w:type="dxa"/>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LCMB7003</w:t>
            </w:r>
          </w:p>
        </w:tc>
      </w:tr>
      <w:tr w:rsidR="00DA33E6" w:rsidRPr="00DA33E6" w:rsidTr="00DA33E6">
        <w:trPr>
          <w:trHeight w:val="1062"/>
        </w:trPr>
        <w:tc>
          <w:tcPr>
            <w:tcW w:w="1982" w:type="dxa"/>
            <w:shd w:val="clear" w:color="auto" w:fill="D9D9D9"/>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Lecturer:</w:t>
            </w:r>
          </w:p>
        </w:tc>
        <w:tc>
          <w:tcPr>
            <w:tcW w:w="3267" w:type="dxa"/>
            <w:vAlign w:val="center"/>
          </w:tcPr>
          <w:p w:rsidR="00DA33E6" w:rsidRPr="00DA33E6" w:rsidRDefault="00DA33E6" w:rsidP="00DA33E6">
            <w:pPr>
              <w:spacing w:before="120" w:after="120" w:line="240" w:lineRule="auto"/>
              <w:rPr>
                <w:rFonts w:eastAsia="Times New Roman" w:cs="Arial"/>
                <w:b/>
                <w:sz w:val="22"/>
                <w:lang w:val="it-IT" w:eastAsia="en-GB"/>
              </w:rPr>
            </w:pPr>
            <w:r w:rsidRPr="00DA33E6">
              <w:rPr>
                <w:rFonts w:eastAsia="Times New Roman" w:cs="Arial"/>
                <w:b/>
                <w:sz w:val="22"/>
                <w:lang w:val="it-IT" w:eastAsia="en-GB"/>
              </w:rPr>
              <w:t>Amare Desta (London)</w:t>
            </w:r>
          </w:p>
          <w:p w:rsidR="00DA33E6" w:rsidRPr="00DA33E6" w:rsidRDefault="00DA33E6" w:rsidP="00DA33E6">
            <w:pPr>
              <w:spacing w:before="120" w:after="120" w:line="240" w:lineRule="auto"/>
              <w:rPr>
                <w:rFonts w:eastAsia="Times New Roman" w:cs="Arial"/>
                <w:b/>
                <w:sz w:val="22"/>
                <w:lang w:val="it-IT" w:eastAsia="en-GB"/>
              </w:rPr>
            </w:pPr>
            <w:r w:rsidRPr="00DA33E6">
              <w:rPr>
                <w:rFonts w:eastAsia="Times New Roman" w:cs="Arial"/>
                <w:b/>
                <w:sz w:val="22"/>
                <w:lang w:val="it-IT" w:eastAsia="en-GB"/>
              </w:rPr>
              <w:t>Ejike Udeogu (Birmingham)</w:t>
            </w:r>
          </w:p>
        </w:tc>
        <w:tc>
          <w:tcPr>
            <w:tcW w:w="2161" w:type="dxa"/>
            <w:shd w:val="clear" w:color="auto" w:fill="D9D9D9"/>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Internal Verifier:</w:t>
            </w:r>
          </w:p>
        </w:tc>
        <w:tc>
          <w:tcPr>
            <w:tcW w:w="1987" w:type="dxa"/>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Vasilios Tavlaridis</w:t>
            </w:r>
          </w:p>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Hoang Nguyen</w:t>
            </w:r>
          </w:p>
        </w:tc>
      </w:tr>
      <w:tr w:rsidR="00DA33E6" w:rsidRPr="00DA33E6" w:rsidTr="00DA33E6">
        <w:trPr>
          <w:trHeight w:val="703"/>
        </w:trPr>
        <w:tc>
          <w:tcPr>
            <w:tcW w:w="1982" w:type="dxa"/>
            <w:shd w:val="clear" w:color="auto" w:fill="D9D9D9"/>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Assignment Title:</w:t>
            </w:r>
          </w:p>
        </w:tc>
        <w:tc>
          <w:tcPr>
            <w:tcW w:w="3267" w:type="dxa"/>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Assessment component - Individual report</w:t>
            </w:r>
          </w:p>
        </w:tc>
        <w:tc>
          <w:tcPr>
            <w:tcW w:w="2161" w:type="dxa"/>
            <w:shd w:val="clear" w:color="auto" w:fill="D9D9D9"/>
            <w:vAlign w:val="center"/>
          </w:tcPr>
          <w:p w:rsidR="00DA33E6" w:rsidRPr="00DA33E6" w:rsidRDefault="00DA33E6" w:rsidP="00DA33E6">
            <w:pPr>
              <w:spacing w:before="120" w:after="120" w:line="240" w:lineRule="auto"/>
              <w:rPr>
                <w:rFonts w:eastAsia="Times New Roman" w:cs="Arial"/>
                <w:b/>
                <w:sz w:val="22"/>
                <w:lang w:val="en-GB" w:eastAsia="en-GB"/>
              </w:rPr>
            </w:pPr>
            <w:r w:rsidRPr="00DA33E6">
              <w:rPr>
                <w:rFonts w:eastAsia="Times New Roman" w:cs="Arial"/>
                <w:b/>
                <w:sz w:val="22"/>
                <w:lang w:val="en-GB" w:eastAsia="en-GB"/>
              </w:rPr>
              <w:t>Word count (or equivalent):</w:t>
            </w:r>
          </w:p>
        </w:tc>
        <w:tc>
          <w:tcPr>
            <w:tcW w:w="1987" w:type="dxa"/>
            <w:vAlign w:val="center"/>
          </w:tcPr>
          <w:p w:rsidR="00DA33E6" w:rsidRPr="00DA33E6" w:rsidRDefault="009E5BBC" w:rsidP="009E5BBC">
            <w:pPr>
              <w:spacing w:before="120" w:after="120" w:line="240" w:lineRule="auto"/>
              <w:rPr>
                <w:rFonts w:eastAsia="Times New Roman" w:cs="Arial"/>
                <w:b/>
                <w:sz w:val="22"/>
                <w:lang w:val="en-GB" w:eastAsia="en-GB"/>
              </w:rPr>
            </w:pPr>
            <w:r>
              <w:rPr>
                <w:rFonts w:eastAsia="Times New Roman" w:cs="Arial"/>
                <w:b/>
                <w:sz w:val="22"/>
                <w:lang w:val="en-GB" w:eastAsia="en-GB"/>
              </w:rPr>
              <w:t>5465</w:t>
            </w:r>
            <w:bookmarkStart w:id="0" w:name="_GoBack"/>
            <w:bookmarkEnd w:id="0"/>
          </w:p>
        </w:tc>
      </w:tr>
    </w:tbl>
    <w:p w:rsidR="00DA33E6" w:rsidRDefault="00DA33E6" w:rsidP="00E22710">
      <w:pPr>
        <w:jc w:val="both"/>
        <w:rPr>
          <w:b/>
          <w:bCs/>
        </w:rPr>
      </w:pPr>
    </w:p>
    <w:p w:rsidR="00DA33E6" w:rsidRDefault="00DA33E6" w:rsidP="00E22710">
      <w:pPr>
        <w:jc w:val="both"/>
        <w:rPr>
          <w:b/>
          <w:bCs/>
        </w:rPr>
      </w:pPr>
    </w:p>
    <w:p w:rsidR="00DA33E6" w:rsidRDefault="00DA33E6" w:rsidP="00E22710">
      <w:pPr>
        <w:jc w:val="both"/>
        <w:rPr>
          <w:b/>
          <w:bCs/>
        </w:rPr>
      </w:pPr>
    </w:p>
    <w:p w:rsidR="00DA33E6" w:rsidRDefault="00DA33E6" w:rsidP="00E22710">
      <w:pPr>
        <w:jc w:val="both"/>
        <w:rPr>
          <w:b/>
          <w:bCs/>
        </w:rPr>
      </w:pPr>
    </w:p>
    <w:p w:rsidR="00DA33E6" w:rsidRDefault="00DA33E6" w:rsidP="00E22710">
      <w:pPr>
        <w:jc w:val="both"/>
        <w:rPr>
          <w:b/>
          <w:bCs/>
        </w:rPr>
      </w:pPr>
    </w:p>
    <w:p w:rsidR="00DA33E6" w:rsidRDefault="00DA33E6" w:rsidP="00E22710">
      <w:pPr>
        <w:jc w:val="both"/>
        <w:rPr>
          <w:b/>
          <w:bCs/>
        </w:rPr>
      </w:pPr>
    </w:p>
    <w:p w:rsidR="00DA33E6" w:rsidRDefault="00DA33E6" w:rsidP="00E22710">
      <w:pPr>
        <w:jc w:val="both"/>
        <w:rPr>
          <w:b/>
          <w:bCs/>
        </w:rPr>
      </w:pPr>
    </w:p>
    <w:p w:rsidR="00DA33E6" w:rsidRDefault="00DA33E6" w:rsidP="00E22710">
      <w:pPr>
        <w:jc w:val="both"/>
        <w:rPr>
          <w:b/>
          <w:bCs/>
        </w:rPr>
      </w:pPr>
    </w:p>
    <w:p w:rsidR="00DA33E6" w:rsidRDefault="00DA33E6" w:rsidP="00E22710">
      <w:pPr>
        <w:jc w:val="both"/>
        <w:rPr>
          <w:b/>
          <w:bCs/>
        </w:rPr>
      </w:pPr>
    </w:p>
    <w:p w:rsidR="00DA33E6" w:rsidRDefault="00DA33E6" w:rsidP="00E22710">
      <w:pPr>
        <w:jc w:val="both"/>
        <w:rPr>
          <w:b/>
          <w:bCs/>
        </w:rPr>
      </w:pPr>
    </w:p>
    <w:p w:rsidR="00DA33E6" w:rsidRDefault="00DA33E6" w:rsidP="00E22710">
      <w:pPr>
        <w:jc w:val="both"/>
        <w:rPr>
          <w:b/>
          <w:bCs/>
        </w:rPr>
      </w:pPr>
    </w:p>
    <w:p w:rsidR="004C73E7" w:rsidRDefault="004C73E7" w:rsidP="00E22710">
      <w:pPr>
        <w:jc w:val="both"/>
        <w:rPr>
          <w:b/>
          <w:bCs/>
        </w:rPr>
      </w:pPr>
    </w:p>
    <w:sdt>
      <w:sdtPr>
        <w:rPr>
          <w:rFonts w:ascii="Arial" w:eastAsiaTheme="minorHAnsi" w:hAnsi="Arial" w:cstheme="minorBidi"/>
          <w:color w:val="auto"/>
          <w:sz w:val="24"/>
          <w:szCs w:val="22"/>
        </w:rPr>
        <w:id w:val="-965655678"/>
        <w:docPartObj>
          <w:docPartGallery w:val="Table of Contents"/>
          <w:docPartUnique/>
        </w:docPartObj>
      </w:sdtPr>
      <w:sdtEndPr>
        <w:rPr>
          <w:b/>
          <w:bCs/>
          <w:noProof/>
        </w:rPr>
      </w:sdtEndPr>
      <w:sdtContent>
        <w:p w:rsidR="00DA33E6" w:rsidRPr="004C73E7" w:rsidRDefault="00DA33E6">
          <w:pPr>
            <w:pStyle w:val="TOCHeading"/>
            <w:rPr>
              <w:sz w:val="22"/>
              <w:szCs w:val="22"/>
            </w:rPr>
          </w:pPr>
          <w:r w:rsidRPr="004C73E7">
            <w:rPr>
              <w:sz w:val="22"/>
              <w:szCs w:val="22"/>
            </w:rPr>
            <w:t>Table of Contents</w:t>
          </w:r>
        </w:p>
        <w:p w:rsidR="004C73E7" w:rsidRPr="004C73E7" w:rsidRDefault="00DA33E6">
          <w:pPr>
            <w:pStyle w:val="TOC1"/>
            <w:tabs>
              <w:tab w:val="right" w:leader="dot" w:pos="9350"/>
            </w:tabs>
            <w:rPr>
              <w:rFonts w:asciiTheme="minorHAnsi" w:eastAsiaTheme="minorEastAsia" w:hAnsiTheme="minorHAnsi"/>
              <w:noProof/>
              <w:sz w:val="22"/>
            </w:rPr>
          </w:pPr>
          <w:r w:rsidRPr="004C73E7">
            <w:rPr>
              <w:sz w:val="22"/>
            </w:rPr>
            <w:fldChar w:fldCharType="begin"/>
          </w:r>
          <w:r w:rsidRPr="004C73E7">
            <w:rPr>
              <w:sz w:val="22"/>
            </w:rPr>
            <w:instrText xml:space="preserve"> TOC \o "1-3" \h \z \u </w:instrText>
          </w:r>
          <w:r w:rsidRPr="004C73E7">
            <w:rPr>
              <w:sz w:val="22"/>
            </w:rPr>
            <w:fldChar w:fldCharType="separate"/>
          </w:r>
          <w:hyperlink w:anchor="_Toc233166893" w:history="1">
            <w:r w:rsidR="004C73E7" w:rsidRPr="004C73E7">
              <w:rPr>
                <w:rStyle w:val="Hyperlink"/>
                <w:noProof/>
                <w:sz w:val="22"/>
              </w:rPr>
              <w:t>Section 1:</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_Toc233166893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3</w:t>
            </w:r>
            <w:r w:rsidR="004C73E7" w:rsidRPr="004C73E7">
              <w:rPr>
                <w:noProof/>
                <w:webHidden/>
                <w:sz w:val="22"/>
              </w:rPr>
              <w:fldChar w:fldCharType="end"/>
            </w:r>
          </w:hyperlink>
        </w:p>
        <w:p w:rsidR="004C73E7" w:rsidRPr="004C73E7" w:rsidRDefault="00637AA4">
          <w:pPr>
            <w:pStyle w:val="TOC1"/>
            <w:tabs>
              <w:tab w:val="right" w:leader="dot" w:pos="9350"/>
            </w:tabs>
            <w:rPr>
              <w:rFonts w:asciiTheme="minorHAnsi" w:eastAsiaTheme="minorEastAsia" w:hAnsiTheme="minorHAnsi"/>
              <w:noProof/>
              <w:sz w:val="22"/>
            </w:rPr>
          </w:pPr>
          <w:hyperlink w:anchor="_Toc233166894" w:history="1">
            <w:r w:rsidR="004C73E7" w:rsidRPr="004C73E7">
              <w:rPr>
                <w:rStyle w:val="Hyperlink"/>
                <w:noProof/>
                <w:sz w:val="22"/>
              </w:rPr>
              <w:t>1. Organisational Context and Overview</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_Toc233166894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3</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895" w:history="1">
            <w:r w:rsidR="004C73E7" w:rsidRPr="004C73E7">
              <w:rPr>
                <w:rStyle w:val="Hyperlink"/>
                <w:noProof/>
                <w:sz w:val="22"/>
              </w:rPr>
              <w:t>1.1 Organisational Background and History</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_Toc233166895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3</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896" w:history="1">
            <w:r w:rsidR="004C73E7" w:rsidRPr="004C73E7">
              <w:rPr>
                <w:rStyle w:val="Hyperlink"/>
                <w:noProof/>
                <w:sz w:val="22"/>
              </w:rPr>
              <w:t>1.2 Industry, Competitors, and Market Position</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_Toc233166896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4</w:t>
            </w:r>
            <w:r w:rsidR="004C73E7" w:rsidRPr="004C73E7">
              <w:rPr>
                <w:noProof/>
                <w:webHidden/>
                <w:sz w:val="22"/>
              </w:rPr>
              <w:fldChar w:fldCharType="end"/>
            </w:r>
          </w:hyperlink>
        </w:p>
        <w:p w:rsidR="004C73E7" w:rsidRPr="004C73E7" w:rsidRDefault="00637AA4">
          <w:pPr>
            <w:pStyle w:val="TOC1"/>
            <w:tabs>
              <w:tab w:val="right" w:leader="dot" w:pos="9350"/>
            </w:tabs>
            <w:rPr>
              <w:rFonts w:asciiTheme="minorHAnsi" w:eastAsiaTheme="minorEastAsia" w:hAnsiTheme="minorHAnsi"/>
              <w:noProof/>
              <w:sz w:val="22"/>
            </w:rPr>
          </w:pPr>
          <w:hyperlink w:anchor="_Toc233166897" w:history="1">
            <w:r w:rsidR="004C73E7" w:rsidRPr="004C73E7">
              <w:rPr>
                <w:rStyle w:val="Hyperlink"/>
                <w:noProof/>
                <w:sz w:val="22"/>
              </w:rPr>
              <w:t>2. External and Internal Analysis:</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_Toc233166897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4</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898" w:history="1">
            <w:r w:rsidR="004C73E7" w:rsidRPr="004C73E7">
              <w:rPr>
                <w:rStyle w:val="Hyperlink"/>
                <w:noProof/>
                <w:sz w:val="22"/>
              </w:rPr>
              <w:t>2.1 External Environment Analysis (PESTEL Framework)</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_Toc233166898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5</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899" w:history="1">
            <w:r w:rsidR="004C73E7" w:rsidRPr="004C73E7">
              <w:rPr>
                <w:rStyle w:val="Hyperlink"/>
                <w:noProof/>
                <w:sz w:val="22"/>
              </w:rPr>
              <w:t>2.2 Internal Environment Analysis (VRIO Framework)</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_Toc233166899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8</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00" w:history="1">
            <w:r w:rsidR="004C73E7" w:rsidRPr="004C73E7">
              <w:rPr>
                <w:rStyle w:val="Hyperlink"/>
                <w:noProof/>
                <w:sz w:val="22"/>
              </w:rPr>
              <w:t>2.3 SWOT Analysis</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_Toc233166900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10</w:t>
            </w:r>
            <w:r w:rsidR="004C73E7" w:rsidRPr="004C73E7">
              <w:rPr>
                <w:noProof/>
                <w:webHidden/>
                <w:sz w:val="22"/>
              </w:rPr>
              <w:fldChar w:fldCharType="end"/>
            </w:r>
          </w:hyperlink>
        </w:p>
        <w:p w:rsidR="004C73E7" w:rsidRPr="004C73E7" w:rsidRDefault="00637AA4">
          <w:pPr>
            <w:pStyle w:val="TOC1"/>
            <w:tabs>
              <w:tab w:val="right" w:leader="dot" w:pos="9350"/>
            </w:tabs>
            <w:rPr>
              <w:rFonts w:asciiTheme="minorHAnsi" w:eastAsiaTheme="minorEastAsia" w:hAnsiTheme="minorHAnsi"/>
              <w:noProof/>
              <w:sz w:val="22"/>
            </w:rPr>
          </w:pPr>
          <w:hyperlink w:anchor="_Toc233166901" w:history="1">
            <w:r w:rsidR="004C73E7" w:rsidRPr="004C73E7">
              <w:rPr>
                <w:rStyle w:val="Hyperlink"/>
                <w:noProof/>
                <w:sz w:val="22"/>
              </w:rPr>
              <w:t>3. Comprehensive and Holistic View of the Organisation</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_Toc233166901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12</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02" w:history="1">
            <w:r w:rsidR="004C73E7" w:rsidRPr="004C73E7">
              <w:rPr>
                <w:rStyle w:val="Hyperlink"/>
                <w:noProof/>
                <w:sz w:val="22"/>
              </w:rPr>
              <w:t>3.1 Corporate Social Responsibility (CSR) Strategy and Alignment with Business Objectives</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_Toc233166902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12</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03" w:history="1">
            <w:r w:rsidR="004C73E7" w:rsidRPr="004C73E7">
              <w:rPr>
                <w:rStyle w:val="Hyperlink"/>
                <w:noProof/>
                <w:sz w:val="22"/>
              </w:rPr>
              <w:t>3.2 Balanced Scorecard Analysis</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_Toc233166903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13</w:t>
            </w:r>
            <w:r w:rsidR="004C73E7" w:rsidRPr="004C73E7">
              <w:rPr>
                <w:noProof/>
                <w:webHidden/>
                <w:sz w:val="22"/>
              </w:rPr>
              <w:fldChar w:fldCharType="end"/>
            </w:r>
          </w:hyperlink>
        </w:p>
        <w:p w:rsidR="004C73E7" w:rsidRPr="004C73E7" w:rsidRDefault="00637AA4">
          <w:pPr>
            <w:pStyle w:val="TOC1"/>
            <w:tabs>
              <w:tab w:val="right" w:leader="dot" w:pos="9350"/>
            </w:tabs>
            <w:rPr>
              <w:rFonts w:asciiTheme="minorHAnsi" w:eastAsiaTheme="minorEastAsia" w:hAnsiTheme="minorHAnsi"/>
              <w:noProof/>
              <w:sz w:val="22"/>
            </w:rPr>
          </w:pPr>
          <w:hyperlink w:anchor="_Toc233166904" w:history="1">
            <w:r w:rsidR="004C73E7" w:rsidRPr="004C73E7">
              <w:rPr>
                <w:rStyle w:val="Hyperlink"/>
                <w:noProof/>
                <w:sz w:val="22"/>
              </w:rPr>
              <w:t>4. Strategic Choices and Implementation</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_Toc233166904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16</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05" w:history="1">
            <w:r w:rsidR="004C73E7" w:rsidRPr="004C73E7">
              <w:rPr>
                <w:rStyle w:val="Hyperlink"/>
                <w:noProof/>
                <w:sz w:val="22"/>
              </w:rPr>
              <w:t>4.1 Business-Level Strategic Choices</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_Toc233166905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16</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06" w:history="1">
            <w:r w:rsidR="004C73E7" w:rsidRPr="004C73E7">
              <w:rPr>
                <w:rStyle w:val="Hyperlink"/>
                <w:noProof/>
                <w:sz w:val="22"/>
              </w:rPr>
              <w:t>4.2 Industry Structure Analysis: Porter’s Five Forces</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_Toc233166906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17</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07" w:history="1">
            <w:r w:rsidR="004C73E7" w:rsidRPr="004C73E7">
              <w:rPr>
                <w:rStyle w:val="Hyperlink"/>
                <w:noProof/>
                <w:sz w:val="22"/>
              </w:rPr>
              <w:t>4.3 Growth Options: Ansoff's Matrix</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_Toc233166907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18</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08" w:history="1">
            <w:r w:rsidR="004C73E7" w:rsidRPr="004C73E7">
              <w:rPr>
                <w:rStyle w:val="Hyperlink"/>
                <w:noProof/>
                <w:sz w:val="22"/>
              </w:rPr>
              <w:t>4.4 Strategy Evaluation with the SAFe Framework</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_Toc233166908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19</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09" w:history="1">
            <w:r w:rsidR="004C73E7" w:rsidRPr="004C73E7">
              <w:rPr>
                <w:rStyle w:val="Hyperlink"/>
                <w:noProof/>
                <w:sz w:val="22"/>
              </w:rPr>
              <w:t>4.5 Recommended Strategy and Value Creation</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_Toc233166909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19</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10" w:history="1">
            <w:r w:rsidR="004C73E7" w:rsidRPr="004C73E7">
              <w:rPr>
                <w:rStyle w:val="Hyperlink"/>
                <w:noProof/>
                <w:sz w:val="22"/>
              </w:rPr>
              <w:t>4.6 Implementation Challenges and Mitigation Strategies</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_Toc233166910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20</w:t>
            </w:r>
            <w:r w:rsidR="004C73E7" w:rsidRPr="004C73E7">
              <w:rPr>
                <w:noProof/>
                <w:webHidden/>
                <w:sz w:val="22"/>
              </w:rPr>
              <w:fldChar w:fldCharType="end"/>
            </w:r>
          </w:hyperlink>
        </w:p>
        <w:p w:rsidR="004C73E7" w:rsidRPr="004C73E7" w:rsidRDefault="00637AA4">
          <w:pPr>
            <w:pStyle w:val="TOC1"/>
            <w:tabs>
              <w:tab w:val="right" w:leader="dot" w:pos="9350"/>
            </w:tabs>
            <w:rPr>
              <w:rFonts w:asciiTheme="minorHAnsi" w:eastAsiaTheme="minorEastAsia" w:hAnsiTheme="minorHAnsi"/>
              <w:noProof/>
              <w:sz w:val="22"/>
            </w:rPr>
          </w:pPr>
          <w:hyperlink w:anchor="_Toc233166911" w:history="1">
            <w:r w:rsidR="004C73E7" w:rsidRPr="004C73E7">
              <w:rPr>
                <w:rStyle w:val="Hyperlink"/>
                <w:noProof/>
                <w:sz w:val="22"/>
              </w:rPr>
              <w:t>Section 2</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_Toc233166911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20</w:t>
            </w:r>
            <w:r w:rsidR="004C73E7" w:rsidRPr="004C73E7">
              <w:rPr>
                <w:noProof/>
                <w:webHidden/>
                <w:sz w:val="22"/>
              </w:rPr>
              <w:fldChar w:fldCharType="end"/>
            </w:r>
          </w:hyperlink>
        </w:p>
        <w:p w:rsidR="004C73E7" w:rsidRPr="004C73E7" w:rsidRDefault="00637AA4">
          <w:pPr>
            <w:pStyle w:val="TOC1"/>
            <w:tabs>
              <w:tab w:val="right" w:leader="dot" w:pos="9350"/>
            </w:tabs>
            <w:rPr>
              <w:rFonts w:asciiTheme="minorHAnsi" w:eastAsiaTheme="minorEastAsia" w:hAnsiTheme="minorHAnsi"/>
              <w:noProof/>
              <w:sz w:val="22"/>
            </w:rPr>
          </w:pPr>
          <w:hyperlink w:anchor="_Toc233166912" w:history="1">
            <w:r w:rsidR="004C73E7" w:rsidRPr="004C73E7">
              <w:rPr>
                <w:rStyle w:val="Hyperlink"/>
                <w:noProof/>
                <w:sz w:val="22"/>
              </w:rPr>
              <w:t>5. Reflective Account – Gibbs’ Reflective Cycle</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_Toc233166912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20</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13" w:history="1">
            <w:r w:rsidR="004C73E7" w:rsidRPr="004C73E7">
              <w:rPr>
                <w:rStyle w:val="Hyperlink"/>
                <w:noProof/>
                <w:sz w:val="22"/>
              </w:rPr>
              <w:t>5.1 Description</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_Toc233166913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21</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14" w:history="1">
            <w:r w:rsidR="004C73E7" w:rsidRPr="004C73E7">
              <w:rPr>
                <w:rStyle w:val="Hyperlink"/>
                <w:noProof/>
                <w:sz w:val="22"/>
              </w:rPr>
              <w:t>5.2 Feelings</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_Toc233166914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21</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15" w:history="1">
            <w:r w:rsidR="004C73E7" w:rsidRPr="004C73E7">
              <w:rPr>
                <w:rStyle w:val="Hyperlink"/>
                <w:noProof/>
                <w:sz w:val="22"/>
              </w:rPr>
              <w:t>5.3 Evaluation</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_Toc233166915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22</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16" w:history="1">
            <w:r w:rsidR="004C73E7" w:rsidRPr="004C73E7">
              <w:rPr>
                <w:rStyle w:val="Hyperlink"/>
                <w:noProof/>
                <w:sz w:val="22"/>
              </w:rPr>
              <w:t>5.4 Analysis</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_Toc233166916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22</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17" w:history="1">
            <w:r w:rsidR="004C73E7" w:rsidRPr="004C73E7">
              <w:rPr>
                <w:rStyle w:val="Hyperlink"/>
                <w:noProof/>
                <w:sz w:val="22"/>
              </w:rPr>
              <w:t>5.5 Conclusion</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_Toc233166917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23</w:t>
            </w:r>
            <w:r w:rsidR="004C73E7" w:rsidRPr="004C73E7">
              <w:rPr>
                <w:noProof/>
                <w:webHidden/>
                <w:sz w:val="22"/>
              </w:rPr>
              <w:fldChar w:fldCharType="end"/>
            </w:r>
          </w:hyperlink>
        </w:p>
        <w:p w:rsidR="004C73E7" w:rsidRPr="004C73E7" w:rsidRDefault="00637AA4">
          <w:pPr>
            <w:pStyle w:val="TOC2"/>
            <w:tabs>
              <w:tab w:val="right" w:leader="dot" w:pos="9350"/>
            </w:tabs>
            <w:rPr>
              <w:rFonts w:asciiTheme="minorHAnsi" w:eastAsiaTheme="minorEastAsia" w:hAnsiTheme="minorHAnsi"/>
              <w:noProof/>
              <w:sz w:val="22"/>
            </w:rPr>
          </w:pPr>
          <w:hyperlink w:anchor="_Toc233166918" w:history="1">
            <w:r w:rsidR="004C73E7" w:rsidRPr="004C73E7">
              <w:rPr>
                <w:rStyle w:val="Hyperlink"/>
                <w:noProof/>
                <w:sz w:val="22"/>
              </w:rPr>
              <w:t>5.6 Action Plan</w:t>
            </w:r>
            <w:r w:rsidR="004C73E7" w:rsidRPr="004C73E7">
              <w:rPr>
                <w:noProof/>
                <w:webHidden/>
                <w:sz w:val="22"/>
              </w:rPr>
              <w:tab/>
            </w:r>
            <w:r w:rsidR="004C73E7" w:rsidRPr="004C73E7">
              <w:rPr>
                <w:noProof/>
                <w:webHidden/>
                <w:sz w:val="22"/>
              </w:rPr>
              <w:fldChar w:fldCharType="begin"/>
            </w:r>
            <w:r w:rsidR="004C73E7" w:rsidRPr="004C73E7">
              <w:rPr>
                <w:noProof/>
                <w:webHidden/>
                <w:sz w:val="22"/>
              </w:rPr>
              <w:instrText xml:space="preserve"> PAGEREF _Toc233166918 \h </w:instrText>
            </w:r>
            <w:r w:rsidR="004C73E7" w:rsidRPr="004C73E7">
              <w:rPr>
                <w:noProof/>
                <w:webHidden/>
                <w:sz w:val="22"/>
              </w:rPr>
            </w:r>
            <w:r w:rsidR="004C73E7" w:rsidRPr="004C73E7">
              <w:rPr>
                <w:noProof/>
                <w:webHidden/>
                <w:sz w:val="22"/>
              </w:rPr>
              <w:fldChar w:fldCharType="separate"/>
            </w:r>
            <w:r w:rsidR="004C73E7" w:rsidRPr="004C73E7">
              <w:rPr>
                <w:noProof/>
                <w:webHidden/>
                <w:sz w:val="22"/>
              </w:rPr>
              <w:t>23</w:t>
            </w:r>
            <w:r w:rsidR="004C73E7" w:rsidRPr="004C73E7">
              <w:rPr>
                <w:noProof/>
                <w:webHidden/>
                <w:sz w:val="22"/>
              </w:rPr>
              <w:fldChar w:fldCharType="end"/>
            </w:r>
          </w:hyperlink>
        </w:p>
        <w:p w:rsidR="00DA33E6" w:rsidRPr="00DA33E6" w:rsidRDefault="00DA33E6" w:rsidP="00DA33E6">
          <w:r w:rsidRPr="004C73E7">
            <w:rPr>
              <w:b/>
              <w:bCs/>
              <w:noProof/>
              <w:sz w:val="22"/>
            </w:rPr>
            <w:fldChar w:fldCharType="end"/>
          </w:r>
        </w:p>
      </w:sdtContent>
    </w:sdt>
    <w:p w:rsidR="00DA33E6" w:rsidRDefault="00DE04FE" w:rsidP="00E22710">
      <w:pPr>
        <w:pStyle w:val="Heading1"/>
      </w:pPr>
      <w:bookmarkStart w:id="1" w:name="_Toc233166893"/>
      <w:r w:rsidRPr="00DE04FE">
        <w:t>Section 1:</w:t>
      </w:r>
      <w:bookmarkEnd w:id="1"/>
      <w:r w:rsidRPr="00DE04FE">
        <w:t xml:space="preserve"> </w:t>
      </w:r>
    </w:p>
    <w:p w:rsidR="00DE04FE" w:rsidRPr="00DE04FE" w:rsidRDefault="00DA33E6" w:rsidP="00E22710">
      <w:pPr>
        <w:pStyle w:val="Heading1"/>
      </w:pPr>
      <w:bookmarkStart w:id="2" w:name="_Toc233166894"/>
      <w:r>
        <w:t xml:space="preserve">1. </w:t>
      </w:r>
      <w:r w:rsidR="00DE04FE" w:rsidRPr="00DE04FE">
        <w:t>Organi</w:t>
      </w:r>
      <w:r w:rsidR="00E22710">
        <w:t>sational Context and Overview</w:t>
      </w:r>
      <w:bookmarkEnd w:id="2"/>
      <w:r w:rsidR="00E22710">
        <w:t xml:space="preserve"> </w:t>
      </w:r>
    </w:p>
    <w:p w:rsidR="00DE04FE" w:rsidRPr="00E22710" w:rsidRDefault="00E22710" w:rsidP="00E22710">
      <w:pPr>
        <w:pStyle w:val="Heading2"/>
      </w:pPr>
      <w:bookmarkStart w:id="3" w:name="_Toc233166895"/>
      <w:r>
        <w:t xml:space="preserve">1.1 </w:t>
      </w:r>
      <w:r w:rsidR="00DE04FE" w:rsidRPr="00E22710">
        <w:t>Organisational Background and History</w:t>
      </w:r>
      <w:bookmarkEnd w:id="3"/>
    </w:p>
    <w:p w:rsidR="00DE04FE" w:rsidRPr="00DE04FE" w:rsidRDefault="00DE04FE" w:rsidP="00E22710">
      <w:pPr>
        <w:jc w:val="both"/>
        <w:rPr>
          <w:bCs/>
        </w:rPr>
      </w:pPr>
      <w:r w:rsidRPr="00DE04FE">
        <w:rPr>
          <w:bCs/>
        </w:rPr>
        <w:t xml:space="preserve">Adidas is one of the world’s leading sportswear manufacturers, founded in 1949 in Germany by Adolf Dassler. It's a global company that specializes in sports shoes, </w:t>
      </w:r>
      <w:r w:rsidR="00B82157" w:rsidRPr="00DE04FE">
        <w:rPr>
          <w:bCs/>
        </w:rPr>
        <w:t>sportswear</w:t>
      </w:r>
      <w:r w:rsidRPr="00DE04FE">
        <w:rPr>
          <w:bCs/>
        </w:rPr>
        <w:t>, and sports accessories, both for sports and for lifestyle. Throughout the decades, Adidas has become a formidable brand on the global level, thanks to its innovation and performances as well as its marketing strategies and athlete sponsorships. The company's long-term strategy is focused on desirability of the brand, product innovation and market localisation including high growth countries like Asia (Adidas, 2023).</w:t>
      </w:r>
    </w:p>
    <w:p w:rsidR="00DE04FE" w:rsidRPr="00DE04FE" w:rsidRDefault="00DE04FE" w:rsidP="00E22710">
      <w:pPr>
        <w:jc w:val="both"/>
        <w:rPr>
          <w:bCs/>
        </w:rPr>
      </w:pPr>
      <w:r w:rsidRPr="00DE04FE">
        <w:rPr>
          <w:bCs/>
        </w:rPr>
        <w:t xml:space="preserve">In the later part of the 1990s, Adidas had made its first entrance into the Chinese market and was quickly growing as the disposable income of the Chinese people increased, the number of people involved in sports grew and the Chinese government introduced policies to support health and fitness. Adidas has now turned to China as one of its most key markets for growth and revenue, as it has been a significant contributor to the long-term growth of the company </w:t>
      </w:r>
      <w:r w:rsidR="00B82157" w:rsidRPr="00DE04FE">
        <w:rPr>
          <w:bCs/>
        </w:rPr>
        <w:t>(Zhang</w:t>
      </w:r>
      <w:r w:rsidRPr="00DE04FE">
        <w:rPr>
          <w:bCs/>
        </w:rPr>
        <w:t>, 2021). The company has developed a global strategy that is tailored to the preferences of its local consumers by introducing China-exclusive products, digital retail experiences, and partnerships with local designers and athletes (Li &amp; Chen, 2022).</w:t>
      </w:r>
    </w:p>
    <w:p w:rsidR="00DE04FE" w:rsidRPr="00DE04FE" w:rsidRDefault="00DE04FE" w:rsidP="00E22710">
      <w:pPr>
        <w:jc w:val="both"/>
        <w:rPr>
          <w:bCs/>
        </w:rPr>
      </w:pPr>
      <w:r w:rsidRPr="00DE04FE">
        <w:rPr>
          <w:bCs/>
        </w:rPr>
        <w:t>Adidas' mission statement is to be the “best sports brand in the world” through the development of innovative, high quality products to improve the performance of sports people. Its vision focuses on sustainability, digitisation and consumer orientation – a combination of business success and social responsibility. Adidas' business model combines wholesale partnerships and direct-to-consumer (DTC) channels with digital platforms, enabling the company to enjoy scale and efficiency while retaining control of its brand (Porter &amp; Heppelmann, 2020).</w:t>
      </w:r>
    </w:p>
    <w:p w:rsidR="00DE04FE" w:rsidRPr="00DE04FE" w:rsidRDefault="00DE04FE" w:rsidP="00E22710">
      <w:pPr>
        <w:pStyle w:val="Heading2"/>
      </w:pPr>
      <w:bookmarkStart w:id="4" w:name="_Toc233166896"/>
      <w:r w:rsidRPr="00DE04FE">
        <w:t>1.2 Industry, Competitors, and Market Position</w:t>
      </w:r>
      <w:bookmarkEnd w:id="4"/>
    </w:p>
    <w:p w:rsidR="00DE04FE" w:rsidRPr="00DE04FE" w:rsidRDefault="00DE04FE" w:rsidP="00E22710">
      <w:pPr>
        <w:jc w:val="both"/>
        <w:rPr>
          <w:bCs/>
        </w:rPr>
      </w:pPr>
      <w:r w:rsidRPr="00DE04FE">
        <w:rPr>
          <w:bCs/>
        </w:rPr>
        <w:t>The Chinese sportswear market is competitive and dynamic, with rapid urbanisation, health awareness, and the growth of digital commerce driving the industry. Competition in the market is high (with strong international players and fast-growing domestic competitors) and there is pressure on differentiation and innovation (Euromonitor, 2024). Adidas is in direct competition with Nike, as well as with the emerging brands from China that have gained brand loyalty in China due to their cultural proximity and benefits from the Chinese market (Wang, 2022).</w:t>
      </w:r>
    </w:p>
    <w:p w:rsidR="00DE04FE" w:rsidRPr="00DE04FE" w:rsidRDefault="00DE04FE" w:rsidP="00E22710">
      <w:pPr>
        <w:jc w:val="both"/>
        <w:rPr>
          <w:bCs/>
        </w:rPr>
      </w:pPr>
      <w:r w:rsidRPr="00DE04FE">
        <w:rPr>
          <w:bCs/>
        </w:rPr>
        <w:t>In spite of the competition, Adidas is able to hold its position in the Chinese market by offering high-end brands, technological innovation and having a wide retail network. In recent years, however, consumer nationalism and a preference for local brands have necessitated a re-thinking of Adidas' positioning strategy and an increasing focus on localisation efforts (Sun &amp; Zhao, 2023). Therefore, it is very important to assess the appropriateness of Adidas' current strategy in the Chinese market to maintain competitive advantage in the long term.</w:t>
      </w:r>
    </w:p>
    <w:p w:rsidR="00DE04FE" w:rsidRPr="00DE04FE" w:rsidRDefault="00DE04FE" w:rsidP="00DA33E6">
      <w:pPr>
        <w:pStyle w:val="Heading1"/>
      </w:pPr>
      <w:bookmarkStart w:id="5" w:name="_Toc233166897"/>
      <w:r w:rsidRPr="00DE04FE">
        <w:t>2. External and Internal Analysis:</w:t>
      </w:r>
      <w:bookmarkEnd w:id="5"/>
    </w:p>
    <w:p w:rsidR="00DE04FE" w:rsidRPr="00DE04FE" w:rsidRDefault="00DE04FE" w:rsidP="00E22710">
      <w:pPr>
        <w:jc w:val="both"/>
        <w:rPr>
          <w:bCs/>
        </w:rPr>
      </w:pPr>
      <w:r w:rsidRPr="00DE04FE">
        <w:rPr>
          <w:bCs/>
        </w:rPr>
        <w:t>This section analyzes the strategic position of Adidas in the sportswear market in China using the external macro-environment and internal organisational resources and capabilities. The essential opportunities and threats are identified using PESTEL framework and the internal strengths and weakness are determined using VRIO analysis. The results are then integrated into a SWOT analysis to give a comprehensive view of Adidas strategic position in China.</w:t>
      </w:r>
    </w:p>
    <w:p w:rsidR="00DE04FE" w:rsidRDefault="00DE04FE" w:rsidP="00DA33E6">
      <w:pPr>
        <w:pStyle w:val="Heading2"/>
      </w:pPr>
      <w:bookmarkStart w:id="6" w:name="_Toc233166898"/>
      <w:r w:rsidRPr="00DE04FE">
        <w:t>2.1 External Environment Analysis (PESTEL Framework)</w:t>
      </w:r>
      <w:bookmarkEnd w:id="6"/>
    </w:p>
    <w:p w:rsidR="00B82157" w:rsidRPr="00B82157" w:rsidRDefault="00B82157" w:rsidP="00B82157">
      <w:r>
        <w:rPr>
          <w:noProof/>
        </w:rPr>
        <w:drawing>
          <wp:inline distT="0" distB="0" distL="0" distR="0" wp14:anchorId="1A5C1B6A" wp14:editId="5A946548">
            <wp:extent cx="5943600" cy="42754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275455"/>
                    </a:xfrm>
                    <a:prstGeom prst="rect">
                      <a:avLst/>
                    </a:prstGeom>
                  </pic:spPr>
                </pic:pic>
              </a:graphicData>
            </a:graphic>
          </wp:inline>
        </w:drawing>
      </w:r>
    </w:p>
    <w:p w:rsidR="00DE04FE" w:rsidRPr="00DA33E6" w:rsidRDefault="00DE04FE" w:rsidP="00DA33E6">
      <w:pPr>
        <w:pStyle w:val="ListParagraph"/>
        <w:numPr>
          <w:ilvl w:val="0"/>
          <w:numId w:val="8"/>
        </w:numPr>
        <w:jc w:val="both"/>
        <w:rPr>
          <w:b/>
          <w:bCs/>
        </w:rPr>
      </w:pPr>
      <w:r w:rsidRPr="00DA33E6">
        <w:rPr>
          <w:b/>
          <w:bCs/>
        </w:rPr>
        <w:t>Political Factors</w:t>
      </w:r>
    </w:p>
    <w:p w:rsidR="00DE04FE" w:rsidRPr="00DE04FE" w:rsidRDefault="00DE04FE" w:rsidP="00E22710">
      <w:pPr>
        <w:jc w:val="both"/>
        <w:rPr>
          <w:bCs/>
        </w:rPr>
      </w:pPr>
      <w:r w:rsidRPr="00DE04FE">
        <w:rPr>
          <w:bCs/>
        </w:rPr>
        <w:t xml:space="preserve">In China, political influence is a key determinant of Adidas' business. The government of China is actively encouraging citizens' engagement in sports and physical activity, for example, through the Healthy China 2030 initiative which sets a positive and inspiring pathway for the growth of sportswear demand (State Council of China, 2022). These policies benefit the enhancement of infrastructure, sports education, and fitness awareness, which is a long-term opportunity for Adidas to increase its customer base </w:t>
      </w:r>
      <w:r w:rsidR="006319D9" w:rsidRPr="00DE04FE">
        <w:rPr>
          <w:bCs/>
        </w:rPr>
        <w:t>(Zhang</w:t>
      </w:r>
      <w:r w:rsidRPr="00DE04FE">
        <w:rPr>
          <w:bCs/>
        </w:rPr>
        <w:t>, 2021).</w:t>
      </w:r>
    </w:p>
    <w:p w:rsidR="00DE04FE" w:rsidRPr="00DE04FE" w:rsidRDefault="00DE04FE" w:rsidP="00E22710">
      <w:pPr>
        <w:jc w:val="both"/>
        <w:rPr>
          <w:bCs/>
        </w:rPr>
      </w:pPr>
      <w:r w:rsidRPr="00DE04FE">
        <w:rPr>
          <w:bCs/>
        </w:rPr>
        <w:t>But there are strategic dangers due to the geopolitical tensions between the West and China. The negative effects of trade tensions, regulatory oversight of foreign companies, and politically charged consumer nationalism on foreign brands in China suggest that the country's market has become more challenging for foreign firms (Sun &amp; Zhao, 2023). Adidas has been facing similar problems of reputation and sales in the past that were connected to political debates, which shows the company's susceptibility to public opinion and state–business relations (Wang, 2022). Consequently, political risks both in the form of growth opportunities and significant threats demand strategic handling.</w:t>
      </w:r>
    </w:p>
    <w:p w:rsidR="00DE04FE" w:rsidRPr="00DA33E6" w:rsidRDefault="00DE04FE" w:rsidP="00DA33E6">
      <w:pPr>
        <w:pStyle w:val="ListParagraph"/>
        <w:numPr>
          <w:ilvl w:val="0"/>
          <w:numId w:val="8"/>
        </w:numPr>
        <w:jc w:val="both"/>
        <w:rPr>
          <w:b/>
          <w:bCs/>
        </w:rPr>
      </w:pPr>
      <w:r w:rsidRPr="00DA33E6">
        <w:rPr>
          <w:b/>
          <w:bCs/>
        </w:rPr>
        <w:t>Economic Factors</w:t>
      </w:r>
    </w:p>
    <w:p w:rsidR="00DE04FE" w:rsidRPr="00DE04FE" w:rsidRDefault="00DE04FE" w:rsidP="00E22710">
      <w:pPr>
        <w:jc w:val="both"/>
        <w:rPr>
          <w:bCs/>
        </w:rPr>
      </w:pPr>
      <w:r w:rsidRPr="00DE04FE">
        <w:rPr>
          <w:bCs/>
        </w:rPr>
        <w:t>Despite its position as one of the world's largest consumer markets, China's sportswear market continues to be driven by the rising middle class and growing disposable incomes in the country (World Bank, 2023). The growth of urbanization and the adoption of a health-conscious consumer base provides good economic prospects for Adidas' performance and athleisure product segments (Li &amp; Chen, 2022).</w:t>
      </w:r>
    </w:p>
    <w:p w:rsidR="00DE04FE" w:rsidRPr="00DE04FE" w:rsidRDefault="00DE04FE" w:rsidP="00E22710">
      <w:pPr>
        <w:jc w:val="both"/>
        <w:rPr>
          <w:bCs/>
        </w:rPr>
      </w:pPr>
      <w:r w:rsidRPr="00DE04FE">
        <w:rPr>
          <w:bCs/>
        </w:rPr>
        <w:t>On the contrary, China’s economy has slowed considerably over the past few years as a result of structural adjustments, international uncertainty over the economy, and issues stemming from recovery from the pandemic (IMF, 2024). Growth in consumption is being driven by price sensitivity and slower consumption growth, creating competition pressure, especially from local brands that have similar products at lower prices (Euromonitor, 2024). The economic factors pose risks to Adidas' margins and call for a streamlined value proposition to warrant the higher price tag in a more conservative consumer climate.</w:t>
      </w:r>
    </w:p>
    <w:p w:rsidR="00DE04FE" w:rsidRPr="00DA33E6" w:rsidRDefault="00DE04FE" w:rsidP="00DA33E6">
      <w:pPr>
        <w:pStyle w:val="ListParagraph"/>
        <w:numPr>
          <w:ilvl w:val="0"/>
          <w:numId w:val="8"/>
        </w:numPr>
        <w:jc w:val="both"/>
        <w:rPr>
          <w:b/>
          <w:bCs/>
        </w:rPr>
      </w:pPr>
      <w:r w:rsidRPr="00DA33E6">
        <w:rPr>
          <w:b/>
          <w:bCs/>
        </w:rPr>
        <w:t>Social Factors</w:t>
      </w:r>
    </w:p>
    <w:p w:rsidR="00DE04FE" w:rsidRPr="00DE04FE" w:rsidRDefault="00DE04FE" w:rsidP="00E22710">
      <w:pPr>
        <w:jc w:val="both"/>
        <w:rPr>
          <w:bCs/>
        </w:rPr>
      </w:pPr>
      <w:r w:rsidRPr="00DE04FE">
        <w:rPr>
          <w:bCs/>
        </w:rPr>
        <w:t>Adidas' strategic opportunities of China are heavily affected by the social and cultural trends. Today, fitness, wellness and sports involvement are becoming more and more embedded into urban living, especially for younger consumers (Zhao, 2021). The more the running, basketball, and gym culture developed, the more opportunities appeared on the demand side that correspond with the main products of Adidas (Li &amp; Chen, 2022).</w:t>
      </w:r>
    </w:p>
    <w:p w:rsidR="00DE04FE" w:rsidRPr="00DE04FE" w:rsidRDefault="00DE04FE" w:rsidP="00E22710">
      <w:pPr>
        <w:jc w:val="both"/>
        <w:rPr>
          <w:bCs/>
        </w:rPr>
      </w:pPr>
      <w:r w:rsidRPr="00DE04FE">
        <w:rPr>
          <w:bCs/>
        </w:rPr>
        <w:t>In recent years, however, consumer nationalism is also gaining momentum, and Chinese consumers have turned to purchasing local sportswear brands that embody Chinese identity and values (Sun &amp; Zhao, 2023). Local brands have been able to capitalise on cultural narratives, national pride, and local celebrity endorsements to build brand loyalty (Wang, 2022). Western brand heritage has been a strength for Adidas, but if localisation fails to be strong enough it can be a weakness. So, social factors mean that Adidas needs to emphasise global uniformity whilst embedding greater cultural sensitivity.</w:t>
      </w:r>
    </w:p>
    <w:p w:rsidR="00DE04FE" w:rsidRPr="00DA33E6" w:rsidRDefault="00DE04FE" w:rsidP="00DA33E6">
      <w:pPr>
        <w:pStyle w:val="ListParagraph"/>
        <w:numPr>
          <w:ilvl w:val="0"/>
          <w:numId w:val="8"/>
        </w:numPr>
        <w:jc w:val="both"/>
        <w:rPr>
          <w:b/>
          <w:bCs/>
        </w:rPr>
      </w:pPr>
      <w:r w:rsidRPr="00DA33E6">
        <w:rPr>
          <w:b/>
          <w:bCs/>
        </w:rPr>
        <w:t>Technological Factors</w:t>
      </w:r>
    </w:p>
    <w:p w:rsidR="00DE04FE" w:rsidRPr="00DE04FE" w:rsidRDefault="00DE04FE" w:rsidP="00E22710">
      <w:pPr>
        <w:jc w:val="both"/>
        <w:rPr>
          <w:bCs/>
        </w:rPr>
      </w:pPr>
      <w:r w:rsidRPr="00DE04FE">
        <w:rPr>
          <w:bCs/>
        </w:rPr>
        <w:t>Technological development will be one of the key opportunities for Adidas in China. The country is a leader in the digital commerce, mobile payment, and social commerce environment, offering brands opportunities to connect with consumers in a data-driven and omnichannel way (McKinsey, 2023). The investments in digital retail, personalised marketing and smart supply chains improve the customer experience and operational efficiency (Adidas, 2023).</w:t>
      </w:r>
    </w:p>
    <w:p w:rsidR="00DE04FE" w:rsidRPr="00DE04FE" w:rsidRDefault="00DE04FE" w:rsidP="00E22710">
      <w:pPr>
        <w:jc w:val="both"/>
        <w:rPr>
          <w:bCs/>
        </w:rPr>
      </w:pPr>
      <w:r w:rsidRPr="00DE04FE">
        <w:rPr>
          <w:bCs/>
        </w:rPr>
        <w:t>However, with the rapid pace of technological advancements, there is also increased competition. The Chinese sportswear companies are also starting to leverage the latest manufacturing technology, design with AI and short product time to gain Adidas' edge (Euromonitor, 2024). In addition, the use of third-party-controlled digital platforms brings some risks of data governance and platform dependency for Adidas (Porter &amp; Heppelmann, 2020). These technological factors therefore provide some form of strategic leverage and operational vulnerabilities.</w:t>
      </w:r>
    </w:p>
    <w:p w:rsidR="00DE04FE" w:rsidRPr="00DA33E6" w:rsidRDefault="00DE04FE" w:rsidP="00DA33E6">
      <w:pPr>
        <w:pStyle w:val="ListParagraph"/>
        <w:numPr>
          <w:ilvl w:val="0"/>
          <w:numId w:val="8"/>
        </w:numPr>
        <w:jc w:val="both"/>
        <w:rPr>
          <w:b/>
          <w:bCs/>
        </w:rPr>
      </w:pPr>
      <w:r w:rsidRPr="00DA33E6">
        <w:rPr>
          <w:b/>
          <w:bCs/>
        </w:rPr>
        <w:t>Environmental Factors</w:t>
      </w:r>
    </w:p>
    <w:p w:rsidR="00E22710" w:rsidRPr="00E22710" w:rsidRDefault="00E22710" w:rsidP="00E22710">
      <w:pPr>
        <w:jc w:val="both"/>
        <w:rPr>
          <w:bCs/>
        </w:rPr>
      </w:pPr>
      <w:r w:rsidRPr="00E22710">
        <w:rPr>
          <w:bCs/>
        </w:rPr>
        <w:t>The concept of environmental sustainability is gaining importance in the Chinese consumer and regulatory market. Government policies are more and more encouraging carbon reduction, waste management, and sustainable manufacturing methods (State Council of China, 2022). These sustainability goals are well aligned with Adidas' worldwide sustainability efforts, such as their use of recycled materials and their circular product design (Adidas, 2023).</w:t>
      </w:r>
    </w:p>
    <w:p w:rsidR="00E22710" w:rsidRPr="00E22710" w:rsidRDefault="00E22710" w:rsidP="00E22710">
      <w:pPr>
        <w:jc w:val="both"/>
        <w:rPr>
          <w:bCs/>
        </w:rPr>
      </w:pPr>
      <w:r w:rsidRPr="00E22710">
        <w:rPr>
          <w:bCs/>
        </w:rPr>
        <w:t>The reality of implementing sustainable practices in the complex supply chain, however, has challenges that include cost, supplier compliance, and transparency in China (KPMG, 2022). Environmental regulations could lead to higher operating costs and put Adidas at risk of reputational damage if sustainability claims are not backed up. Environmental factors can thus be used as opportunities for differentiation, but also as threats if one or more opportunities go wrong.</w:t>
      </w:r>
    </w:p>
    <w:p w:rsidR="00E22710" w:rsidRPr="00DA33E6" w:rsidRDefault="00E22710" w:rsidP="00DA33E6">
      <w:pPr>
        <w:pStyle w:val="ListParagraph"/>
        <w:numPr>
          <w:ilvl w:val="0"/>
          <w:numId w:val="8"/>
        </w:numPr>
        <w:jc w:val="both"/>
        <w:rPr>
          <w:b/>
          <w:bCs/>
        </w:rPr>
      </w:pPr>
      <w:r w:rsidRPr="00DA33E6">
        <w:rPr>
          <w:b/>
          <w:bCs/>
        </w:rPr>
        <w:t>Legal Factors</w:t>
      </w:r>
    </w:p>
    <w:p w:rsidR="00E22710" w:rsidRPr="00E22710" w:rsidRDefault="00E22710" w:rsidP="00E22710">
      <w:pPr>
        <w:jc w:val="both"/>
        <w:rPr>
          <w:bCs/>
        </w:rPr>
      </w:pPr>
      <w:r w:rsidRPr="00E22710">
        <w:rPr>
          <w:bCs/>
        </w:rPr>
        <w:t>China's legal landscape is marked by continuous changes in laws and regulations related to labour standards, intellectual property rights, and consumer protection. Higher IP law enforcement is advantageous for Adidas since it helps decrease counterfeiting and safeguards the brand value (WIPO, 2023). Furthermore, consumer protection laws have been strengthened, which boosts consumers' confidence in high-quality brands ( Zhang, 2021).</w:t>
      </w:r>
    </w:p>
    <w:p w:rsidR="00E22710" w:rsidRPr="00E22710" w:rsidRDefault="00E22710" w:rsidP="00E22710">
      <w:pPr>
        <w:jc w:val="both"/>
        <w:rPr>
          <w:bCs/>
        </w:rPr>
      </w:pPr>
      <w:r w:rsidRPr="00E22710">
        <w:rPr>
          <w:bCs/>
        </w:rPr>
        <w:t>Meanwhile, foreign companies also face escalation of regulatory complexity and local compliance requirements that raise the operational risk for them (Sun &amp; Zhao, 2023). The evolving nature of data protection laws and advertising regulations could impact marketing strategies and digital data utilization (McKinsey, 2023). Legal is thus a key factor in ensuring Adidas has strong compliance capabilities and can respond to regulatory change quickly.</w:t>
      </w:r>
    </w:p>
    <w:p w:rsidR="00E22710" w:rsidRPr="00E22710" w:rsidRDefault="00E22710" w:rsidP="00DA33E6">
      <w:pPr>
        <w:pStyle w:val="Heading2"/>
      </w:pPr>
      <w:bookmarkStart w:id="7" w:name="_Toc233166899"/>
      <w:r w:rsidRPr="00E22710">
        <w:t>2.2 Internal Environment Analysis (VRIO Framework)</w:t>
      </w:r>
      <w:bookmarkEnd w:id="7"/>
    </w:p>
    <w:p w:rsidR="00E22710" w:rsidRDefault="00E22710" w:rsidP="00E22710">
      <w:pPr>
        <w:jc w:val="both"/>
        <w:rPr>
          <w:bCs/>
        </w:rPr>
      </w:pPr>
      <w:r w:rsidRPr="00E22710">
        <w:rPr>
          <w:bCs/>
        </w:rPr>
        <w:t>To determine if Adidas' internal resources and capabilities offer a sustainable competitive advantage in the Chinese market, the VRIO framework is used.</w:t>
      </w:r>
    </w:p>
    <w:p w:rsidR="00B82157" w:rsidRPr="00E22710" w:rsidRDefault="00B82157" w:rsidP="00E22710">
      <w:pPr>
        <w:jc w:val="both"/>
        <w:rPr>
          <w:bCs/>
        </w:rPr>
      </w:pPr>
      <w:r>
        <w:rPr>
          <w:noProof/>
        </w:rPr>
        <w:drawing>
          <wp:inline distT="0" distB="0" distL="0" distR="0" wp14:anchorId="09FE68B4" wp14:editId="00038A4D">
            <wp:extent cx="5943600" cy="34004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400425"/>
                    </a:xfrm>
                    <a:prstGeom prst="rect">
                      <a:avLst/>
                    </a:prstGeom>
                  </pic:spPr>
                </pic:pic>
              </a:graphicData>
            </a:graphic>
          </wp:inline>
        </w:drawing>
      </w:r>
    </w:p>
    <w:p w:rsidR="00241B1A" w:rsidRPr="00241B1A" w:rsidRDefault="00241B1A" w:rsidP="006319D9">
      <w:pPr>
        <w:pStyle w:val="ListParagraph"/>
        <w:numPr>
          <w:ilvl w:val="0"/>
          <w:numId w:val="10"/>
        </w:numPr>
        <w:jc w:val="both"/>
        <w:rPr>
          <w:b/>
        </w:rPr>
      </w:pPr>
      <w:bookmarkStart w:id="8" w:name="_Toc233166900"/>
      <w:r w:rsidRPr="00241B1A">
        <w:rPr>
          <w:b/>
        </w:rPr>
        <w:t>Brand Equity</w:t>
      </w:r>
    </w:p>
    <w:p w:rsidR="00241B1A" w:rsidRPr="00241B1A" w:rsidRDefault="00241B1A" w:rsidP="006319D9">
      <w:pPr>
        <w:jc w:val="both"/>
      </w:pPr>
      <w:r w:rsidRPr="00241B1A">
        <w:t>Adidas' global brand equity is a valuable (V) resource because it can help Adidas to charge high prices, enhance customers' loyalty, and build a high level of recognition among consumers who wish to buy sports and urban-oriented products in China (Keller, 2020; Zhao, 2021). Still relatively uncommon (R) because of its long international reputation. But it is only partially inimitable (I) because domestic competition, like Anta and Li-Ning, are more and more mimicking Adidas marketing strategies and enhancing their own brand identities (Wang, 2022). Adidas is well organised (O) to capitalise on this asset by being able to market it globally and through retail outlets. Thus, in the current state of affairs, brand equity only gives them a temporary competitive edge, unless they can create greater localization and emotional connection with Chinese consumers.</w:t>
      </w:r>
    </w:p>
    <w:p w:rsidR="00241B1A" w:rsidRPr="00241B1A" w:rsidRDefault="00241B1A" w:rsidP="006319D9">
      <w:pPr>
        <w:pStyle w:val="ListParagraph"/>
        <w:numPr>
          <w:ilvl w:val="0"/>
          <w:numId w:val="10"/>
        </w:numPr>
        <w:jc w:val="both"/>
        <w:rPr>
          <w:b/>
        </w:rPr>
      </w:pPr>
      <w:r w:rsidRPr="00241B1A">
        <w:rPr>
          <w:b/>
        </w:rPr>
        <w:t>Product Innovation and R&amp;D.</w:t>
      </w:r>
    </w:p>
    <w:p w:rsidR="00241B1A" w:rsidRPr="00241B1A" w:rsidRDefault="00241B1A" w:rsidP="006319D9">
      <w:pPr>
        <w:jc w:val="both"/>
      </w:pPr>
      <w:r w:rsidRPr="00241B1A">
        <w:t>The value of Adidas' investment in performance footwear technology and sustainable materials is valuable (V) because increases the product differentiation and helps to position them as premium (Adidas, 2023; Porter, 2008). But these innovations are not as special anymore (R) as Chinese rivals quickly bring similar innovations to market and rapiden innovation cycles (Euromonitor, 2024). They are also very hard to keep inimitable (I) in a very dynamic market. Adidas is organised (O), with the aim to commercialise innovation through its global R&amp;D capabilities, however, adaptation locally is slower than domestic competitors. Thus, R&amp;D only provides them a short-term competitive edge and this has to be matched by quicker localisation to be effective.</w:t>
      </w:r>
    </w:p>
    <w:p w:rsidR="00241B1A" w:rsidRPr="00241B1A" w:rsidRDefault="00241B1A" w:rsidP="006319D9">
      <w:pPr>
        <w:pStyle w:val="ListParagraph"/>
        <w:numPr>
          <w:ilvl w:val="0"/>
          <w:numId w:val="10"/>
        </w:numPr>
        <w:jc w:val="both"/>
        <w:rPr>
          <w:b/>
        </w:rPr>
      </w:pPr>
      <w:r w:rsidRPr="00241B1A">
        <w:rPr>
          <w:b/>
        </w:rPr>
        <w:t>Supply Chain &amp; Distribution Network</w:t>
      </w:r>
    </w:p>
    <w:p w:rsidR="00241B1A" w:rsidRPr="00241B1A" w:rsidRDefault="00241B1A" w:rsidP="006319D9">
      <w:pPr>
        <w:jc w:val="both"/>
      </w:pPr>
      <w:r w:rsidRPr="00241B1A">
        <w:t>Adidas has a very efficient global supply chain and omni-channel distribution system, which is valuable for enhancing efficiency, customer accessibility and market coverage (Li &amp; Chen, 2022; McKinsey, 2023). But it's not really rare (R) nor completely inimitable (I), as the leading Chinese players have made huge investments in similarly advanced logistics and online retail solutions, too (Wang, 2022). Adidas is well organised (O) to take advantage of these capabilities, but the complexity of the supply chain also makes for more regulatory and geopolitical risk exposure. Thus, this resource offers only competitive parity, not one that can guarantee an advantage.</w:t>
      </w:r>
    </w:p>
    <w:p w:rsidR="00241B1A" w:rsidRPr="00241B1A" w:rsidRDefault="00241B1A" w:rsidP="006319D9">
      <w:pPr>
        <w:pStyle w:val="ListParagraph"/>
        <w:numPr>
          <w:ilvl w:val="0"/>
          <w:numId w:val="10"/>
        </w:numPr>
        <w:jc w:val="both"/>
        <w:rPr>
          <w:b/>
        </w:rPr>
      </w:pPr>
      <w:r w:rsidRPr="00241B1A">
        <w:rPr>
          <w:b/>
        </w:rPr>
        <w:t>Organisational Capabilities and Management</w:t>
      </w:r>
    </w:p>
    <w:p w:rsidR="00241B1A" w:rsidRDefault="00241B1A" w:rsidP="006319D9">
      <w:pPr>
        <w:jc w:val="both"/>
      </w:pPr>
      <w:r w:rsidRPr="00241B1A">
        <w:t>Adidas has value (V) for having experienced leadership, strategic planning and effective governance, which would help it to remain consistent across the globe and operating effectively (Grant, 2020; Adidas, 2023). But they are not completely uncommon (R) as other multi-national sportswear companies have similar managerial skills. In addition, the inimitability (I) is also reduced under centralized decision making as domestic firms are generally more responsive to local conditions than Adidas (Sun &amp; Zhao, 2023). Adidas is organised (O) to ensure that its global strategy is implemented effectively, but more decentralisation is required to better serve China's evolving taste. Overall, organisational capability is now a short term comparative advantage and not a long term comparative advantage.</w:t>
      </w:r>
    </w:p>
    <w:p w:rsidR="00E22710" w:rsidRDefault="00E22710" w:rsidP="00DA33E6">
      <w:pPr>
        <w:pStyle w:val="Heading2"/>
      </w:pPr>
      <w:r w:rsidRPr="00E22710">
        <w:t>2.3 SWOT Analysis</w:t>
      </w:r>
      <w:bookmarkEnd w:id="8"/>
    </w:p>
    <w:p w:rsidR="00B82157" w:rsidRDefault="00B82157" w:rsidP="00B82157">
      <w:r>
        <w:rPr>
          <w:noProof/>
        </w:rPr>
        <w:drawing>
          <wp:inline distT="0" distB="0" distL="0" distR="0" wp14:anchorId="22DD5556" wp14:editId="201F81E9">
            <wp:extent cx="5943600" cy="27139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713990"/>
                    </a:xfrm>
                    <a:prstGeom prst="rect">
                      <a:avLst/>
                    </a:prstGeom>
                  </pic:spPr>
                </pic:pic>
              </a:graphicData>
            </a:graphic>
          </wp:inline>
        </w:drawing>
      </w:r>
    </w:p>
    <w:p w:rsidR="00DE352D" w:rsidRPr="00DE352D" w:rsidRDefault="00DE352D" w:rsidP="006319D9">
      <w:pPr>
        <w:pStyle w:val="ListParagraph"/>
        <w:numPr>
          <w:ilvl w:val="0"/>
          <w:numId w:val="10"/>
        </w:numPr>
        <w:jc w:val="both"/>
        <w:rPr>
          <w:b/>
        </w:rPr>
      </w:pPr>
      <w:bookmarkStart w:id="9" w:name="_Toc233166901"/>
      <w:r w:rsidRPr="00DE352D">
        <w:rPr>
          <w:b/>
        </w:rPr>
        <w:t xml:space="preserve">SO </w:t>
      </w:r>
      <w:r w:rsidRPr="00DE352D">
        <w:rPr>
          <w:b/>
        </w:rPr>
        <w:t>(Strength–Opportunity) Strategy</w:t>
      </w:r>
    </w:p>
    <w:p w:rsidR="00DE352D" w:rsidRDefault="00DE352D" w:rsidP="006319D9">
      <w:pPr>
        <w:jc w:val="both"/>
      </w:pPr>
      <w:r>
        <w:t>Adidas should use their well-established brand recognition, ongoing investment in innovation and far-reaching omni-channel distribution channels to benefit from the growth of the Chinese sportswear market. Premium international brands have a positive outlook on the Chinese market due to rising health awareness, government promotion of sports and the growing number of online retailers. (State Council of China, 2022; World Bank, 2023). By leveraging its innovative skills and implementing personalised digital marketing strategies, data analytics, and direct-to-consumer platforms, Adidas can further</w:t>
      </w:r>
      <w:r>
        <w:t xml:space="preserve"> solidify its competitive edge (KPMG, 2022; Adidas, 2023).</w:t>
      </w:r>
    </w:p>
    <w:p w:rsidR="00DE352D" w:rsidRPr="00DE352D" w:rsidRDefault="00DE352D" w:rsidP="006319D9">
      <w:pPr>
        <w:pStyle w:val="ListParagraph"/>
        <w:numPr>
          <w:ilvl w:val="0"/>
          <w:numId w:val="10"/>
        </w:numPr>
        <w:jc w:val="both"/>
        <w:rPr>
          <w:b/>
        </w:rPr>
      </w:pPr>
      <w:r w:rsidRPr="00DE352D">
        <w:rPr>
          <w:b/>
        </w:rPr>
        <w:t xml:space="preserve">WO </w:t>
      </w:r>
      <w:r w:rsidRPr="00DE352D">
        <w:rPr>
          <w:b/>
        </w:rPr>
        <w:t>(Weakness–Opportunity) Strategy</w:t>
      </w:r>
    </w:p>
    <w:p w:rsidR="00DE352D" w:rsidRDefault="00DE352D" w:rsidP="006319D9">
      <w:pPr>
        <w:jc w:val="both"/>
      </w:pPr>
      <w:r>
        <w:t>To overcome its slow local responsiveness and higher prices, Adidas must localise the product development, marketing and pricing of its products. China's digital ecosystem is rapidly expanding, allowing the company to gather information about consumers and adjust to their preferences as they change (McKinsey, 2023). To enhance cultural relevance but retain global brand consistency, these local management teams need to be empowered to make better decisions, and these local groups should be connected with Chinese designers. These efforts would help to lessen Adidas' reliance on centralized strategies and make it more competitive a</w:t>
      </w:r>
      <w:r>
        <w:t>gainst nimble local businesses.</w:t>
      </w:r>
    </w:p>
    <w:p w:rsidR="00DE352D" w:rsidRPr="00DE352D" w:rsidRDefault="00DE352D" w:rsidP="006319D9">
      <w:pPr>
        <w:pStyle w:val="ListParagraph"/>
        <w:numPr>
          <w:ilvl w:val="0"/>
          <w:numId w:val="10"/>
        </w:numPr>
        <w:jc w:val="both"/>
        <w:rPr>
          <w:b/>
        </w:rPr>
      </w:pPr>
      <w:r w:rsidRPr="00DE352D">
        <w:rPr>
          <w:b/>
        </w:rPr>
        <w:t>ST (Strength–Threat) Strategy</w:t>
      </w:r>
    </w:p>
    <w:p w:rsidR="00DE352D" w:rsidRDefault="00DE352D" w:rsidP="006319D9">
      <w:pPr>
        <w:jc w:val="both"/>
      </w:pPr>
      <w:r>
        <w:t xml:space="preserve">Adidas's global brand reputation, financial strength and research capabilities must be used to hold off the growing competition from home-grown brands like Anta and Li-Ning. These companies are doing this by offering products at a lower price and drawing on a powerful national identity, but Adidas can continue to invest in performance innovation, sustainability, and an enhanced customer experience (Euromonitor, 2024). Exclusive product launches, athlete collaborations and digital interaction can help further distinguish the brand and mitigate consumer nationalism and speedy </w:t>
      </w:r>
      <w:r>
        <w:t>product copying (Zhang, 2021).</w:t>
      </w:r>
    </w:p>
    <w:p w:rsidR="00DE352D" w:rsidRPr="00DE352D" w:rsidRDefault="00DE352D" w:rsidP="006319D9">
      <w:pPr>
        <w:pStyle w:val="ListParagraph"/>
        <w:numPr>
          <w:ilvl w:val="0"/>
          <w:numId w:val="10"/>
        </w:numPr>
        <w:jc w:val="both"/>
        <w:rPr>
          <w:b/>
        </w:rPr>
      </w:pPr>
      <w:r w:rsidRPr="00DE352D">
        <w:rPr>
          <w:b/>
        </w:rPr>
        <w:t>WT (Weakness–Threat) Strategy</w:t>
      </w:r>
    </w:p>
    <w:p w:rsidR="00DE352D" w:rsidRDefault="00DE352D" w:rsidP="006319D9">
      <w:pPr>
        <w:jc w:val="both"/>
      </w:pPr>
      <w:r w:rsidRPr="00DE352D">
        <w:t>The exposure to geopolitical uncertainty, economic slowdown, and rapidly changing consumer preferences is higher as Adidas' decision-making process is slower and the supply chain is more complex (IMF, 2024; KPMG, 2022).</w:t>
      </w:r>
      <w:r>
        <w:t xml:space="preserve"> Adidas</w:t>
      </w:r>
      <w:r>
        <w:t xml:space="preserve"> must be more decentralised in some of its operational and marketing decisions, build closer ties with regional suppliers and introduce greater flexibility into its supply chain to minimise the risks. These would allow quicker reactions to shifts in the market, and less reliance on global activity. The improvements of these shortcomings ahead of time would strengthen organisations' agility and resilience in China's increasingly competiti</w:t>
      </w:r>
      <w:r>
        <w:t>ve sportswear market.</w:t>
      </w:r>
    </w:p>
    <w:p w:rsidR="00DA33E6" w:rsidRDefault="00E22710" w:rsidP="00DA33E6">
      <w:pPr>
        <w:pStyle w:val="Heading1"/>
      </w:pPr>
      <w:r>
        <w:t>3. Comprehensive and Holi</w:t>
      </w:r>
      <w:r w:rsidR="00DA33E6">
        <w:t>stic View of the Organisation</w:t>
      </w:r>
      <w:bookmarkEnd w:id="9"/>
      <w:r w:rsidR="00DA33E6">
        <w:t xml:space="preserve"> </w:t>
      </w:r>
    </w:p>
    <w:p w:rsidR="00E22710" w:rsidRDefault="00E22710" w:rsidP="00E22710">
      <w:pPr>
        <w:jc w:val="both"/>
      </w:pPr>
      <w:r>
        <w:t>This section offers a comprehensive analysis of Adidas in the Chinese sportswear market by evaluating its corporate social responsibility (CSR) approach and assessing organisational performance using the Balanced Scorecard (BSC) framework. These views highlight the intersection of strategic vision and action, and how economic value is delivered simultaneously with the social and environmental outcomes.</w:t>
      </w:r>
    </w:p>
    <w:p w:rsidR="00E22710" w:rsidRDefault="00E22710" w:rsidP="00DA33E6">
      <w:pPr>
        <w:pStyle w:val="Heading2"/>
      </w:pPr>
      <w:bookmarkStart w:id="10" w:name="_Toc233166902"/>
      <w:r>
        <w:t>3.1 Corporate Social Responsibility (CSR) Strategy and Alignment with Business Objectives</w:t>
      </w:r>
      <w:bookmarkEnd w:id="10"/>
    </w:p>
    <w:p w:rsidR="00E22710" w:rsidRDefault="00E22710" w:rsidP="00E22710">
      <w:pPr>
        <w:jc w:val="both"/>
      </w:pPr>
      <w:r>
        <w:t xml:space="preserve">Consistent with stakeholder expectations and regulatory requirements in global markets, CSR has migrated from being a "side activity" to a key strategic investment area at Adidas. CSR becomes more significant in China because of the rising attention of government authorities, environmental concern, and consumers' awareness of foreign brand ethical practices </w:t>
      </w:r>
      <w:r w:rsidR="004C73E7">
        <w:t>(Zhang</w:t>
      </w:r>
      <w:r>
        <w:t>, 2021). Adidas has a commitment to three core areas – sustainability, ethical sourcing and community – that are all linked to its long-term business goals (Adidas, 2023).</w:t>
      </w:r>
    </w:p>
    <w:p w:rsidR="00E22710" w:rsidRDefault="00E22710" w:rsidP="00E22710">
      <w:pPr>
        <w:jc w:val="both"/>
      </w:pPr>
      <w:r>
        <w:t>As far as the environment is concerned, Adidas promises to cut down its carbon footprint, make recycled materials more widely used, and encourage the adoption of circular economy principles. The products containing recycled polyester and the reduction of plastic in waste are key to helping China fulfill policy objectives around the environment and will appeal to consumers who care about the environment (KPMG, 2022). From a strategic perspective, these efforts reinforce brand differentiation and premium positioning, positioning Adidas as an innovative and responsible brand (Keller, 2020). The price of materials used to achieve sustainability, however, can be an issue in a price sensitive market, and if not managed with efficiency this can be a barrier for mass market appeal (Euromonitor, 2024).</w:t>
      </w:r>
    </w:p>
    <w:p w:rsidR="00E22710" w:rsidRDefault="00E22710" w:rsidP="00E22710">
      <w:pPr>
        <w:jc w:val="both"/>
      </w:pPr>
      <w:r>
        <w:t>Another important aspect of CSR is ethical supply chain management. The Adidas global supply chain has a complex setup with substantial manufacturing concentration in Asia. To mitigate risks in terms of labour standards and human rights, the company has put in place supplier codes of conduct, labour audits, and transparency measures (Adidas, 2023). In China, these practices complement the stricter labour laws and also contribute to addressing reputational concerns over unethical sourcing (WIPO, 2023). However, adhering to multiple levels of suppliers is still challenging, and that means that Adidas could be left with remnants of ethical and reputational issues (Sun &amp; Zhao, 2023).</w:t>
      </w:r>
    </w:p>
    <w:p w:rsidR="00E22710" w:rsidRDefault="00E22710" w:rsidP="00E22710">
      <w:pPr>
        <w:jc w:val="both"/>
      </w:pPr>
      <w:r>
        <w:t>In addition, community involvement programs continue to play a role in Adidas' CSR goals in China. The company is committed to investing in grassroots sport programmes, youth fitness programmes and collaboration with local institutions to encourage physical activity and social inclusion (Li &amp; Chen, 2022). These programs help build a sustainable market by increasing participation in sport and helping to create positive brand associations. From a strategic perspective, this interaction helps to improve Adidas' social legitimacy and build enduring ties with local stakeholders which contributes to sustainable market presence (Grant, 2020).</w:t>
      </w:r>
    </w:p>
    <w:p w:rsidR="00E22710" w:rsidRDefault="00E22710" w:rsidP="00DA33E6">
      <w:pPr>
        <w:pStyle w:val="Heading2"/>
      </w:pPr>
      <w:bookmarkStart w:id="11" w:name="_Toc233166903"/>
      <w:r>
        <w:t>3.2 Balanced Scorecard Analysis</w:t>
      </w:r>
      <w:bookmarkEnd w:id="11"/>
    </w:p>
    <w:p w:rsidR="00E22710" w:rsidRDefault="00E22710" w:rsidP="00E22710">
      <w:pPr>
        <w:jc w:val="both"/>
      </w:pPr>
      <w:r>
        <w:t xml:space="preserve">The Balanced Scorecard (BSC) was developed by Kaplan and Norton (1992) and offers a complete framework to assess the performance of an organisation based on four related perspectives—Financial, Customer, Internal Business Processes, and Learning and Growth. </w:t>
      </w:r>
    </w:p>
    <w:p w:rsidR="00E22710" w:rsidRPr="00DA33E6" w:rsidRDefault="00E22710" w:rsidP="00DA33E6">
      <w:pPr>
        <w:pStyle w:val="ListParagraph"/>
        <w:numPr>
          <w:ilvl w:val="0"/>
          <w:numId w:val="8"/>
        </w:numPr>
        <w:jc w:val="both"/>
        <w:rPr>
          <w:b/>
        </w:rPr>
      </w:pPr>
      <w:r w:rsidRPr="00DA33E6">
        <w:rPr>
          <w:b/>
        </w:rPr>
        <w:t>Financial Perspective</w:t>
      </w:r>
    </w:p>
    <w:p w:rsidR="00E22710" w:rsidRDefault="00E22710" w:rsidP="00E22710">
      <w:pPr>
        <w:jc w:val="both"/>
      </w:pPr>
      <w:r>
        <w:t>The financial perspective is related to creating value for the shareholders and long-term financial sustainability. The key financial goals of Adidas in China are to increase revenue, boost profitability, and maximise capital usage (Adidas, 2023). The company's focus on premium positioning and market share growth is supported by key performance indicators (KPIs) like sales growth, operating margin and return on investment (ROI) (Euromonitor, 2024).</w:t>
      </w:r>
    </w:p>
    <w:p w:rsidR="00E22710" w:rsidRDefault="00E22710" w:rsidP="00E22710">
      <w:pPr>
        <w:jc w:val="both"/>
      </w:pPr>
      <w:r>
        <w:t>Although Adidas has a high brand recognition in China, the company has experienced ups and downs as a result of intense competition and consumer preferences in the country (Wang, 2022). These strategic actions focus on rationalizing the product mix, increasing direct-to-consumer distribution and enhancing cost management are therefore crucial in order to regain financial traction. The financial performance is still very much at the heart of supporting investment in innovation and in CSR work, further emphasising the interconnectedness of the scorecard perspectives.</w:t>
      </w:r>
    </w:p>
    <w:p w:rsidR="00E22710" w:rsidRPr="00DA33E6" w:rsidRDefault="00E22710" w:rsidP="00DA33E6">
      <w:pPr>
        <w:pStyle w:val="ListParagraph"/>
        <w:numPr>
          <w:ilvl w:val="0"/>
          <w:numId w:val="8"/>
        </w:numPr>
        <w:jc w:val="both"/>
        <w:rPr>
          <w:b/>
        </w:rPr>
      </w:pPr>
      <w:r w:rsidRPr="00DA33E6">
        <w:rPr>
          <w:b/>
        </w:rPr>
        <w:t>Customer Perspective</w:t>
      </w:r>
    </w:p>
    <w:p w:rsidR="00E22710" w:rsidRDefault="00E22710" w:rsidP="00E22710">
      <w:pPr>
        <w:jc w:val="both"/>
      </w:pPr>
      <w:r>
        <w:t>The customer perspective is the one that assesses the ability of Adidas to meet the needs of target customers. Improving the brand relevance, customer experience, and loyalty of younger and digital consumers are key customer goals in China (Zhao, 2021). Measurement metrics like brand awareness, customer satisfaction, repeat purchases, and digital engagement metrics measure customer performance (McKinsey, 2023).</w:t>
      </w:r>
    </w:p>
    <w:p w:rsidR="00E22710" w:rsidRDefault="00E22710" w:rsidP="00E22710">
      <w:pPr>
        <w:jc w:val="both"/>
      </w:pPr>
      <w:r>
        <w:t>To meet the changing demands of consumers, Adidas has heavily invested in digital platforms, personalised marketing, and omnichannel retail experiences. The partnerships are with local designers and culturally appropriate product launches are intended to create more emotional connection with the Chinese consumers (Li &amp; Chen, 2022). To ensure long-term customer value creation, Adidas is required to navigate the two aspects of global brand identity and local authenticity.</w:t>
      </w:r>
    </w:p>
    <w:p w:rsidR="00E22710" w:rsidRPr="00DA33E6" w:rsidRDefault="00E22710" w:rsidP="00DA33E6">
      <w:pPr>
        <w:pStyle w:val="ListParagraph"/>
        <w:numPr>
          <w:ilvl w:val="0"/>
          <w:numId w:val="8"/>
        </w:numPr>
        <w:jc w:val="both"/>
        <w:rPr>
          <w:b/>
        </w:rPr>
      </w:pPr>
      <w:r w:rsidRPr="00DA33E6">
        <w:rPr>
          <w:b/>
        </w:rPr>
        <w:t>Internal Business Processes Perspective</w:t>
      </w:r>
    </w:p>
    <w:p w:rsidR="00E22710" w:rsidRDefault="00E22710" w:rsidP="00E22710">
      <w:pPr>
        <w:jc w:val="both"/>
      </w:pPr>
      <w:r>
        <w:t>The point of view is on the efficiency and effectiveness of internal operations as enablers to value creation. Adidas' internal priorities are to speed up the product development process, boost supply chain resilience and improve sustainability performance (Adidas, 2023). Important KPIs include time to market, inventory turnover, efficiency of the supply chain and rates of sustainability compliance (KPMG, 2022).</w:t>
      </w:r>
    </w:p>
    <w:p w:rsidR="00DE04FE" w:rsidRPr="00DE04FE" w:rsidRDefault="00E22710" w:rsidP="00E22710">
      <w:pPr>
        <w:jc w:val="both"/>
      </w:pPr>
      <w:r>
        <w:t>Speed has become a key competitive advantage and flexibility a major concern in the Chinese quick-paced retail market. Data-driven forecasting of demand and better collaboration with digital retail channels have contributed to Adidas' progress (McKinsey, 2023). However, the use of global supply chains may give less responsiveness than local competitors who have shorter production cycles (Wang, 2022). Better local sourcing and autonomy in decision making would result in better internal process performance and strategic agility.</w:t>
      </w:r>
    </w:p>
    <w:p w:rsidR="00DE04FE" w:rsidRPr="00DA33E6" w:rsidRDefault="00DE04FE" w:rsidP="00DA33E6">
      <w:pPr>
        <w:pStyle w:val="ListParagraph"/>
        <w:numPr>
          <w:ilvl w:val="0"/>
          <w:numId w:val="8"/>
        </w:numPr>
        <w:jc w:val="both"/>
        <w:rPr>
          <w:b/>
          <w:bCs/>
        </w:rPr>
      </w:pPr>
      <w:r w:rsidRPr="00DA33E6">
        <w:rPr>
          <w:b/>
          <w:bCs/>
        </w:rPr>
        <w:t>Learning and Growth Perspective</w:t>
      </w:r>
    </w:p>
    <w:p w:rsidR="00E22710" w:rsidRDefault="00E22710" w:rsidP="00E22710">
      <w:pPr>
        <w:jc w:val="both"/>
      </w:pPr>
      <w:r>
        <w:t>The learning / growth dimension gives a focus to long-term competitiveness in terms of human capital, organizational culture and innovation capability. Adidas' goals in this area are to develop local talent, drive innovation and increase their digital and analytical abilities (Grant, 2020). The progress towards these goals is reflected in KPIs like employee engagement, training-investment, innovation output, and development of digital capability (Adidas, 2023).</w:t>
      </w:r>
    </w:p>
    <w:p w:rsidR="00E22710" w:rsidRDefault="00E22710" w:rsidP="00E22710">
      <w:pPr>
        <w:jc w:val="both"/>
      </w:pPr>
      <w:r>
        <w:t>Developing robust local management capacities is especially crucial in China to deal with cultural, regulatory and market complexities (Sun &amp; Zhao, 2023). Adidas has access to global expertise and a leadership development approach that is structured, but more empowerment for local teams would help adaptation and execution of its strategies. Learning and growth programmes are thus an important aspect of the long-term competitive position.</w:t>
      </w:r>
    </w:p>
    <w:p w:rsidR="00E22710" w:rsidRDefault="00E22710" w:rsidP="00DA33E6">
      <w:pPr>
        <w:pStyle w:val="Heading1"/>
      </w:pPr>
      <w:bookmarkStart w:id="12" w:name="_Toc233166904"/>
      <w:r>
        <w:t>4. Strategic Choices and Implementation</w:t>
      </w:r>
      <w:bookmarkEnd w:id="12"/>
      <w:r>
        <w:t xml:space="preserve"> </w:t>
      </w:r>
    </w:p>
    <w:p w:rsidR="00E22710" w:rsidRDefault="00E22710" w:rsidP="00E22710">
      <w:pPr>
        <w:jc w:val="both"/>
      </w:pPr>
      <w:r>
        <w:t>This section assesses the strategic options that are available to Adidas in the Chinese sportswear market and determines which is the most suitable to continue and strengthen competitive advantages. The analysis employs existing generic strategic management tools such as Porter's Generic Strategies, Five Forces, Ansoff's Matrix and SAFe to explore strategic suitability, feasibility and acceptability, along with implementation challenges and mitigation.</w:t>
      </w:r>
    </w:p>
    <w:p w:rsidR="00E22710" w:rsidRDefault="00E22710" w:rsidP="00DA33E6">
      <w:pPr>
        <w:pStyle w:val="Heading2"/>
      </w:pPr>
      <w:bookmarkStart w:id="13" w:name="_Toc233166905"/>
      <w:r>
        <w:t>4.1 Business-Level Strategic Choices</w:t>
      </w:r>
      <w:bookmarkEnd w:id="13"/>
    </w:p>
    <w:p w:rsidR="00E22710" w:rsidRDefault="00E22710" w:rsidP="00E22710">
      <w:pPr>
        <w:jc w:val="both"/>
      </w:pPr>
      <w:r>
        <w:t>Organisations generally follow one of Porter's generic strategies at the business level: cost leadership, differentiation, or focus (Porter, 2008). The company's premium brand positioning and higher costs of innovation, marketing and sustainability efforts limit the cost leadership of Adidas in China (Euromonitor, 2024). It would take away the brand value and leave Adidas vulnerable to a fierce competition from the cost efficient domestic companies (Wang, 2022).</w:t>
      </w:r>
    </w:p>
    <w:p w:rsidR="00E22710" w:rsidRDefault="00E22710" w:rsidP="00E22710">
      <w:pPr>
        <w:jc w:val="both"/>
      </w:pPr>
      <w:r>
        <w:t>Overall, a differentiation strategy is the best that Adidas can do. The company's product innovation, brand heritage, performance technology and sustainability credentials help it stand out in a competitive market (Keller, 2020). Adidas can charge a higher price because they can provide their customers with unique products, quality and customer experiences, thereby decreasing direct price competition (Grant, 2020). Focused differentiation along the urban, health-conscious and digitally engaged consumer segments adds to strategic clarity. These segments are more willing to pay for premium brands, value innovation, sustainability and brand identity (Zhao, 2021). In this way, Adidas can focus on the high value of its customers and ensure brand consistency.</w:t>
      </w:r>
    </w:p>
    <w:p w:rsidR="00E22710" w:rsidRDefault="00E22710" w:rsidP="00DA33E6">
      <w:pPr>
        <w:pStyle w:val="Heading2"/>
      </w:pPr>
      <w:bookmarkStart w:id="14" w:name="_Toc233166906"/>
      <w:r>
        <w:t>4.2 Industry Structure Analysis: Porter’s Five Forces</w:t>
      </w:r>
      <w:bookmarkEnd w:id="14"/>
    </w:p>
    <w:p w:rsidR="00241B1A" w:rsidRPr="00241B1A" w:rsidRDefault="00B82157" w:rsidP="00241B1A">
      <w:pPr>
        <w:jc w:val="center"/>
      </w:pPr>
      <w:r>
        <w:rPr>
          <w:noProof/>
        </w:rPr>
        <w:drawing>
          <wp:inline distT="0" distB="0" distL="0" distR="0" wp14:anchorId="0AD3112E" wp14:editId="5E46BF91">
            <wp:extent cx="5572664" cy="4455154"/>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74290" cy="4456454"/>
                    </a:xfrm>
                    <a:prstGeom prst="rect">
                      <a:avLst/>
                    </a:prstGeom>
                  </pic:spPr>
                </pic:pic>
              </a:graphicData>
            </a:graphic>
          </wp:inline>
        </w:drawing>
      </w:r>
      <w:bookmarkStart w:id="15" w:name="_Toc233166907"/>
    </w:p>
    <w:p w:rsidR="00241B1A" w:rsidRPr="00241B1A" w:rsidRDefault="00241B1A" w:rsidP="006319D9">
      <w:pPr>
        <w:jc w:val="both"/>
      </w:pPr>
      <w:r w:rsidRPr="00241B1A">
        <w:t>The Chinese sportswear industry is quite competitive, and the Porter's Five Forces framework shows the level of competition Adidas is up against. The competitive environment is very high, with a lot of international brands as well as competitive domestic brands like Anta and Li-Ning coming up with new products regularly, trying to outscare the other, and aggressively marketing them (Euromonitor, 2024). This is why it is imperative for firms to differentiate the</w:t>
      </w:r>
      <w:r>
        <w:t>mselves to hold onto customers.</w:t>
      </w:r>
    </w:p>
    <w:p w:rsidR="00241B1A" w:rsidRPr="00241B1A" w:rsidRDefault="00241B1A" w:rsidP="006319D9">
      <w:pPr>
        <w:jc w:val="both"/>
      </w:pPr>
      <w:r w:rsidRPr="00241B1A">
        <w:t xml:space="preserve">The threat of new entrants is moderate. Although there's a lot of investment required in branding, distribution and technology, entry costs for new niche brands have been lowered by digital commerce, social media marketing, and contract </w:t>
      </w:r>
      <w:r>
        <w:t>manufacturing (McKinsey, 2023).</w:t>
      </w:r>
    </w:p>
    <w:p w:rsidR="00241B1A" w:rsidRPr="00241B1A" w:rsidRDefault="00241B1A" w:rsidP="006319D9">
      <w:pPr>
        <w:jc w:val="both"/>
      </w:pPr>
      <w:r w:rsidRPr="00241B1A">
        <w:t xml:space="preserve">There is a high level of buyer power as consumers are able to easily compare the prices, quality and reviews of products from different websites. Domestic brands such as Anta have also grown rapidly, providing customers with more options and giving them negotiating power </w:t>
      </w:r>
      <w:r w:rsidR="00DE352D" w:rsidRPr="00241B1A">
        <w:t>(Zhang</w:t>
      </w:r>
      <w:r>
        <w:t>, 2021; Euromonitor, 2024).</w:t>
      </w:r>
    </w:p>
    <w:p w:rsidR="00241B1A" w:rsidRPr="00241B1A" w:rsidRDefault="00241B1A" w:rsidP="006319D9">
      <w:pPr>
        <w:jc w:val="both"/>
      </w:pPr>
      <w:r w:rsidRPr="00241B1A">
        <w:t>Supplier power is medium. Adidas is a player in the global market on purchasing scale, thus it is better in bargaining position. But the use of specific sustainable materials and responsible sourcing adds to supplier flexibility constraints, and can elevate procurement costs (KPMG, 20</w:t>
      </w:r>
      <w:r>
        <w:t>22).</w:t>
      </w:r>
    </w:p>
    <w:p w:rsidR="00241B1A" w:rsidRDefault="00241B1A" w:rsidP="006319D9">
      <w:pPr>
        <w:jc w:val="both"/>
        <w:rPr>
          <w:b/>
        </w:rPr>
      </w:pPr>
      <w:r w:rsidRPr="00241B1A">
        <w:t>Competitive sportswear brands and the changing trend from sportswear to athleisure and fashion brands or to lower priced domestic sportswear brands that can provide similar lifestyle needs make the threat of substitute moderate to high. In general, the Five Forces analysis shows that the industry in which Adidas is operating is structurally challenging and that Adidas needs to constantly innovate, have effective localisation, strong brand differentiation and operational agility in order to succeed in the long run (Porter, 2008).</w:t>
      </w:r>
    </w:p>
    <w:p w:rsidR="00E22710" w:rsidRDefault="00E22710" w:rsidP="00241B1A">
      <w:pPr>
        <w:pStyle w:val="Heading2"/>
      </w:pPr>
      <w:r>
        <w:t>4.3 Growth Options: Ansoff's Matrix</w:t>
      </w:r>
      <w:bookmarkEnd w:id="15"/>
    </w:p>
    <w:p w:rsidR="00E22710" w:rsidRDefault="00E22710" w:rsidP="00E22710">
      <w:pPr>
        <w:jc w:val="both"/>
      </w:pPr>
      <w:r>
        <w:t>Ansoff's Matrix is a product-market growth strategy evaluation tool that can provide a matrix approach. Despite the drawbacks, market penetration via brand engagement and digital marketing strategies as well as loyalty programmes still presents a low-risk strategy for Adidas in China (Li &amp; Chen, 2022). But incremental gains are constrained with intense competition.</w:t>
      </w:r>
    </w:p>
    <w:p w:rsidR="00B82157" w:rsidRDefault="00B82157" w:rsidP="00E22710">
      <w:pPr>
        <w:jc w:val="both"/>
      </w:pPr>
      <w:r>
        <w:rPr>
          <w:noProof/>
        </w:rPr>
        <w:drawing>
          <wp:inline distT="0" distB="0" distL="0" distR="0" wp14:anchorId="13443EA3" wp14:editId="3C23BB72">
            <wp:extent cx="5943600" cy="33883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88360"/>
                    </a:xfrm>
                    <a:prstGeom prst="rect">
                      <a:avLst/>
                    </a:prstGeom>
                  </pic:spPr>
                </pic:pic>
              </a:graphicData>
            </a:graphic>
          </wp:inline>
        </w:drawing>
      </w:r>
    </w:p>
    <w:p w:rsidR="00E22710" w:rsidRDefault="00E22710" w:rsidP="00E22710">
      <w:pPr>
        <w:jc w:val="both"/>
      </w:pPr>
      <w:r>
        <w:t>Product development is a more appealing growth option. Through product design, limited editions, and participation in collaborations with designers in China, Adidas can increase the relevance and demand towards their target consumers (Zhao, 2021). All of these initiatives are in line with the differentiation target and help clinch the connection to the market emotionally.</w:t>
      </w:r>
    </w:p>
    <w:p w:rsidR="00E22710" w:rsidRDefault="00E22710" w:rsidP="00E22710">
      <w:pPr>
        <w:jc w:val="both"/>
      </w:pPr>
      <w:r>
        <w:t>Opportunities for market development are confined as Adidas already has extensive market coverage in China. Expansion into related or adjacent categories, like athleisure or digital fitness offerings, could carry greater risk but offer long-term rewarded value, given if it's tailored to consumer trends and brand capabilities (McKinsey, 2023). Overall, the most balanced growth strategy is product development along with selective market penetration.</w:t>
      </w:r>
    </w:p>
    <w:p w:rsidR="00E22710" w:rsidRDefault="00E22710" w:rsidP="00DA33E6">
      <w:pPr>
        <w:pStyle w:val="Heading2"/>
      </w:pPr>
      <w:bookmarkStart w:id="16" w:name="_Toc233166908"/>
      <w:r>
        <w:t>4.4 Strategy Evaluation with the SAFe Framework</w:t>
      </w:r>
      <w:bookmarkEnd w:id="16"/>
    </w:p>
    <w:p w:rsidR="00E22710" w:rsidRDefault="00E22710" w:rsidP="00E22710">
      <w:pPr>
        <w:jc w:val="both"/>
      </w:pPr>
      <w:r>
        <w:t>The SAFe process considers the Suitability, Acceptability and Feasibility (Johnson et al., 2020) of strategic options. A localised differentiation strategy is appropriate because it responds to important external dangers, like competition and nationalism, and focuses on internal strengths in brand and innovation (Grant, 2020).</w:t>
      </w:r>
    </w:p>
    <w:p w:rsidR="00E22710" w:rsidRDefault="00E22710" w:rsidP="00E22710">
      <w:pPr>
        <w:jc w:val="both"/>
      </w:pPr>
      <w:r>
        <w:t>Acceptability-wise, the strategy is consistent with the expectations of shareholders regarding sustainable growth and profitability, and the support of stakeholders' interests through leveraging CSR integration (Adidas, 2023). While the initial investment in a brand can be higher, the long-term value of strengthening the brand and customer loyalty makes the strategy worthwhile. (Euromonitor, 2024).</w:t>
      </w:r>
    </w:p>
    <w:p w:rsidR="00E22710" w:rsidRDefault="00E22710" w:rsidP="00E22710">
      <w:pPr>
        <w:jc w:val="both"/>
      </w:pPr>
      <w:r>
        <w:t>Adidas has the resources, technology, and management skills that are needed to pursue a localised differentiation strategy (Porter &amp; Heppelmann, 2020). But the successful implementation requires organizational changes, such as increasing decentralisation and expediency of decision-making at the local level (Sun &amp; Zhao, 2023).</w:t>
      </w:r>
    </w:p>
    <w:p w:rsidR="00E22710" w:rsidRDefault="00E22710" w:rsidP="00DA33E6">
      <w:pPr>
        <w:pStyle w:val="Heading2"/>
      </w:pPr>
      <w:bookmarkStart w:id="17" w:name="_Toc233166909"/>
      <w:r>
        <w:t>4.5 Recommended Strategy and Value Creation</w:t>
      </w:r>
      <w:bookmarkEnd w:id="17"/>
    </w:p>
    <w:p w:rsidR="00E22710" w:rsidRDefault="00E22710" w:rsidP="00E22710">
      <w:pPr>
        <w:jc w:val="both"/>
      </w:pPr>
      <w:r>
        <w:t>Adidas' China strategy, based on the analysis, is localised differentiation, with digital innovation and sustainability leadership. The strategy is to provide products and experiences that are unique in that they are culturally relevant and yet globally based on the brand. (Keller, 2020) Adidas can leverage digitalisation, data analysis, and personalised marketing to improve customer engagement and improve business processes (McKinsey, 2023).</w:t>
      </w:r>
    </w:p>
    <w:p w:rsidR="00DE04FE" w:rsidRPr="00DE04FE" w:rsidRDefault="00E22710" w:rsidP="00E22710">
      <w:pPr>
        <w:jc w:val="both"/>
      </w:pPr>
      <w:r>
        <w:t>This way, Adidas can maintain its premium positioning, cut out some price competition and foster long-term brand loyalty. Sustainability efforts also support differentiation through their appeal to eco-conscious consumers, and their alignment with regulatory expectations (KPMG, 2022). Together, they help in achieving sustainable competitive advantage and better financial performance.</w:t>
      </w:r>
    </w:p>
    <w:p w:rsidR="00DE04FE" w:rsidRDefault="00DE04FE" w:rsidP="00DA33E6">
      <w:pPr>
        <w:pStyle w:val="Heading2"/>
      </w:pPr>
      <w:bookmarkStart w:id="18" w:name="_Toc233166910"/>
      <w:r w:rsidRPr="00DE04FE">
        <w:t>4.6 Implementation Challenges and Mitigation Strategies</w:t>
      </w:r>
      <w:bookmarkEnd w:id="18"/>
    </w:p>
    <w:p w:rsidR="00E22710" w:rsidRPr="00E22710" w:rsidRDefault="00E22710" w:rsidP="00E22710">
      <w:pPr>
        <w:jc w:val="both"/>
        <w:rPr>
          <w:bCs/>
        </w:rPr>
      </w:pPr>
      <w:r w:rsidRPr="00E22710">
        <w:rPr>
          <w:bCs/>
        </w:rPr>
        <w:t>There are several difficulties in implementing a localised differentiation strategy. First, as suggested by Sun and Zhao (2023), by virtue of their complexity and centralised decision-making, organisations can take longer to respond to local market trends. This can be addressed by empowering local management teams, improving cross-functional working, and by streamlining the approval process (Grant, 2020).</w:t>
      </w:r>
    </w:p>
    <w:p w:rsidR="00E22710" w:rsidRPr="00E22710" w:rsidRDefault="00E22710" w:rsidP="00E22710">
      <w:pPr>
        <w:jc w:val="both"/>
        <w:rPr>
          <w:bCs/>
        </w:rPr>
      </w:pPr>
      <w:r w:rsidRPr="00E22710">
        <w:rPr>
          <w:bCs/>
        </w:rPr>
        <w:t>Secondly, there are reputational dangers of messages becoming fragmented because of maintaining brand consistency while localising at the same time (Keller, 2020). To achieve the balance between global consistency and local relevance, brand guidelines and integrated marketing communication (IMC) strategies must be clear (Zhao, 2021).</w:t>
      </w:r>
    </w:p>
    <w:p w:rsidR="00E22710" w:rsidRPr="00E22710" w:rsidRDefault="00E22710" w:rsidP="00E22710">
      <w:pPr>
        <w:jc w:val="both"/>
        <w:rPr>
          <w:bCs/>
        </w:rPr>
      </w:pPr>
      <w:r w:rsidRPr="00E22710">
        <w:rPr>
          <w:bCs/>
        </w:rPr>
        <w:t>Third, the innovation and sustainability investments could result in profitability risks in a price-sensitive market, as discussed with Euromonitor (2024). To overcome this, the company needs to be more efficient in their supply chain, make sure they have economies of scale and focus on high priority initiatives that have a clear return on investment (ROI) (KPMG, 2022).</w:t>
      </w:r>
    </w:p>
    <w:p w:rsidR="00E22710" w:rsidRDefault="00E22710" w:rsidP="00E22710">
      <w:pPr>
        <w:jc w:val="both"/>
        <w:rPr>
          <w:bCs/>
        </w:rPr>
      </w:pPr>
      <w:r w:rsidRPr="00E22710">
        <w:rPr>
          <w:bCs/>
        </w:rPr>
        <w:t>Lastly, external factors like regulatory shifts and geopolitical uncertainties are out of hands (Wang, 2022). Organisational resilience can be increased, and exposure to external shocks can be minimised, through proactively engaging with stakeholders, scenario planning, and diversifying sourcing strategies (Johnson et al., 2020).</w:t>
      </w:r>
    </w:p>
    <w:p w:rsidR="004C73E7" w:rsidRPr="00E22710" w:rsidRDefault="004C73E7" w:rsidP="004C73E7">
      <w:pPr>
        <w:pStyle w:val="Heading1"/>
      </w:pPr>
      <w:bookmarkStart w:id="19" w:name="_Toc233166911"/>
      <w:r w:rsidRPr="004C73E7">
        <w:t>Section 2</w:t>
      </w:r>
      <w:bookmarkEnd w:id="19"/>
    </w:p>
    <w:p w:rsidR="00E22710" w:rsidRPr="00E22710" w:rsidRDefault="00E22710" w:rsidP="00DA33E6">
      <w:pPr>
        <w:pStyle w:val="Heading1"/>
      </w:pPr>
      <w:bookmarkStart w:id="20" w:name="_Toc233166912"/>
      <w:r w:rsidRPr="00E22710">
        <w:t>5. Reflective Account – Gibbs’ Reflective Cycle</w:t>
      </w:r>
      <w:bookmarkEnd w:id="20"/>
    </w:p>
    <w:p w:rsidR="00E22710" w:rsidRPr="00E22710" w:rsidRDefault="00E22710" w:rsidP="00E22710">
      <w:pPr>
        <w:jc w:val="both"/>
        <w:rPr>
          <w:bCs/>
        </w:rPr>
      </w:pPr>
      <w:r w:rsidRPr="00E22710">
        <w:rPr>
          <w:bCs/>
        </w:rPr>
        <w:t>This reflective report critically examines the process taken during research, analysis and preparation of the strategic management report on the case of Adidas in the sportswear market in China. Gibbs' reflective cycle (1988) is used to organise the reflection, allowing systematic consideration to be given to the experience, learning and future development. There are six parts of the cycle: description, feelings, evaluation, analysis, conclusion, action plan.</w:t>
      </w:r>
    </w:p>
    <w:p w:rsidR="00E22710" w:rsidRPr="00E22710" w:rsidRDefault="00E22710" w:rsidP="00DA33E6">
      <w:pPr>
        <w:pStyle w:val="Heading2"/>
      </w:pPr>
      <w:bookmarkStart w:id="21" w:name="_Toc233166913"/>
      <w:r w:rsidRPr="00E22710">
        <w:t>5.1 Description</w:t>
      </w:r>
      <w:bookmarkEnd w:id="21"/>
    </w:p>
    <w:p w:rsidR="00E22710" w:rsidRPr="00E22710" w:rsidRDefault="00E22710" w:rsidP="00E22710">
      <w:pPr>
        <w:jc w:val="both"/>
        <w:rPr>
          <w:bCs/>
        </w:rPr>
      </w:pPr>
      <w:r w:rsidRPr="00E22710">
        <w:rPr>
          <w:bCs/>
        </w:rPr>
        <w:t>The assessment involved taking on the role of a strategic management consultant and writing a board-level report assessing Adidas' strategic position with regard to China. The first step involved choosing an organization and a market suitable to the assessment criteria; that is, to ensure that the data was available and that the market was strategically relevant. The selection of Adidas in China was made as it is a well-known brand, it is subject of numerous external pressures, and there is easy availability of secondary data. Therefore, the research process was conducted by reviewing academic papers regarding the strategic management frameworks and analyzing the industry reports, company publications and market analyses to provide a balanced academic–practical perspective.</w:t>
      </w:r>
      <w:r w:rsidR="00DE352D" w:rsidRPr="00DE352D">
        <w:t xml:space="preserve"> </w:t>
      </w:r>
      <w:r w:rsidR="00DE352D" w:rsidRPr="00DE352D">
        <w:rPr>
          <w:bCs/>
        </w:rPr>
        <w:t>For instance, a lot of effort was put into the annual reports of Adidas, industry data from Euromonitor, and academic journal articles were used to ensure that Adidas' academic theory and current market evidence were included in the report.</w:t>
      </w:r>
    </w:p>
    <w:p w:rsidR="00E22710" w:rsidRPr="00E22710" w:rsidRDefault="00E22710" w:rsidP="00E22710">
      <w:pPr>
        <w:jc w:val="both"/>
        <w:rPr>
          <w:bCs/>
        </w:rPr>
      </w:pPr>
      <w:r w:rsidRPr="00E22710">
        <w:rPr>
          <w:bCs/>
        </w:rPr>
        <w:t xml:space="preserve">The report was aligned with the assessment brief and consisted of an organizational context, external and internal analysis, strategic evaluation and recommendations. To guarantee analytical rigour and coherence, frameworks like PESTEL, VRIO, SWOT, Balanced Scorecard and SAFe were used. </w:t>
      </w:r>
    </w:p>
    <w:p w:rsidR="00E22710" w:rsidRPr="00E22710" w:rsidRDefault="00E22710" w:rsidP="00DA33E6">
      <w:pPr>
        <w:pStyle w:val="Heading2"/>
      </w:pPr>
      <w:bookmarkStart w:id="22" w:name="_Toc233166914"/>
      <w:r w:rsidRPr="00E22710">
        <w:t>5.2 Feelings</w:t>
      </w:r>
      <w:bookmarkEnd w:id="22"/>
    </w:p>
    <w:p w:rsidR="00E22710" w:rsidRPr="00E22710" w:rsidRDefault="00E22710" w:rsidP="00E22710">
      <w:pPr>
        <w:jc w:val="both"/>
        <w:rPr>
          <w:bCs/>
        </w:rPr>
      </w:pPr>
      <w:r w:rsidRPr="00E22710">
        <w:rPr>
          <w:bCs/>
        </w:rPr>
        <w:t>The assessment was initially perceived as difficult on a scale of the number of words, size of the task and critical analysis required, not descriptive content. There was some ambivalence about the choice of suitable frameworks and the level of analysis required at level 7. As the research advanced, however, there was a growing sense of confidence due to the familiarity with the theories and the understanding of how to apply them to real-life situations.</w:t>
      </w:r>
    </w:p>
    <w:p w:rsidR="00E22710" w:rsidRPr="00E22710" w:rsidRDefault="00E22710" w:rsidP="00E22710">
      <w:pPr>
        <w:jc w:val="both"/>
        <w:rPr>
          <w:bCs/>
        </w:rPr>
      </w:pPr>
      <w:r w:rsidRPr="00E22710">
        <w:rPr>
          <w:bCs/>
        </w:rPr>
        <w:t>Initially multiple strategic frameworks seemed complex and could have been repetitive or superficial. However, this concern was reduced over time as the links between the frameworks became more evident, allowing for a more integrated or holistic assessment. There was a sense of achievement and confidence that strategic concepts were being implemented in a consultancy report at the end of the writing process.</w:t>
      </w:r>
    </w:p>
    <w:p w:rsidR="00E22710" w:rsidRPr="00E22710" w:rsidRDefault="00E22710" w:rsidP="00DA33E6">
      <w:pPr>
        <w:pStyle w:val="Heading2"/>
      </w:pPr>
      <w:bookmarkStart w:id="23" w:name="_Toc233166915"/>
      <w:r w:rsidRPr="00E22710">
        <w:t>5.3 Evaluation</w:t>
      </w:r>
      <w:bookmarkEnd w:id="23"/>
    </w:p>
    <w:p w:rsidR="00E22710" w:rsidRPr="00E22710" w:rsidRDefault="00E22710" w:rsidP="00E22710">
      <w:pPr>
        <w:jc w:val="both"/>
        <w:rPr>
          <w:bCs/>
        </w:rPr>
      </w:pPr>
      <w:r w:rsidRPr="00E22710">
        <w:rPr>
          <w:bCs/>
        </w:rPr>
        <w:t>The structured research and analysis was one of the major advantages of the process. The use of the frameworks was useful in ensuring a clear analytical process and keeping focus on the objectives of the assessment. The use of the latest academic research and industry statistics added credibility and relevance to the analysis.</w:t>
      </w:r>
    </w:p>
    <w:p w:rsidR="00E22710" w:rsidRPr="00DE352D" w:rsidRDefault="00E22710" w:rsidP="00DE352D">
      <w:pPr>
        <w:jc w:val="both"/>
        <w:rPr>
          <w:bCs/>
        </w:rPr>
      </w:pPr>
      <w:r w:rsidRPr="00E22710">
        <w:rPr>
          <w:bCs/>
        </w:rPr>
        <w:t xml:space="preserve">It did uncover some things that could be improved, however. Information overload was difficult to manage, especially when putting together critical and concise arguments from a variety of sources. </w:t>
      </w:r>
      <w:r w:rsidR="00DE352D" w:rsidRPr="00DE352D">
        <w:rPr>
          <w:bCs/>
        </w:rPr>
        <w:t>For instance, I read over two dozen journal articles and industry reports before choosing the most relevant evidence, as many of the articles had covered similar topics, but in a different strategic way.</w:t>
      </w:r>
    </w:p>
    <w:p w:rsidR="00E22710" w:rsidRPr="00E22710" w:rsidRDefault="00E22710" w:rsidP="00DA33E6">
      <w:pPr>
        <w:pStyle w:val="Heading2"/>
      </w:pPr>
      <w:bookmarkStart w:id="24" w:name="_Toc233166916"/>
      <w:r w:rsidRPr="00E22710">
        <w:t>5.4 Analysis</w:t>
      </w:r>
      <w:bookmarkEnd w:id="24"/>
    </w:p>
    <w:p w:rsidR="00E22710" w:rsidRPr="00E22710" w:rsidRDefault="00E22710" w:rsidP="00E22710">
      <w:pPr>
        <w:jc w:val="both"/>
        <w:rPr>
          <w:bCs/>
        </w:rPr>
      </w:pPr>
      <w:r w:rsidRPr="00E22710">
        <w:rPr>
          <w:bCs/>
        </w:rPr>
        <w:t xml:space="preserve">The experience of planning and methodological discipline in academic research is emphasized. The Gibbs' reflective cycle helped to facilitate systematic reflection in both the cognitive and practical components of the task. The process also highlighted the importance of combining internal and external analysis to develop recommendations for strategic action. </w:t>
      </w:r>
      <w:r w:rsidR="00DE352D" w:rsidRPr="00DE352D">
        <w:rPr>
          <w:bCs/>
        </w:rPr>
        <w:t>For instance, when I was examining the Chinese sportswear market, I found PESTEL was a much better framework to use for understanding the external environment while VRIO was much better for understanding Adidas' internal resources; in other words, different external and internal environments require different frameworks to examine with different strategic tools for answering different questions.</w:t>
      </w:r>
    </w:p>
    <w:p w:rsidR="00E22710" w:rsidRPr="00E22710" w:rsidRDefault="00E22710" w:rsidP="00DA33E6">
      <w:pPr>
        <w:pStyle w:val="Heading2"/>
      </w:pPr>
      <w:bookmarkStart w:id="25" w:name="_Toc233166917"/>
      <w:r w:rsidRPr="00E22710">
        <w:t>5.5 Conclusion</w:t>
      </w:r>
      <w:bookmarkEnd w:id="25"/>
    </w:p>
    <w:p w:rsidR="00E22710" w:rsidRPr="00E22710" w:rsidRDefault="00E22710" w:rsidP="00E22710">
      <w:pPr>
        <w:jc w:val="both"/>
        <w:rPr>
          <w:bCs/>
        </w:rPr>
      </w:pPr>
      <w:r w:rsidRPr="00E22710">
        <w:rPr>
          <w:bCs/>
        </w:rPr>
        <w:t>This evaluation proved to be a learning experience in strategic analysis, critical evaluation and in professional report writing. It enabled them to become more effective at using strategic plans in an integrated way, and to present complex concepts in a clear manner for a senior management audience. The reflective process reinforced the need for a critical approach, sound time management and supporting arguments in creating quality academic work.</w:t>
      </w:r>
    </w:p>
    <w:p w:rsidR="00E22710" w:rsidRPr="00E22710" w:rsidRDefault="00E22710" w:rsidP="00E22710">
      <w:pPr>
        <w:jc w:val="both"/>
        <w:rPr>
          <w:bCs/>
        </w:rPr>
      </w:pPr>
      <w:r w:rsidRPr="00E22710">
        <w:rPr>
          <w:bCs/>
        </w:rPr>
        <w:t>This experience also brought to light the importance of strategic management concepts in solving business problems in an evolving and competitive market like China. The overall assessment of the assignment was that it helped the student in his/her academic development and readiness for the profession, and that it met the learning outcomes for the Strategic Management module.</w:t>
      </w:r>
    </w:p>
    <w:p w:rsidR="00E22710" w:rsidRPr="00E22710" w:rsidRDefault="00E22710" w:rsidP="00DA33E6">
      <w:pPr>
        <w:pStyle w:val="Heading2"/>
      </w:pPr>
      <w:bookmarkStart w:id="26" w:name="_Toc233166918"/>
      <w:r w:rsidRPr="00E22710">
        <w:t>5.6 Action Plan</w:t>
      </w:r>
      <w:bookmarkEnd w:id="26"/>
    </w:p>
    <w:p w:rsidR="00E22710" w:rsidRPr="00E22710" w:rsidRDefault="00E22710" w:rsidP="00E22710">
      <w:pPr>
        <w:jc w:val="both"/>
        <w:rPr>
          <w:bCs/>
        </w:rPr>
      </w:pPr>
      <w:r w:rsidRPr="00E22710">
        <w:rPr>
          <w:bCs/>
        </w:rPr>
        <w:t>Several actions are identified based on this reflection, for future academic and professional development. First, the planning and the research goals are more clear, which will lead to a more efficient performance, and will not be under time pressure. Second, the critical synthesis not the description of the literature will be emphasized in connection with analyzing academic literature. Thirdly, the ability to analyse and interpret industry reports and market trends will be improved through the development of advanced data analysis skills.</w:t>
      </w:r>
    </w:p>
    <w:p w:rsidR="00E22710" w:rsidRDefault="00E22710" w:rsidP="00E22710">
      <w:pPr>
        <w:jc w:val="both"/>
        <w:rPr>
          <w:bCs/>
        </w:rPr>
      </w:pPr>
      <w:r w:rsidRPr="00E22710">
        <w:rPr>
          <w:bCs/>
        </w:rPr>
        <w:t>Finally, reflective writing will be practiced which will foster further learning and self-awareness. The use of reflective models (including Gibbs' cycle) will support ongoing improvement and decision-making for future assessments and professional experiences. Through these actions, strategic thinking skills will be reinforced and preparedness for consultancy and leadership in complex business environments will be enhanced.</w:t>
      </w:r>
    </w:p>
    <w:p w:rsidR="00E22710" w:rsidRPr="00E22710" w:rsidRDefault="00E22710" w:rsidP="00E22710">
      <w:pPr>
        <w:rPr>
          <w:b/>
          <w:bCs/>
        </w:rPr>
      </w:pPr>
      <w:r>
        <w:rPr>
          <w:b/>
          <w:bCs/>
        </w:rPr>
        <w:t xml:space="preserve">References </w:t>
      </w:r>
    </w:p>
    <w:p w:rsidR="00E22710" w:rsidRPr="00E22710" w:rsidRDefault="00E22710" w:rsidP="006319D9">
      <w:pPr>
        <w:jc w:val="both"/>
        <w:rPr>
          <w:bCs/>
        </w:rPr>
      </w:pPr>
      <w:r w:rsidRPr="00E22710">
        <w:rPr>
          <w:bCs/>
        </w:rPr>
        <w:t xml:space="preserve">Adidas (2023) </w:t>
      </w:r>
      <w:r w:rsidRPr="00E22710">
        <w:rPr>
          <w:bCs/>
          <w:i/>
          <w:iCs/>
        </w:rPr>
        <w:t>Annual Report 2023</w:t>
      </w:r>
      <w:r w:rsidRPr="00E22710">
        <w:rPr>
          <w:bCs/>
        </w:rPr>
        <w:t xml:space="preserve">. Herzogenaurach: Adidas AG. Available at: </w:t>
      </w:r>
      <w:hyperlink r:id="rId14" w:tgtFrame="_blank" w:history="1">
        <w:r w:rsidRPr="00E22710">
          <w:rPr>
            <w:rStyle w:val="Hyperlink"/>
            <w:bCs/>
          </w:rPr>
          <w:t>https://www.adidas-group.com/en/investors/financial-reports/</w:t>
        </w:r>
      </w:hyperlink>
      <w:r w:rsidRPr="00E22710">
        <w:rPr>
          <w:bCs/>
        </w:rPr>
        <w:t xml:space="preserve"> (Accessed: 10 July 2026).</w:t>
      </w:r>
    </w:p>
    <w:p w:rsidR="00E22710" w:rsidRPr="00E22710" w:rsidRDefault="00E22710" w:rsidP="006319D9">
      <w:pPr>
        <w:jc w:val="both"/>
        <w:rPr>
          <w:bCs/>
        </w:rPr>
      </w:pPr>
      <w:r w:rsidRPr="00E22710">
        <w:rPr>
          <w:bCs/>
        </w:rPr>
        <w:t xml:space="preserve">Euromonitor International (2024) </w:t>
      </w:r>
      <w:r w:rsidRPr="00E22710">
        <w:rPr>
          <w:bCs/>
          <w:i/>
          <w:iCs/>
        </w:rPr>
        <w:t>Sportswear in China: Market Analysis</w:t>
      </w:r>
      <w:r w:rsidRPr="00E22710">
        <w:rPr>
          <w:bCs/>
        </w:rPr>
        <w:t xml:space="preserve">. London: Euromonitor. Available at: </w:t>
      </w:r>
      <w:hyperlink r:id="rId15" w:tgtFrame="_blank" w:history="1">
        <w:r w:rsidRPr="00E22710">
          <w:rPr>
            <w:rStyle w:val="Hyperlink"/>
            <w:bCs/>
          </w:rPr>
          <w:t>https://www.euromonitor.com</w:t>
        </w:r>
      </w:hyperlink>
      <w:r w:rsidRPr="00E22710">
        <w:rPr>
          <w:bCs/>
        </w:rPr>
        <w:t xml:space="preserve"> (Accessed: 8 July 2026).</w:t>
      </w:r>
    </w:p>
    <w:p w:rsidR="00E22710" w:rsidRPr="00E22710" w:rsidRDefault="00E22710" w:rsidP="006319D9">
      <w:pPr>
        <w:jc w:val="both"/>
        <w:rPr>
          <w:bCs/>
        </w:rPr>
      </w:pPr>
      <w:r w:rsidRPr="00E22710">
        <w:rPr>
          <w:bCs/>
        </w:rPr>
        <w:t xml:space="preserve">Grant, R.M. (2020) </w:t>
      </w:r>
      <w:r w:rsidRPr="00E22710">
        <w:rPr>
          <w:bCs/>
          <w:i/>
          <w:iCs/>
        </w:rPr>
        <w:t>Contemporary Strategy Analysis</w:t>
      </w:r>
      <w:r w:rsidRPr="00E22710">
        <w:rPr>
          <w:bCs/>
        </w:rPr>
        <w:t>. 10th edn. Chichester: Wiley.</w:t>
      </w:r>
    </w:p>
    <w:p w:rsidR="00E22710" w:rsidRPr="00E22710" w:rsidRDefault="00E22710" w:rsidP="006319D9">
      <w:pPr>
        <w:jc w:val="both"/>
        <w:rPr>
          <w:bCs/>
        </w:rPr>
      </w:pPr>
      <w:r w:rsidRPr="00E22710">
        <w:rPr>
          <w:bCs/>
        </w:rPr>
        <w:t xml:space="preserve">IMF (2024) </w:t>
      </w:r>
      <w:r w:rsidRPr="00E22710">
        <w:rPr>
          <w:bCs/>
          <w:i/>
          <w:iCs/>
        </w:rPr>
        <w:t>World Economic Outlook: China Country Data</w:t>
      </w:r>
      <w:r w:rsidRPr="00E22710">
        <w:rPr>
          <w:bCs/>
        </w:rPr>
        <w:t xml:space="preserve">. Washington DC: International Monetary Fund. Available at: </w:t>
      </w:r>
      <w:hyperlink r:id="rId16" w:tgtFrame="_blank" w:history="1">
        <w:r w:rsidRPr="00E22710">
          <w:rPr>
            <w:rStyle w:val="Hyperlink"/>
            <w:bCs/>
          </w:rPr>
          <w:t>https://www.imf.org</w:t>
        </w:r>
      </w:hyperlink>
      <w:r w:rsidRPr="00E22710">
        <w:rPr>
          <w:bCs/>
        </w:rPr>
        <w:t xml:space="preserve"> (Accessed: 9 July 2026).</w:t>
      </w:r>
    </w:p>
    <w:p w:rsidR="00E22710" w:rsidRPr="00E22710" w:rsidRDefault="00E22710" w:rsidP="006319D9">
      <w:pPr>
        <w:jc w:val="both"/>
        <w:rPr>
          <w:bCs/>
        </w:rPr>
      </w:pPr>
      <w:r w:rsidRPr="00E22710">
        <w:rPr>
          <w:bCs/>
        </w:rPr>
        <w:t xml:space="preserve">Johnson, G., Scholes, K. and Whittington, R. (2020) </w:t>
      </w:r>
      <w:r w:rsidRPr="00E22710">
        <w:rPr>
          <w:bCs/>
          <w:i/>
          <w:iCs/>
        </w:rPr>
        <w:t>Exploring Strategy</w:t>
      </w:r>
      <w:r w:rsidRPr="00E22710">
        <w:rPr>
          <w:bCs/>
        </w:rPr>
        <w:t>. 12th edn. Harlow: Pearson Education.</w:t>
      </w:r>
    </w:p>
    <w:p w:rsidR="00E22710" w:rsidRPr="00E22710" w:rsidRDefault="00E22710" w:rsidP="006319D9">
      <w:pPr>
        <w:jc w:val="both"/>
        <w:rPr>
          <w:bCs/>
        </w:rPr>
      </w:pPr>
      <w:r w:rsidRPr="00E22710">
        <w:rPr>
          <w:bCs/>
        </w:rPr>
        <w:t xml:space="preserve">Kaplan, R.S. and Norton, D.P. (1992) ‘The balanced scorecard: Measures that drive performance’, </w:t>
      </w:r>
      <w:r w:rsidRPr="00E22710">
        <w:rPr>
          <w:bCs/>
          <w:i/>
          <w:iCs/>
        </w:rPr>
        <w:t>Harvard Business Review</w:t>
      </w:r>
      <w:r w:rsidRPr="00E22710">
        <w:rPr>
          <w:bCs/>
        </w:rPr>
        <w:t>, 70(1), pp. 71–79.</w:t>
      </w:r>
    </w:p>
    <w:p w:rsidR="00E22710" w:rsidRPr="00E22710" w:rsidRDefault="00E22710" w:rsidP="006319D9">
      <w:pPr>
        <w:jc w:val="both"/>
        <w:rPr>
          <w:bCs/>
        </w:rPr>
      </w:pPr>
      <w:r w:rsidRPr="00E22710">
        <w:rPr>
          <w:bCs/>
        </w:rPr>
        <w:t xml:space="preserve">Keller, K.L. (2020) </w:t>
      </w:r>
      <w:r w:rsidRPr="00E22710">
        <w:rPr>
          <w:bCs/>
          <w:i/>
          <w:iCs/>
        </w:rPr>
        <w:t>Strategic Brand Management</w:t>
      </w:r>
      <w:r w:rsidRPr="00E22710">
        <w:rPr>
          <w:bCs/>
        </w:rPr>
        <w:t>. 5th edn. Harlow: Pearson Education.</w:t>
      </w:r>
    </w:p>
    <w:p w:rsidR="00E22710" w:rsidRPr="00E22710" w:rsidRDefault="00E22710" w:rsidP="006319D9">
      <w:pPr>
        <w:jc w:val="both"/>
        <w:rPr>
          <w:bCs/>
        </w:rPr>
      </w:pPr>
      <w:r w:rsidRPr="00E22710">
        <w:rPr>
          <w:bCs/>
        </w:rPr>
        <w:t xml:space="preserve">KPMG (2022) </w:t>
      </w:r>
      <w:r w:rsidRPr="00E22710">
        <w:rPr>
          <w:bCs/>
          <w:i/>
          <w:iCs/>
        </w:rPr>
        <w:t>Sustainability and Supply Chain Compliance in China</w:t>
      </w:r>
      <w:r w:rsidRPr="00E22710">
        <w:rPr>
          <w:bCs/>
        </w:rPr>
        <w:t xml:space="preserve">. London: KPMG International. Available at: </w:t>
      </w:r>
      <w:hyperlink r:id="rId17" w:tgtFrame="_blank" w:history="1">
        <w:r w:rsidRPr="00E22710">
          <w:rPr>
            <w:rStyle w:val="Hyperlink"/>
            <w:bCs/>
          </w:rPr>
          <w:t>https://kpmg.com</w:t>
        </w:r>
      </w:hyperlink>
      <w:r w:rsidRPr="00E22710">
        <w:rPr>
          <w:bCs/>
        </w:rPr>
        <w:t xml:space="preserve"> (Accessed: 7 July 2026).</w:t>
      </w:r>
    </w:p>
    <w:p w:rsidR="00E22710" w:rsidRPr="00E22710" w:rsidRDefault="00E22710" w:rsidP="006319D9">
      <w:pPr>
        <w:jc w:val="both"/>
        <w:rPr>
          <w:bCs/>
        </w:rPr>
      </w:pPr>
      <w:r w:rsidRPr="00E22710">
        <w:rPr>
          <w:bCs/>
        </w:rPr>
        <w:t xml:space="preserve">Li, X. and Chen, Y. (2022) ‘International brand localisation strategies in China’s sportswear market’, </w:t>
      </w:r>
      <w:r w:rsidRPr="00E22710">
        <w:rPr>
          <w:bCs/>
          <w:i/>
          <w:iCs/>
        </w:rPr>
        <w:t>Journal of International Marketing</w:t>
      </w:r>
      <w:r w:rsidRPr="00E22710">
        <w:rPr>
          <w:bCs/>
        </w:rPr>
        <w:t>, 30(3), pp. 45–60.</w:t>
      </w:r>
    </w:p>
    <w:p w:rsidR="00E22710" w:rsidRPr="00E22710" w:rsidRDefault="00E22710" w:rsidP="006319D9">
      <w:pPr>
        <w:jc w:val="both"/>
        <w:rPr>
          <w:bCs/>
        </w:rPr>
      </w:pPr>
      <w:r w:rsidRPr="00E22710">
        <w:rPr>
          <w:bCs/>
        </w:rPr>
        <w:t xml:space="preserve">McKinsey &amp; Company (2023) </w:t>
      </w:r>
      <w:r w:rsidRPr="00E22710">
        <w:rPr>
          <w:bCs/>
          <w:i/>
          <w:iCs/>
        </w:rPr>
        <w:t>China Consumer Report: Digital and Lifestyle Trends</w:t>
      </w:r>
      <w:r w:rsidRPr="00E22710">
        <w:rPr>
          <w:bCs/>
        </w:rPr>
        <w:t xml:space="preserve">. New York: McKinsey. Available at: </w:t>
      </w:r>
      <w:hyperlink r:id="rId18" w:tgtFrame="_blank" w:history="1">
        <w:r w:rsidRPr="00E22710">
          <w:rPr>
            <w:rStyle w:val="Hyperlink"/>
            <w:bCs/>
          </w:rPr>
          <w:t>https://www.mckinsey.com</w:t>
        </w:r>
      </w:hyperlink>
      <w:r w:rsidRPr="00E22710">
        <w:rPr>
          <w:bCs/>
        </w:rPr>
        <w:t xml:space="preserve"> (Accessed: 8 July 2026).</w:t>
      </w:r>
    </w:p>
    <w:p w:rsidR="00E22710" w:rsidRPr="00E22710" w:rsidRDefault="00E22710" w:rsidP="006319D9">
      <w:pPr>
        <w:jc w:val="both"/>
        <w:rPr>
          <w:bCs/>
        </w:rPr>
      </w:pPr>
      <w:r w:rsidRPr="00E22710">
        <w:rPr>
          <w:bCs/>
        </w:rPr>
        <w:t xml:space="preserve">Porter, M.E. (2008) </w:t>
      </w:r>
      <w:r w:rsidRPr="00E22710">
        <w:rPr>
          <w:bCs/>
          <w:i/>
          <w:iCs/>
        </w:rPr>
        <w:t>Competitive Strategy: Techniques for Analyzing Industries and Competitors</w:t>
      </w:r>
      <w:r w:rsidRPr="00E22710">
        <w:rPr>
          <w:bCs/>
        </w:rPr>
        <w:t>. New York: Free Press.</w:t>
      </w:r>
    </w:p>
    <w:p w:rsidR="00E22710" w:rsidRPr="00E22710" w:rsidRDefault="00E22710" w:rsidP="006319D9">
      <w:pPr>
        <w:jc w:val="both"/>
        <w:rPr>
          <w:bCs/>
        </w:rPr>
      </w:pPr>
      <w:r w:rsidRPr="00E22710">
        <w:rPr>
          <w:bCs/>
        </w:rPr>
        <w:t xml:space="preserve">Porter, M.E. and Heppelmann, J.E. (2020) ‘How smart, connected products are transforming companies’, </w:t>
      </w:r>
      <w:r w:rsidRPr="00E22710">
        <w:rPr>
          <w:bCs/>
          <w:i/>
          <w:iCs/>
        </w:rPr>
        <w:t>Harvard Business Review</w:t>
      </w:r>
      <w:r w:rsidRPr="00E22710">
        <w:rPr>
          <w:bCs/>
        </w:rPr>
        <w:t>, 98(5), pp. 96–114.</w:t>
      </w:r>
    </w:p>
    <w:p w:rsidR="00E22710" w:rsidRPr="00E22710" w:rsidRDefault="00E22710" w:rsidP="006319D9">
      <w:pPr>
        <w:jc w:val="both"/>
        <w:rPr>
          <w:bCs/>
        </w:rPr>
      </w:pPr>
      <w:r w:rsidRPr="00E22710">
        <w:rPr>
          <w:bCs/>
        </w:rPr>
        <w:t xml:space="preserve">State Council of China (2022) </w:t>
      </w:r>
      <w:r w:rsidRPr="00E22710">
        <w:rPr>
          <w:bCs/>
          <w:i/>
          <w:iCs/>
        </w:rPr>
        <w:t>Healthy China 2030 Policy Framework</w:t>
      </w:r>
      <w:r w:rsidRPr="00E22710">
        <w:rPr>
          <w:bCs/>
        </w:rPr>
        <w:t>. Beijing: State Council. Available at: http://english.www.gov.cn (Accessed: 6 July 2026).</w:t>
      </w:r>
    </w:p>
    <w:p w:rsidR="00E22710" w:rsidRPr="00E22710" w:rsidRDefault="00E22710" w:rsidP="006319D9">
      <w:pPr>
        <w:jc w:val="both"/>
        <w:rPr>
          <w:bCs/>
        </w:rPr>
      </w:pPr>
      <w:r w:rsidRPr="00E22710">
        <w:rPr>
          <w:bCs/>
        </w:rPr>
        <w:t xml:space="preserve">Sun, J. and Zhao, M. (2023) ‘Consumer nationalism and foreign brand performance in China’, </w:t>
      </w:r>
      <w:r w:rsidRPr="00E22710">
        <w:rPr>
          <w:bCs/>
          <w:i/>
          <w:iCs/>
        </w:rPr>
        <w:t>Asian Business &amp; Management</w:t>
      </w:r>
      <w:r w:rsidRPr="00E22710">
        <w:rPr>
          <w:bCs/>
        </w:rPr>
        <w:t>, 22(2), pp. 215–234.</w:t>
      </w:r>
    </w:p>
    <w:p w:rsidR="00E22710" w:rsidRPr="00E22710" w:rsidRDefault="00E22710" w:rsidP="006319D9">
      <w:pPr>
        <w:jc w:val="both"/>
        <w:rPr>
          <w:bCs/>
        </w:rPr>
      </w:pPr>
      <w:r w:rsidRPr="00E22710">
        <w:rPr>
          <w:bCs/>
        </w:rPr>
        <w:t xml:space="preserve">Wang, H. (2022) ‘Competitive dynamics between global and domestic sportswear brands in China’, </w:t>
      </w:r>
      <w:r w:rsidRPr="00E22710">
        <w:rPr>
          <w:bCs/>
          <w:i/>
          <w:iCs/>
        </w:rPr>
        <w:t>Asia Pacific Journal of Management</w:t>
      </w:r>
      <w:r w:rsidRPr="00E22710">
        <w:rPr>
          <w:bCs/>
        </w:rPr>
        <w:t>, 39(4), pp. 1123–1145.</w:t>
      </w:r>
    </w:p>
    <w:p w:rsidR="00E22710" w:rsidRPr="00E22710" w:rsidRDefault="00E22710" w:rsidP="006319D9">
      <w:pPr>
        <w:jc w:val="both"/>
        <w:rPr>
          <w:bCs/>
        </w:rPr>
      </w:pPr>
      <w:r w:rsidRPr="00E22710">
        <w:rPr>
          <w:bCs/>
        </w:rPr>
        <w:t xml:space="preserve">WIPO (2023) </w:t>
      </w:r>
      <w:r w:rsidRPr="00E22710">
        <w:rPr>
          <w:bCs/>
          <w:i/>
          <w:iCs/>
        </w:rPr>
        <w:t>Intellectual Property Protection in China</w:t>
      </w:r>
      <w:r w:rsidRPr="00E22710">
        <w:rPr>
          <w:bCs/>
        </w:rPr>
        <w:t xml:space="preserve">. Geneva: World Intellectual Property Organization. Available at: </w:t>
      </w:r>
      <w:hyperlink r:id="rId19" w:tgtFrame="_blank" w:history="1">
        <w:r w:rsidRPr="00E22710">
          <w:rPr>
            <w:rStyle w:val="Hyperlink"/>
            <w:bCs/>
          </w:rPr>
          <w:t>https://www.wipo.int</w:t>
        </w:r>
      </w:hyperlink>
      <w:r w:rsidRPr="00E22710">
        <w:rPr>
          <w:bCs/>
        </w:rPr>
        <w:t xml:space="preserve"> (Accessed: 7 July 2026).</w:t>
      </w:r>
    </w:p>
    <w:p w:rsidR="00E22710" w:rsidRPr="00E22710" w:rsidRDefault="00E22710" w:rsidP="006319D9">
      <w:pPr>
        <w:jc w:val="both"/>
        <w:rPr>
          <w:bCs/>
        </w:rPr>
      </w:pPr>
      <w:r w:rsidRPr="00E22710">
        <w:rPr>
          <w:bCs/>
        </w:rPr>
        <w:t xml:space="preserve">World Bank (2023) </w:t>
      </w:r>
      <w:r w:rsidRPr="00E22710">
        <w:rPr>
          <w:bCs/>
          <w:i/>
          <w:iCs/>
        </w:rPr>
        <w:t>China Economic Update</w:t>
      </w:r>
      <w:r w:rsidRPr="00E22710">
        <w:rPr>
          <w:bCs/>
        </w:rPr>
        <w:t xml:space="preserve">. Washington DC: World Bank. Available at: </w:t>
      </w:r>
      <w:hyperlink r:id="rId20" w:tgtFrame="_blank" w:history="1">
        <w:r w:rsidRPr="00E22710">
          <w:rPr>
            <w:rStyle w:val="Hyperlink"/>
            <w:bCs/>
          </w:rPr>
          <w:t>https://www.worldbank.org</w:t>
        </w:r>
      </w:hyperlink>
      <w:r w:rsidRPr="00E22710">
        <w:rPr>
          <w:bCs/>
        </w:rPr>
        <w:t xml:space="preserve"> (Accessed: 9 July 2026).</w:t>
      </w:r>
    </w:p>
    <w:p w:rsidR="00E22710" w:rsidRPr="00E22710" w:rsidRDefault="00E22710" w:rsidP="006319D9">
      <w:pPr>
        <w:jc w:val="both"/>
        <w:rPr>
          <w:bCs/>
        </w:rPr>
      </w:pPr>
      <w:r w:rsidRPr="00E22710">
        <w:rPr>
          <w:bCs/>
        </w:rPr>
        <w:t xml:space="preserve">Zhang, L. (2021) ‘Macroeconomic and policy drivers of China’s sports industry growth’, </w:t>
      </w:r>
      <w:r w:rsidRPr="00E22710">
        <w:rPr>
          <w:bCs/>
          <w:i/>
          <w:iCs/>
        </w:rPr>
        <w:t>Journal of Asian Economics</w:t>
      </w:r>
      <w:r w:rsidRPr="00E22710">
        <w:rPr>
          <w:bCs/>
        </w:rPr>
        <w:t>, 74, pp. 101–118.</w:t>
      </w:r>
    </w:p>
    <w:p w:rsidR="00E22710" w:rsidRPr="00E22710" w:rsidRDefault="00E22710" w:rsidP="006319D9">
      <w:pPr>
        <w:jc w:val="both"/>
        <w:rPr>
          <w:bCs/>
        </w:rPr>
      </w:pPr>
      <w:r w:rsidRPr="00E22710">
        <w:rPr>
          <w:bCs/>
        </w:rPr>
        <w:t xml:space="preserve">Zhao, Y. (2021) ‘Youth consumption trends and brand engagement in China’s sportswear market’, </w:t>
      </w:r>
      <w:r w:rsidRPr="00E22710">
        <w:rPr>
          <w:bCs/>
          <w:i/>
          <w:iCs/>
        </w:rPr>
        <w:t>Journal of Consumer Behaviour</w:t>
      </w:r>
      <w:r w:rsidRPr="00E22710">
        <w:rPr>
          <w:bCs/>
        </w:rPr>
        <w:t>, 20(6), pp. 1452–1466.</w:t>
      </w:r>
    </w:p>
    <w:p w:rsidR="00E22710" w:rsidRPr="00E22710" w:rsidRDefault="00E22710" w:rsidP="00E22710">
      <w:pPr>
        <w:rPr>
          <w:bCs/>
        </w:rPr>
      </w:pPr>
    </w:p>
    <w:sectPr w:rsidR="00E22710" w:rsidRPr="00E22710" w:rsidSect="00B82157">
      <w:footerReference w:type="default" r:id="rId21"/>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7AA4" w:rsidRDefault="00637AA4" w:rsidP="00B82157">
      <w:pPr>
        <w:spacing w:after="0" w:line="240" w:lineRule="auto"/>
      </w:pPr>
      <w:r>
        <w:separator/>
      </w:r>
    </w:p>
  </w:endnote>
  <w:endnote w:type="continuationSeparator" w:id="0">
    <w:p w:rsidR="00637AA4" w:rsidRDefault="00637AA4" w:rsidP="00B82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3782873"/>
      <w:docPartObj>
        <w:docPartGallery w:val="Page Numbers (Bottom of Page)"/>
        <w:docPartUnique/>
      </w:docPartObj>
    </w:sdtPr>
    <w:sdtEndPr>
      <w:rPr>
        <w:noProof/>
      </w:rPr>
    </w:sdtEndPr>
    <w:sdtContent>
      <w:p w:rsidR="00B82157" w:rsidRDefault="00B82157">
        <w:pPr>
          <w:pStyle w:val="Footer"/>
          <w:jc w:val="right"/>
        </w:pPr>
        <w:r>
          <w:fldChar w:fldCharType="begin"/>
        </w:r>
        <w:r>
          <w:instrText xml:space="preserve"> PAGE   \* MERGEFORMAT </w:instrText>
        </w:r>
        <w:r>
          <w:fldChar w:fldCharType="separate"/>
        </w:r>
        <w:r w:rsidR="00637AA4">
          <w:rPr>
            <w:noProof/>
          </w:rPr>
          <w:t>1</w:t>
        </w:r>
        <w:r>
          <w:rPr>
            <w:noProof/>
          </w:rPr>
          <w:fldChar w:fldCharType="end"/>
        </w:r>
      </w:p>
    </w:sdtContent>
  </w:sdt>
  <w:p w:rsidR="00B82157" w:rsidRDefault="00B8215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7AA4" w:rsidRDefault="00637AA4" w:rsidP="00B82157">
      <w:pPr>
        <w:spacing w:after="0" w:line="240" w:lineRule="auto"/>
      </w:pPr>
      <w:r>
        <w:separator/>
      </w:r>
    </w:p>
  </w:footnote>
  <w:footnote w:type="continuationSeparator" w:id="0">
    <w:p w:rsidR="00637AA4" w:rsidRDefault="00637AA4" w:rsidP="00B821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777379"/>
    <w:multiLevelType w:val="hybridMultilevel"/>
    <w:tmpl w:val="E3AC02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3A05F1"/>
    <w:multiLevelType w:val="multilevel"/>
    <w:tmpl w:val="2A0C7B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85D5CEA"/>
    <w:multiLevelType w:val="hybridMultilevel"/>
    <w:tmpl w:val="9E3022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8B76AF"/>
    <w:multiLevelType w:val="multilevel"/>
    <w:tmpl w:val="E132E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B36702"/>
    <w:multiLevelType w:val="multilevel"/>
    <w:tmpl w:val="13946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E45BA9"/>
    <w:multiLevelType w:val="hybridMultilevel"/>
    <w:tmpl w:val="764819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441264"/>
    <w:multiLevelType w:val="multilevel"/>
    <w:tmpl w:val="6D7A5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895B74"/>
    <w:multiLevelType w:val="hybridMultilevel"/>
    <w:tmpl w:val="5DCA65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7F1EF1"/>
    <w:multiLevelType w:val="multilevel"/>
    <w:tmpl w:val="59941B4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4BC10D3"/>
    <w:multiLevelType w:val="multilevel"/>
    <w:tmpl w:val="4A946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4"/>
  </w:num>
  <w:num w:numId="3">
    <w:abstractNumId w:val="3"/>
  </w:num>
  <w:num w:numId="4">
    <w:abstractNumId w:val="9"/>
  </w:num>
  <w:num w:numId="5">
    <w:abstractNumId w:val="8"/>
  </w:num>
  <w:num w:numId="6">
    <w:abstractNumId w:val="1"/>
  </w:num>
  <w:num w:numId="7">
    <w:abstractNumId w:val="7"/>
  </w:num>
  <w:num w:numId="8">
    <w:abstractNumId w:val="5"/>
  </w:num>
  <w:num w:numId="9">
    <w:abstractNumId w:val="2"/>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04FE"/>
    <w:rsid w:val="00041533"/>
    <w:rsid w:val="00174E04"/>
    <w:rsid w:val="00241B1A"/>
    <w:rsid w:val="00492CC7"/>
    <w:rsid w:val="004C73E7"/>
    <w:rsid w:val="00524580"/>
    <w:rsid w:val="005C4FDE"/>
    <w:rsid w:val="006319D9"/>
    <w:rsid w:val="00637AA4"/>
    <w:rsid w:val="0095648D"/>
    <w:rsid w:val="009E5BBC"/>
    <w:rsid w:val="00B82157"/>
    <w:rsid w:val="00CC78E4"/>
    <w:rsid w:val="00DA33E6"/>
    <w:rsid w:val="00DE04FE"/>
    <w:rsid w:val="00DE352D"/>
    <w:rsid w:val="00E22710"/>
    <w:rsid w:val="00EC13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732CB"/>
  <w15:chartTrackingRefBased/>
  <w15:docId w15:val="{B7009D36-3FD2-49E5-A45E-FB192A1F4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4580"/>
    <w:pPr>
      <w:spacing w:line="360" w:lineRule="auto"/>
    </w:pPr>
    <w:rPr>
      <w:rFonts w:ascii="Arial" w:hAnsi="Arial"/>
      <w:sz w:val="24"/>
    </w:rPr>
  </w:style>
  <w:style w:type="paragraph" w:styleId="Heading1">
    <w:name w:val="heading 1"/>
    <w:basedOn w:val="Normal"/>
    <w:next w:val="Normal"/>
    <w:link w:val="Heading1Char"/>
    <w:autoRedefine/>
    <w:uiPriority w:val="9"/>
    <w:qFormat/>
    <w:rsid w:val="00EC137F"/>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041533"/>
    <w:pPr>
      <w:keepNext/>
      <w:keepLines/>
      <w:spacing w:before="160" w:after="80" w:line="279" w:lineRule="auto"/>
      <w:jc w:val="both"/>
      <w:outlineLvl w:val="1"/>
    </w:pPr>
    <w:rPr>
      <w:rFonts w:eastAsiaTheme="majorEastAsia" w:cstheme="majorBidi"/>
      <w:b/>
      <w:color w:val="2E74B5" w:themeColor="accent1" w:themeShade="BF"/>
      <w:sz w:val="27"/>
      <w:szCs w:val="32"/>
    </w:rPr>
  </w:style>
  <w:style w:type="paragraph" w:styleId="Heading3">
    <w:name w:val="heading 3"/>
    <w:basedOn w:val="Normal"/>
    <w:next w:val="Normal"/>
    <w:link w:val="Heading3Char"/>
    <w:autoRedefine/>
    <w:uiPriority w:val="9"/>
    <w:unhideWhenUsed/>
    <w:qFormat/>
    <w:rsid w:val="00492CC7"/>
    <w:pPr>
      <w:keepNext/>
      <w:keepLines/>
      <w:spacing w:before="40" w:after="0"/>
      <w:outlineLvl w:val="2"/>
    </w:pPr>
    <w:rPr>
      <w:rFonts w:eastAsiaTheme="majorEastAsia" w:cstheme="majorBidi"/>
      <w:b/>
      <w:color w:val="2E74B5" w:themeColor="accent1" w:themeShade="BF"/>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37F"/>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041533"/>
    <w:rPr>
      <w:rFonts w:ascii="Arial" w:eastAsiaTheme="majorEastAsia" w:hAnsi="Arial" w:cstheme="majorBidi"/>
      <w:b/>
      <w:color w:val="2E74B5" w:themeColor="accent1" w:themeShade="BF"/>
      <w:sz w:val="27"/>
      <w:szCs w:val="32"/>
    </w:rPr>
  </w:style>
  <w:style w:type="character" w:customStyle="1" w:styleId="Heading3Char">
    <w:name w:val="Heading 3 Char"/>
    <w:basedOn w:val="DefaultParagraphFont"/>
    <w:link w:val="Heading3"/>
    <w:uiPriority w:val="9"/>
    <w:rsid w:val="00492CC7"/>
    <w:rPr>
      <w:rFonts w:ascii="Arial" w:eastAsiaTheme="majorEastAsia" w:hAnsi="Arial" w:cstheme="majorBidi"/>
      <w:b/>
      <w:color w:val="2E74B5" w:themeColor="accent1" w:themeShade="BF"/>
      <w:sz w:val="26"/>
      <w:szCs w:val="24"/>
    </w:rPr>
  </w:style>
  <w:style w:type="paragraph" w:styleId="ListParagraph">
    <w:name w:val="List Paragraph"/>
    <w:basedOn w:val="Normal"/>
    <w:uiPriority w:val="34"/>
    <w:qFormat/>
    <w:rsid w:val="00DE04FE"/>
    <w:pPr>
      <w:ind w:left="720"/>
      <w:contextualSpacing/>
    </w:pPr>
  </w:style>
  <w:style w:type="character" w:styleId="Hyperlink">
    <w:name w:val="Hyperlink"/>
    <w:basedOn w:val="DefaultParagraphFont"/>
    <w:uiPriority w:val="99"/>
    <w:unhideWhenUsed/>
    <w:rsid w:val="00E22710"/>
    <w:rPr>
      <w:color w:val="0563C1" w:themeColor="hyperlink"/>
      <w:u w:val="single"/>
    </w:rPr>
  </w:style>
  <w:style w:type="paragraph" w:styleId="TOCHeading">
    <w:name w:val="TOC Heading"/>
    <w:basedOn w:val="Heading1"/>
    <w:next w:val="Normal"/>
    <w:uiPriority w:val="39"/>
    <w:unhideWhenUsed/>
    <w:qFormat/>
    <w:rsid w:val="00DA33E6"/>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A33E6"/>
    <w:pPr>
      <w:spacing w:after="100"/>
    </w:pPr>
  </w:style>
  <w:style w:type="paragraph" w:styleId="TOC2">
    <w:name w:val="toc 2"/>
    <w:basedOn w:val="Normal"/>
    <w:next w:val="Normal"/>
    <w:autoRedefine/>
    <w:uiPriority w:val="39"/>
    <w:unhideWhenUsed/>
    <w:rsid w:val="00DA33E6"/>
    <w:pPr>
      <w:spacing w:after="100"/>
      <w:ind w:left="240"/>
    </w:pPr>
  </w:style>
  <w:style w:type="paragraph" w:styleId="Header">
    <w:name w:val="header"/>
    <w:basedOn w:val="Normal"/>
    <w:link w:val="HeaderChar"/>
    <w:uiPriority w:val="99"/>
    <w:unhideWhenUsed/>
    <w:rsid w:val="00B821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2157"/>
    <w:rPr>
      <w:rFonts w:ascii="Arial" w:hAnsi="Arial"/>
      <w:sz w:val="24"/>
    </w:rPr>
  </w:style>
  <w:style w:type="paragraph" w:styleId="Footer">
    <w:name w:val="footer"/>
    <w:basedOn w:val="Normal"/>
    <w:link w:val="FooterChar"/>
    <w:uiPriority w:val="99"/>
    <w:unhideWhenUsed/>
    <w:rsid w:val="00B821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2157"/>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8581979">
      <w:bodyDiv w:val="1"/>
      <w:marLeft w:val="0"/>
      <w:marRight w:val="0"/>
      <w:marTop w:val="0"/>
      <w:marBottom w:val="0"/>
      <w:divBdr>
        <w:top w:val="none" w:sz="0" w:space="0" w:color="auto"/>
        <w:left w:val="none" w:sz="0" w:space="0" w:color="auto"/>
        <w:bottom w:val="none" w:sz="0" w:space="0" w:color="auto"/>
        <w:right w:val="none" w:sz="0" w:space="0" w:color="auto"/>
      </w:divBdr>
    </w:div>
    <w:div w:id="403139484">
      <w:bodyDiv w:val="1"/>
      <w:marLeft w:val="0"/>
      <w:marRight w:val="0"/>
      <w:marTop w:val="0"/>
      <w:marBottom w:val="0"/>
      <w:divBdr>
        <w:top w:val="none" w:sz="0" w:space="0" w:color="auto"/>
        <w:left w:val="none" w:sz="0" w:space="0" w:color="auto"/>
        <w:bottom w:val="none" w:sz="0" w:space="0" w:color="auto"/>
        <w:right w:val="none" w:sz="0" w:space="0" w:color="auto"/>
      </w:divBdr>
    </w:div>
    <w:div w:id="616521136">
      <w:bodyDiv w:val="1"/>
      <w:marLeft w:val="0"/>
      <w:marRight w:val="0"/>
      <w:marTop w:val="0"/>
      <w:marBottom w:val="0"/>
      <w:divBdr>
        <w:top w:val="none" w:sz="0" w:space="0" w:color="auto"/>
        <w:left w:val="none" w:sz="0" w:space="0" w:color="auto"/>
        <w:bottom w:val="none" w:sz="0" w:space="0" w:color="auto"/>
        <w:right w:val="none" w:sz="0" w:space="0" w:color="auto"/>
      </w:divBdr>
    </w:div>
    <w:div w:id="662583702">
      <w:bodyDiv w:val="1"/>
      <w:marLeft w:val="0"/>
      <w:marRight w:val="0"/>
      <w:marTop w:val="0"/>
      <w:marBottom w:val="0"/>
      <w:divBdr>
        <w:top w:val="none" w:sz="0" w:space="0" w:color="auto"/>
        <w:left w:val="none" w:sz="0" w:space="0" w:color="auto"/>
        <w:bottom w:val="none" w:sz="0" w:space="0" w:color="auto"/>
        <w:right w:val="none" w:sz="0" w:space="0" w:color="auto"/>
      </w:divBdr>
    </w:div>
    <w:div w:id="967511779">
      <w:bodyDiv w:val="1"/>
      <w:marLeft w:val="0"/>
      <w:marRight w:val="0"/>
      <w:marTop w:val="0"/>
      <w:marBottom w:val="0"/>
      <w:divBdr>
        <w:top w:val="none" w:sz="0" w:space="0" w:color="auto"/>
        <w:left w:val="none" w:sz="0" w:space="0" w:color="auto"/>
        <w:bottom w:val="none" w:sz="0" w:space="0" w:color="auto"/>
        <w:right w:val="none" w:sz="0" w:space="0" w:color="auto"/>
      </w:divBdr>
    </w:div>
    <w:div w:id="1263033306">
      <w:bodyDiv w:val="1"/>
      <w:marLeft w:val="0"/>
      <w:marRight w:val="0"/>
      <w:marTop w:val="0"/>
      <w:marBottom w:val="0"/>
      <w:divBdr>
        <w:top w:val="none" w:sz="0" w:space="0" w:color="auto"/>
        <w:left w:val="none" w:sz="0" w:space="0" w:color="auto"/>
        <w:bottom w:val="none" w:sz="0" w:space="0" w:color="auto"/>
        <w:right w:val="none" w:sz="0" w:space="0" w:color="auto"/>
      </w:divBdr>
    </w:div>
    <w:div w:id="1485929471">
      <w:bodyDiv w:val="1"/>
      <w:marLeft w:val="0"/>
      <w:marRight w:val="0"/>
      <w:marTop w:val="0"/>
      <w:marBottom w:val="0"/>
      <w:divBdr>
        <w:top w:val="none" w:sz="0" w:space="0" w:color="auto"/>
        <w:left w:val="none" w:sz="0" w:space="0" w:color="auto"/>
        <w:bottom w:val="none" w:sz="0" w:space="0" w:color="auto"/>
        <w:right w:val="none" w:sz="0" w:space="0" w:color="auto"/>
      </w:divBdr>
      <w:divsChild>
        <w:div w:id="529299039">
          <w:marLeft w:val="0"/>
          <w:marRight w:val="0"/>
          <w:marTop w:val="0"/>
          <w:marBottom w:val="0"/>
          <w:divBdr>
            <w:top w:val="none" w:sz="0" w:space="0" w:color="auto"/>
            <w:left w:val="none" w:sz="0" w:space="0" w:color="auto"/>
            <w:bottom w:val="none" w:sz="0" w:space="0" w:color="auto"/>
            <w:right w:val="none" w:sz="0" w:space="0" w:color="auto"/>
          </w:divBdr>
          <w:divsChild>
            <w:div w:id="2104105286">
              <w:marLeft w:val="0"/>
              <w:marRight w:val="0"/>
              <w:marTop w:val="0"/>
              <w:marBottom w:val="0"/>
              <w:divBdr>
                <w:top w:val="none" w:sz="0" w:space="0" w:color="auto"/>
                <w:left w:val="none" w:sz="0" w:space="0" w:color="auto"/>
                <w:bottom w:val="none" w:sz="0" w:space="0" w:color="auto"/>
                <w:right w:val="none" w:sz="0" w:space="0" w:color="auto"/>
              </w:divBdr>
              <w:divsChild>
                <w:div w:id="1268345166">
                  <w:marLeft w:val="0"/>
                  <w:marRight w:val="0"/>
                  <w:marTop w:val="0"/>
                  <w:marBottom w:val="0"/>
                  <w:divBdr>
                    <w:top w:val="none" w:sz="0" w:space="0" w:color="auto"/>
                    <w:left w:val="none" w:sz="0" w:space="0" w:color="auto"/>
                    <w:bottom w:val="none" w:sz="0" w:space="0" w:color="auto"/>
                    <w:right w:val="none" w:sz="0" w:space="0" w:color="auto"/>
                  </w:divBdr>
                  <w:divsChild>
                    <w:div w:id="416899875">
                      <w:marLeft w:val="0"/>
                      <w:marRight w:val="0"/>
                      <w:marTop w:val="0"/>
                      <w:marBottom w:val="0"/>
                      <w:divBdr>
                        <w:top w:val="none" w:sz="0" w:space="0" w:color="auto"/>
                        <w:left w:val="none" w:sz="0" w:space="0" w:color="auto"/>
                        <w:bottom w:val="none" w:sz="0" w:space="0" w:color="auto"/>
                        <w:right w:val="none" w:sz="0" w:space="0" w:color="auto"/>
                      </w:divBdr>
                      <w:divsChild>
                        <w:div w:id="383064470">
                          <w:marLeft w:val="0"/>
                          <w:marRight w:val="0"/>
                          <w:marTop w:val="0"/>
                          <w:marBottom w:val="0"/>
                          <w:divBdr>
                            <w:top w:val="none" w:sz="0" w:space="0" w:color="auto"/>
                            <w:left w:val="none" w:sz="0" w:space="0" w:color="auto"/>
                            <w:bottom w:val="none" w:sz="0" w:space="0" w:color="auto"/>
                            <w:right w:val="none" w:sz="0" w:space="0" w:color="auto"/>
                          </w:divBdr>
                          <w:divsChild>
                            <w:div w:id="855970441">
                              <w:marLeft w:val="0"/>
                              <w:marRight w:val="0"/>
                              <w:marTop w:val="0"/>
                              <w:marBottom w:val="0"/>
                              <w:divBdr>
                                <w:top w:val="none" w:sz="0" w:space="0" w:color="auto"/>
                                <w:left w:val="none" w:sz="0" w:space="0" w:color="auto"/>
                                <w:bottom w:val="none" w:sz="0" w:space="0" w:color="auto"/>
                                <w:right w:val="none" w:sz="0" w:space="0" w:color="auto"/>
                              </w:divBdr>
                              <w:divsChild>
                                <w:div w:id="54390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4387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ckinsey.com?utm_source=chatgpt.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kpmg.com?utm_source=chatgpt.com" TargetMode="External"/><Relationship Id="rId2" Type="http://schemas.openxmlformats.org/officeDocument/2006/relationships/numbering" Target="numbering.xml"/><Relationship Id="rId16" Type="http://schemas.openxmlformats.org/officeDocument/2006/relationships/hyperlink" Target="https://www.imf.org?utm_source=chatgpt.com" TargetMode="External"/><Relationship Id="rId20" Type="http://schemas.openxmlformats.org/officeDocument/2006/relationships/hyperlink" Target="https://www.worldbank.org?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euromonitor.com?utm_source=chatgpt.com"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wipo.int?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didas-group.com/en/investors/financial-reports/?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495D28-D227-4DAD-8AB3-F7B4B2E07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6605</Words>
  <Characters>37651</Characters>
  <Application>Microsoft Office Word</Application>
  <DocSecurity>0</DocSecurity>
  <Lines>313</Lines>
  <Paragraphs>88</Paragraphs>
  <ScaleCrop>false</ScaleCrop>
  <HeadingPairs>
    <vt:vector size="4" baseType="variant">
      <vt:variant>
        <vt:lpstr>Title</vt:lpstr>
      </vt:variant>
      <vt:variant>
        <vt:i4>1</vt:i4>
      </vt:variant>
      <vt:variant>
        <vt:lpstr>Headings</vt:lpstr>
      </vt:variant>
      <vt:variant>
        <vt:i4>26</vt:i4>
      </vt:variant>
    </vt:vector>
  </HeadingPairs>
  <TitlesOfParts>
    <vt:vector size="27" baseType="lpstr">
      <vt:lpstr/>
      <vt:lpstr>Section 1: </vt:lpstr>
      <vt:lpstr>1. Organisational Context and Overview </vt:lpstr>
      <vt:lpstr>    1.1 Organisational Background and History</vt:lpstr>
      <vt:lpstr>    1.2 Industry, Competitors, and Market Position</vt:lpstr>
      <vt:lpstr>2. External and Internal Analysis:</vt:lpstr>
      <vt:lpstr>    2.1 External Environment Analysis (PESTEL Framework)</vt:lpstr>
      <vt:lpstr>    2.2 Internal Environment Analysis (VRIO Framework)</vt:lpstr>
      <vt:lpstr>    2.3 SWOT Analysis</vt:lpstr>
      <vt:lpstr>3. Comprehensive and Holistic View of the Organisation </vt:lpstr>
      <vt:lpstr>    3.1 Corporate Social Responsibility (CSR) Strategy and Alignment with Business O</vt:lpstr>
      <vt:lpstr>    3.2 Balanced Scorecard Analysis</vt:lpstr>
      <vt:lpstr>4. Strategic Choices and Implementation </vt:lpstr>
      <vt:lpstr>    4.1 Business-Level Strategic Choices</vt:lpstr>
      <vt:lpstr>    4.2 Industry Structure Analysis: Porter’s Five Forces</vt:lpstr>
      <vt:lpstr>    4.3 Growth Options: Ansoff's Matrix</vt:lpstr>
      <vt:lpstr>    4.4 Strategy Evaluation with the SAFe Framework</vt:lpstr>
      <vt:lpstr>    4.5 Recommended Strategy and Value Creation</vt:lpstr>
      <vt:lpstr>    4.6 Implementation Challenges and Mitigation Strategies</vt:lpstr>
      <vt:lpstr>Section 2</vt:lpstr>
      <vt:lpstr>5. Reflective Account – Gibbs’ Reflective Cycle</vt:lpstr>
      <vt:lpstr>    5.1 Description</vt:lpstr>
      <vt:lpstr>    5.2 Feelings</vt:lpstr>
      <vt:lpstr>    5.3 Evaluation</vt:lpstr>
      <vt:lpstr>    5.4 Analysis</vt:lpstr>
      <vt:lpstr>    5.5 Conclusion</vt:lpstr>
      <vt:lpstr>    5.6 Action Plan</vt:lpstr>
    </vt:vector>
  </TitlesOfParts>
  <Company/>
  <LinksUpToDate>false</LinksUpToDate>
  <CharactersWithSpaces>44168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5A_Traders</dc:creator>
  <cp:keywords/>
  <dc:description/>
  <cp:lastModifiedBy>5A_Traders</cp:lastModifiedBy>
  <cp:revision>2</cp:revision>
  <dcterms:created xsi:type="dcterms:W3CDTF">2026-07-15T23:46:00Z</dcterms:created>
  <dcterms:modified xsi:type="dcterms:W3CDTF">2026-07-15T23:46:00Z</dcterms:modified>
</cp:coreProperties>
</file>