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3CA34183" w:rsidR="003579E6" w:rsidRDefault="5F5306A1" w:rsidP="6CF1AB07">
      <w:pPr>
        <w:jc w:val="center"/>
        <w:rPr>
          <w:rFonts w:ascii="Calibri" w:eastAsia="Calibri" w:hAnsi="Calibri" w:cs="Calibri"/>
          <w:sz w:val="44"/>
          <w:szCs w:val="44"/>
          <w:u w:val="single"/>
        </w:rPr>
      </w:pPr>
      <w:r w:rsidRPr="6CF1AB07">
        <w:rPr>
          <w:rFonts w:ascii="Calibri" w:eastAsia="Calibri" w:hAnsi="Calibri" w:cs="Calibri"/>
          <w:b/>
          <w:bCs/>
          <w:sz w:val="40"/>
          <w:szCs w:val="40"/>
          <w:u w:val="single"/>
        </w:rPr>
        <w:t>Data Security and Compliance</w:t>
      </w:r>
    </w:p>
    <w:p w14:paraId="1BD97AD8" w14:textId="454B69F7" w:rsidR="6CF1AB07" w:rsidRDefault="0101CC17" w:rsidP="65632593">
      <w:pPr>
        <w:jc w:val="center"/>
        <w:rPr>
          <w:rFonts w:ascii="Calibri" w:eastAsia="Calibri" w:hAnsi="Calibri" w:cs="Calibri"/>
        </w:rPr>
      </w:pPr>
      <w:r w:rsidRPr="65632593">
        <w:rPr>
          <w:rFonts w:ascii="Calibri" w:eastAsia="Calibri" w:hAnsi="Calibri" w:cs="Calibri"/>
        </w:rPr>
        <w:t xml:space="preserve">Aaron Miles </w:t>
      </w:r>
    </w:p>
    <w:p w14:paraId="36E15CE5" w14:textId="4D492982" w:rsidR="5F5306A1" w:rsidRDefault="0101CC17" w:rsidP="65632593">
      <w:pPr>
        <w:jc w:val="center"/>
        <w:rPr>
          <w:rFonts w:ascii="Calibri" w:eastAsia="Calibri" w:hAnsi="Calibri" w:cs="Calibri"/>
        </w:rPr>
      </w:pPr>
      <w:r w:rsidRPr="65632593">
        <w:rPr>
          <w:rFonts w:ascii="Calibri" w:eastAsia="Calibri" w:hAnsi="Calibri" w:cs="Calibri"/>
        </w:rPr>
        <w:t>2404521</w:t>
      </w:r>
    </w:p>
    <w:p w14:paraId="4C246527" w14:textId="479A564A" w:rsidR="5F5306A1" w:rsidRDefault="0101CC17" w:rsidP="65632593">
      <w:pPr>
        <w:jc w:val="center"/>
        <w:rPr>
          <w:rFonts w:ascii="Calibri" w:eastAsia="Calibri" w:hAnsi="Calibri" w:cs="Calibri"/>
        </w:rPr>
      </w:pPr>
      <w:r w:rsidRPr="65632593">
        <w:rPr>
          <w:rFonts w:ascii="Calibri" w:eastAsia="Calibri" w:hAnsi="Calibri" w:cs="Calibri"/>
        </w:rPr>
        <w:t>L5 – Data Security and Compliance</w:t>
      </w:r>
    </w:p>
    <w:p w14:paraId="7E6A0B04" w14:textId="3A4DBE6B" w:rsidR="5F5306A1" w:rsidRDefault="5F5306A1" w:rsidP="65632593">
      <w:pPr>
        <w:jc w:val="center"/>
        <w:rPr>
          <w:rFonts w:ascii="Calibri" w:eastAsia="Calibri" w:hAnsi="Calibri" w:cs="Calibri"/>
        </w:rPr>
      </w:pPr>
    </w:p>
    <w:sdt>
      <w:sdtPr>
        <w:id w:val="977502212"/>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15FD5193" w14:textId="1EA5C8F3" w:rsidR="002E3D1E" w:rsidRPr="002E3D1E" w:rsidRDefault="002E3D1E">
          <w:pPr>
            <w:pStyle w:val="TOCHeading"/>
            <w:rPr>
              <w:b/>
              <w:color w:val="auto"/>
              <w:sz w:val="40"/>
            </w:rPr>
          </w:pPr>
          <w:r w:rsidRPr="002E3D1E">
            <w:rPr>
              <w:b/>
              <w:color w:val="auto"/>
              <w:sz w:val="40"/>
            </w:rPr>
            <w:t>Table Contents</w:t>
          </w:r>
        </w:p>
        <w:p w14:paraId="7A848FA6" w14:textId="4EDE0BB5" w:rsidR="0050717C" w:rsidRDefault="002E3D1E">
          <w:pPr>
            <w:pStyle w:val="TOC1"/>
            <w:tabs>
              <w:tab w:val="right" w:leader="dot" w:pos="9350"/>
            </w:tabs>
            <w:rPr>
              <w:noProof/>
              <w:sz w:val="22"/>
              <w:szCs w:val="22"/>
              <w:lang w:val="en-GB" w:eastAsia="en-GB"/>
            </w:rPr>
          </w:pPr>
          <w:r>
            <w:fldChar w:fldCharType="begin"/>
          </w:r>
          <w:r>
            <w:instrText xml:space="preserve"> TOC \o "1-3" \h \z \u </w:instrText>
          </w:r>
          <w:r>
            <w:fldChar w:fldCharType="separate"/>
          </w:r>
          <w:hyperlink w:anchor="_Toc218507899" w:history="1">
            <w:r w:rsidR="0050717C" w:rsidRPr="00E738AE">
              <w:rPr>
                <w:rStyle w:val="Hyperlink"/>
                <w:rFonts w:ascii="Calibri" w:eastAsia="Calibri" w:hAnsi="Calibri" w:cs="Calibri"/>
                <w:b/>
                <w:bCs/>
                <w:noProof/>
              </w:rPr>
              <w:t>Task 1-</w:t>
            </w:r>
            <w:r w:rsidR="0050717C" w:rsidRPr="00E738AE">
              <w:rPr>
                <w:rStyle w:val="Hyperlink"/>
                <w:rFonts w:ascii="Calibri" w:eastAsia="Times New Roman" w:hAnsi="Calibri"/>
                <w:b/>
                <w:noProof/>
                <w:lang w:val="en-GB" w:eastAsia="en-GB"/>
              </w:rPr>
              <w:t xml:space="preserve"> A Critical Examination of the Zero Trust Architecture's Foundations, Difficulties, and Efficiency in Relation to Conventional Security Models</w:t>
            </w:r>
            <w:r w:rsidR="0050717C">
              <w:rPr>
                <w:noProof/>
                <w:webHidden/>
              </w:rPr>
              <w:tab/>
            </w:r>
            <w:r w:rsidR="0050717C">
              <w:rPr>
                <w:noProof/>
                <w:webHidden/>
              </w:rPr>
              <w:fldChar w:fldCharType="begin"/>
            </w:r>
            <w:r w:rsidR="0050717C">
              <w:rPr>
                <w:noProof/>
                <w:webHidden/>
              </w:rPr>
              <w:instrText xml:space="preserve"> PAGEREF _Toc218507899 \h </w:instrText>
            </w:r>
            <w:r w:rsidR="0050717C">
              <w:rPr>
                <w:noProof/>
                <w:webHidden/>
              </w:rPr>
            </w:r>
            <w:r w:rsidR="0050717C">
              <w:rPr>
                <w:noProof/>
                <w:webHidden/>
              </w:rPr>
              <w:fldChar w:fldCharType="separate"/>
            </w:r>
            <w:r w:rsidR="0050717C">
              <w:rPr>
                <w:noProof/>
                <w:webHidden/>
              </w:rPr>
              <w:t>2</w:t>
            </w:r>
            <w:r w:rsidR="0050717C">
              <w:rPr>
                <w:noProof/>
                <w:webHidden/>
              </w:rPr>
              <w:fldChar w:fldCharType="end"/>
            </w:r>
          </w:hyperlink>
        </w:p>
        <w:p w14:paraId="4A87D169" w14:textId="725FD878" w:rsidR="0050717C" w:rsidRDefault="0050717C">
          <w:pPr>
            <w:pStyle w:val="TOC2"/>
            <w:tabs>
              <w:tab w:val="right" w:leader="dot" w:pos="9350"/>
            </w:tabs>
            <w:rPr>
              <w:noProof/>
              <w:sz w:val="22"/>
              <w:szCs w:val="22"/>
              <w:lang w:val="en-GB" w:eastAsia="en-GB"/>
            </w:rPr>
          </w:pPr>
          <w:hyperlink w:anchor="_Toc218507900" w:history="1">
            <w:r w:rsidRPr="00E738AE">
              <w:rPr>
                <w:rStyle w:val="Hyperlink"/>
                <w:rFonts w:eastAsia="Calibri"/>
                <w:noProof/>
              </w:rPr>
              <w:t>Introduction</w:t>
            </w:r>
            <w:r>
              <w:rPr>
                <w:noProof/>
                <w:webHidden/>
              </w:rPr>
              <w:tab/>
            </w:r>
            <w:r>
              <w:rPr>
                <w:noProof/>
                <w:webHidden/>
              </w:rPr>
              <w:fldChar w:fldCharType="begin"/>
            </w:r>
            <w:r>
              <w:rPr>
                <w:noProof/>
                <w:webHidden/>
              </w:rPr>
              <w:instrText xml:space="preserve"> PAGEREF _Toc218507900 \h </w:instrText>
            </w:r>
            <w:r>
              <w:rPr>
                <w:noProof/>
                <w:webHidden/>
              </w:rPr>
            </w:r>
            <w:r>
              <w:rPr>
                <w:noProof/>
                <w:webHidden/>
              </w:rPr>
              <w:fldChar w:fldCharType="separate"/>
            </w:r>
            <w:r>
              <w:rPr>
                <w:noProof/>
                <w:webHidden/>
              </w:rPr>
              <w:t>2</w:t>
            </w:r>
            <w:r>
              <w:rPr>
                <w:noProof/>
                <w:webHidden/>
              </w:rPr>
              <w:fldChar w:fldCharType="end"/>
            </w:r>
          </w:hyperlink>
        </w:p>
        <w:p w14:paraId="57797798" w14:textId="63B4C58E" w:rsidR="0050717C" w:rsidRDefault="0050717C">
          <w:pPr>
            <w:pStyle w:val="TOC1"/>
            <w:tabs>
              <w:tab w:val="right" w:leader="dot" w:pos="9350"/>
            </w:tabs>
            <w:rPr>
              <w:noProof/>
              <w:sz w:val="22"/>
              <w:szCs w:val="22"/>
              <w:lang w:val="en-GB" w:eastAsia="en-GB"/>
            </w:rPr>
          </w:pPr>
          <w:hyperlink w:anchor="_Toc218507901" w:history="1">
            <w:r w:rsidRPr="00E738AE">
              <w:rPr>
                <w:rStyle w:val="Hyperlink"/>
                <w:rFonts w:eastAsia="Calibri"/>
                <w:noProof/>
              </w:rPr>
              <w:t>Principles and Theoretical Foundations of Zero Trust</w:t>
            </w:r>
            <w:r>
              <w:rPr>
                <w:noProof/>
                <w:webHidden/>
              </w:rPr>
              <w:tab/>
            </w:r>
            <w:r>
              <w:rPr>
                <w:noProof/>
                <w:webHidden/>
              </w:rPr>
              <w:fldChar w:fldCharType="begin"/>
            </w:r>
            <w:r>
              <w:rPr>
                <w:noProof/>
                <w:webHidden/>
              </w:rPr>
              <w:instrText xml:space="preserve"> PAGEREF _Toc218507901 \h </w:instrText>
            </w:r>
            <w:r>
              <w:rPr>
                <w:noProof/>
                <w:webHidden/>
              </w:rPr>
            </w:r>
            <w:r>
              <w:rPr>
                <w:noProof/>
                <w:webHidden/>
              </w:rPr>
              <w:fldChar w:fldCharType="separate"/>
            </w:r>
            <w:r>
              <w:rPr>
                <w:noProof/>
                <w:webHidden/>
              </w:rPr>
              <w:t>2</w:t>
            </w:r>
            <w:r>
              <w:rPr>
                <w:noProof/>
                <w:webHidden/>
              </w:rPr>
              <w:fldChar w:fldCharType="end"/>
            </w:r>
          </w:hyperlink>
        </w:p>
        <w:p w14:paraId="69EDE2E0" w14:textId="1A1ED5AD" w:rsidR="0050717C" w:rsidRDefault="0050717C">
          <w:pPr>
            <w:pStyle w:val="TOC1"/>
            <w:tabs>
              <w:tab w:val="right" w:leader="dot" w:pos="9350"/>
            </w:tabs>
            <w:rPr>
              <w:noProof/>
              <w:sz w:val="22"/>
              <w:szCs w:val="22"/>
              <w:lang w:val="en-GB" w:eastAsia="en-GB"/>
            </w:rPr>
          </w:pPr>
          <w:hyperlink w:anchor="_Toc218507902" w:history="1">
            <w:r w:rsidRPr="00E738AE">
              <w:rPr>
                <w:rStyle w:val="Hyperlink"/>
                <w:rFonts w:eastAsia="Calibri"/>
                <w:noProof/>
              </w:rPr>
              <w:t>Drivers Behind Zero Trust Adoption</w:t>
            </w:r>
            <w:r>
              <w:rPr>
                <w:noProof/>
                <w:webHidden/>
              </w:rPr>
              <w:tab/>
            </w:r>
            <w:r>
              <w:rPr>
                <w:noProof/>
                <w:webHidden/>
              </w:rPr>
              <w:fldChar w:fldCharType="begin"/>
            </w:r>
            <w:r>
              <w:rPr>
                <w:noProof/>
                <w:webHidden/>
              </w:rPr>
              <w:instrText xml:space="preserve"> PAGEREF _Toc218507902 \h </w:instrText>
            </w:r>
            <w:r>
              <w:rPr>
                <w:noProof/>
                <w:webHidden/>
              </w:rPr>
            </w:r>
            <w:r>
              <w:rPr>
                <w:noProof/>
                <w:webHidden/>
              </w:rPr>
              <w:fldChar w:fldCharType="separate"/>
            </w:r>
            <w:r>
              <w:rPr>
                <w:noProof/>
                <w:webHidden/>
              </w:rPr>
              <w:t>3</w:t>
            </w:r>
            <w:r>
              <w:rPr>
                <w:noProof/>
                <w:webHidden/>
              </w:rPr>
              <w:fldChar w:fldCharType="end"/>
            </w:r>
          </w:hyperlink>
        </w:p>
        <w:p w14:paraId="6625915A" w14:textId="3132FA8D" w:rsidR="0050717C" w:rsidRDefault="0050717C">
          <w:pPr>
            <w:pStyle w:val="TOC1"/>
            <w:tabs>
              <w:tab w:val="right" w:leader="dot" w:pos="9350"/>
            </w:tabs>
            <w:rPr>
              <w:noProof/>
              <w:sz w:val="22"/>
              <w:szCs w:val="22"/>
              <w:lang w:val="en-GB" w:eastAsia="en-GB"/>
            </w:rPr>
          </w:pPr>
          <w:hyperlink w:anchor="_Toc218507903" w:history="1">
            <w:r w:rsidRPr="00E738AE">
              <w:rPr>
                <w:rStyle w:val="Hyperlink"/>
                <w:rFonts w:eastAsia="Calibri"/>
                <w:noProof/>
              </w:rPr>
              <w:t>Methods of Enquiry and Evaluation Frameworks</w:t>
            </w:r>
            <w:r>
              <w:rPr>
                <w:noProof/>
                <w:webHidden/>
              </w:rPr>
              <w:tab/>
            </w:r>
            <w:r>
              <w:rPr>
                <w:noProof/>
                <w:webHidden/>
              </w:rPr>
              <w:fldChar w:fldCharType="begin"/>
            </w:r>
            <w:r>
              <w:rPr>
                <w:noProof/>
                <w:webHidden/>
              </w:rPr>
              <w:instrText xml:space="preserve"> PAGEREF _Toc218507903 \h </w:instrText>
            </w:r>
            <w:r>
              <w:rPr>
                <w:noProof/>
                <w:webHidden/>
              </w:rPr>
            </w:r>
            <w:r>
              <w:rPr>
                <w:noProof/>
                <w:webHidden/>
              </w:rPr>
              <w:fldChar w:fldCharType="separate"/>
            </w:r>
            <w:r>
              <w:rPr>
                <w:noProof/>
                <w:webHidden/>
              </w:rPr>
              <w:t>4</w:t>
            </w:r>
            <w:r>
              <w:rPr>
                <w:noProof/>
                <w:webHidden/>
              </w:rPr>
              <w:fldChar w:fldCharType="end"/>
            </w:r>
          </w:hyperlink>
        </w:p>
        <w:p w14:paraId="4A460BB4" w14:textId="6AE1075D" w:rsidR="0050717C" w:rsidRDefault="0050717C">
          <w:pPr>
            <w:pStyle w:val="TOC1"/>
            <w:tabs>
              <w:tab w:val="right" w:leader="dot" w:pos="9350"/>
            </w:tabs>
            <w:rPr>
              <w:noProof/>
              <w:sz w:val="22"/>
              <w:szCs w:val="22"/>
              <w:lang w:val="en-GB" w:eastAsia="en-GB"/>
            </w:rPr>
          </w:pPr>
          <w:hyperlink w:anchor="_Toc218507904" w:history="1">
            <w:r w:rsidRPr="00E738AE">
              <w:rPr>
                <w:rStyle w:val="Hyperlink"/>
                <w:rFonts w:eastAsia="Calibri"/>
                <w:noProof/>
              </w:rPr>
              <w:t>Implementation Challenges</w:t>
            </w:r>
            <w:r>
              <w:rPr>
                <w:noProof/>
                <w:webHidden/>
              </w:rPr>
              <w:tab/>
            </w:r>
            <w:r>
              <w:rPr>
                <w:noProof/>
                <w:webHidden/>
              </w:rPr>
              <w:fldChar w:fldCharType="begin"/>
            </w:r>
            <w:r>
              <w:rPr>
                <w:noProof/>
                <w:webHidden/>
              </w:rPr>
              <w:instrText xml:space="preserve"> PAGEREF _Toc218507904 \h </w:instrText>
            </w:r>
            <w:r>
              <w:rPr>
                <w:noProof/>
                <w:webHidden/>
              </w:rPr>
            </w:r>
            <w:r>
              <w:rPr>
                <w:noProof/>
                <w:webHidden/>
              </w:rPr>
              <w:fldChar w:fldCharType="separate"/>
            </w:r>
            <w:r>
              <w:rPr>
                <w:noProof/>
                <w:webHidden/>
              </w:rPr>
              <w:t>4</w:t>
            </w:r>
            <w:r>
              <w:rPr>
                <w:noProof/>
                <w:webHidden/>
              </w:rPr>
              <w:fldChar w:fldCharType="end"/>
            </w:r>
          </w:hyperlink>
        </w:p>
        <w:p w14:paraId="7C3BC257" w14:textId="19A3720C" w:rsidR="0050717C" w:rsidRDefault="0050717C">
          <w:pPr>
            <w:pStyle w:val="TOC1"/>
            <w:tabs>
              <w:tab w:val="right" w:leader="dot" w:pos="9350"/>
            </w:tabs>
            <w:rPr>
              <w:noProof/>
              <w:sz w:val="22"/>
              <w:szCs w:val="22"/>
              <w:lang w:val="en-GB" w:eastAsia="en-GB"/>
            </w:rPr>
          </w:pPr>
          <w:hyperlink w:anchor="_Toc218507905" w:history="1">
            <w:r w:rsidRPr="00E738AE">
              <w:rPr>
                <w:rStyle w:val="Hyperlink"/>
                <w:noProof/>
              </w:rPr>
              <w:t>Critical Limitations and Contextual Suitability of Zero Trust</w:t>
            </w:r>
            <w:r>
              <w:rPr>
                <w:noProof/>
                <w:webHidden/>
              </w:rPr>
              <w:tab/>
            </w:r>
            <w:r>
              <w:rPr>
                <w:noProof/>
                <w:webHidden/>
              </w:rPr>
              <w:fldChar w:fldCharType="begin"/>
            </w:r>
            <w:r>
              <w:rPr>
                <w:noProof/>
                <w:webHidden/>
              </w:rPr>
              <w:instrText xml:space="preserve"> PAGEREF _Toc218507905 \h </w:instrText>
            </w:r>
            <w:r>
              <w:rPr>
                <w:noProof/>
                <w:webHidden/>
              </w:rPr>
            </w:r>
            <w:r>
              <w:rPr>
                <w:noProof/>
                <w:webHidden/>
              </w:rPr>
              <w:fldChar w:fldCharType="separate"/>
            </w:r>
            <w:r>
              <w:rPr>
                <w:noProof/>
                <w:webHidden/>
              </w:rPr>
              <w:t>5</w:t>
            </w:r>
            <w:r>
              <w:rPr>
                <w:noProof/>
                <w:webHidden/>
              </w:rPr>
              <w:fldChar w:fldCharType="end"/>
            </w:r>
          </w:hyperlink>
        </w:p>
        <w:p w14:paraId="1B9B8E86" w14:textId="757FDC42" w:rsidR="0050717C" w:rsidRDefault="0050717C">
          <w:pPr>
            <w:pStyle w:val="TOC1"/>
            <w:tabs>
              <w:tab w:val="right" w:leader="dot" w:pos="9350"/>
            </w:tabs>
            <w:rPr>
              <w:noProof/>
              <w:sz w:val="22"/>
              <w:szCs w:val="22"/>
              <w:lang w:val="en-GB" w:eastAsia="en-GB"/>
            </w:rPr>
          </w:pPr>
          <w:hyperlink w:anchor="_Toc218507906" w:history="1">
            <w:r w:rsidRPr="00E738AE">
              <w:rPr>
                <w:rStyle w:val="Hyperlink"/>
                <w:rFonts w:eastAsia="Calibri"/>
                <w:noProof/>
              </w:rPr>
              <w:t>Comparative Analysis: Zero Trust vs Traditional Perimeter Security</w:t>
            </w:r>
            <w:r>
              <w:rPr>
                <w:noProof/>
                <w:webHidden/>
              </w:rPr>
              <w:tab/>
            </w:r>
            <w:r>
              <w:rPr>
                <w:noProof/>
                <w:webHidden/>
              </w:rPr>
              <w:fldChar w:fldCharType="begin"/>
            </w:r>
            <w:r>
              <w:rPr>
                <w:noProof/>
                <w:webHidden/>
              </w:rPr>
              <w:instrText xml:space="preserve"> PAGEREF _Toc218507906 \h </w:instrText>
            </w:r>
            <w:r>
              <w:rPr>
                <w:noProof/>
                <w:webHidden/>
              </w:rPr>
            </w:r>
            <w:r>
              <w:rPr>
                <w:noProof/>
                <w:webHidden/>
              </w:rPr>
              <w:fldChar w:fldCharType="separate"/>
            </w:r>
            <w:r>
              <w:rPr>
                <w:noProof/>
                <w:webHidden/>
              </w:rPr>
              <w:t>6</w:t>
            </w:r>
            <w:r>
              <w:rPr>
                <w:noProof/>
                <w:webHidden/>
              </w:rPr>
              <w:fldChar w:fldCharType="end"/>
            </w:r>
          </w:hyperlink>
        </w:p>
        <w:p w14:paraId="39B77B87" w14:textId="6CE90256" w:rsidR="0050717C" w:rsidRDefault="0050717C">
          <w:pPr>
            <w:pStyle w:val="TOC1"/>
            <w:tabs>
              <w:tab w:val="right" w:leader="dot" w:pos="9350"/>
            </w:tabs>
            <w:rPr>
              <w:noProof/>
              <w:sz w:val="22"/>
              <w:szCs w:val="22"/>
              <w:lang w:val="en-GB" w:eastAsia="en-GB"/>
            </w:rPr>
          </w:pPr>
          <w:hyperlink w:anchor="_Toc218507907" w:history="1">
            <w:r w:rsidRPr="00E738AE">
              <w:rPr>
                <w:rStyle w:val="Hyperlink"/>
                <w:rFonts w:eastAsia="Calibri"/>
                <w:noProof/>
              </w:rPr>
              <w:t>Automation, Detection, and Response in Zero Trust</w:t>
            </w:r>
            <w:r>
              <w:rPr>
                <w:noProof/>
                <w:webHidden/>
              </w:rPr>
              <w:tab/>
            </w:r>
            <w:r>
              <w:rPr>
                <w:noProof/>
                <w:webHidden/>
              </w:rPr>
              <w:fldChar w:fldCharType="begin"/>
            </w:r>
            <w:r>
              <w:rPr>
                <w:noProof/>
                <w:webHidden/>
              </w:rPr>
              <w:instrText xml:space="preserve"> PAGEREF _Toc218507907 \h </w:instrText>
            </w:r>
            <w:r>
              <w:rPr>
                <w:noProof/>
                <w:webHidden/>
              </w:rPr>
            </w:r>
            <w:r>
              <w:rPr>
                <w:noProof/>
                <w:webHidden/>
              </w:rPr>
              <w:fldChar w:fldCharType="separate"/>
            </w:r>
            <w:r>
              <w:rPr>
                <w:noProof/>
                <w:webHidden/>
              </w:rPr>
              <w:t>6</w:t>
            </w:r>
            <w:r>
              <w:rPr>
                <w:noProof/>
                <w:webHidden/>
              </w:rPr>
              <w:fldChar w:fldCharType="end"/>
            </w:r>
          </w:hyperlink>
        </w:p>
        <w:p w14:paraId="4F0AC382" w14:textId="39C3030E" w:rsidR="0050717C" w:rsidRDefault="0050717C">
          <w:pPr>
            <w:pStyle w:val="TOC1"/>
            <w:tabs>
              <w:tab w:val="right" w:leader="dot" w:pos="9350"/>
            </w:tabs>
            <w:rPr>
              <w:noProof/>
              <w:sz w:val="22"/>
              <w:szCs w:val="22"/>
              <w:lang w:val="en-GB" w:eastAsia="en-GB"/>
            </w:rPr>
          </w:pPr>
          <w:hyperlink w:anchor="_Toc218507908" w:history="1">
            <w:r w:rsidRPr="00E738AE">
              <w:rPr>
                <w:rStyle w:val="Hyperlink"/>
                <w:rFonts w:eastAsia="Calibri"/>
                <w:noProof/>
              </w:rPr>
              <w:t>Recommendations for Effective Zero Trust Deployment</w:t>
            </w:r>
            <w:r>
              <w:rPr>
                <w:noProof/>
                <w:webHidden/>
              </w:rPr>
              <w:tab/>
            </w:r>
            <w:r>
              <w:rPr>
                <w:noProof/>
                <w:webHidden/>
              </w:rPr>
              <w:fldChar w:fldCharType="begin"/>
            </w:r>
            <w:r>
              <w:rPr>
                <w:noProof/>
                <w:webHidden/>
              </w:rPr>
              <w:instrText xml:space="preserve"> PAGEREF _Toc218507908 \h </w:instrText>
            </w:r>
            <w:r>
              <w:rPr>
                <w:noProof/>
                <w:webHidden/>
              </w:rPr>
            </w:r>
            <w:r>
              <w:rPr>
                <w:noProof/>
                <w:webHidden/>
              </w:rPr>
              <w:fldChar w:fldCharType="separate"/>
            </w:r>
            <w:r>
              <w:rPr>
                <w:noProof/>
                <w:webHidden/>
              </w:rPr>
              <w:t>6</w:t>
            </w:r>
            <w:r>
              <w:rPr>
                <w:noProof/>
                <w:webHidden/>
              </w:rPr>
              <w:fldChar w:fldCharType="end"/>
            </w:r>
          </w:hyperlink>
        </w:p>
        <w:p w14:paraId="6AFB276B" w14:textId="23E7319F" w:rsidR="0050717C" w:rsidRDefault="0050717C">
          <w:pPr>
            <w:pStyle w:val="TOC2"/>
            <w:tabs>
              <w:tab w:val="right" w:leader="dot" w:pos="9350"/>
            </w:tabs>
            <w:rPr>
              <w:noProof/>
              <w:sz w:val="22"/>
              <w:szCs w:val="22"/>
              <w:lang w:val="en-GB" w:eastAsia="en-GB"/>
            </w:rPr>
          </w:pPr>
          <w:hyperlink w:anchor="_Toc218507909" w:history="1">
            <w:r w:rsidRPr="00E738AE">
              <w:rPr>
                <w:rStyle w:val="Hyperlink"/>
                <w:b/>
                <w:noProof/>
              </w:rPr>
              <w:t>Task 2- Designing a Zero Trust–Aligned Security Programmer for ResilientIntellect Ltd</w:t>
            </w:r>
            <w:r>
              <w:rPr>
                <w:noProof/>
                <w:webHidden/>
              </w:rPr>
              <w:tab/>
            </w:r>
            <w:r>
              <w:rPr>
                <w:noProof/>
                <w:webHidden/>
              </w:rPr>
              <w:fldChar w:fldCharType="begin"/>
            </w:r>
            <w:r>
              <w:rPr>
                <w:noProof/>
                <w:webHidden/>
              </w:rPr>
              <w:instrText xml:space="preserve"> PAGEREF _Toc218507909 \h </w:instrText>
            </w:r>
            <w:r>
              <w:rPr>
                <w:noProof/>
                <w:webHidden/>
              </w:rPr>
            </w:r>
            <w:r>
              <w:rPr>
                <w:noProof/>
                <w:webHidden/>
              </w:rPr>
              <w:fldChar w:fldCharType="separate"/>
            </w:r>
            <w:r>
              <w:rPr>
                <w:noProof/>
                <w:webHidden/>
              </w:rPr>
              <w:t>7</w:t>
            </w:r>
            <w:r>
              <w:rPr>
                <w:noProof/>
                <w:webHidden/>
              </w:rPr>
              <w:fldChar w:fldCharType="end"/>
            </w:r>
          </w:hyperlink>
        </w:p>
        <w:p w14:paraId="402421DE" w14:textId="0DC80E53" w:rsidR="0050717C" w:rsidRDefault="0050717C">
          <w:pPr>
            <w:pStyle w:val="TOC2"/>
            <w:tabs>
              <w:tab w:val="right" w:leader="dot" w:pos="9350"/>
            </w:tabs>
            <w:rPr>
              <w:noProof/>
              <w:sz w:val="22"/>
              <w:szCs w:val="22"/>
              <w:lang w:val="en-GB" w:eastAsia="en-GB"/>
            </w:rPr>
          </w:pPr>
          <w:hyperlink w:anchor="_Toc218507910" w:history="1">
            <w:r w:rsidRPr="00E738AE">
              <w:rPr>
                <w:rStyle w:val="Hyperlink"/>
                <w:rFonts w:eastAsia="Calibri"/>
                <w:noProof/>
              </w:rPr>
              <w:t>Strategic Zero Trust Design Approach</w:t>
            </w:r>
            <w:r>
              <w:rPr>
                <w:noProof/>
                <w:webHidden/>
              </w:rPr>
              <w:tab/>
            </w:r>
            <w:r>
              <w:rPr>
                <w:noProof/>
                <w:webHidden/>
              </w:rPr>
              <w:fldChar w:fldCharType="begin"/>
            </w:r>
            <w:r>
              <w:rPr>
                <w:noProof/>
                <w:webHidden/>
              </w:rPr>
              <w:instrText xml:space="preserve"> PAGEREF _Toc218507910 \h </w:instrText>
            </w:r>
            <w:r>
              <w:rPr>
                <w:noProof/>
                <w:webHidden/>
              </w:rPr>
            </w:r>
            <w:r>
              <w:rPr>
                <w:noProof/>
                <w:webHidden/>
              </w:rPr>
              <w:fldChar w:fldCharType="separate"/>
            </w:r>
            <w:r>
              <w:rPr>
                <w:noProof/>
                <w:webHidden/>
              </w:rPr>
              <w:t>8</w:t>
            </w:r>
            <w:r>
              <w:rPr>
                <w:noProof/>
                <w:webHidden/>
              </w:rPr>
              <w:fldChar w:fldCharType="end"/>
            </w:r>
          </w:hyperlink>
        </w:p>
        <w:p w14:paraId="45340E00" w14:textId="3674D460" w:rsidR="0050717C" w:rsidRDefault="0050717C">
          <w:pPr>
            <w:pStyle w:val="TOC2"/>
            <w:tabs>
              <w:tab w:val="right" w:leader="dot" w:pos="9350"/>
            </w:tabs>
            <w:rPr>
              <w:noProof/>
              <w:sz w:val="22"/>
              <w:szCs w:val="22"/>
              <w:lang w:val="en-GB" w:eastAsia="en-GB"/>
            </w:rPr>
          </w:pPr>
          <w:hyperlink w:anchor="_Toc218507911" w:history="1">
            <w:r w:rsidRPr="00E738AE">
              <w:rPr>
                <w:rStyle w:val="Hyperlink"/>
                <w:rFonts w:eastAsia="Calibri"/>
                <w:noProof/>
              </w:rPr>
              <w:t>Organizational Structure</w:t>
            </w:r>
            <w:r>
              <w:rPr>
                <w:noProof/>
                <w:webHidden/>
              </w:rPr>
              <w:tab/>
            </w:r>
            <w:r>
              <w:rPr>
                <w:noProof/>
                <w:webHidden/>
              </w:rPr>
              <w:fldChar w:fldCharType="begin"/>
            </w:r>
            <w:r>
              <w:rPr>
                <w:noProof/>
                <w:webHidden/>
              </w:rPr>
              <w:instrText xml:space="preserve"> PAGEREF _Toc218507911 \h </w:instrText>
            </w:r>
            <w:r>
              <w:rPr>
                <w:noProof/>
                <w:webHidden/>
              </w:rPr>
            </w:r>
            <w:r>
              <w:rPr>
                <w:noProof/>
                <w:webHidden/>
              </w:rPr>
              <w:fldChar w:fldCharType="separate"/>
            </w:r>
            <w:r>
              <w:rPr>
                <w:noProof/>
                <w:webHidden/>
              </w:rPr>
              <w:t>9</w:t>
            </w:r>
            <w:r>
              <w:rPr>
                <w:noProof/>
                <w:webHidden/>
              </w:rPr>
              <w:fldChar w:fldCharType="end"/>
            </w:r>
          </w:hyperlink>
        </w:p>
        <w:p w14:paraId="7909F35C" w14:textId="44C7D84E" w:rsidR="0050717C" w:rsidRDefault="0050717C">
          <w:pPr>
            <w:pStyle w:val="TOC2"/>
            <w:tabs>
              <w:tab w:val="right" w:leader="dot" w:pos="9350"/>
            </w:tabs>
            <w:rPr>
              <w:noProof/>
              <w:sz w:val="22"/>
              <w:szCs w:val="22"/>
              <w:lang w:val="en-GB" w:eastAsia="en-GB"/>
            </w:rPr>
          </w:pPr>
          <w:hyperlink w:anchor="_Toc218507912" w:history="1">
            <w:r w:rsidRPr="00E738AE">
              <w:rPr>
                <w:rStyle w:val="Hyperlink"/>
                <w:rFonts w:eastAsia="Calibri"/>
                <w:noProof/>
              </w:rPr>
              <w:t>Policies and Procedures</w:t>
            </w:r>
            <w:r>
              <w:rPr>
                <w:noProof/>
                <w:webHidden/>
              </w:rPr>
              <w:tab/>
            </w:r>
            <w:r>
              <w:rPr>
                <w:noProof/>
                <w:webHidden/>
              </w:rPr>
              <w:fldChar w:fldCharType="begin"/>
            </w:r>
            <w:r>
              <w:rPr>
                <w:noProof/>
                <w:webHidden/>
              </w:rPr>
              <w:instrText xml:space="preserve"> PAGEREF _Toc218507912 \h </w:instrText>
            </w:r>
            <w:r>
              <w:rPr>
                <w:noProof/>
                <w:webHidden/>
              </w:rPr>
            </w:r>
            <w:r>
              <w:rPr>
                <w:noProof/>
                <w:webHidden/>
              </w:rPr>
              <w:fldChar w:fldCharType="separate"/>
            </w:r>
            <w:r>
              <w:rPr>
                <w:noProof/>
                <w:webHidden/>
              </w:rPr>
              <w:t>10</w:t>
            </w:r>
            <w:r>
              <w:rPr>
                <w:noProof/>
                <w:webHidden/>
              </w:rPr>
              <w:fldChar w:fldCharType="end"/>
            </w:r>
          </w:hyperlink>
        </w:p>
        <w:p w14:paraId="0DC9F6B4" w14:textId="4DE4BF04" w:rsidR="0050717C" w:rsidRDefault="0050717C">
          <w:pPr>
            <w:pStyle w:val="TOC2"/>
            <w:tabs>
              <w:tab w:val="right" w:leader="dot" w:pos="9350"/>
            </w:tabs>
            <w:rPr>
              <w:noProof/>
              <w:sz w:val="22"/>
              <w:szCs w:val="22"/>
              <w:lang w:val="en-GB" w:eastAsia="en-GB"/>
            </w:rPr>
          </w:pPr>
          <w:hyperlink w:anchor="_Toc218507913" w:history="1">
            <w:r w:rsidRPr="00E738AE">
              <w:rPr>
                <w:rStyle w:val="Hyperlink"/>
                <w:rFonts w:eastAsia="Calibri"/>
                <w:noProof/>
              </w:rPr>
              <w:t>Compliance with DORA and NIS2</w:t>
            </w:r>
            <w:r>
              <w:rPr>
                <w:noProof/>
                <w:webHidden/>
              </w:rPr>
              <w:tab/>
            </w:r>
            <w:r>
              <w:rPr>
                <w:noProof/>
                <w:webHidden/>
              </w:rPr>
              <w:fldChar w:fldCharType="begin"/>
            </w:r>
            <w:r>
              <w:rPr>
                <w:noProof/>
                <w:webHidden/>
              </w:rPr>
              <w:instrText xml:space="preserve"> PAGEREF _Toc218507913 \h </w:instrText>
            </w:r>
            <w:r>
              <w:rPr>
                <w:noProof/>
                <w:webHidden/>
              </w:rPr>
            </w:r>
            <w:r>
              <w:rPr>
                <w:noProof/>
                <w:webHidden/>
              </w:rPr>
              <w:fldChar w:fldCharType="separate"/>
            </w:r>
            <w:r>
              <w:rPr>
                <w:noProof/>
                <w:webHidden/>
              </w:rPr>
              <w:t>11</w:t>
            </w:r>
            <w:r>
              <w:rPr>
                <w:noProof/>
                <w:webHidden/>
              </w:rPr>
              <w:fldChar w:fldCharType="end"/>
            </w:r>
          </w:hyperlink>
        </w:p>
        <w:p w14:paraId="180A089F" w14:textId="78F7ABC7" w:rsidR="0050717C" w:rsidRDefault="0050717C">
          <w:pPr>
            <w:pStyle w:val="TOC2"/>
            <w:tabs>
              <w:tab w:val="right" w:leader="dot" w:pos="9350"/>
            </w:tabs>
            <w:rPr>
              <w:noProof/>
              <w:sz w:val="22"/>
              <w:szCs w:val="22"/>
              <w:lang w:val="en-GB" w:eastAsia="en-GB"/>
            </w:rPr>
          </w:pPr>
          <w:hyperlink w:anchor="_Toc218507914" w:history="1">
            <w:r w:rsidRPr="00E738AE">
              <w:rPr>
                <w:rStyle w:val="Hyperlink"/>
                <w:rFonts w:eastAsia="Calibri"/>
                <w:noProof/>
              </w:rPr>
              <w:t>Governance and Strategy Using NIST CSF 2.0</w:t>
            </w:r>
            <w:r>
              <w:rPr>
                <w:noProof/>
                <w:webHidden/>
              </w:rPr>
              <w:tab/>
            </w:r>
            <w:r>
              <w:rPr>
                <w:noProof/>
                <w:webHidden/>
              </w:rPr>
              <w:fldChar w:fldCharType="begin"/>
            </w:r>
            <w:r>
              <w:rPr>
                <w:noProof/>
                <w:webHidden/>
              </w:rPr>
              <w:instrText xml:space="preserve"> PAGEREF _Toc218507914 \h </w:instrText>
            </w:r>
            <w:r>
              <w:rPr>
                <w:noProof/>
                <w:webHidden/>
              </w:rPr>
            </w:r>
            <w:r>
              <w:rPr>
                <w:noProof/>
                <w:webHidden/>
              </w:rPr>
              <w:fldChar w:fldCharType="separate"/>
            </w:r>
            <w:r>
              <w:rPr>
                <w:noProof/>
                <w:webHidden/>
              </w:rPr>
              <w:t>12</w:t>
            </w:r>
            <w:r>
              <w:rPr>
                <w:noProof/>
                <w:webHidden/>
              </w:rPr>
              <w:fldChar w:fldCharType="end"/>
            </w:r>
          </w:hyperlink>
        </w:p>
        <w:p w14:paraId="53F97C33" w14:textId="635E1DA7" w:rsidR="0050717C" w:rsidRDefault="0050717C">
          <w:pPr>
            <w:pStyle w:val="TOC2"/>
            <w:tabs>
              <w:tab w:val="right" w:leader="dot" w:pos="9350"/>
            </w:tabs>
            <w:rPr>
              <w:noProof/>
              <w:sz w:val="22"/>
              <w:szCs w:val="22"/>
              <w:lang w:val="en-GB" w:eastAsia="en-GB"/>
            </w:rPr>
          </w:pPr>
          <w:hyperlink w:anchor="_Toc218507915" w:history="1">
            <w:r w:rsidRPr="00E738AE">
              <w:rPr>
                <w:rStyle w:val="Hyperlink"/>
                <w:rFonts w:eastAsia="Aptos"/>
                <w:noProof/>
              </w:rPr>
              <w:t>Risk Management</w:t>
            </w:r>
            <w:r>
              <w:rPr>
                <w:noProof/>
                <w:webHidden/>
              </w:rPr>
              <w:tab/>
            </w:r>
            <w:r>
              <w:rPr>
                <w:noProof/>
                <w:webHidden/>
              </w:rPr>
              <w:fldChar w:fldCharType="begin"/>
            </w:r>
            <w:r>
              <w:rPr>
                <w:noProof/>
                <w:webHidden/>
              </w:rPr>
              <w:instrText xml:space="preserve"> PAGEREF _Toc218507915 \h </w:instrText>
            </w:r>
            <w:r>
              <w:rPr>
                <w:noProof/>
                <w:webHidden/>
              </w:rPr>
            </w:r>
            <w:r>
              <w:rPr>
                <w:noProof/>
                <w:webHidden/>
              </w:rPr>
              <w:fldChar w:fldCharType="separate"/>
            </w:r>
            <w:r>
              <w:rPr>
                <w:noProof/>
                <w:webHidden/>
              </w:rPr>
              <w:t>13</w:t>
            </w:r>
            <w:r>
              <w:rPr>
                <w:noProof/>
                <w:webHidden/>
              </w:rPr>
              <w:fldChar w:fldCharType="end"/>
            </w:r>
          </w:hyperlink>
        </w:p>
        <w:p w14:paraId="251E9276" w14:textId="19BC83C0" w:rsidR="0050717C" w:rsidRDefault="0050717C">
          <w:pPr>
            <w:pStyle w:val="TOC2"/>
            <w:tabs>
              <w:tab w:val="right" w:leader="dot" w:pos="9350"/>
            </w:tabs>
            <w:rPr>
              <w:noProof/>
              <w:sz w:val="22"/>
              <w:szCs w:val="22"/>
              <w:lang w:val="en-GB" w:eastAsia="en-GB"/>
            </w:rPr>
          </w:pPr>
          <w:hyperlink w:anchor="_Toc218507916" w:history="1">
            <w:r w:rsidRPr="00E738AE">
              <w:rPr>
                <w:rStyle w:val="Hyperlink"/>
                <w:noProof/>
              </w:rPr>
              <w:t>Measurable Metrics</w:t>
            </w:r>
            <w:r>
              <w:rPr>
                <w:noProof/>
                <w:webHidden/>
              </w:rPr>
              <w:tab/>
            </w:r>
            <w:r>
              <w:rPr>
                <w:noProof/>
                <w:webHidden/>
              </w:rPr>
              <w:fldChar w:fldCharType="begin"/>
            </w:r>
            <w:r>
              <w:rPr>
                <w:noProof/>
                <w:webHidden/>
              </w:rPr>
              <w:instrText xml:space="preserve"> PAGEREF _Toc218507916 \h </w:instrText>
            </w:r>
            <w:r>
              <w:rPr>
                <w:noProof/>
                <w:webHidden/>
              </w:rPr>
            </w:r>
            <w:r>
              <w:rPr>
                <w:noProof/>
                <w:webHidden/>
              </w:rPr>
              <w:fldChar w:fldCharType="separate"/>
            </w:r>
            <w:r>
              <w:rPr>
                <w:noProof/>
                <w:webHidden/>
              </w:rPr>
              <w:t>13</w:t>
            </w:r>
            <w:r>
              <w:rPr>
                <w:noProof/>
                <w:webHidden/>
              </w:rPr>
              <w:fldChar w:fldCharType="end"/>
            </w:r>
          </w:hyperlink>
        </w:p>
        <w:p w14:paraId="20E57BDB" w14:textId="3C02C496" w:rsidR="0050717C" w:rsidRDefault="0050717C">
          <w:pPr>
            <w:pStyle w:val="TOC2"/>
            <w:tabs>
              <w:tab w:val="right" w:leader="dot" w:pos="9350"/>
            </w:tabs>
            <w:rPr>
              <w:noProof/>
              <w:sz w:val="22"/>
              <w:szCs w:val="22"/>
              <w:lang w:val="en-GB" w:eastAsia="en-GB"/>
            </w:rPr>
          </w:pPr>
          <w:hyperlink w:anchor="_Toc218507917" w:history="1">
            <w:r w:rsidRPr="00E738AE">
              <w:rPr>
                <w:rStyle w:val="Hyperlink"/>
                <w:rFonts w:eastAsia="Calibri"/>
                <w:noProof/>
              </w:rPr>
              <w:t>Contingency Planning: Ransomware Scenario</w:t>
            </w:r>
            <w:r>
              <w:rPr>
                <w:noProof/>
                <w:webHidden/>
              </w:rPr>
              <w:tab/>
            </w:r>
            <w:r>
              <w:rPr>
                <w:noProof/>
                <w:webHidden/>
              </w:rPr>
              <w:fldChar w:fldCharType="begin"/>
            </w:r>
            <w:r>
              <w:rPr>
                <w:noProof/>
                <w:webHidden/>
              </w:rPr>
              <w:instrText xml:space="preserve"> PAGEREF _Toc218507917 \h </w:instrText>
            </w:r>
            <w:r>
              <w:rPr>
                <w:noProof/>
                <w:webHidden/>
              </w:rPr>
            </w:r>
            <w:r>
              <w:rPr>
                <w:noProof/>
                <w:webHidden/>
              </w:rPr>
              <w:fldChar w:fldCharType="separate"/>
            </w:r>
            <w:r>
              <w:rPr>
                <w:noProof/>
                <w:webHidden/>
              </w:rPr>
              <w:t>14</w:t>
            </w:r>
            <w:r>
              <w:rPr>
                <w:noProof/>
                <w:webHidden/>
              </w:rPr>
              <w:fldChar w:fldCharType="end"/>
            </w:r>
          </w:hyperlink>
        </w:p>
        <w:p w14:paraId="1ECD42DF" w14:textId="65141B74" w:rsidR="0050717C" w:rsidRDefault="0050717C">
          <w:pPr>
            <w:pStyle w:val="TOC2"/>
            <w:tabs>
              <w:tab w:val="right" w:leader="dot" w:pos="9350"/>
            </w:tabs>
            <w:rPr>
              <w:noProof/>
              <w:sz w:val="22"/>
              <w:szCs w:val="22"/>
              <w:lang w:val="en-GB" w:eastAsia="en-GB"/>
            </w:rPr>
          </w:pPr>
          <w:hyperlink w:anchor="_Toc218507918" w:history="1">
            <w:r w:rsidRPr="00E738AE">
              <w:rPr>
                <w:rStyle w:val="Hyperlink"/>
                <w:rFonts w:eastAsia="Calibri"/>
                <w:noProof/>
              </w:rPr>
              <w:t>Protection Mechanisms</w:t>
            </w:r>
            <w:r>
              <w:rPr>
                <w:noProof/>
                <w:webHidden/>
              </w:rPr>
              <w:tab/>
            </w:r>
            <w:r>
              <w:rPr>
                <w:noProof/>
                <w:webHidden/>
              </w:rPr>
              <w:fldChar w:fldCharType="begin"/>
            </w:r>
            <w:r>
              <w:rPr>
                <w:noProof/>
                <w:webHidden/>
              </w:rPr>
              <w:instrText xml:space="preserve"> PAGEREF _Toc218507918 \h </w:instrText>
            </w:r>
            <w:r>
              <w:rPr>
                <w:noProof/>
                <w:webHidden/>
              </w:rPr>
            </w:r>
            <w:r>
              <w:rPr>
                <w:noProof/>
                <w:webHidden/>
              </w:rPr>
              <w:fldChar w:fldCharType="separate"/>
            </w:r>
            <w:r>
              <w:rPr>
                <w:noProof/>
                <w:webHidden/>
              </w:rPr>
              <w:t>14</w:t>
            </w:r>
            <w:r>
              <w:rPr>
                <w:noProof/>
                <w:webHidden/>
              </w:rPr>
              <w:fldChar w:fldCharType="end"/>
            </w:r>
          </w:hyperlink>
        </w:p>
        <w:p w14:paraId="438B3556" w14:textId="2FA7ED5E" w:rsidR="0050717C" w:rsidRDefault="0050717C">
          <w:pPr>
            <w:pStyle w:val="TOC1"/>
            <w:tabs>
              <w:tab w:val="right" w:leader="dot" w:pos="9350"/>
            </w:tabs>
            <w:rPr>
              <w:noProof/>
              <w:sz w:val="22"/>
              <w:szCs w:val="22"/>
              <w:lang w:val="en-GB" w:eastAsia="en-GB"/>
            </w:rPr>
          </w:pPr>
          <w:hyperlink w:anchor="_Toc218507919" w:history="1">
            <w:r w:rsidRPr="00E738AE">
              <w:rPr>
                <w:rStyle w:val="Hyperlink"/>
                <w:noProof/>
              </w:rPr>
              <w:t>References</w:t>
            </w:r>
            <w:r>
              <w:rPr>
                <w:noProof/>
                <w:webHidden/>
              </w:rPr>
              <w:tab/>
            </w:r>
            <w:r>
              <w:rPr>
                <w:noProof/>
                <w:webHidden/>
              </w:rPr>
              <w:fldChar w:fldCharType="begin"/>
            </w:r>
            <w:r>
              <w:rPr>
                <w:noProof/>
                <w:webHidden/>
              </w:rPr>
              <w:instrText xml:space="preserve"> PAGEREF _Toc218507919 \h </w:instrText>
            </w:r>
            <w:r>
              <w:rPr>
                <w:noProof/>
                <w:webHidden/>
              </w:rPr>
            </w:r>
            <w:r>
              <w:rPr>
                <w:noProof/>
                <w:webHidden/>
              </w:rPr>
              <w:fldChar w:fldCharType="separate"/>
            </w:r>
            <w:r>
              <w:rPr>
                <w:noProof/>
                <w:webHidden/>
              </w:rPr>
              <w:t>15</w:t>
            </w:r>
            <w:r>
              <w:rPr>
                <w:noProof/>
                <w:webHidden/>
              </w:rPr>
              <w:fldChar w:fldCharType="end"/>
            </w:r>
          </w:hyperlink>
        </w:p>
        <w:p w14:paraId="322F3C7C" w14:textId="6E70DABE" w:rsidR="002E3D1E" w:rsidRDefault="002E3D1E">
          <w:r>
            <w:rPr>
              <w:b/>
              <w:bCs/>
              <w:noProof/>
            </w:rPr>
            <w:fldChar w:fldCharType="end"/>
          </w:r>
        </w:p>
      </w:sdtContent>
    </w:sdt>
    <w:p w14:paraId="5B91F2F3" w14:textId="0419993E" w:rsidR="5F5306A1" w:rsidRDefault="5F5306A1" w:rsidP="002E3D1E">
      <w:pPr>
        <w:pStyle w:val="Heading1"/>
      </w:pPr>
    </w:p>
    <w:p w14:paraId="56A131AF" w14:textId="23B75F2D" w:rsidR="0050717C" w:rsidRPr="0050717C" w:rsidRDefault="1B3B0690" w:rsidP="0050717C">
      <w:pPr>
        <w:pStyle w:val="Heading1"/>
        <w:rPr>
          <w:rFonts w:ascii="Calibri" w:eastAsia="Times New Roman" w:hAnsi="Calibri"/>
          <w:b/>
          <w:u w:val="single"/>
          <w:lang w:val="en-GB" w:eastAsia="en-GB"/>
        </w:rPr>
      </w:pPr>
      <w:bookmarkStart w:id="0" w:name="_Toc218507899"/>
      <w:r w:rsidRPr="0050717C">
        <w:rPr>
          <w:rFonts w:ascii="Calibri" w:eastAsia="Calibri" w:hAnsi="Calibri" w:cs="Calibri"/>
          <w:b/>
          <w:bCs/>
          <w:u w:val="single"/>
        </w:rPr>
        <w:t>Task 1</w:t>
      </w:r>
      <w:r w:rsidR="74649E9C" w:rsidRPr="0050717C">
        <w:rPr>
          <w:rFonts w:ascii="Calibri" w:eastAsia="Calibri" w:hAnsi="Calibri" w:cs="Calibri"/>
          <w:b/>
          <w:bCs/>
          <w:u w:val="single"/>
        </w:rPr>
        <w:t>-</w:t>
      </w:r>
      <w:r w:rsidR="0050717C" w:rsidRPr="0050717C">
        <w:rPr>
          <w:rFonts w:ascii="Calibri" w:eastAsia="Times New Roman" w:hAnsi="Calibri"/>
          <w:b/>
          <w:u w:val="single"/>
          <w:lang w:val="en-GB" w:eastAsia="en-GB"/>
        </w:rPr>
        <w:t xml:space="preserve"> A Critical Examination of the Zero Trust Architecture's Foundations, Difficulties, and Efficiency in Relation to Conventional Security Models</w:t>
      </w:r>
      <w:bookmarkStart w:id="1" w:name="_GoBack"/>
      <w:bookmarkEnd w:id="0"/>
      <w:bookmarkEnd w:id="1"/>
    </w:p>
    <w:p w14:paraId="7FAFBBEA" w14:textId="313AE7B3" w:rsidR="5F5306A1" w:rsidRDefault="5F5306A1" w:rsidP="002E3D1E">
      <w:pPr>
        <w:pStyle w:val="Heading1"/>
        <w:rPr>
          <w:rFonts w:ascii="Calibri" w:eastAsia="Calibri" w:hAnsi="Calibri" w:cs="Calibri"/>
          <w:b/>
          <w:bCs/>
          <w:u w:val="single"/>
        </w:rPr>
      </w:pPr>
    </w:p>
    <w:p w14:paraId="1FBBF1C2" w14:textId="27746EE7" w:rsidR="4E232D64" w:rsidRDefault="4E232D64" w:rsidP="002E3D1E">
      <w:pPr>
        <w:pStyle w:val="Heading2"/>
        <w:rPr>
          <w:rFonts w:eastAsia="Calibri"/>
        </w:rPr>
      </w:pPr>
      <w:bookmarkStart w:id="2" w:name="_Toc218507900"/>
      <w:r w:rsidRPr="6CF1AB07">
        <w:rPr>
          <w:rFonts w:eastAsia="Calibri"/>
        </w:rPr>
        <w:t>Introduction</w:t>
      </w:r>
      <w:bookmarkEnd w:id="2"/>
    </w:p>
    <w:p w14:paraId="1166DD08" w14:textId="724A7A46" w:rsidR="4E232D64" w:rsidRDefault="51E42474" w:rsidP="6CF1AB07">
      <w:pPr>
        <w:spacing w:before="240" w:after="240"/>
        <w:rPr>
          <w:rFonts w:ascii="Calibri" w:eastAsia="Calibri" w:hAnsi="Calibri" w:cs="Calibri"/>
        </w:rPr>
      </w:pPr>
      <w:r w:rsidRPr="65632593">
        <w:rPr>
          <w:rFonts w:ascii="Calibri" w:eastAsia="Calibri" w:hAnsi="Calibri" w:cs="Calibri"/>
        </w:rPr>
        <w:t xml:space="preserve">Organizations are accelerating the pace at which they transform digitally. Many have pivoted to remote and cloud infrastructure and have seen an increase in the frequency of cyber-attacks. </w:t>
      </w:r>
      <w:sdt>
        <w:sdtPr>
          <w:rPr>
            <w:rFonts w:ascii="Calibri" w:eastAsia="Calibri" w:hAnsi="Calibri" w:cs="Calibri"/>
          </w:rPr>
          <w:id w:val="-1539112105"/>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Ver \l 2057 </w:instrText>
          </w:r>
          <w:r w:rsidR="00EB53A8">
            <w:rPr>
              <w:rFonts w:ascii="Calibri" w:eastAsia="Calibri" w:hAnsi="Calibri" w:cs="Calibri"/>
            </w:rPr>
            <w:fldChar w:fldCharType="separate"/>
          </w:r>
          <w:r w:rsidR="00EB53A8" w:rsidRPr="00EB53A8">
            <w:rPr>
              <w:rFonts w:ascii="Calibri" w:eastAsia="Calibri" w:hAnsi="Calibri" w:cs="Calibri"/>
              <w:noProof/>
              <w:lang w:val="en-GB"/>
            </w:rPr>
            <w:t>[1]</w:t>
          </w:r>
          <w:r w:rsidR="00EB53A8">
            <w:rPr>
              <w:rFonts w:ascii="Calibri" w:eastAsia="Calibri" w:hAnsi="Calibri" w:cs="Calibri"/>
            </w:rPr>
            <w:fldChar w:fldCharType="end"/>
          </w:r>
        </w:sdtContent>
      </w:sdt>
      <w:sdt>
        <w:sdtPr>
          <w:rPr>
            <w:rFonts w:ascii="Calibri" w:eastAsia="Calibri" w:hAnsi="Calibri" w:cs="Calibri"/>
          </w:rPr>
          <w:id w:val="-1516685532"/>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IBM \l 2057 </w:instrText>
          </w:r>
          <w:r w:rsidR="00EB53A8">
            <w:rPr>
              <w:rFonts w:ascii="Calibri" w:eastAsia="Calibri" w:hAnsi="Calibri" w:cs="Calibri"/>
            </w:rPr>
            <w:fldChar w:fldCharType="separate"/>
          </w:r>
          <w:r w:rsidR="00EB53A8">
            <w:rPr>
              <w:rFonts w:ascii="Calibri" w:eastAsia="Calibri" w:hAnsi="Calibri" w:cs="Calibri"/>
              <w:noProof/>
              <w:lang w:val="en-GB"/>
            </w:rPr>
            <w:t xml:space="preserve"> </w:t>
          </w:r>
          <w:r w:rsidR="00EB53A8" w:rsidRPr="00EB53A8">
            <w:rPr>
              <w:rFonts w:ascii="Calibri" w:eastAsia="Calibri" w:hAnsi="Calibri" w:cs="Calibri"/>
              <w:noProof/>
              <w:lang w:val="en-GB"/>
            </w:rPr>
            <w:t>[2]</w:t>
          </w:r>
          <w:r w:rsidR="00EB53A8">
            <w:rPr>
              <w:rFonts w:ascii="Calibri" w:eastAsia="Calibri" w:hAnsi="Calibri" w:cs="Calibri"/>
            </w:rPr>
            <w:fldChar w:fldCharType="end"/>
          </w:r>
        </w:sdtContent>
      </w:sdt>
      <w:r w:rsidRPr="65632593">
        <w:rPr>
          <w:rFonts w:ascii="Calibri" w:eastAsia="Calibri" w:hAnsi="Calibri" w:cs="Calibri"/>
        </w:rPr>
        <w:t>As such, companies have moved many of their resources to the cloud, resulting in weak endpoint security and the need for improved governance, reporting, monitoring, auditing, control over user access, data availability, interception of at</w:t>
      </w:r>
      <w:r w:rsidR="00EB53A8">
        <w:rPr>
          <w:rFonts w:ascii="Calibri" w:eastAsia="Calibri" w:hAnsi="Calibri" w:cs="Calibri"/>
        </w:rPr>
        <w:t xml:space="preserve">tacks, and response automation. </w:t>
      </w:r>
      <w:sdt>
        <w:sdtPr>
          <w:rPr>
            <w:rFonts w:ascii="Calibri" w:eastAsia="Calibri" w:hAnsi="Calibri" w:cs="Calibri"/>
          </w:rPr>
          <w:id w:val="-1356113313"/>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Cis22 \l 2057 </w:instrText>
          </w:r>
          <w:r w:rsidR="00EB53A8">
            <w:rPr>
              <w:rFonts w:ascii="Calibri" w:eastAsia="Calibri" w:hAnsi="Calibri" w:cs="Calibri"/>
            </w:rPr>
            <w:fldChar w:fldCharType="separate"/>
          </w:r>
          <w:r w:rsidR="00EB53A8" w:rsidRPr="00EB53A8">
            <w:rPr>
              <w:rFonts w:ascii="Calibri" w:eastAsia="Calibri" w:hAnsi="Calibri" w:cs="Calibri"/>
              <w:noProof/>
              <w:lang w:val="en-GB"/>
            </w:rPr>
            <w:t>[3]</w:t>
          </w:r>
          <w:r w:rsidR="00EB53A8">
            <w:rPr>
              <w:rFonts w:ascii="Calibri" w:eastAsia="Calibri" w:hAnsi="Calibri" w:cs="Calibri"/>
            </w:rPr>
            <w:fldChar w:fldCharType="end"/>
          </w:r>
        </w:sdtContent>
      </w:sdt>
      <w:sdt>
        <w:sdtPr>
          <w:rPr>
            <w:rFonts w:ascii="Calibri" w:eastAsia="Calibri" w:hAnsi="Calibri" w:cs="Calibri"/>
          </w:rPr>
          <w:id w:val="-2047828985"/>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Gar23 \l 2057 </w:instrText>
          </w:r>
          <w:r w:rsidR="00EB53A8">
            <w:rPr>
              <w:rFonts w:ascii="Calibri" w:eastAsia="Calibri" w:hAnsi="Calibri" w:cs="Calibri"/>
            </w:rPr>
            <w:fldChar w:fldCharType="separate"/>
          </w:r>
          <w:r w:rsidR="00EB53A8">
            <w:rPr>
              <w:rFonts w:ascii="Calibri" w:eastAsia="Calibri" w:hAnsi="Calibri" w:cs="Calibri"/>
              <w:noProof/>
              <w:lang w:val="en-GB"/>
            </w:rPr>
            <w:t xml:space="preserve"> </w:t>
          </w:r>
          <w:r w:rsidR="00EB53A8" w:rsidRPr="00EB53A8">
            <w:rPr>
              <w:rFonts w:ascii="Calibri" w:eastAsia="Calibri" w:hAnsi="Calibri" w:cs="Calibri"/>
              <w:noProof/>
              <w:lang w:val="en-GB"/>
            </w:rPr>
            <w:t>[4]</w:t>
          </w:r>
          <w:r w:rsidR="00EB53A8">
            <w:rPr>
              <w:rFonts w:ascii="Calibri" w:eastAsia="Calibri" w:hAnsi="Calibri" w:cs="Calibri"/>
            </w:rPr>
            <w:fldChar w:fldCharType="end"/>
          </w:r>
        </w:sdtContent>
      </w:sdt>
      <w:r w:rsidRPr="65632593">
        <w:rPr>
          <w:rFonts w:ascii="Calibri" w:eastAsia="Calibri" w:hAnsi="Calibri" w:cs="Calibri"/>
        </w:rPr>
        <w:t>Concerns about these weaknesses are embedded in legislation, including the General Data Protection Regulation (GDPR), Network and Information Security (NIS) Directive, Digital Operational Resilience Act (DORA),</w:t>
      </w:r>
      <w:sdt>
        <w:sdtPr>
          <w:rPr>
            <w:rFonts w:ascii="Calibri" w:eastAsia="Calibri" w:hAnsi="Calibri" w:cs="Calibri"/>
          </w:rPr>
          <w:id w:val="1788241213"/>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Eur22 \l 2057 </w:instrText>
          </w:r>
          <w:r w:rsidR="00EB53A8">
            <w:rPr>
              <w:rFonts w:ascii="Calibri" w:eastAsia="Calibri" w:hAnsi="Calibri" w:cs="Calibri"/>
            </w:rPr>
            <w:fldChar w:fldCharType="separate"/>
          </w:r>
          <w:r w:rsidR="00EB53A8">
            <w:rPr>
              <w:rFonts w:ascii="Calibri" w:eastAsia="Calibri" w:hAnsi="Calibri" w:cs="Calibri"/>
              <w:noProof/>
              <w:lang w:val="en-GB"/>
            </w:rPr>
            <w:t xml:space="preserve"> </w:t>
          </w:r>
          <w:r w:rsidR="00EB53A8" w:rsidRPr="00EB53A8">
            <w:rPr>
              <w:rFonts w:ascii="Calibri" w:eastAsia="Calibri" w:hAnsi="Calibri" w:cs="Calibri"/>
              <w:noProof/>
              <w:lang w:val="en-GB"/>
            </w:rPr>
            <w:t>[5]</w:t>
          </w:r>
          <w:r w:rsidR="00EB53A8">
            <w:rPr>
              <w:rFonts w:ascii="Calibri" w:eastAsia="Calibri" w:hAnsi="Calibri" w:cs="Calibri"/>
            </w:rPr>
            <w:fldChar w:fldCharType="end"/>
          </w:r>
        </w:sdtContent>
      </w:sdt>
      <w:r w:rsidRPr="65632593">
        <w:rPr>
          <w:rFonts w:ascii="Calibri" w:eastAsia="Calibri" w:hAnsi="Calibri" w:cs="Calibri"/>
        </w:rPr>
        <w:t xml:space="preserve"> Management of Health and Safety at Work Regulations (1992), and other global mandates. Zero Trust Architecture (ZTA) has risen in popularity as a mechanism for addressing the emerging challenges in a way that ensures continuous, dynamic, and rapid access based on the </w:t>
      </w:r>
      <w:r w:rsidR="5F71C390" w:rsidRPr="65632593">
        <w:rPr>
          <w:rFonts w:ascii="Calibri" w:eastAsia="Calibri" w:hAnsi="Calibri" w:cs="Calibri"/>
        </w:rPr>
        <w:t>concept of</w:t>
      </w:r>
      <w:r w:rsidRPr="65632593">
        <w:rPr>
          <w:rFonts w:ascii="Calibri" w:eastAsia="Calibri" w:hAnsi="Calibri" w:cs="Calibri"/>
        </w:rPr>
        <w:t xml:space="preserve"> least privilege and micro-segmentation.</w:t>
      </w:r>
      <w:sdt>
        <w:sdtPr>
          <w:rPr>
            <w:rFonts w:ascii="Calibri" w:eastAsia="Calibri" w:hAnsi="Calibri" w:cs="Calibri"/>
          </w:rPr>
          <w:id w:val="1236584343"/>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Nat20 \l 2057 </w:instrText>
          </w:r>
          <w:r w:rsidR="00EB53A8">
            <w:rPr>
              <w:rFonts w:ascii="Calibri" w:eastAsia="Calibri" w:hAnsi="Calibri" w:cs="Calibri"/>
            </w:rPr>
            <w:fldChar w:fldCharType="separate"/>
          </w:r>
          <w:r w:rsidR="00EB53A8">
            <w:rPr>
              <w:rFonts w:ascii="Calibri" w:eastAsia="Calibri" w:hAnsi="Calibri" w:cs="Calibri"/>
              <w:noProof/>
              <w:lang w:val="en-GB"/>
            </w:rPr>
            <w:t xml:space="preserve"> </w:t>
          </w:r>
          <w:r w:rsidR="00EB53A8" w:rsidRPr="00EB53A8">
            <w:rPr>
              <w:rFonts w:ascii="Calibri" w:eastAsia="Calibri" w:hAnsi="Calibri" w:cs="Calibri"/>
              <w:noProof/>
              <w:lang w:val="en-GB"/>
            </w:rPr>
            <w:t>[6]</w:t>
          </w:r>
          <w:r w:rsidR="00EB53A8">
            <w:rPr>
              <w:rFonts w:ascii="Calibri" w:eastAsia="Calibri" w:hAnsi="Calibri" w:cs="Calibri"/>
            </w:rPr>
            <w:fldChar w:fldCharType="end"/>
          </w:r>
        </w:sdtContent>
      </w:sdt>
      <w:sdt>
        <w:sdtPr>
          <w:rPr>
            <w:rFonts w:ascii="Calibri" w:eastAsia="Calibri" w:hAnsi="Calibri" w:cs="Calibri"/>
          </w:rPr>
          <w:id w:val="-788740701"/>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JKi10 \l 2057 </w:instrText>
          </w:r>
          <w:r w:rsidR="00EB53A8">
            <w:rPr>
              <w:rFonts w:ascii="Calibri" w:eastAsia="Calibri" w:hAnsi="Calibri" w:cs="Calibri"/>
            </w:rPr>
            <w:fldChar w:fldCharType="separate"/>
          </w:r>
          <w:r w:rsidR="00EB53A8">
            <w:rPr>
              <w:rFonts w:ascii="Calibri" w:eastAsia="Calibri" w:hAnsi="Calibri" w:cs="Calibri"/>
              <w:noProof/>
              <w:lang w:val="en-GB"/>
            </w:rPr>
            <w:t xml:space="preserve"> </w:t>
          </w:r>
          <w:r w:rsidR="00EB53A8" w:rsidRPr="00EB53A8">
            <w:rPr>
              <w:rFonts w:ascii="Calibri" w:eastAsia="Calibri" w:hAnsi="Calibri" w:cs="Calibri"/>
              <w:noProof/>
              <w:lang w:val="en-GB"/>
            </w:rPr>
            <w:t>[7]</w:t>
          </w:r>
          <w:r w:rsidR="00EB53A8">
            <w:rPr>
              <w:rFonts w:ascii="Calibri" w:eastAsia="Calibri" w:hAnsi="Calibri" w:cs="Calibri"/>
            </w:rPr>
            <w:fldChar w:fldCharType="end"/>
          </w:r>
        </w:sdtContent>
      </w:sdt>
      <w:r w:rsidRPr="65632593">
        <w:rPr>
          <w:rFonts w:ascii="Calibri" w:eastAsia="Calibri" w:hAnsi="Calibri" w:cs="Calibri"/>
        </w:rPr>
        <w:t xml:space="preserve"> Objective: This paper focuses on why the traditional perimeter-based security model, such as firewalls, has become an outdated strategy, considering emerging cyber threats and highlighting the security benefits of ZTA. Results: ZTA is a verification-centric approach to security, potentially more effective compared to the traditional perimeter-based security model, which does not have strong controls to mitigate against insider threats and lateral attacks</w:t>
      </w:r>
      <w:sdt>
        <w:sdtPr>
          <w:rPr>
            <w:rFonts w:ascii="Calibri" w:eastAsia="Calibri" w:hAnsi="Calibri" w:cs="Calibri"/>
          </w:rPr>
          <w:id w:val="-1296904778"/>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Nat20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[6]</w:t>
          </w:r>
          <w:r w:rsidR="004B7D74">
            <w:rPr>
              <w:rFonts w:ascii="Calibri" w:eastAsia="Calibri" w:hAnsi="Calibri" w:cs="Calibri"/>
            </w:rPr>
            <w:fldChar w:fldCharType="end"/>
          </w:r>
        </w:sdtContent>
      </w:sdt>
      <w:sdt>
        <w:sdtPr>
          <w:rPr>
            <w:rFonts w:ascii="Calibri" w:eastAsia="Calibri" w:hAnsi="Calibri" w:cs="Calibri"/>
          </w:rPr>
          <w:id w:val="1702207993"/>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alS22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[8]</w:t>
          </w:r>
          <w:r w:rsidR="004B7D74">
            <w:rPr>
              <w:rFonts w:ascii="Calibri" w:eastAsia="Calibri" w:hAnsi="Calibri" w:cs="Calibri"/>
            </w:rPr>
            <w:fldChar w:fldCharType="end"/>
          </w:r>
        </w:sdtContent>
      </w:sdt>
      <w:r w:rsidRPr="65632593">
        <w:rPr>
          <w:rFonts w:ascii="Calibri" w:eastAsia="Calibri" w:hAnsi="Calibri" w:cs="Calibri"/>
        </w:rPr>
        <w:t xml:space="preserve"> within the network. ZTA predicts, detects, verifies, and proactively </w:t>
      </w:r>
      <w:r w:rsidR="7890E01F" w:rsidRPr="65632593">
        <w:rPr>
          <w:rFonts w:ascii="Calibri" w:eastAsia="Calibri" w:hAnsi="Calibri" w:cs="Calibri"/>
        </w:rPr>
        <w:t>monitors</w:t>
      </w:r>
      <w:r w:rsidRPr="65632593">
        <w:rPr>
          <w:rFonts w:ascii="Calibri" w:eastAsia="Calibri" w:hAnsi="Calibri" w:cs="Calibri"/>
        </w:rPr>
        <w:t xml:space="preserve"> cyber threats, and must be considered an essential architecture for securing mission-critical information assets in an evolving digital landscape.</w:t>
      </w:r>
      <w:sdt>
        <w:sdtPr>
          <w:rPr>
            <w:rFonts w:ascii="Calibri" w:eastAsia="Calibri" w:hAnsi="Calibri" w:cs="Calibri"/>
          </w:rPr>
          <w:id w:val="201458957"/>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Nat20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[6]</w:t>
          </w:r>
          <w:r w:rsidR="004B7D74">
            <w:rPr>
              <w:rFonts w:ascii="Calibri" w:eastAsia="Calibri" w:hAnsi="Calibri" w:cs="Calibri"/>
            </w:rPr>
            <w:fldChar w:fldCharType="end"/>
          </w:r>
        </w:sdtContent>
      </w:sdt>
      <w:sdt>
        <w:sdtPr>
          <w:rPr>
            <w:rFonts w:ascii="Calibri" w:eastAsia="Calibri" w:hAnsi="Calibri" w:cs="Calibri"/>
          </w:rPr>
          <w:id w:val="1276988878"/>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ENI23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[9]</w:t>
          </w:r>
          <w:r w:rsidR="004B7D74">
            <w:rPr>
              <w:rFonts w:ascii="Calibri" w:eastAsia="Calibri" w:hAnsi="Calibri" w:cs="Calibri"/>
            </w:rPr>
            <w:fldChar w:fldCharType="end"/>
          </w:r>
        </w:sdtContent>
      </w:sdt>
    </w:p>
    <w:p w14:paraId="3F705460" w14:textId="6CF07A7E" w:rsidR="43CA30D7" w:rsidRDefault="43CA30D7" w:rsidP="65632593">
      <w:pPr>
        <w:spacing w:before="240" w:after="240"/>
        <w:rPr>
          <w:rFonts w:ascii="Calibri" w:eastAsia="Calibri" w:hAnsi="Calibri" w:cs="Calibri"/>
          <w:u w:val="single"/>
        </w:rPr>
      </w:pPr>
    </w:p>
    <w:p w14:paraId="27AE3D22" w14:textId="3E0C1FFC" w:rsidR="43CA30D7" w:rsidRDefault="51E42474" w:rsidP="002E3D1E">
      <w:pPr>
        <w:pStyle w:val="Heading1"/>
        <w:rPr>
          <w:rFonts w:eastAsia="Calibri"/>
        </w:rPr>
      </w:pPr>
      <w:bookmarkStart w:id="3" w:name="_Toc218507901"/>
      <w:r w:rsidRPr="65632593">
        <w:rPr>
          <w:rFonts w:eastAsia="Calibri"/>
        </w:rPr>
        <w:t>Principles and Theoretical Foundations of Zero Trus</w:t>
      </w:r>
      <w:r w:rsidR="5CDFA3B9" w:rsidRPr="65632593">
        <w:rPr>
          <w:rFonts w:eastAsia="Calibri"/>
        </w:rPr>
        <w:t>t</w:t>
      </w:r>
      <w:bookmarkEnd w:id="3"/>
    </w:p>
    <w:p w14:paraId="794A92C8" w14:textId="217F2C8A" w:rsidR="43CA30D7" w:rsidRPr="00045041" w:rsidRDefault="2B6ECD66" w:rsidP="00045041">
      <w:pPr>
        <w:rPr>
          <w:rFonts w:ascii="Calibri" w:eastAsia="Calibri" w:hAnsi="Calibri" w:cs="Calibri"/>
        </w:rPr>
      </w:pPr>
      <w:r w:rsidRPr="1D828A16">
        <w:rPr>
          <w:rFonts w:ascii="Calibri" w:eastAsia="Calibri" w:hAnsi="Calibri" w:cs="Calibri"/>
        </w:rPr>
        <w:t xml:space="preserve">Zero Trust architecture (ZTA) strategy assumes that no user, device, or application, regardless of whether it is inside or outside the organization’s network, should be trusted by default </w:t>
      </w:r>
      <w:sdt>
        <w:sdtPr>
          <w:rPr>
            <w:rFonts w:ascii="Calibri" w:eastAsia="Calibri" w:hAnsi="Calibri" w:cs="Calibri"/>
          </w:rPr>
          <w:id w:val="1490827103"/>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JKi10 \l 2057 </w:instrText>
          </w:r>
          <w:r w:rsidR="004B7D74">
            <w:rPr>
              <w:rFonts w:ascii="Calibri" w:eastAsia="Calibri" w:hAnsi="Calibri" w:cs="Calibri"/>
            </w:rPr>
            <w:fldChar w:fldCharType="separate"/>
          </w:r>
          <w:r w:rsidR="004B7D74" w:rsidRPr="004B7D74">
            <w:rPr>
              <w:rFonts w:ascii="Calibri" w:eastAsia="Calibri" w:hAnsi="Calibri" w:cs="Calibri"/>
              <w:noProof/>
              <w:lang w:val="en-GB"/>
            </w:rPr>
            <w:t>[7]</w:t>
          </w:r>
          <w:r w:rsidR="004B7D74">
            <w:rPr>
              <w:rFonts w:ascii="Calibri" w:eastAsia="Calibri" w:hAnsi="Calibri" w:cs="Calibri"/>
            </w:rPr>
            <w:fldChar w:fldCharType="end"/>
          </w:r>
        </w:sdtContent>
      </w:sdt>
      <w:r w:rsidRPr="1D828A16">
        <w:rPr>
          <w:rFonts w:ascii="Calibri" w:eastAsia="Calibri" w:hAnsi="Calibri" w:cs="Calibri"/>
        </w:rPr>
        <w:t>Release, 2013). “Never trust, always verify” is the guiding philosophy of Zero Trust.</w:t>
      </w:r>
      <w:sdt>
        <w:sdtPr>
          <w:rPr>
            <w:rFonts w:ascii="Calibri" w:eastAsia="Calibri" w:hAnsi="Calibri" w:cs="Calibri"/>
          </w:rPr>
          <w:id w:val="-1559159042"/>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JKi10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[7]</w:t>
          </w:r>
          <w:r w:rsidR="004B7D74">
            <w:rPr>
              <w:rFonts w:ascii="Calibri" w:eastAsia="Calibri" w:hAnsi="Calibri" w:cs="Calibri"/>
            </w:rPr>
            <w:fldChar w:fldCharType="end"/>
          </w:r>
        </w:sdtContent>
      </w:sdt>
      <w:r w:rsidRPr="1D828A16">
        <w:rPr>
          <w:rFonts w:ascii="Calibri" w:eastAsia="Calibri" w:hAnsi="Calibri" w:cs="Calibri"/>
        </w:rPr>
        <w:t xml:space="preserve"> ZTA is a cybersecurity framework that emphasizes the concept of least privilege, which means that each user, device, or application is granted only the minimum level of access required to perform its tasks.</w:t>
      </w:r>
      <w:sdt>
        <w:sdtPr>
          <w:rPr>
            <w:rFonts w:ascii="Calibri" w:eastAsia="Calibri" w:hAnsi="Calibri" w:cs="Calibri"/>
          </w:rPr>
          <w:id w:val="-593251856"/>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Nat20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[6]</w:t>
          </w:r>
          <w:r w:rsidR="004B7D74">
            <w:rPr>
              <w:rFonts w:ascii="Calibri" w:eastAsia="Calibri" w:hAnsi="Calibri" w:cs="Calibri"/>
            </w:rPr>
            <w:fldChar w:fldCharType="end"/>
          </w:r>
        </w:sdtContent>
      </w:sdt>
      <w:r w:rsidRPr="1D828A16">
        <w:rPr>
          <w:rFonts w:ascii="Calibri" w:eastAsia="Calibri" w:hAnsi="Calibri" w:cs="Calibri"/>
        </w:rPr>
        <w:t xml:space="preserve"> Trust is established through continuous validation and assessment of various contextual factors such as user identity, device health, location, behavior, workload insights, etc.…. Release, 2013).</w:t>
      </w:r>
      <w:sdt>
        <w:sdtPr>
          <w:rPr>
            <w:rFonts w:ascii="Calibri" w:eastAsia="Calibri" w:hAnsi="Calibri" w:cs="Calibri"/>
          </w:rPr>
          <w:id w:val="-206025058"/>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Nat20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[6]</w:t>
          </w:r>
          <w:r w:rsidR="004B7D74">
            <w:rPr>
              <w:rFonts w:ascii="Calibri" w:eastAsia="Calibri" w:hAnsi="Calibri" w:cs="Calibri"/>
            </w:rPr>
            <w:fldChar w:fldCharType="end"/>
          </w:r>
        </w:sdtContent>
      </w:sdt>
      <w:r w:rsidRPr="1D828A16">
        <w:rPr>
          <w:rFonts w:ascii="Calibri" w:eastAsia="Calibri" w:hAnsi="Calibri" w:cs="Calibri"/>
        </w:rPr>
        <w:t xml:space="preserve"> ZTA helps to minimize the attack surface and limit the damage that can be caused by a compromised user or device. </w:t>
      </w:r>
      <w:sdt>
        <w:sdtPr>
          <w:rPr>
            <w:rFonts w:ascii="Calibri" w:eastAsia="Calibri" w:hAnsi="Calibri" w:cs="Calibri"/>
          </w:rPr>
          <w:id w:val="1987973533"/>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alS22 \l 2057 </w:instrText>
          </w:r>
          <w:r w:rsidR="00E37D9A">
            <w:rPr>
              <w:rFonts w:ascii="Calibri" w:eastAsia="Calibri" w:hAnsi="Calibri" w:cs="Calibri"/>
            </w:rPr>
            <w:fldChar w:fldCharType="separate"/>
          </w:r>
          <w:r w:rsidR="00E37D9A" w:rsidRPr="00E37D9A">
            <w:rPr>
              <w:rFonts w:ascii="Calibri" w:eastAsia="Calibri" w:hAnsi="Calibri" w:cs="Calibri"/>
              <w:noProof/>
              <w:lang w:val="en-GB"/>
            </w:rPr>
            <w:t>[8]</w:t>
          </w:r>
          <w:r w:rsidR="00E37D9A">
            <w:rPr>
              <w:rFonts w:ascii="Calibri" w:eastAsia="Calibri" w:hAnsi="Calibri" w:cs="Calibri"/>
            </w:rPr>
            <w:fldChar w:fldCharType="end"/>
          </w:r>
        </w:sdtContent>
      </w:sdt>
      <w:r w:rsidRPr="1D828A16">
        <w:rPr>
          <w:rFonts w:ascii="Calibri" w:eastAsia="Calibri" w:hAnsi="Calibri" w:cs="Calibri"/>
        </w:rPr>
        <w:t xml:space="preserve">Instead of focusing on securing the network perimeter, the Zero Trust approach assumes that threats could already be present within the network. Access controls and security measures are applied at the user or device level, regardless of their </w:t>
      </w:r>
      <w:r w:rsidR="6B524F40" w:rsidRPr="1D828A16">
        <w:rPr>
          <w:rFonts w:ascii="Calibri" w:eastAsia="Calibri" w:hAnsi="Calibri" w:cs="Calibri"/>
        </w:rPr>
        <w:t>location</w:t>
      </w:r>
      <w:r w:rsidRPr="1D828A16">
        <w:rPr>
          <w:rFonts w:ascii="Calibri" w:eastAsia="Calibri" w:hAnsi="Calibri" w:cs="Calibri"/>
        </w:rPr>
        <w:t>. Zero Trust places a strong emphasis on identity verification and authentication. It requires robust identity and access management (IAM) solutions including multi-factor authentication (MFA) to ensure that only authorized individuals and devices can access resources Release, 2018).</w:t>
      </w:r>
      <w:sdt>
        <w:sdtPr>
          <w:rPr>
            <w:rFonts w:ascii="Calibri" w:eastAsia="Calibri" w:hAnsi="Calibri" w:cs="Calibri"/>
          </w:rPr>
          <w:id w:val="-608035709"/>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Nat20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[6]</w:t>
          </w:r>
          <w:r w:rsidR="00E37D9A">
            <w:rPr>
              <w:rFonts w:ascii="Calibri" w:eastAsia="Calibri" w:hAnsi="Calibri" w:cs="Calibri"/>
            </w:rPr>
            <w:fldChar w:fldCharType="end"/>
          </w:r>
        </w:sdtContent>
      </w:sdt>
      <w:sdt>
        <w:sdtPr>
          <w:rPr>
            <w:rFonts w:ascii="Calibri" w:eastAsia="Calibri" w:hAnsi="Calibri" w:cs="Calibri"/>
          </w:rPr>
          <w:id w:val="1956210332"/>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Gar23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[4]</w:t>
          </w:r>
          <w:r w:rsidR="00E37D9A">
            <w:rPr>
              <w:rFonts w:ascii="Calibri" w:eastAsia="Calibri" w:hAnsi="Calibri" w:cs="Calibri"/>
            </w:rPr>
            <w:fldChar w:fldCharType="end"/>
          </w:r>
        </w:sdtContent>
      </w:sdt>
      <w:r w:rsidRPr="1D828A16">
        <w:rPr>
          <w:rFonts w:ascii="Calibri" w:eastAsia="Calibri" w:hAnsi="Calibri" w:cs="Calibri"/>
        </w:rPr>
        <w:t xml:space="preserve"> Zero Trust often involves micro-segmentation of networks and resources. This means that different parts of the network are isolated from each other, and access is restricted based on the principle of least privilege. This limits the potential lateral movement of attackers within the </w:t>
      </w:r>
      <w:r w:rsidR="132D3414" w:rsidRPr="1D828A16">
        <w:rPr>
          <w:rFonts w:ascii="Calibri" w:eastAsia="Calibri" w:hAnsi="Calibri" w:cs="Calibri"/>
        </w:rPr>
        <w:t>network</w:t>
      </w:r>
      <w:r w:rsidRPr="1D828A16">
        <w:rPr>
          <w:rFonts w:ascii="Calibri" w:eastAsia="Calibri" w:hAnsi="Calibri" w:cs="Calibri"/>
        </w:rPr>
        <w:t>.</w:t>
      </w:r>
      <w:sdt>
        <w:sdtPr>
          <w:rPr>
            <w:rFonts w:ascii="Calibri" w:eastAsia="Calibri" w:hAnsi="Calibri" w:cs="Calibri"/>
          </w:rPr>
          <w:id w:val="-1820799096"/>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alS22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[8]</w:t>
          </w:r>
          <w:r w:rsidR="00E37D9A">
            <w:rPr>
              <w:rFonts w:ascii="Calibri" w:eastAsia="Calibri" w:hAnsi="Calibri" w:cs="Calibri"/>
            </w:rPr>
            <w:fldChar w:fldCharType="end"/>
          </w:r>
        </w:sdtContent>
      </w:sdt>
      <w:r w:rsidRPr="1D828A16">
        <w:rPr>
          <w:rFonts w:ascii="Calibri" w:eastAsia="Calibri" w:hAnsi="Calibri" w:cs="Calibri"/>
        </w:rPr>
        <w:t xml:space="preserve"> Continuous monitoring and behavioral analysis are integral parts of ZTA</w:t>
      </w:r>
      <w:sdt>
        <w:sdtPr>
          <w:rPr>
            <w:rFonts w:ascii="Calibri" w:eastAsia="Calibri" w:hAnsi="Calibri" w:cs="Calibri"/>
          </w:rPr>
          <w:id w:val="-404453417"/>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Pal23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[10]</w:t>
          </w:r>
          <w:r w:rsidR="00E37D9A">
            <w:rPr>
              <w:rFonts w:ascii="Calibri" w:eastAsia="Calibri" w:hAnsi="Calibri" w:cs="Calibri"/>
            </w:rPr>
            <w:fldChar w:fldCharType="end"/>
          </w:r>
        </w:sdtContent>
      </w:sdt>
      <w:r w:rsidRPr="1D828A16">
        <w:rPr>
          <w:rFonts w:ascii="Calibri" w:eastAsia="Calibri" w:hAnsi="Calibri" w:cs="Calibri"/>
        </w:rPr>
        <w:t xml:space="preserve">. User and entity behavior analytics (UEBA) and security information and event management (SIEM) solutions are used to detect anomalous </w:t>
      </w:r>
      <w:sdt>
        <w:sdtPr>
          <w:rPr>
            <w:rFonts w:ascii="Calibri" w:eastAsia="Calibri" w:hAnsi="Calibri" w:cs="Calibri"/>
          </w:rPr>
          <w:id w:val="1206068100"/>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Pal23 \l 2057 </w:instrText>
          </w:r>
          <w:r w:rsidR="00E37D9A">
            <w:rPr>
              <w:rFonts w:ascii="Calibri" w:eastAsia="Calibri" w:hAnsi="Calibri" w:cs="Calibri"/>
            </w:rPr>
            <w:fldChar w:fldCharType="separate"/>
          </w:r>
          <w:r w:rsidR="00E37D9A" w:rsidRPr="00E37D9A">
            <w:rPr>
              <w:rFonts w:ascii="Calibri" w:eastAsia="Calibri" w:hAnsi="Calibri" w:cs="Calibri"/>
              <w:noProof/>
              <w:lang w:val="en-GB"/>
            </w:rPr>
            <w:t>[10]</w:t>
          </w:r>
          <w:r w:rsidR="00E37D9A">
            <w:rPr>
              <w:rFonts w:ascii="Calibri" w:eastAsia="Calibri" w:hAnsi="Calibri" w:cs="Calibri"/>
            </w:rPr>
            <w:fldChar w:fldCharType="end"/>
          </w:r>
        </w:sdtContent>
      </w:sdt>
      <w:r w:rsidRPr="1D828A16">
        <w:rPr>
          <w:rFonts w:ascii="Calibri" w:eastAsia="Calibri" w:hAnsi="Calibri" w:cs="Calibri"/>
        </w:rPr>
        <w:t>or suspicious activities that might indicate a cybersecurity threat</w:t>
      </w:r>
      <w:r w:rsidR="3E2BB32B" w:rsidRPr="1D828A16">
        <w:rPr>
          <w:rFonts w:ascii="Calibri" w:eastAsia="Calibri" w:hAnsi="Calibri" w:cs="Calibri"/>
        </w:rPr>
        <w:t>. Release</w:t>
      </w:r>
      <w:r w:rsidRPr="1D828A16">
        <w:rPr>
          <w:rFonts w:ascii="Calibri" w:eastAsia="Calibri" w:hAnsi="Calibri" w:cs="Calibri"/>
        </w:rPr>
        <w:t xml:space="preserve">, 2010). </w:t>
      </w:r>
      <w:r w:rsidR="00045041" w:rsidRPr="00045041">
        <w:rPr>
          <w:rFonts w:ascii="Calibri" w:eastAsia="Calibri" w:hAnsi="Calibri" w:cs="Calibri"/>
        </w:rPr>
        <w:t>While Kindervag’s original Zero Trust vision emphasizes it as an architectural mindset and a move away from always trusting entities, NIST SP 800-207 is a formal architectural model featuring a control plane and enforcement points. Conversely, rose et al. have argued that formal architectures are doomed to fail without proper governance and identity management in place. This juxtaposition between theoretical ZT principles and their actual successful implementation indicates a lack of guidance in between.</w:t>
      </w:r>
      <w:r w:rsidR="00045041">
        <w:rPr>
          <w:rFonts w:ascii="Calibri" w:eastAsia="Calibri" w:hAnsi="Calibri" w:cs="Calibri"/>
        </w:rPr>
        <w:t xml:space="preserve"> </w:t>
      </w:r>
      <w:r w:rsidRPr="1D828A16">
        <w:rPr>
          <w:rFonts w:ascii="Calibri" w:eastAsia="Calibri" w:hAnsi="Calibri" w:cs="Calibri"/>
        </w:rPr>
        <w:t>These principles serve to highlight how Zero Trust principles align with modern approaches to cybersecurity, emphasizing proactive risk mitigation through granular, context-aware security controls.</w:t>
      </w:r>
      <w:sdt>
        <w:sdtPr>
          <w:rPr>
            <w:rFonts w:ascii="Calibri" w:eastAsia="Calibri" w:hAnsi="Calibri" w:cs="Calibri"/>
          </w:rPr>
          <w:id w:val="-1357728565"/>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Nat20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[6]</w:t>
          </w:r>
          <w:r w:rsidR="00E37D9A">
            <w:rPr>
              <w:rFonts w:ascii="Calibri" w:eastAsia="Calibri" w:hAnsi="Calibri" w:cs="Calibri"/>
            </w:rPr>
            <w:fldChar w:fldCharType="end"/>
          </w:r>
        </w:sdtContent>
      </w:sdt>
      <w:sdt>
        <w:sdtPr>
          <w:rPr>
            <w:rFonts w:ascii="Calibri" w:eastAsia="Calibri" w:hAnsi="Calibri" w:cs="Calibri"/>
          </w:rPr>
          <w:id w:val="1765879531"/>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ENI23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[9]</w:t>
          </w:r>
          <w:r w:rsidR="00E37D9A">
            <w:rPr>
              <w:rFonts w:ascii="Calibri" w:eastAsia="Calibri" w:hAnsi="Calibri" w:cs="Calibri"/>
            </w:rPr>
            <w:fldChar w:fldCharType="end"/>
          </w:r>
        </w:sdtContent>
      </w:sdt>
    </w:p>
    <w:p w14:paraId="08F63463" w14:textId="100D3F48" w:rsidR="43CA30D7" w:rsidRDefault="43CA30D7" w:rsidP="002E3D1E">
      <w:pPr>
        <w:pStyle w:val="Heading1"/>
        <w:rPr>
          <w:rFonts w:eastAsia="Calibri"/>
        </w:rPr>
      </w:pPr>
      <w:bookmarkStart w:id="4" w:name="_Toc218507902"/>
      <w:r w:rsidRPr="6CF1AB07">
        <w:rPr>
          <w:rFonts w:eastAsia="Calibri"/>
        </w:rPr>
        <w:t>Drivers Behind Zero Trust Adoption</w:t>
      </w:r>
      <w:bookmarkEnd w:id="4"/>
    </w:p>
    <w:p w14:paraId="7DCB5FF4" w14:textId="66C6B0FA" w:rsidR="43CA30D7" w:rsidRDefault="2B6ECD66" w:rsidP="6CF1AB07">
      <w:pPr>
        <w:spacing w:before="240" w:after="240"/>
      </w:pPr>
      <w:r w:rsidRPr="65632593">
        <w:rPr>
          <w:rFonts w:ascii="Calibri" w:eastAsia="Calibri" w:hAnsi="Calibri" w:cs="Calibri"/>
        </w:rPr>
        <w:t xml:space="preserve">Zero Trust has attracted attention because it addresses several interconnected business challenges. If one looks at the key drivers behind current ZT initiatives, two facts stand out: 83% of network/computer traffic comes from or goes to cloud-hosted services or SaaS applications, and there have been quite a few high-profile breaches (e.g. Okta, Uber) </w:t>
      </w:r>
      <w:sdt>
        <w:sdtPr>
          <w:rPr>
            <w:rFonts w:ascii="Calibri" w:eastAsia="Calibri" w:hAnsi="Calibri" w:cs="Calibri"/>
          </w:rPr>
          <w:id w:val="2006695335"/>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Ver \l 2057 </w:instrText>
          </w:r>
          <w:r w:rsidR="00E37D9A">
            <w:rPr>
              <w:rFonts w:ascii="Calibri" w:eastAsia="Calibri" w:hAnsi="Calibri" w:cs="Calibri"/>
            </w:rPr>
            <w:fldChar w:fldCharType="separate"/>
          </w:r>
          <w:r w:rsidR="00E37D9A" w:rsidRPr="00E37D9A">
            <w:rPr>
              <w:rFonts w:ascii="Calibri" w:eastAsia="Calibri" w:hAnsi="Calibri" w:cs="Calibri"/>
              <w:noProof/>
              <w:lang w:val="en-GB"/>
            </w:rPr>
            <w:t>[1]</w:t>
          </w:r>
          <w:r w:rsidR="00E37D9A">
            <w:rPr>
              <w:rFonts w:ascii="Calibri" w:eastAsia="Calibri" w:hAnsi="Calibri" w:cs="Calibri"/>
            </w:rPr>
            <w:fldChar w:fldCharType="end"/>
          </w:r>
        </w:sdtContent>
      </w:sdt>
      <w:r w:rsidRPr="65632593">
        <w:rPr>
          <w:rFonts w:ascii="Calibri" w:eastAsia="Calibri" w:hAnsi="Calibri" w:cs="Calibri"/>
        </w:rPr>
        <w:t xml:space="preserve">via IdPs and CIAM providers which resulted from user credential theft.  </w:t>
      </w:r>
      <w:sdt>
        <w:sdtPr>
          <w:rPr>
            <w:rFonts w:ascii="Calibri" w:eastAsia="Calibri" w:hAnsi="Calibri" w:cs="Calibri"/>
          </w:rPr>
          <w:id w:val="-833528576"/>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Cis22 \l 2057 </w:instrText>
          </w:r>
          <w:r w:rsidR="00E37D9A">
            <w:rPr>
              <w:rFonts w:ascii="Calibri" w:eastAsia="Calibri" w:hAnsi="Calibri" w:cs="Calibri"/>
            </w:rPr>
            <w:fldChar w:fldCharType="separate"/>
          </w:r>
          <w:r w:rsidR="00E37D9A" w:rsidRPr="00E37D9A">
            <w:rPr>
              <w:rFonts w:ascii="Calibri" w:eastAsia="Calibri" w:hAnsi="Calibri" w:cs="Calibri"/>
              <w:noProof/>
              <w:lang w:val="en-GB"/>
            </w:rPr>
            <w:t>[3]</w:t>
          </w:r>
          <w:r w:rsidR="00E37D9A">
            <w:rPr>
              <w:rFonts w:ascii="Calibri" w:eastAsia="Calibri" w:hAnsi="Calibri" w:cs="Calibri"/>
            </w:rPr>
            <w:fldChar w:fldCharType="end"/>
          </w:r>
        </w:sdtContent>
      </w:sdt>
      <w:r w:rsidRPr="65632593">
        <w:rPr>
          <w:rFonts w:ascii="Calibri" w:eastAsia="Calibri" w:hAnsi="Calibri" w:cs="Calibri"/>
        </w:rPr>
        <w:t xml:space="preserve">The rise of hybrid work and remote access are additional contributory factors. Security leaders need a robust approach to restricting user privileges and enforcing access policies when the work environment is virtual, and users may be using corporate assets from home networks or public networks off VPN. Identity theft is amongst the top three breach vectors in the world </w:t>
      </w:r>
      <w:r w:rsidR="6C6BB078" w:rsidRPr="65632593">
        <w:rPr>
          <w:rFonts w:ascii="Calibri" w:eastAsia="Calibri" w:hAnsi="Calibri" w:cs="Calibri"/>
        </w:rPr>
        <w:t>today,</w:t>
      </w:r>
      <w:r w:rsidRPr="65632593">
        <w:rPr>
          <w:rFonts w:ascii="Calibri" w:eastAsia="Calibri" w:hAnsi="Calibri" w:cs="Calibri"/>
        </w:rPr>
        <w:t xml:space="preserve"> according to Gartner, an EC-funded research entity.  Lastly, compliance mandates like NIS2 in the EU and DORA frequently mandate technical architectural controls or objectively measured oversight.</w:t>
      </w:r>
      <w:sdt>
        <w:sdtPr>
          <w:rPr>
            <w:rFonts w:ascii="Calibri" w:eastAsia="Calibri" w:hAnsi="Calibri" w:cs="Calibri"/>
          </w:rPr>
          <w:id w:val="1151640273"/>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Eur22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[5]</w:t>
          </w:r>
          <w:r w:rsidR="00E37D9A">
            <w:rPr>
              <w:rFonts w:ascii="Calibri" w:eastAsia="Calibri" w:hAnsi="Calibri" w:cs="Calibri"/>
            </w:rPr>
            <w:fldChar w:fldCharType="end"/>
          </w:r>
        </w:sdtContent>
      </w:sdt>
      <w:r w:rsidRPr="65632593">
        <w:rPr>
          <w:rFonts w:ascii="Calibri" w:eastAsia="Calibri" w:hAnsi="Calibri" w:cs="Calibri"/>
        </w:rPr>
        <w:t xml:space="preserve"> GRC leaders need controls that can implement and enforce access privileges, and they need a fast and reliable method to enforce least privilege access or watch-list someone on a priority basis with audits and activity logs for the OT team and operations. ZT implementations enable and support these functions.</w:t>
      </w:r>
    </w:p>
    <w:p w14:paraId="7DD4120D" w14:textId="1C093261" w:rsidR="6CF1AB07" w:rsidRDefault="6CF1AB07" w:rsidP="6CF1AB07">
      <w:pPr>
        <w:spacing w:before="240" w:after="240"/>
        <w:rPr>
          <w:rFonts w:ascii="Calibri" w:eastAsia="Calibri" w:hAnsi="Calibri" w:cs="Calibri"/>
        </w:rPr>
      </w:pPr>
    </w:p>
    <w:p w14:paraId="4D976225" w14:textId="51DB2CCE" w:rsidR="6CF1AB07" w:rsidRDefault="6CF1AB07" w:rsidP="6CF1AB07">
      <w:pPr>
        <w:spacing w:before="240" w:after="240"/>
        <w:rPr>
          <w:rFonts w:ascii="Calibri" w:eastAsia="Calibri" w:hAnsi="Calibri" w:cs="Calibri"/>
        </w:rPr>
      </w:pPr>
    </w:p>
    <w:p w14:paraId="07A99747" w14:textId="1CE76CFF" w:rsidR="43CA30D7" w:rsidRDefault="43CA30D7" w:rsidP="002E3D1E">
      <w:pPr>
        <w:pStyle w:val="Heading1"/>
        <w:rPr>
          <w:rFonts w:eastAsia="Calibri"/>
        </w:rPr>
      </w:pPr>
      <w:bookmarkStart w:id="5" w:name="_Toc218507903"/>
      <w:r w:rsidRPr="6CF1AB07">
        <w:rPr>
          <w:rFonts w:eastAsia="Calibri"/>
        </w:rPr>
        <w:t>Methods of Enquiry and Evaluation Frameworks</w:t>
      </w:r>
      <w:bookmarkEnd w:id="5"/>
    </w:p>
    <w:p w14:paraId="6BCA10F8" w14:textId="08EDBB93" w:rsidR="64B0F4C4" w:rsidRDefault="73492D8B" w:rsidP="6CF1AB07">
      <w:pPr>
        <w:rPr>
          <w:rFonts w:ascii="Calibri" w:eastAsia="Calibri" w:hAnsi="Calibri" w:cs="Calibri"/>
        </w:rPr>
      </w:pPr>
      <w:r w:rsidRPr="65632593">
        <w:rPr>
          <w:rFonts w:ascii="Calibri" w:eastAsia="Calibri" w:hAnsi="Calibri" w:cs="Calibri"/>
        </w:rPr>
        <w:t xml:space="preserve">To answer the question of how to measure the impact of Zero Trust, we can evaluate risk, architecture, and operational data. A risk-driven impact assessment in the context of ZTA could involve evaluating how the likelihood of compromise decreases by improving identity and access management controls to enforce the principle of least privilege and </w:t>
      </w:r>
      <w:r w:rsidR="17093383" w:rsidRPr="65632593">
        <w:rPr>
          <w:rFonts w:ascii="Calibri" w:eastAsia="Calibri" w:hAnsi="Calibri" w:cs="Calibri"/>
        </w:rPr>
        <w:t>minimize</w:t>
      </w:r>
      <w:r w:rsidRPr="65632593">
        <w:rPr>
          <w:rFonts w:ascii="Calibri" w:eastAsia="Calibri" w:hAnsi="Calibri" w:cs="Calibri"/>
        </w:rPr>
        <w:t xml:space="preserve"> the attack surface. Alternatively, by conducting an architectural analysis of ZTA components and their relationship, for instance, integration between network architectures, cloud environments, identity management capabilities, and monitoring controls, we determine whether the environment can support continuous verification.</w:t>
      </w:r>
      <w:sdt>
        <w:sdtPr>
          <w:rPr>
            <w:rFonts w:ascii="Calibri" w:eastAsia="Calibri" w:hAnsi="Calibri" w:cs="Calibri"/>
          </w:rPr>
          <w:id w:val="-1915079002"/>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Nat20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[6]</w:t>
          </w:r>
          <w:r w:rsidR="00E37D9A">
            <w:rPr>
              <w:rFonts w:ascii="Calibri" w:eastAsia="Calibri" w:hAnsi="Calibri" w:cs="Calibri"/>
            </w:rPr>
            <w:fldChar w:fldCharType="end"/>
          </w:r>
        </w:sdtContent>
      </w:sdt>
      <w:sdt>
        <w:sdtPr>
          <w:rPr>
            <w:rFonts w:ascii="Calibri" w:eastAsia="Calibri" w:hAnsi="Calibri" w:cs="Calibri"/>
          </w:rPr>
          <w:id w:val="198674462"/>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ENI23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[9]</w:t>
          </w:r>
          <w:r w:rsidR="00E37D9A">
            <w:rPr>
              <w:rFonts w:ascii="Calibri" w:eastAsia="Calibri" w:hAnsi="Calibri" w:cs="Calibri"/>
            </w:rPr>
            <w:fldChar w:fldCharType="end"/>
          </w:r>
        </w:sdtContent>
      </w:sdt>
      <w:r w:rsidRPr="65632593">
        <w:rPr>
          <w:rFonts w:ascii="Calibri" w:eastAsia="Calibri" w:hAnsi="Calibri" w:cs="Calibri"/>
        </w:rPr>
        <w:t xml:space="preserve"> This allows for greater interoperability and applicability of zero trust concepts, such as micro-segmentation implemented in AWS VPC. Finally, performing quantitative analysis by simulating the impact between two different scenarios (one that implements zero trust and another without), we evaluate whether or not there are any changes in security from an operational perspective; this can be further explored by incorporating mean time to detect (MTTD) and mean time to respond (MTTR). Having these metrics in place helps to establish a mature security practice when ZTA is combined with automation and contextual behavior anomaly detection. Overall, the research shows a positive decrease in the probability and impact of a breach with zero trust adoption — 50%, and the smallest share </w:t>
      </w:r>
      <w:r w:rsidR="22BC5960" w:rsidRPr="65632593">
        <w:rPr>
          <w:rFonts w:ascii="Calibri" w:eastAsia="Calibri" w:hAnsi="Calibri" w:cs="Calibri"/>
        </w:rPr>
        <w:t>compromised.</w:t>
      </w:r>
      <w:sdt>
        <w:sdtPr>
          <w:rPr>
            <w:rFonts w:ascii="Calibri" w:eastAsia="Calibri" w:hAnsi="Calibri" w:cs="Calibri"/>
          </w:rPr>
          <w:id w:val="-889271664"/>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IBM23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[11]</w:t>
          </w:r>
          <w:r w:rsidR="00606C03">
            <w:rPr>
              <w:rFonts w:ascii="Calibri" w:eastAsia="Calibri" w:hAnsi="Calibri" w:cs="Calibri"/>
            </w:rPr>
            <w:fldChar w:fldCharType="end"/>
          </w:r>
        </w:sdtContent>
      </w:sdt>
    </w:p>
    <w:p w14:paraId="5150966D" w14:textId="53C76D5A" w:rsidR="64B0F4C4" w:rsidRDefault="64B0F4C4" w:rsidP="002E3D1E">
      <w:pPr>
        <w:pStyle w:val="Heading1"/>
        <w:rPr>
          <w:rFonts w:eastAsia="Calibri"/>
        </w:rPr>
      </w:pPr>
      <w:bookmarkStart w:id="6" w:name="_Toc218507904"/>
      <w:r w:rsidRPr="6CF1AB07">
        <w:rPr>
          <w:rFonts w:eastAsia="Calibri"/>
        </w:rPr>
        <w:t>Implementation Challenges</w:t>
      </w:r>
      <w:bookmarkEnd w:id="6"/>
    </w:p>
    <w:p w14:paraId="4F5934CC" w14:textId="5CB91407" w:rsidR="4AE5FE86" w:rsidRDefault="2395BB93" w:rsidP="6CF1AB07">
      <w:pPr>
        <w:rPr>
          <w:rFonts w:ascii="Calibri" w:eastAsia="Calibri" w:hAnsi="Calibri" w:cs="Calibri"/>
        </w:rPr>
      </w:pPr>
      <w:r w:rsidRPr="65632593">
        <w:rPr>
          <w:rFonts w:ascii="Calibri" w:eastAsia="Calibri" w:hAnsi="Calibri" w:cs="Calibri"/>
        </w:rPr>
        <w:t>Some factors render the adoption of Zero Trust just that little bit harder. For example, full-dress Zero Trust assumes every app can produce the necessary telemetry or work with identity-based controls (as opposed to network firewalls and whitelists)—but what if your organisation is stuck running a lot of legacy systems? Are there compensating controls on offer that could mitigate that gap, or will you need to budget for a rip-and-replace approach? Another challenge is that organisations rarely have a complete inventory of users, roles and responsibilities needed to fully roll out a Zero Trust identity model, least privilege access controls or accurate conditional access policies. How often does your company onboard or offboard employees or contractors without provisioning a user account or pr</w:t>
      </w:r>
      <w:r w:rsidR="00606C03">
        <w:rPr>
          <w:rFonts w:ascii="Calibri" w:eastAsia="Calibri" w:hAnsi="Calibri" w:cs="Calibri"/>
        </w:rPr>
        <w:t xml:space="preserve">ocessing their access requests? </w:t>
      </w:r>
      <w:r w:rsidRPr="65632593">
        <w:rPr>
          <w:rFonts w:ascii="Calibri" w:eastAsia="Calibri" w:hAnsi="Calibri" w:cs="Calibri"/>
        </w:rPr>
        <w:t>And does your existing IAM platform(s) support fine-grained step-up multifactor authentication and single sign on for both c</w:t>
      </w:r>
      <w:r w:rsidR="00606C03">
        <w:rPr>
          <w:rFonts w:ascii="Calibri" w:eastAsia="Calibri" w:hAnsi="Calibri" w:cs="Calibri"/>
        </w:rPr>
        <w:t xml:space="preserve">loud and on-premises resources? </w:t>
      </w:r>
      <w:r w:rsidRPr="65632593">
        <w:rPr>
          <w:rFonts w:ascii="Calibri" w:eastAsia="Calibri" w:hAnsi="Calibri" w:cs="Calibri"/>
        </w:rPr>
        <w:t>Without that clarity on the inventory and roles, Zero Trust may not be practical without revisiting your identity governance function first. A third and final challenge will come from soft factors like employee perceptions and misconceptions. Employees will often gripe about the perceived hassle of additional MFA, and managers will need to be crystal clear in their communications across business units about what Zero Trust means for them.</w:t>
      </w:r>
      <w:r w:rsidR="4226881F" w:rsidRPr="65632593">
        <w:rPr>
          <w:rFonts w:ascii="Calibri" w:eastAsia="Calibri" w:hAnsi="Calibri" w:cs="Calibri"/>
        </w:rPr>
        <w:t xml:space="preserve"> </w:t>
      </w:r>
      <w:r w:rsidRPr="65632593">
        <w:rPr>
          <w:rFonts w:ascii="Calibri" w:eastAsia="Calibri" w:hAnsi="Calibri" w:cs="Calibri"/>
        </w:rPr>
        <w:t xml:space="preserve">Many staff (and stakeholders) may wrongly assume Zero Trust is a new technology or product to be acquired, </w:t>
      </w:r>
      <w:r w:rsidR="6238FAB9" w:rsidRPr="65632593">
        <w:rPr>
          <w:rFonts w:ascii="Calibri" w:eastAsia="Calibri" w:hAnsi="Calibri" w:cs="Calibri"/>
        </w:rPr>
        <w:t>customized</w:t>
      </w:r>
      <w:r w:rsidRPr="65632593">
        <w:rPr>
          <w:rFonts w:ascii="Calibri" w:eastAsia="Calibri" w:hAnsi="Calibri" w:cs="Calibri"/>
        </w:rPr>
        <w:t xml:space="preserve"> and slotted in, when it’s more of a philosophy that requires leadership buy-in, a design and implementation plan, and stable business </w:t>
      </w:r>
      <w:r w:rsidR="2FD3A8A5" w:rsidRPr="65632593">
        <w:rPr>
          <w:rFonts w:ascii="Calibri" w:eastAsia="Calibri" w:hAnsi="Calibri" w:cs="Calibri"/>
        </w:rPr>
        <w:t>stakeholder ship</w:t>
      </w:r>
      <w:r w:rsidRPr="65632593">
        <w:rPr>
          <w:rFonts w:ascii="Calibri" w:eastAsia="Calibri" w:hAnsi="Calibri" w:cs="Calibri"/>
        </w:rPr>
        <w:t xml:space="preserve"> to drive changes to existing processes and boundaries. This has led some research firms to conclude that most Zero Trust initiatives fail</w:t>
      </w:r>
      <w:r w:rsidR="4EEB405E" w:rsidRPr="65632593">
        <w:rPr>
          <w:rFonts w:ascii="Calibri" w:eastAsia="Calibri" w:hAnsi="Calibri" w:cs="Calibri"/>
        </w:rPr>
        <w:t xml:space="preserve"> </w:t>
      </w:r>
      <w:r w:rsidRPr="65632593">
        <w:rPr>
          <w:rFonts w:ascii="Calibri" w:eastAsia="Calibri" w:hAnsi="Calibri" w:cs="Calibri"/>
        </w:rPr>
        <w:t>due to unrealistic expectations on the technology’s scope and use cases, lack of proper planning and testing, poor cost benefit analysis, and lack of awareness. Zero trust depends on solid device, application and network telemetry — so you may need mature EDR, SOAR/SIEM and monitoring capabilities to provide situational insight and automated (response) workflows to deliver assurance. This means it’s harder to justify Zero Trust for SMEs or public sector entities where the cost benefit, budget and workforce sustainment case may be much more limited, and where the division of responsibility is not feasible at scale.</w:t>
      </w:r>
      <w:sdt>
        <w:sdtPr>
          <w:rPr>
            <w:rFonts w:ascii="Calibri" w:eastAsia="Calibri" w:hAnsi="Calibri" w:cs="Calibri"/>
          </w:rPr>
          <w:id w:val="-91630044"/>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alS22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[8]</w:t>
          </w:r>
          <w:r w:rsidR="00606C03">
            <w:rPr>
              <w:rFonts w:ascii="Calibri" w:eastAsia="Calibri" w:hAnsi="Calibri" w:cs="Calibri"/>
            </w:rPr>
            <w:fldChar w:fldCharType="end"/>
          </w:r>
        </w:sdtContent>
      </w:sdt>
      <w:sdt>
        <w:sdtPr>
          <w:rPr>
            <w:rFonts w:ascii="Calibri" w:eastAsia="Calibri" w:hAnsi="Calibri" w:cs="Calibri"/>
          </w:rPr>
          <w:id w:val="513731353"/>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PwC22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[12]</w:t>
          </w:r>
          <w:r w:rsidR="00606C03">
            <w:rPr>
              <w:rFonts w:ascii="Calibri" w:eastAsia="Calibri" w:hAnsi="Calibri" w:cs="Calibri"/>
            </w:rPr>
            <w:fldChar w:fldCharType="end"/>
          </w:r>
        </w:sdtContent>
      </w:sdt>
    </w:p>
    <w:p w14:paraId="0A460F4B" w14:textId="77777777" w:rsidR="00045041" w:rsidRDefault="00045041" w:rsidP="6CF1AB07">
      <w:pPr>
        <w:rPr>
          <w:rFonts w:ascii="Calibri" w:eastAsia="Calibri" w:hAnsi="Calibri" w:cs="Calibri"/>
        </w:rPr>
      </w:pPr>
    </w:p>
    <w:p w14:paraId="74939E28" w14:textId="73427FF1" w:rsidR="00045041" w:rsidRDefault="00045041" w:rsidP="00045041">
      <w:pPr>
        <w:pStyle w:val="Heading1"/>
      </w:pPr>
      <w:bookmarkStart w:id="7" w:name="_Toc218507905"/>
      <w:r w:rsidRPr="00045041">
        <w:t>Critical Limitations and Contextual Suitability of Zero Trust</w:t>
      </w:r>
      <w:bookmarkEnd w:id="7"/>
    </w:p>
    <w:p w14:paraId="7F7C918C" w14:textId="0A0E05FC" w:rsidR="00045041" w:rsidRDefault="00045041" w:rsidP="6CF1AB07">
      <w:pPr>
        <w:rPr>
          <w:rFonts w:ascii="Calibri" w:hAnsi="Calibri"/>
        </w:rPr>
      </w:pPr>
      <w:r w:rsidRPr="00045041">
        <w:rPr>
          <w:rFonts w:ascii="Calibri" w:hAnsi="Calibri"/>
        </w:rPr>
        <w:t>Zero Trust Architecture is often described as the answer to all our contemporary cyber woes, but this presupposes a certain level of organizational maturity, budget and technological capability that may not exist in every scenario. The full implementation of Zero Trust requires continuous telemetry, a certain level of identity maturity, and well-integrated detection and response tools. For organizations with large legacy bases, immature security operations function or small budgets, these requirements may not be feasible. For such organizations the operational burden of Zero Trust may not justify the additional risk reduction it delivers. This underscores the fact that Zero Trust is something that should be contextually employed, rather than b</w:t>
      </w:r>
      <w:r>
        <w:rPr>
          <w:rFonts w:ascii="Calibri" w:hAnsi="Calibri"/>
        </w:rPr>
        <w:t>eing the silver bullet for all.</w:t>
      </w:r>
    </w:p>
    <w:p w14:paraId="5708573B" w14:textId="77777777" w:rsidR="00045041" w:rsidRPr="00045041" w:rsidRDefault="00045041" w:rsidP="6CF1AB07">
      <w:pPr>
        <w:rPr>
          <w:rFonts w:ascii="Calibri" w:hAnsi="Calibri"/>
        </w:rPr>
      </w:pPr>
    </w:p>
    <w:p w14:paraId="23810C0A" w14:textId="3ADDD16F" w:rsidR="4AE5FE86" w:rsidRDefault="4AE5FE86" w:rsidP="002E4938">
      <w:pPr>
        <w:pStyle w:val="Heading1"/>
        <w:rPr>
          <w:rFonts w:eastAsia="Calibri"/>
        </w:rPr>
      </w:pPr>
      <w:bookmarkStart w:id="8" w:name="_Toc218507906"/>
      <w:r w:rsidRPr="6CF1AB07">
        <w:rPr>
          <w:rFonts w:eastAsia="Calibri"/>
        </w:rPr>
        <w:t>Comparative Analysis: Zero Trust vs Traditional Perimeter Security</w:t>
      </w:r>
      <w:bookmarkEnd w:id="8"/>
    </w:p>
    <w:p w14:paraId="63BFCF57" w14:textId="7D4B205C" w:rsidR="4AE5FE86" w:rsidRDefault="2395BB93" w:rsidP="6CF1AB07">
      <w:pPr>
        <w:rPr>
          <w:rFonts w:ascii="Calibri" w:eastAsia="Calibri" w:hAnsi="Calibri" w:cs="Calibri"/>
        </w:rPr>
      </w:pPr>
      <w:r w:rsidRPr="1D828A16">
        <w:rPr>
          <w:rFonts w:ascii="Calibri" w:eastAsia="Calibri" w:hAnsi="Calibri" w:cs="Calibri"/>
        </w:rPr>
        <w:t xml:space="preserve">The perimeter-based security model assumes a firewall, VPN gateway, and trust of internal endpoints; but when attackers breach the network, lateral movement is </w:t>
      </w:r>
      <w:r w:rsidR="2733D6F6" w:rsidRPr="1D828A16">
        <w:rPr>
          <w:rFonts w:ascii="Calibri" w:eastAsia="Calibri" w:hAnsi="Calibri" w:cs="Calibri"/>
        </w:rPr>
        <w:t>easy,</w:t>
      </w:r>
      <w:r w:rsidRPr="1D828A16">
        <w:rPr>
          <w:rFonts w:ascii="Calibri" w:eastAsia="Calibri" w:hAnsi="Calibri" w:cs="Calibri"/>
        </w:rPr>
        <w:t xml:space="preserve"> and privilege escalation is undetected. Zero Trust minimizes lateral movement through asset segmentation and endpoint security, targeting more severe attacks like double extortion ransomware, persistent credential theft, commodity malware, and implanted </w:t>
      </w:r>
      <w:r w:rsidR="6B7D03A6" w:rsidRPr="1D828A16">
        <w:rPr>
          <w:rFonts w:ascii="Calibri" w:eastAsia="Calibri" w:hAnsi="Calibri" w:cs="Calibri"/>
        </w:rPr>
        <w:t xml:space="preserve">web </w:t>
      </w:r>
      <w:r w:rsidR="57FD62E6" w:rsidRPr="1D828A16">
        <w:rPr>
          <w:rFonts w:ascii="Calibri" w:eastAsia="Calibri" w:hAnsi="Calibri" w:cs="Calibri"/>
        </w:rPr>
        <w:t>shells.</w:t>
      </w:r>
      <w:r w:rsidRPr="1D828A16">
        <w:rPr>
          <w:rFonts w:ascii="Calibri" w:eastAsia="Calibri" w:hAnsi="Calibri" w:cs="Calibri"/>
        </w:rPr>
        <w:t xml:space="preserve"> </w:t>
      </w:r>
      <w:sdt>
        <w:sdtPr>
          <w:rPr>
            <w:rFonts w:ascii="Calibri" w:eastAsia="Calibri" w:hAnsi="Calibri" w:cs="Calibri"/>
          </w:rPr>
          <w:id w:val="370894848"/>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alS22 \l 2057 </w:instrText>
          </w:r>
          <w:r w:rsidR="00606C03">
            <w:rPr>
              <w:rFonts w:ascii="Calibri" w:eastAsia="Calibri" w:hAnsi="Calibri" w:cs="Calibri"/>
            </w:rPr>
            <w:fldChar w:fldCharType="separate"/>
          </w:r>
          <w:r w:rsidR="00606C03" w:rsidRPr="00606C03">
            <w:rPr>
              <w:rFonts w:ascii="Calibri" w:eastAsia="Calibri" w:hAnsi="Calibri" w:cs="Calibri"/>
              <w:noProof/>
              <w:lang w:val="en-GB"/>
            </w:rPr>
            <w:t>[8]</w:t>
          </w:r>
          <w:r w:rsidR="00606C03">
            <w:rPr>
              <w:rFonts w:ascii="Calibri" w:eastAsia="Calibri" w:hAnsi="Calibri" w:cs="Calibri"/>
            </w:rPr>
            <w:fldChar w:fldCharType="end"/>
          </w:r>
        </w:sdtContent>
      </w:sdt>
      <w:r w:rsidRPr="1D828A16">
        <w:rPr>
          <w:rFonts w:ascii="Calibri" w:eastAsia="Calibri" w:hAnsi="Calibri" w:cs="Calibri"/>
        </w:rPr>
        <w:t>Zero Trust isolates attackers through segmentation and automated response while reducing dwell time and attacker persistence through identity analytics and siphon-resistant MFA. Early incidents, like the 2021 Colonial Pipeline breach</w:t>
      </w:r>
      <w:sdt>
        <w:sdtPr>
          <w:rPr>
            <w:rFonts w:ascii="Calibri" w:eastAsia="Calibri" w:hAnsi="Calibri" w:cs="Calibri"/>
          </w:rPr>
          <w:id w:val="-1475210956"/>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USC21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[13]</w:t>
          </w:r>
          <w:r w:rsidR="00606C03">
            <w:rPr>
              <w:rFonts w:ascii="Calibri" w:eastAsia="Calibri" w:hAnsi="Calibri" w:cs="Calibri"/>
            </w:rPr>
            <w:fldChar w:fldCharType="end"/>
          </w:r>
        </w:sdtContent>
      </w:sdt>
      <w:r w:rsidRPr="1D828A16">
        <w:rPr>
          <w:rFonts w:ascii="Calibri" w:eastAsia="Calibri" w:hAnsi="Calibri" w:cs="Calibri"/>
        </w:rPr>
        <w:t>, indicate that several Zero Trust features could have prevented infrastructure downtime and massive spillover. Studies confirm these results, showing improved breach prevention capabilities and visibility in Zero Trust-empowered organizations compared to traditional models.</w:t>
      </w:r>
      <w:sdt>
        <w:sdtPr>
          <w:rPr>
            <w:rFonts w:ascii="Calibri" w:eastAsia="Calibri" w:hAnsi="Calibri" w:cs="Calibri"/>
          </w:rPr>
          <w:id w:val="-527413274"/>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alS22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[8]</w:t>
          </w:r>
          <w:r w:rsidR="00606C03">
            <w:rPr>
              <w:rFonts w:ascii="Calibri" w:eastAsia="Calibri" w:hAnsi="Calibri" w:cs="Calibri"/>
            </w:rPr>
            <w:fldChar w:fldCharType="end"/>
          </w:r>
        </w:sdtContent>
      </w:sdt>
      <w:sdt>
        <w:sdtPr>
          <w:rPr>
            <w:rFonts w:ascii="Calibri" w:eastAsia="Calibri" w:hAnsi="Calibri" w:cs="Calibri"/>
          </w:rPr>
          <w:id w:val="615025745"/>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IBM23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[11]</w:t>
          </w:r>
          <w:r w:rsidR="00606C03">
            <w:rPr>
              <w:rFonts w:ascii="Calibri" w:eastAsia="Calibri" w:hAnsi="Calibri" w:cs="Calibri"/>
            </w:rPr>
            <w:fldChar w:fldCharType="end"/>
          </w:r>
        </w:sdtContent>
      </w:sdt>
      <w:r w:rsidRPr="1D828A16">
        <w:rPr>
          <w:rFonts w:ascii="Calibri" w:eastAsia="Calibri" w:hAnsi="Calibri" w:cs="Calibri"/>
        </w:rPr>
        <w:t xml:space="preserve"> There are potential drawbacks to Zero Trust, such as architectural complexity, network bottlenecks, and the added authentication steps for users. This raises concerns about usability, cost, and turn-around time for transition.</w:t>
      </w:r>
    </w:p>
    <w:p w14:paraId="6B1D252E" w14:textId="14FC3CCC" w:rsidR="4AE5FE86" w:rsidRDefault="4AE5FE86" w:rsidP="002E3D1E">
      <w:pPr>
        <w:pStyle w:val="Heading1"/>
        <w:rPr>
          <w:rFonts w:eastAsia="Calibri"/>
        </w:rPr>
      </w:pPr>
      <w:bookmarkStart w:id="9" w:name="_Toc218507907"/>
      <w:r w:rsidRPr="6CF1AB07">
        <w:rPr>
          <w:rFonts w:eastAsia="Calibri"/>
        </w:rPr>
        <w:t>Automation, Detection, and Response in Zero Trust</w:t>
      </w:r>
      <w:bookmarkEnd w:id="9"/>
    </w:p>
    <w:p w14:paraId="5BE4F6E8" w14:textId="3430A2C3" w:rsidR="4AE5FE86" w:rsidRDefault="2395BB93" w:rsidP="6CF1AB07">
      <w:pPr>
        <w:rPr>
          <w:rFonts w:ascii="Calibri" w:eastAsia="Calibri" w:hAnsi="Calibri" w:cs="Calibri"/>
        </w:rPr>
      </w:pPr>
      <w:r w:rsidRPr="65632593">
        <w:rPr>
          <w:rFonts w:ascii="Calibri" w:eastAsia="Calibri" w:hAnsi="Calibri" w:cs="Calibri"/>
        </w:rPr>
        <w:t xml:space="preserve">Zero Trust relies heavily on automated detection, analysis, and response to actively contain breaches in real time. The SIEM/SOAR tools central to Zero Trust ingest and correlate data </w:t>
      </w:r>
      <w:sdt>
        <w:sdtPr>
          <w:rPr>
            <w:rFonts w:ascii="Calibri" w:eastAsia="Calibri" w:hAnsi="Calibri" w:cs="Calibri"/>
          </w:rPr>
          <w:id w:val="142242965"/>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Pal23 \l 2057 </w:instrText>
          </w:r>
          <w:r w:rsidR="00606C03">
            <w:rPr>
              <w:rFonts w:ascii="Calibri" w:eastAsia="Calibri" w:hAnsi="Calibri" w:cs="Calibri"/>
            </w:rPr>
            <w:fldChar w:fldCharType="separate"/>
          </w:r>
          <w:r w:rsidR="00606C03" w:rsidRPr="00606C03">
            <w:rPr>
              <w:rFonts w:ascii="Calibri" w:eastAsia="Calibri" w:hAnsi="Calibri" w:cs="Calibri"/>
              <w:noProof/>
              <w:lang w:val="en-GB"/>
            </w:rPr>
            <w:t>[10]</w:t>
          </w:r>
          <w:r w:rsidR="00606C03">
            <w:rPr>
              <w:rFonts w:ascii="Calibri" w:eastAsia="Calibri" w:hAnsi="Calibri" w:cs="Calibri"/>
            </w:rPr>
            <w:fldChar w:fldCharType="end"/>
          </w:r>
        </w:sdtContent>
      </w:sdt>
      <w:r w:rsidRPr="65632593">
        <w:rPr>
          <w:rFonts w:ascii="Calibri" w:eastAsia="Calibri" w:hAnsi="Calibri" w:cs="Calibri"/>
        </w:rPr>
        <w:t xml:space="preserve">from endpoint detection, identity management logs, cloud activity, </w:t>
      </w:r>
      <w:r w:rsidR="542CE5B9" w:rsidRPr="65632593">
        <w:rPr>
          <w:rFonts w:ascii="Calibri" w:eastAsia="Calibri" w:hAnsi="Calibri" w:cs="Calibri"/>
        </w:rPr>
        <w:t>micro segmentation</w:t>
      </w:r>
      <w:r w:rsidRPr="65632593">
        <w:rPr>
          <w:rFonts w:ascii="Calibri" w:eastAsia="Calibri" w:hAnsi="Calibri" w:cs="Calibri"/>
        </w:rPr>
        <w:t xml:space="preserve"> traffic, etc. to flag and escalate suspicious activity. Automated denial and isolation can be triggered instantly to limit lateral movement while incidents are investigated. Likewise, machine learning and user </w:t>
      </w:r>
      <w:r w:rsidR="116EBAAA" w:rsidRPr="65632593">
        <w:rPr>
          <w:rFonts w:ascii="Calibri" w:eastAsia="Calibri" w:hAnsi="Calibri" w:cs="Calibri"/>
        </w:rPr>
        <w:t>behavior</w:t>
      </w:r>
      <w:r w:rsidRPr="65632593">
        <w:rPr>
          <w:rFonts w:ascii="Calibri" w:eastAsia="Calibri" w:hAnsi="Calibri" w:cs="Calibri"/>
        </w:rPr>
        <w:t xml:space="preserve"> analytics provide valuable signals for anomaly detection. Advances in automation and AI are synergistic with the goals of Zero Trust and will accelerate both adoption and maturity as the human time to detection becomes a major regulatory focus under DORA/NIS2.</w:t>
      </w:r>
      <w:sdt>
        <w:sdtPr>
          <w:rPr>
            <w:rFonts w:ascii="Calibri" w:eastAsia="Calibri" w:hAnsi="Calibri" w:cs="Calibri"/>
          </w:rPr>
          <w:id w:val="-959338231"/>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ENI23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[9]</w:t>
          </w:r>
          <w:r w:rsidR="00606C03">
            <w:rPr>
              <w:rFonts w:ascii="Calibri" w:eastAsia="Calibri" w:hAnsi="Calibri" w:cs="Calibri"/>
            </w:rPr>
            <w:fldChar w:fldCharType="end"/>
          </w:r>
        </w:sdtContent>
      </w:sdt>
    </w:p>
    <w:p w14:paraId="78AC6E19" w14:textId="6587F159" w:rsidR="6CF1AB07" w:rsidRDefault="6CF1AB07" w:rsidP="6CF1AB07">
      <w:pPr>
        <w:rPr>
          <w:rFonts w:ascii="Calibri" w:eastAsia="Calibri" w:hAnsi="Calibri" w:cs="Calibri"/>
          <w:u w:val="single"/>
        </w:rPr>
      </w:pPr>
    </w:p>
    <w:p w14:paraId="0581C49A" w14:textId="084D023B" w:rsidR="6CF1AB07" w:rsidRDefault="6CF1AB07" w:rsidP="6CF1AB07">
      <w:pPr>
        <w:rPr>
          <w:rFonts w:ascii="Calibri" w:eastAsia="Calibri" w:hAnsi="Calibri" w:cs="Calibri"/>
          <w:u w:val="single"/>
        </w:rPr>
      </w:pPr>
    </w:p>
    <w:p w14:paraId="2ECE5F99" w14:textId="4DAF9B4B" w:rsidR="4AE5FE86" w:rsidRDefault="4AE5FE86" w:rsidP="002E3D1E">
      <w:pPr>
        <w:pStyle w:val="Heading1"/>
        <w:rPr>
          <w:rFonts w:eastAsia="Calibri"/>
        </w:rPr>
      </w:pPr>
      <w:bookmarkStart w:id="10" w:name="_Toc218507908"/>
      <w:r w:rsidRPr="6CF1AB07">
        <w:rPr>
          <w:rFonts w:eastAsia="Calibri"/>
        </w:rPr>
        <w:t>Recommendations for Effective Zero Trust Deployment</w:t>
      </w:r>
      <w:bookmarkEnd w:id="10"/>
    </w:p>
    <w:p w14:paraId="58458648" w14:textId="44E3D21A" w:rsidR="30F9BCCE" w:rsidRDefault="0D6FFF2D" w:rsidP="6CF1AB07">
      <w:pPr>
        <w:rPr>
          <w:rFonts w:ascii="Calibri" w:eastAsia="Calibri" w:hAnsi="Calibri" w:cs="Calibri"/>
        </w:rPr>
      </w:pPr>
      <w:r w:rsidRPr="65632593">
        <w:rPr>
          <w:rFonts w:ascii="Calibri" w:eastAsia="Calibri" w:hAnsi="Calibri" w:cs="Calibri"/>
        </w:rPr>
        <w:t xml:space="preserve">There is no one </w:t>
      </w:r>
      <w:r w:rsidR="2B4D6F4F" w:rsidRPr="65632593">
        <w:rPr>
          <w:rFonts w:ascii="Calibri" w:eastAsia="Calibri" w:hAnsi="Calibri" w:cs="Calibri"/>
        </w:rPr>
        <w:t>size that</w:t>
      </w:r>
      <w:r w:rsidRPr="65632593">
        <w:rPr>
          <w:rFonts w:ascii="Calibri" w:eastAsia="Calibri" w:hAnsi="Calibri" w:cs="Calibri"/>
        </w:rPr>
        <w:t xml:space="preserve"> fits all for Zero Trust. The approach will often be </w:t>
      </w:r>
      <w:r w:rsidR="23E86ABD" w:rsidRPr="65632593">
        <w:rPr>
          <w:rFonts w:ascii="Calibri" w:eastAsia="Calibri" w:hAnsi="Calibri" w:cs="Calibri"/>
        </w:rPr>
        <w:t>characterized</w:t>
      </w:r>
      <w:r w:rsidRPr="65632593">
        <w:rPr>
          <w:rFonts w:ascii="Calibri" w:eastAsia="Calibri" w:hAnsi="Calibri" w:cs="Calibri"/>
        </w:rPr>
        <w:t xml:space="preserve"> by a maturity curve due to technical, </w:t>
      </w:r>
      <w:r w:rsidR="209AF2FB" w:rsidRPr="65632593">
        <w:rPr>
          <w:rFonts w:ascii="Calibri" w:eastAsia="Calibri" w:hAnsi="Calibri" w:cs="Calibri"/>
        </w:rPr>
        <w:t>process,</w:t>
      </w:r>
      <w:r w:rsidRPr="65632593">
        <w:rPr>
          <w:rFonts w:ascii="Calibri" w:eastAsia="Calibri" w:hAnsi="Calibri" w:cs="Calibri"/>
        </w:rPr>
        <w:t xml:space="preserve"> and cultural constraints. </w:t>
      </w:r>
      <w:r w:rsidR="5DED9447" w:rsidRPr="65632593">
        <w:rPr>
          <w:rFonts w:ascii="Calibri" w:eastAsia="Calibri" w:hAnsi="Calibri" w:cs="Calibri"/>
        </w:rPr>
        <w:t>Organizations</w:t>
      </w:r>
      <w:r w:rsidRPr="65632593">
        <w:rPr>
          <w:rFonts w:ascii="Calibri" w:eastAsia="Calibri" w:hAnsi="Calibri" w:cs="Calibri"/>
        </w:rPr>
        <w:t xml:space="preserve"> should focus first on solid identity controls like </w:t>
      </w:r>
      <w:r w:rsidR="6B9739D7" w:rsidRPr="65632593">
        <w:rPr>
          <w:rFonts w:ascii="Calibri" w:eastAsia="Calibri" w:hAnsi="Calibri" w:cs="Calibri"/>
        </w:rPr>
        <w:t>centralized</w:t>
      </w:r>
      <w:r w:rsidRPr="65632593">
        <w:rPr>
          <w:rFonts w:ascii="Calibri" w:eastAsia="Calibri" w:hAnsi="Calibri" w:cs="Calibri"/>
        </w:rPr>
        <w:t xml:space="preserve"> IAM, multi-factor authentication, conditional access </w:t>
      </w:r>
      <w:r w:rsidR="08F7CE76" w:rsidRPr="65632593">
        <w:rPr>
          <w:rFonts w:ascii="Calibri" w:eastAsia="Calibri" w:hAnsi="Calibri" w:cs="Calibri"/>
        </w:rPr>
        <w:t>policies,</w:t>
      </w:r>
      <w:r w:rsidRPr="65632593">
        <w:rPr>
          <w:rFonts w:ascii="Calibri" w:eastAsia="Calibri" w:hAnsi="Calibri" w:cs="Calibri"/>
        </w:rPr>
        <w:t xml:space="preserve"> and well-defined roles.</w:t>
      </w:r>
      <w:sdt>
        <w:sdtPr>
          <w:rPr>
            <w:rFonts w:ascii="Calibri" w:eastAsia="Calibri" w:hAnsi="Calibri" w:cs="Calibri"/>
          </w:rPr>
          <w:id w:val="-356186974"/>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Gar23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[4]</w:t>
          </w:r>
          <w:r w:rsidR="00606C03">
            <w:rPr>
              <w:rFonts w:ascii="Calibri" w:eastAsia="Calibri" w:hAnsi="Calibri" w:cs="Calibri"/>
            </w:rPr>
            <w:fldChar w:fldCharType="end"/>
          </w:r>
        </w:sdtContent>
      </w:sdt>
      <w:r w:rsidRPr="65632593">
        <w:rPr>
          <w:rFonts w:ascii="Calibri" w:eastAsia="Calibri" w:hAnsi="Calibri" w:cs="Calibri"/>
        </w:rPr>
        <w:t xml:space="preserve"> Comprehensive inventories of applicable endpoints, applications, data flows and associated policies are critical to informing the attack surface and what needs protecting to design least privilege controls. Micro-segmentation can be introduced in stages from most critical applications or infrastructure outwards. Uplifting visibility across cloud, network and endpoint environments ensures control points can feed telemetry required for continuous verification and automated response. SIEM, </w:t>
      </w:r>
      <w:r w:rsidR="314741CB" w:rsidRPr="65632593">
        <w:rPr>
          <w:rFonts w:ascii="Calibri" w:eastAsia="Calibri" w:hAnsi="Calibri" w:cs="Calibri"/>
        </w:rPr>
        <w:t>SOAR,</w:t>
      </w:r>
      <w:r w:rsidRPr="65632593">
        <w:rPr>
          <w:rFonts w:ascii="Calibri" w:eastAsia="Calibri" w:hAnsi="Calibri" w:cs="Calibri"/>
        </w:rPr>
        <w:t xml:space="preserve"> and EDR tools can underpin these capabilities for monitoring, </w:t>
      </w:r>
      <w:r w:rsidR="1440510C" w:rsidRPr="65632593">
        <w:rPr>
          <w:rFonts w:ascii="Calibri" w:eastAsia="Calibri" w:hAnsi="Calibri" w:cs="Calibri"/>
        </w:rPr>
        <w:t>scanning,</w:t>
      </w:r>
      <w:r w:rsidRPr="65632593">
        <w:rPr>
          <w:rFonts w:ascii="Calibri" w:eastAsia="Calibri" w:hAnsi="Calibri" w:cs="Calibri"/>
        </w:rPr>
        <w:t xml:space="preserve"> and machine-driven remediation. </w:t>
      </w:r>
      <w:sdt>
        <w:sdtPr>
          <w:rPr>
            <w:rFonts w:ascii="Calibri" w:eastAsia="Calibri" w:hAnsi="Calibri" w:cs="Calibri"/>
          </w:rPr>
          <w:id w:val="-1927417327"/>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Pal23 \l 2057 </w:instrText>
          </w:r>
          <w:r w:rsidR="00606C03">
            <w:rPr>
              <w:rFonts w:ascii="Calibri" w:eastAsia="Calibri" w:hAnsi="Calibri" w:cs="Calibri"/>
            </w:rPr>
            <w:fldChar w:fldCharType="separate"/>
          </w:r>
          <w:r w:rsidR="00606C03" w:rsidRPr="00606C03">
            <w:rPr>
              <w:rFonts w:ascii="Calibri" w:eastAsia="Calibri" w:hAnsi="Calibri" w:cs="Calibri"/>
              <w:noProof/>
              <w:lang w:val="en-GB"/>
            </w:rPr>
            <w:t>[10]</w:t>
          </w:r>
          <w:r w:rsidR="00606C03">
            <w:rPr>
              <w:rFonts w:ascii="Calibri" w:eastAsia="Calibri" w:hAnsi="Calibri" w:cs="Calibri"/>
            </w:rPr>
            <w:fldChar w:fldCharType="end"/>
          </w:r>
        </w:sdtContent>
      </w:sdt>
      <w:r w:rsidRPr="65632593">
        <w:rPr>
          <w:rFonts w:ascii="Calibri" w:eastAsia="Calibri" w:hAnsi="Calibri" w:cs="Calibri"/>
        </w:rPr>
        <w:t xml:space="preserve">Education across stakeholder groups will improve user buy-in to Zero Trust controls. If aligned to regulatory requirements and broader enterprise risk management objectives, Zero Trust can transform </w:t>
      </w:r>
      <w:r w:rsidR="5409FB52" w:rsidRPr="65632593">
        <w:rPr>
          <w:rFonts w:ascii="Calibri" w:eastAsia="Calibri" w:hAnsi="Calibri" w:cs="Calibri"/>
        </w:rPr>
        <w:t>organization</w:t>
      </w:r>
      <w:r w:rsidRPr="65632593">
        <w:rPr>
          <w:rFonts w:ascii="Calibri" w:eastAsia="Calibri" w:hAnsi="Calibri" w:cs="Calibri"/>
        </w:rPr>
        <w:t xml:space="preserve"> security in a sustainable way. </w:t>
      </w:r>
      <w:r w:rsidR="5D12B49D" w:rsidRPr="65632593">
        <w:rPr>
          <w:rFonts w:ascii="Calibri" w:eastAsia="Calibri" w:hAnsi="Calibri" w:cs="Calibri"/>
        </w:rPr>
        <w:t>The Zero</w:t>
      </w:r>
      <w:r w:rsidRPr="65632593">
        <w:rPr>
          <w:rFonts w:ascii="Calibri" w:eastAsia="Calibri" w:hAnsi="Calibri" w:cs="Calibri"/>
        </w:rPr>
        <w:t xml:space="preserve"> Trust Architecture provides a strong, risk-based philosophy enabling </w:t>
      </w:r>
      <w:r w:rsidR="5A6E19F7" w:rsidRPr="65632593">
        <w:rPr>
          <w:rFonts w:ascii="Calibri" w:eastAsia="Calibri" w:hAnsi="Calibri" w:cs="Calibri"/>
        </w:rPr>
        <w:t>organizations</w:t>
      </w:r>
      <w:r w:rsidRPr="65632593">
        <w:rPr>
          <w:rFonts w:ascii="Calibri" w:eastAsia="Calibri" w:hAnsi="Calibri" w:cs="Calibri"/>
        </w:rPr>
        <w:t xml:space="preserve"> to take a proactive stance in defending against pervasive cybersecurity threats. With preventative and reactive controls like micro-segmentation, continual trust </w:t>
      </w:r>
      <w:r w:rsidR="505755C7" w:rsidRPr="65632593">
        <w:rPr>
          <w:rFonts w:ascii="Calibri" w:eastAsia="Calibri" w:hAnsi="Calibri" w:cs="Calibri"/>
        </w:rPr>
        <w:t>verification,</w:t>
      </w:r>
      <w:r w:rsidRPr="65632593">
        <w:rPr>
          <w:rFonts w:ascii="Calibri" w:eastAsia="Calibri" w:hAnsi="Calibri" w:cs="Calibri"/>
        </w:rPr>
        <w:t xml:space="preserve"> and strict access policies, ZTA overcomes many limitations of traditional perimeter-driven security models. While implementation challenges exist in areas like identity management, legacy systems and security culture, there is a clear appetite across industry to invest in these areas and </w:t>
      </w:r>
      <w:r w:rsidR="5DF0309E" w:rsidRPr="65632593">
        <w:rPr>
          <w:rFonts w:ascii="Calibri" w:eastAsia="Calibri" w:hAnsi="Calibri" w:cs="Calibri"/>
        </w:rPr>
        <w:t>realize</w:t>
      </w:r>
      <w:r w:rsidRPr="65632593">
        <w:rPr>
          <w:rFonts w:ascii="Calibri" w:eastAsia="Calibri" w:hAnsi="Calibri" w:cs="Calibri"/>
        </w:rPr>
        <w:t xml:space="preserve"> Zero Trust advantages. With clear use cases demonstrating security improvements, simplified compliance and better business agility, </w:t>
      </w:r>
      <w:r w:rsidR="2C5D5F5B" w:rsidRPr="65632593">
        <w:rPr>
          <w:rFonts w:ascii="Calibri" w:eastAsia="Calibri" w:hAnsi="Calibri" w:cs="Calibri"/>
        </w:rPr>
        <w:t>organizations</w:t>
      </w:r>
      <w:r w:rsidRPr="65632593">
        <w:rPr>
          <w:rFonts w:ascii="Calibri" w:eastAsia="Calibri" w:hAnsi="Calibri" w:cs="Calibri"/>
        </w:rPr>
        <w:t xml:space="preserve"> can achieve faster time-to-value compared to traditional cybersecurity models. With the continual improvement of </w:t>
      </w:r>
      <w:r w:rsidR="68034A05" w:rsidRPr="65632593">
        <w:rPr>
          <w:rFonts w:ascii="Calibri" w:eastAsia="Calibri" w:hAnsi="Calibri" w:cs="Calibri"/>
        </w:rPr>
        <w:t>behavioral</w:t>
      </w:r>
      <w:r w:rsidRPr="65632593">
        <w:rPr>
          <w:rFonts w:ascii="Calibri" w:eastAsia="Calibri" w:hAnsi="Calibri" w:cs="Calibri"/>
        </w:rPr>
        <w:t xml:space="preserve"> analytics and automation, Zero Trust has the potential to emerge as the de facto security framework across </w:t>
      </w:r>
      <w:r w:rsidR="45F87CC9" w:rsidRPr="65632593">
        <w:rPr>
          <w:rFonts w:ascii="Calibri" w:eastAsia="Calibri" w:hAnsi="Calibri" w:cs="Calibri"/>
        </w:rPr>
        <w:t>organizations</w:t>
      </w:r>
      <w:r w:rsidRPr="65632593">
        <w:rPr>
          <w:rFonts w:ascii="Calibri" w:eastAsia="Calibri" w:hAnsi="Calibri" w:cs="Calibri"/>
        </w:rPr>
        <w:t xml:space="preserve"> to secure their information assets while keeping up with the ever-evolving digital landscape.</w:t>
      </w:r>
      <w:sdt>
        <w:sdtPr>
          <w:rPr>
            <w:rFonts w:ascii="Calibri" w:eastAsia="Calibri" w:hAnsi="Calibri" w:cs="Calibri"/>
          </w:rPr>
          <w:id w:val="2031989716"/>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Nat20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[6]</w:t>
          </w:r>
          <w:r w:rsidR="00606C03">
            <w:rPr>
              <w:rFonts w:ascii="Calibri" w:eastAsia="Calibri" w:hAnsi="Calibri" w:cs="Calibri"/>
            </w:rPr>
            <w:fldChar w:fldCharType="end"/>
          </w:r>
        </w:sdtContent>
      </w:sdt>
      <w:sdt>
        <w:sdtPr>
          <w:rPr>
            <w:rFonts w:ascii="Calibri" w:eastAsia="Calibri" w:hAnsi="Calibri" w:cs="Calibri"/>
          </w:rPr>
          <w:id w:val="-1536265603"/>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ENI23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[9]</w:t>
          </w:r>
          <w:r w:rsidR="00606C03">
            <w:rPr>
              <w:rFonts w:ascii="Calibri" w:eastAsia="Calibri" w:hAnsi="Calibri" w:cs="Calibri"/>
            </w:rPr>
            <w:fldChar w:fldCharType="end"/>
          </w:r>
        </w:sdtContent>
      </w:sdt>
    </w:p>
    <w:p w14:paraId="3EC981C2" w14:textId="4F7CF818" w:rsidR="6CF1AB07" w:rsidRPr="00124C55" w:rsidRDefault="6CF1AB07" w:rsidP="00124C55">
      <w:pPr>
        <w:pStyle w:val="Heading2"/>
        <w:rPr>
          <w:b/>
        </w:rPr>
      </w:pPr>
    </w:p>
    <w:p w14:paraId="669B8D21" w14:textId="6737DD88" w:rsidR="3545B05F" w:rsidRPr="00124C55" w:rsidRDefault="0D6FFF2D" w:rsidP="00124C55">
      <w:pPr>
        <w:pStyle w:val="Heading2"/>
        <w:rPr>
          <w:b/>
        </w:rPr>
      </w:pPr>
      <w:bookmarkStart w:id="11" w:name="_Toc218507909"/>
      <w:r w:rsidRPr="00124C55">
        <w:rPr>
          <w:b/>
        </w:rPr>
        <w:t>T</w:t>
      </w:r>
      <w:r w:rsidR="002E4938" w:rsidRPr="00124C55">
        <w:rPr>
          <w:b/>
        </w:rPr>
        <w:t xml:space="preserve">ask 2- </w:t>
      </w:r>
      <w:r w:rsidR="3545B05F" w:rsidRPr="00124C55">
        <w:rPr>
          <w:b/>
        </w:rPr>
        <w:t xml:space="preserve">Designing a Zero Trust–Aligned Security </w:t>
      </w:r>
      <w:r w:rsidR="00124C55" w:rsidRPr="00124C55">
        <w:rPr>
          <w:b/>
        </w:rPr>
        <w:t>Programmer</w:t>
      </w:r>
      <w:r w:rsidR="3545B05F" w:rsidRPr="00124C55">
        <w:rPr>
          <w:b/>
        </w:rPr>
        <w:t xml:space="preserve"> for ResilientIntellect Ltd</w:t>
      </w:r>
      <w:bookmarkEnd w:id="11"/>
    </w:p>
    <w:p w14:paraId="1F4957BD" w14:textId="1662C957" w:rsidR="4E0B50C2" w:rsidRDefault="4E0B50C2" w:rsidP="65632593">
      <w:pPr>
        <w:spacing w:before="240" w:after="240"/>
        <w:rPr>
          <w:rFonts w:ascii="Calibri" w:eastAsia="Calibri" w:hAnsi="Calibri" w:cs="Calibri"/>
        </w:rPr>
      </w:pPr>
      <w:r w:rsidRPr="65632593">
        <w:rPr>
          <w:rFonts w:ascii="Calibri" w:eastAsia="Calibri" w:hAnsi="Calibri" w:cs="Calibri"/>
        </w:rPr>
        <w:t>ResilientIntellect Ltd is a rapidly growing threat intelligence and cybersecurity consulting business that develops bespoke artificial intelligence (AI)–enabled threat analysis tools and employs a 100 per cent remote-working business model.</w:t>
      </w:r>
      <w:sdt>
        <w:sdtPr>
          <w:rPr>
            <w:rFonts w:ascii="Calibri" w:eastAsia="Calibri" w:hAnsi="Calibri" w:cs="Calibri"/>
          </w:rPr>
          <w:id w:val="-620679740"/>
          <w:citation/>
        </w:sdtPr>
        <w:sdtContent>
          <w:r w:rsidR="0080778A">
            <w:rPr>
              <w:rFonts w:ascii="Calibri" w:eastAsia="Calibri" w:hAnsi="Calibri" w:cs="Calibri"/>
            </w:rPr>
            <w:fldChar w:fldCharType="begin"/>
          </w:r>
          <w:r w:rsidR="0080778A">
            <w:rPr>
              <w:rFonts w:ascii="Calibri" w:eastAsia="Calibri" w:hAnsi="Calibri" w:cs="Calibri"/>
              <w:lang w:val="en-GB"/>
            </w:rPr>
            <w:instrText xml:space="preserve"> CITATION Ver23 \l 2057 </w:instrText>
          </w:r>
          <w:r w:rsidR="0080778A">
            <w:rPr>
              <w:rFonts w:ascii="Calibri" w:eastAsia="Calibri" w:hAnsi="Calibri" w:cs="Calibri"/>
            </w:rPr>
            <w:fldChar w:fldCharType="separate"/>
          </w:r>
          <w:r w:rsidR="0080778A">
            <w:rPr>
              <w:rFonts w:ascii="Calibri" w:eastAsia="Calibri" w:hAnsi="Calibri" w:cs="Calibri"/>
              <w:noProof/>
              <w:lang w:val="en-GB"/>
            </w:rPr>
            <w:t xml:space="preserve"> </w:t>
          </w:r>
          <w:r w:rsidR="0080778A" w:rsidRPr="0080778A">
            <w:rPr>
              <w:rFonts w:ascii="Calibri" w:eastAsia="Calibri" w:hAnsi="Calibri" w:cs="Calibri"/>
              <w:noProof/>
              <w:lang w:val="en-GB"/>
            </w:rPr>
            <w:t>[14]</w:t>
          </w:r>
          <w:r w:rsidR="0080778A">
            <w:rPr>
              <w:rFonts w:ascii="Calibri" w:eastAsia="Calibri" w:hAnsi="Calibri" w:cs="Calibri"/>
            </w:rPr>
            <w:fldChar w:fldCharType="end"/>
          </w:r>
        </w:sdtContent>
      </w:sdt>
      <w:r w:rsidRPr="65632593">
        <w:rPr>
          <w:rFonts w:ascii="Calibri" w:eastAsia="Calibri" w:hAnsi="Calibri" w:cs="Calibri"/>
        </w:rPr>
        <w:t xml:space="preserve"> The </w:t>
      </w:r>
      <w:r w:rsidR="787D7D99" w:rsidRPr="65632593">
        <w:rPr>
          <w:rFonts w:ascii="Calibri" w:eastAsia="Calibri" w:hAnsi="Calibri" w:cs="Calibri"/>
        </w:rPr>
        <w:t>organization</w:t>
      </w:r>
      <w:r w:rsidRPr="65632593">
        <w:rPr>
          <w:rFonts w:ascii="Calibri" w:eastAsia="Calibri" w:hAnsi="Calibri" w:cs="Calibri"/>
        </w:rPr>
        <w:t xml:space="preserve"> not only creates its own cutting-edge threat intelligence products and services, but it also provides consulting services to </w:t>
      </w:r>
      <w:r w:rsidR="4B45CB92" w:rsidRPr="65632593">
        <w:rPr>
          <w:rFonts w:ascii="Calibri" w:eastAsia="Calibri" w:hAnsi="Calibri" w:cs="Calibri"/>
        </w:rPr>
        <w:t>organization's</w:t>
      </w:r>
      <w:r w:rsidRPr="65632593">
        <w:rPr>
          <w:rFonts w:ascii="Calibri" w:eastAsia="Calibri" w:hAnsi="Calibri" w:cs="Calibri"/>
        </w:rPr>
        <w:t xml:space="preserve"> that require support with cloud-based regulatory compliance, business continuity, disaster recovery, and enterprise risk management. This dual business function creates additional exposure to cyber threats, as both ResilientIntellect’s own operations and those that it consults with are high-value targets for advanced threat actors. As ResilientIntellect continues to grow and establish itself within the European Union (EU), it will fall within the scope of an increasingly complex set of European regulatory frameworks, including the Digital Operational Resilience Act (DORA) and the NIS2 Directive. </w:t>
      </w:r>
      <w:sdt>
        <w:sdtPr>
          <w:rPr>
            <w:rFonts w:ascii="Calibri" w:eastAsia="Calibri" w:hAnsi="Calibri" w:cs="Calibri"/>
          </w:rPr>
          <w:id w:val="-1042278781"/>
          <w:citation/>
        </w:sdtPr>
        <w:sdtContent>
          <w:r w:rsidR="0080778A">
            <w:rPr>
              <w:rFonts w:ascii="Calibri" w:eastAsia="Calibri" w:hAnsi="Calibri" w:cs="Calibri"/>
            </w:rPr>
            <w:fldChar w:fldCharType="begin"/>
          </w:r>
          <w:r w:rsidR="0080778A">
            <w:rPr>
              <w:rFonts w:ascii="Calibri" w:eastAsia="Calibri" w:hAnsi="Calibri" w:cs="Calibri"/>
              <w:lang w:val="en-GB"/>
            </w:rPr>
            <w:instrText xml:space="preserve"> CITATION Eur221 \l 2057 </w:instrText>
          </w:r>
          <w:r w:rsidR="0080778A">
            <w:rPr>
              <w:rFonts w:ascii="Calibri" w:eastAsia="Calibri" w:hAnsi="Calibri" w:cs="Calibri"/>
            </w:rPr>
            <w:fldChar w:fldCharType="separate"/>
          </w:r>
          <w:r w:rsidR="0080778A" w:rsidRPr="0080778A">
            <w:rPr>
              <w:rFonts w:ascii="Calibri" w:eastAsia="Calibri" w:hAnsi="Calibri" w:cs="Calibri"/>
              <w:noProof/>
              <w:lang w:val="en-GB"/>
            </w:rPr>
            <w:t>[15]</w:t>
          </w:r>
          <w:r w:rsidR="0080778A">
            <w:rPr>
              <w:rFonts w:ascii="Calibri" w:eastAsia="Calibri" w:hAnsi="Calibri" w:cs="Calibri"/>
            </w:rPr>
            <w:fldChar w:fldCharType="end"/>
          </w:r>
        </w:sdtContent>
      </w:sdt>
      <w:r w:rsidRPr="65632593">
        <w:rPr>
          <w:rFonts w:ascii="Calibri" w:eastAsia="Calibri" w:hAnsi="Calibri" w:cs="Calibri"/>
        </w:rPr>
        <w:t xml:space="preserve">These regulations introduce a significant change to the traditional concept of security and compliance by accepting that cyber-attacks will occur and instead placing greater emphasis on an </w:t>
      </w:r>
      <w:r w:rsidR="548CBE2D" w:rsidRPr="65632593">
        <w:rPr>
          <w:rFonts w:ascii="Calibri" w:eastAsia="Calibri" w:hAnsi="Calibri" w:cs="Calibri"/>
        </w:rPr>
        <w:t>organization's</w:t>
      </w:r>
      <w:r w:rsidRPr="65632593">
        <w:rPr>
          <w:rFonts w:ascii="Calibri" w:eastAsia="Calibri" w:hAnsi="Calibri" w:cs="Calibri"/>
        </w:rPr>
        <w:t xml:space="preserve"> ability to respond to incidents,</w:t>
      </w:r>
      <w:sdt>
        <w:sdtPr>
          <w:rPr>
            <w:rFonts w:ascii="Calibri" w:eastAsia="Calibri" w:hAnsi="Calibri" w:cs="Calibri"/>
          </w:rPr>
          <w:id w:val="54292738"/>
          <w:citation/>
        </w:sdtPr>
        <w:sdtContent>
          <w:r w:rsidR="0080778A">
            <w:rPr>
              <w:rFonts w:ascii="Calibri" w:eastAsia="Calibri" w:hAnsi="Calibri" w:cs="Calibri"/>
            </w:rPr>
            <w:fldChar w:fldCharType="begin"/>
          </w:r>
          <w:r w:rsidR="0080778A">
            <w:rPr>
              <w:rFonts w:ascii="Calibri" w:eastAsia="Calibri" w:hAnsi="Calibri" w:cs="Calibri"/>
              <w:lang w:val="en-GB"/>
            </w:rPr>
            <w:instrText xml:space="preserve"> CITATION Eur221 \l 2057 </w:instrText>
          </w:r>
          <w:r w:rsidR="0080778A">
            <w:rPr>
              <w:rFonts w:ascii="Calibri" w:eastAsia="Calibri" w:hAnsi="Calibri" w:cs="Calibri"/>
            </w:rPr>
            <w:fldChar w:fldCharType="separate"/>
          </w:r>
          <w:r w:rsidR="0080778A">
            <w:rPr>
              <w:rFonts w:ascii="Calibri" w:eastAsia="Calibri" w:hAnsi="Calibri" w:cs="Calibri"/>
              <w:noProof/>
              <w:lang w:val="en-GB"/>
            </w:rPr>
            <w:t xml:space="preserve"> </w:t>
          </w:r>
          <w:r w:rsidR="0080778A" w:rsidRPr="0080778A">
            <w:rPr>
              <w:rFonts w:ascii="Calibri" w:eastAsia="Calibri" w:hAnsi="Calibri" w:cs="Calibri"/>
              <w:noProof/>
              <w:lang w:val="en-GB"/>
            </w:rPr>
            <w:t>[15]</w:t>
          </w:r>
          <w:r w:rsidR="0080778A">
            <w:rPr>
              <w:rFonts w:ascii="Calibri" w:eastAsia="Calibri" w:hAnsi="Calibri" w:cs="Calibri"/>
            </w:rPr>
            <w:fldChar w:fldCharType="end"/>
          </w:r>
        </w:sdtContent>
      </w:sdt>
      <w:r w:rsidRPr="65632593">
        <w:rPr>
          <w:rFonts w:ascii="Calibri" w:eastAsia="Calibri" w:hAnsi="Calibri" w:cs="Calibri"/>
        </w:rPr>
        <w:t xml:space="preserve"> recover data, and maintain essential operational services. Compliance obligations therefore extend beyond technology to include elements of governance, risk management, incident response, and supply chain management. In meeting these requirements, the traditional security approach of investing in, and placing heavy reliance </w:t>
      </w:r>
      <w:r w:rsidR="38246F92" w:rsidRPr="65632593">
        <w:rPr>
          <w:rFonts w:ascii="Calibri" w:eastAsia="Calibri" w:hAnsi="Calibri" w:cs="Calibri"/>
        </w:rPr>
        <w:t>on</w:t>
      </w:r>
      <w:r w:rsidRPr="65632593">
        <w:rPr>
          <w:rFonts w:ascii="Calibri" w:eastAsia="Calibri" w:hAnsi="Calibri" w:cs="Calibri"/>
        </w:rPr>
        <w:t xml:space="preserve"> network perimeter </w:t>
      </w:r>
      <w:r w:rsidR="0FFB6B80" w:rsidRPr="65632593">
        <w:rPr>
          <w:rFonts w:ascii="Calibri" w:eastAsia="Calibri" w:hAnsi="Calibri" w:cs="Calibri"/>
        </w:rPr>
        <w:t>defenses</w:t>
      </w:r>
      <w:r w:rsidRPr="65632593">
        <w:rPr>
          <w:rFonts w:ascii="Calibri" w:eastAsia="Calibri" w:hAnsi="Calibri" w:cs="Calibri"/>
        </w:rPr>
        <w:t xml:space="preserve"> to protect systems and data is no longer fit for purpose. </w:t>
      </w:r>
      <w:sdt>
        <w:sdtPr>
          <w:rPr>
            <w:rFonts w:ascii="Calibri" w:eastAsia="Calibri" w:hAnsi="Calibri" w:cs="Calibri"/>
          </w:rPr>
          <w:id w:val="483827216"/>
          <w:citation/>
        </w:sdtPr>
        <w:sdtContent>
          <w:r w:rsidR="0080778A">
            <w:rPr>
              <w:rFonts w:ascii="Calibri" w:eastAsia="Calibri" w:hAnsi="Calibri" w:cs="Calibri"/>
            </w:rPr>
            <w:fldChar w:fldCharType="begin"/>
          </w:r>
          <w:r w:rsidR="0080778A">
            <w:rPr>
              <w:rFonts w:ascii="Calibri" w:eastAsia="Calibri" w:hAnsi="Calibri" w:cs="Calibri"/>
              <w:lang w:val="en-GB"/>
            </w:rPr>
            <w:instrText xml:space="preserve"> CITATION JKi10 \l 2057 </w:instrText>
          </w:r>
          <w:r w:rsidR="0080778A">
            <w:rPr>
              <w:rFonts w:ascii="Calibri" w:eastAsia="Calibri" w:hAnsi="Calibri" w:cs="Calibri"/>
            </w:rPr>
            <w:fldChar w:fldCharType="separate"/>
          </w:r>
          <w:r w:rsidR="0080778A" w:rsidRPr="0080778A">
            <w:rPr>
              <w:rFonts w:ascii="Calibri" w:eastAsia="Calibri" w:hAnsi="Calibri" w:cs="Calibri"/>
              <w:noProof/>
              <w:lang w:val="en-GB"/>
            </w:rPr>
            <w:t>[7]</w:t>
          </w:r>
          <w:r w:rsidR="0080778A">
            <w:rPr>
              <w:rFonts w:ascii="Calibri" w:eastAsia="Calibri" w:hAnsi="Calibri" w:cs="Calibri"/>
            </w:rPr>
            <w:fldChar w:fldCharType="end"/>
          </w:r>
        </w:sdtContent>
      </w:sdt>
      <w:r w:rsidRPr="65632593">
        <w:rPr>
          <w:rFonts w:ascii="Calibri" w:eastAsia="Calibri" w:hAnsi="Calibri" w:cs="Calibri"/>
        </w:rPr>
        <w:t>Cloud computing, identity-based attacks, heavy reliance on third-party services, and widespread adoption of remote-working practices all contribute to the diminished value of network boundaries</w:t>
      </w:r>
      <w:sdt>
        <w:sdtPr>
          <w:rPr>
            <w:rFonts w:ascii="Calibri" w:eastAsia="Calibri" w:hAnsi="Calibri" w:cs="Calibri"/>
          </w:rPr>
          <w:id w:val="925392367"/>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Gar23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[4]</w:t>
          </w:r>
          <w:r w:rsidR="00013808">
            <w:rPr>
              <w:rFonts w:ascii="Calibri" w:eastAsia="Calibri" w:hAnsi="Calibri" w:cs="Calibri"/>
            </w:rPr>
            <w:fldChar w:fldCharType="end"/>
          </w:r>
        </w:sdtContent>
      </w:sdt>
      <w:sdt>
        <w:sdtPr>
          <w:rPr>
            <w:rFonts w:ascii="Calibri" w:eastAsia="Calibri" w:hAnsi="Calibri" w:cs="Calibri"/>
          </w:rPr>
          <w:id w:val="2006782674"/>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Ver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[1]</w:t>
          </w:r>
          <w:r w:rsidR="00013808">
            <w:rPr>
              <w:rFonts w:ascii="Calibri" w:eastAsia="Calibri" w:hAnsi="Calibri" w:cs="Calibri"/>
            </w:rPr>
            <w:fldChar w:fldCharType="end"/>
          </w:r>
        </w:sdtContent>
      </w:sdt>
      <w:r w:rsidRPr="65632593">
        <w:rPr>
          <w:rFonts w:ascii="Calibri" w:eastAsia="Calibri" w:hAnsi="Calibri" w:cs="Calibri"/>
        </w:rPr>
        <w:t xml:space="preserve"> as the dominant security control. Building on the research and analysis presented in Task 1, this report outlines and justifies the implementation of a Zero Trust–aligned security </w:t>
      </w:r>
      <w:r w:rsidR="1BEB48CF" w:rsidRPr="65632593">
        <w:rPr>
          <w:rFonts w:ascii="Calibri" w:eastAsia="Calibri" w:hAnsi="Calibri" w:cs="Calibri"/>
        </w:rPr>
        <w:t>programmer</w:t>
      </w:r>
      <w:r w:rsidRPr="65632593">
        <w:rPr>
          <w:rFonts w:ascii="Calibri" w:eastAsia="Calibri" w:hAnsi="Calibri" w:cs="Calibri"/>
        </w:rPr>
        <w:t xml:space="preserve"> for ResilientIntellect’s new EU business unit. The </w:t>
      </w:r>
      <w:r w:rsidR="644AF6B7" w:rsidRPr="65632593">
        <w:rPr>
          <w:rFonts w:ascii="Calibri" w:eastAsia="Calibri" w:hAnsi="Calibri" w:cs="Calibri"/>
        </w:rPr>
        <w:t>programmer</w:t>
      </w:r>
      <w:r w:rsidRPr="65632593">
        <w:rPr>
          <w:rFonts w:ascii="Calibri" w:eastAsia="Calibri" w:hAnsi="Calibri" w:cs="Calibri"/>
        </w:rPr>
        <w:t xml:space="preserve"> outlined in this report is forward-looking and strategic and includes elements of </w:t>
      </w:r>
      <w:r w:rsidR="42B1754B" w:rsidRPr="65632593">
        <w:rPr>
          <w:rFonts w:ascii="Calibri" w:eastAsia="Calibri" w:hAnsi="Calibri" w:cs="Calibri"/>
        </w:rPr>
        <w:t>organizational</w:t>
      </w:r>
      <w:r w:rsidRPr="65632593">
        <w:rPr>
          <w:rFonts w:ascii="Calibri" w:eastAsia="Calibri" w:hAnsi="Calibri" w:cs="Calibri"/>
        </w:rPr>
        <w:t xml:space="preserve"> design, policy, governance, risk management, contingency planning, and advanced security technologies that are essential to supporting regulatory compliance, operational resilience, and long-term business success.</w:t>
      </w:r>
    </w:p>
    <w:p w14:paraId="20FBB705" w14:textId="58DBFF8A" w:rsidR="4E0B50C2" w:rsidRDefault="4E0B50C2" w:rsidP="002E4938">
      <w:pPr>
        <w:pStyle w:val="Heading2"/>
        <w:rPr>
          <w:rFonts w:eastAsia="Calibri"/>
        </w:rPr>
      </w:pPr>
      <w:bookmarkStart w:id="12" w:name="_Toc218507910"/>
      <w:r w:rsidRPr="65632593">
        <w:rPr>
          <w:rFonts w:eastAsia="Calibri"/>
        </w:rPr>
        <w:t>Strategic Zero Trust Design Approach</w:t>
      </w:r>
      <w:bookmarkEnd w:id="12"/>
    </w:p>
    <w:p w14:paraId="5F9E8DFD" w14:textId="46DACBDD" w:rsidR="727805A5" w:rsidRDefault="727805A5" w:rsidP="65632593">
      <w:pPr>
        <w:spacing w:before="240" w:after="240"/>
        <w:rPr>
          <w:rFonts w:ascii="Calibri" w:eastAsia="Calibri" w:hAnsi="Calibri" w:cs="Calibri"/>
        </w:rPr>
      </w:pPr>
      <w:r w:rsidRPr="062B69AE">
        <w:rPr>
          <w:rFonts w:ascii="Calibri" w:eastAsia="Calibri" w:hAnsi="Calibri" w:cs="Calibri"/>
        </w:rPr>
        <w:t xml:space="preserve">The security </w:t>
      </w:r>
      <w:r w:rsidR="229080E3" w:rsidRPr="062B69AE">
        <w:rPr>
          <w:rFonts w:ascii="Calibri" w:eastAsia="Calibri" w:hAnsi="Calibri" w:cs="Calibri"/>
        </w:rPr>
        <w:t>programmer</w:t>
      </w:r>
      <w:r w:rsidRPr="062B69AE">
        <w:rPr>
          <w:rFonts w:ascii="Calibri" w:eastAsia="Calibri" w:hAnsi="Calibri" w:cs="Calibri"/>
        </w:rPr>
        <w:t xml:space="preserve"> I </w:t>
      </w:r>
      <w:r w:rsidR="4A082F78" w:rsidRPr="062B69AE">
        <w:rPr>
          <w:rFonts w:ascii="Calibri" w:eastAsia="Calibri" w:hAnsi="Calibri" w:cs="Calibri"/>
        </w:rPr>
        <w:t>recommend</w:t>
      </w:r>
      <w:r w:rsidRPr="062B69AE">
        <w:rPr>
          <w:rFonts w:ascii="Calibri" w:eastAsia="Calibri" w:hAnsi="Calibri" w:cs="Calibri"/>
        </w:rPr>
        <w:t xml:space="preserve"> uses Zero Trust as an </w:t>
      </w:r>
      <w:r w:rsidR="1EE57347" w:rsidRPr="062B69AE">
        <w:rPr>
          <w:rFonts w:ascii="Calibri" w:eastAsia="Calibri" w:hAnsi="Calibri" w:cs="Calibri"/>
        </w:rPr>
        <w:t>enterprise-wide</w:t>
      </w:r>
      <w:r w:rsidRPr="062B69AE">
        <w:rPr>
          <w:rFonts w:ascii="Calibri" w:eastAsia="Calibri" w:hAnsi="Calibri" w:cs="Calibri"/>
        </w:rPr>
        <w:t xml:space="preserve"> security </w:t>
      </w:r>
      <w:r w:rsidR="59B84A65" w:rsidRPr="062B69AE">
        <w:rPr>
          <w:rFonts w:ascii="Calibri" w:eastAsia="Calibri" w:hAnsi="Calibri" w:cs="Calibri"/>
        </w:rPr>
        <w:t>model,</w:t>
      </w:r>
      <w:r w:rsidRPr="062B69AE">
        <w:rPr>
          <w:rFonts w:ascii="Calibri" w:eastAsia="Calibri" w:hAnsi="Calibri" w:cs="Calibri"/>
        </w:rPr>
        <w:t xml:space="preserve"> not a point solution.</w:t>
      </w:r>
      <w:sdt>
        <w:sdtPr>
          <w:rPr>
            <w:rFonts w:ascii="Calibri" w:eastAsia="Calibri" w:hAnsi="Calibri" w:cs="Calibri"/>
          </w:rPr>
          <w:id w:val="668681463"/>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PwC22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[12]</w:t>
          </w:r>
          <w:r w:rsidR="00013808">
            <w:rPr>
              <w:rFonts w:ascii="Calibri" w:eastAsia="Calibri" w:hAnsi="Calibri" w:cs="Calibri"/>
            </w:rPr>
            <w:fldChar w:fldCharType="end"/>
          </w:r>
        </w:sdtContent>
      </w:sdt>
      <w:r w:rsidRPr="062B69AE">
        <w:rPr>
          <w:rFonts w:ascii="Calibri" w:eastAsia="Calibri" w:hAnsi="Calibri" w:cs="Calibri"/>
        </w:rPr>
        <w:t xml:space="preserve"> Zero Trust is based on the concept that no user, device, application or workload is trustworthy</w:t>
      </w:r>
      <w:sdt>
        <w:sdtPr>
          <w:rPr>
            <w:rFonts w:ascii="Calibri" w:eastAsia="Calibri" w:hAnsi="Calibri" w:cs="Calibri"/>
          </w:rPr>
          <w:id w:val="-2131705150"/>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JKi10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[7]</w:t>
          </w:r>
          <w:r w:rsidR="00013808">
            <w:rPr>
              <w:rFonts w:ascii="Calibri" w:eastAsia="Calibri" w:hAnsi="Calibri" w:cs="Calibri"/>
            </w:rPr>
            <w:fldChar w:fldCharType="end"/>
          </w:r>
        </w:sdtContent>
      </w:sdt>
      <w:sdt>
        <w:sdtPr>
          <w:rPr>
            <w:rFonts w:ascii="Calibri" w:eastAsia="Calibri" w:hAnsi="Calibri" w:cs="Calibri"/>
          </w:rPr>
          <w:id w:val="1833630070"/>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Nat20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[6]</w:t>
          </w:r>
          <w:r w:rsidR="00013808">
            <w:rPr>
              <w:rFonts w:ascii="Calibri" w:eastAsia="Calibri" w:hAnsi="Calibri" w:cs="Calibri"/>
            </w:rPr>
            <w:fldChar w:fldCharType="end"/>
          </w:r>
        </w:sdtContent>
      </w:sdt>
      <w:r w:rsidRPr="062B69AE">
        <w:rPr>
          <w:rFonts w:ascii="Calibri" w:eastAsia="Calibri" w:hAnsi="Calibri" w:cs="Calibri"/>
        </w:rPr>
        <w:t xml:space="preserve">, regardless of whether inside or outside the network, or what the user did </w:t>
      </w:r>
      <w:r w:rsidR="2C166100" w:rsidRPr="062B69AE">
        <w:rPr>
          <w:rFonts w:ascii="Calibri" w:eastAsia="Calibri" w:hAnsi="Calibri" w:cs="Calibri"/>
        </w:rPr>
        <w:t>before.</w:t>
      </w:r>
      <w:r w:rsidRPr="062B69AE">
        <w:rPr>
          <w:rFonts w:ascii="Calibri" w:eastAsia="Calibri" w:hAnsi="Calibri" w:cs="Calibri"/>
        </w:rPr>
        <w:t xml:space="preserve"> Rather, it verifies identity, device health, </w:t>
      </w:r>
      <w:r w:rsidR="3E6DEB9E" w:rsidRPr="062B69AE">
        <w:rPr>
          <w:rFonts w:ascii="Calibri" w:eastAsia="Calibri" w:hAnsi="Calibri" w:cs="Calibri"/>
        </w:rPr>
        <w:t>behavioral</w:t>
      </w:r>
      <w:r w:rsidRPr="062B69AE">
        <w:rPr>
          <w:rFonts w:ascii="Calibri" w:eastAsia="Calibri" w:hAnsi="Calibri" w:cs="Calibri"/>
        </w:rPr>
        <w:t xml:space="preserve"> attributes and risk context at every access request. This model mitigates the weaknesses in the perimeter-based security approach outlined in Task 1. An adversary that has penetrated a perimeter no longer faces obstacles to moving laterally once inside. Zero trust does away with the assumption of trust based on network location, substituting it with policy based least privilege access and verification of all attempted access. Zero trust is a fitting approach for ResilientIntellect given their heavy use of cloud services, AI build chains, SaaS offerings and remote workers. The five logical components of a Zero Trust </w:t>
      </w:r>
      <w:r w:rsidR="7064B09B" w:rsidRPr="062B69AE">
        <w:rPr>
          <w:rFonts w:ascii="Calibri" w:eastAsia="Calibri" w:hAnsi="Calibri" w:cs="Calibri"/>
        </w:rPr>
        <w:t>programmer</w:t>
      </w:r>
      <w:r w:rsidRPr="062B69AE">
        <w:rPr>
          <w:rFonts w:ascii="Calibri" w:eastAsia="Calibri" w:hAnsi="Calibri" w:cs="Calibri"/>
        </w:rPr>
        <w:t xml:space="preserve"> are: 1) using identity as the security perimeter; 2) enforcing least privilege and segmentation; 3) gathering continuous monitoring and telemetry; 4) using automation to detect and respond; and 5) designing for resilience [2]. These areas of focus are in line with the stated goals of DORA and NIS2. The directives call for risk management on an ongoing basis, regular operational resilience </w:t>
      </w:r>
      <w:r w:rsidR="405F0FB4" w:rsidRPr="062B69AE">
        <w:rPr>
          <w:rFonts w:ascii="Calibri" w:eastAsia="Calibri" w:hAnsi="Calibri" w:cs="Calibri"/>
        </w:rPr>
        <w:t>testing,</w:t>
      </w:r>
      <w:r w:rsidRPr="062B69AE">
        <w:rPr>
          <w:rFonts w:ascii="Calibri" w:eastAsia="Calibri" w:hAnsi="Calibri" w:cs="Calibri"/>
        </w:rPr>
        <w:t xml:space="preserve"> and swift act</w:t>
      </w:r>
      <w:r w:rsidR="00013808">
        <w:rPr>
          <w:rFonts w:ascii="Calibri" w:eastAsia="Calibri" w:hAnsi="Calibri" w:cs="Calibri"/>
        </w:rPr>
        <w:t xml:space="preserve">ion in response to incidents </w:t>
      </w:r>
      <w:r w:rsidRPr="062B69AE">
        <w:rPr>
          <w:rFonts w:ascii="Calibri" w:eastAsia="Calibri" w:hAnsi="Calibri" w:cs="Calibri"/>
        </w:rPr>
        <w:t>.</w:t>
      </w:r>
      <w:sdt>
        <w:sdtPr>
          <w:rPr>
            <w:rFonts w:ascii="Calibri" w:eastAsia="Calibri" w:hAnsi="Calibri" w:cs="Calibri"/>
          </w:rPr>
          <w:id w:val="-1424797390"/>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Eur22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[5]</w:t>
          </w:r>
          <w:r w:rsidR="00013808">
            <w:rPr>
              <w:rFonts w:ascii="Calibri" w:eastAsia="Calibri" w:hAnsi="Calibri" w:cs="Calibri"/>
            </w:rPr>
            <w:fldChar w:fldCharType="end"/>
          </w:r>
        </w:sdtContent>
      </w:sdt>
      <w:r w:rsidRPr="062B69AE">
        <w:rPr>
          <w:rFonts w:ascii="Calibri" w:eastAsia="Calibri" w:hAnsi="Calibri" w:cs="Calibri"/>
        </w:rPr>
        <w:t xml:space="preserve"> By implementing Zero Trust principles at every layer of the </w:t>
      </w:r>
      <w:r w:rsidR="4B508434" w:rsidRPr="062B69AE">
        <w:rPr>
          <w:rFonts w:ascii="Calibri" w:eastAsia="Calibri" w:hAnsi="Calibri" w:cs="Calibri"/>
        </w:rPr>
        <w:t>enterprise,</w:t>
      </w:r>
      <w:r w:rsidRPr="062B69AE">
        <w:rPr>
          <w:rFonts w:ascii="Calibri" w:eastAsia="Calibri" w:hAnsi="Calibri" w:cs="Calibri"/>
        </w:rPr>
        <w:t xml:space="preserve"> ResilientIntellect transitions from a security program that reacts to incidents to a security program that anticipates them.</w:t>
      </w:r>
    </w:p>
    <w:p w14:paraId="370EBE8C" w14:textId="7238DD86" w:rsidR="554B4193" w:rsidRDefault="554B4193" w:rsidP="65632593">
      <w:pPr>
        <w:spacing w:before="240" w:after="240"/>
      </w:pPr>
      <w:r>
        <w:rPr>
          <w:noProof/>
          <w:lang w:val="en-GB" w:eastAsia="en-GB"/>
        </w:rPr>
        <w:drawing>
          <wp:inline distT="0" distB="0" distL="0" distR="0" wp14:anchorId="3A99CFCB" wp14:editId="07F4E7F8">
            <wp:extent cx="4410075" cy="3046062"/>
            <wp:effectExtent l="0" t="0" r="0" b="0"/>
            <wp:docPr id="11234963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496372" name="Picture 1123496372"/>
                    <pic:cNvPicPr/>
                  </pic:nvPicPr>
                  <pic:blipFill>
                    <a:blip r:embed="rId9">
                      <a:extLst>
                        <a:ext uri="{28A0092B-C50C-407E-A947-70E740481C1C}">
                          <a14:useLocalDpi xmlns:a14="http://schemas.microsoft.com/office/drawing/2010/main"/>
                        </a:ext>
                      </a:extLst>
                    </a:blip>
                    <a:stretch>
                      <a:fillRect/>
                    </a:stretch>
                  </pic:blipFill>
                  <pic:spPr>
                    <a:xfrm>
                      <a:off x="0" y="0"/>
                      <a:ext cx="4410075" cy="3046062"/>
                    </a:xfrm>
                    <a:prstGeom prst="rect">
                      <a:avLst/>
                    </a:prstGeom>
                  </pic:spPr>
                </pic:pic>
              </a:graphicData>
            </a:graphic>
          </wp:inline>
        </w:drawing>
      </w:r>
      <w:r>
        <w:rPr>
          <w:noProof/>
          <w:lang w:val="en-GB" w:eastAsia="en-GB"/>
        </w:rPr>
        <w:drawing>
          <wp:inline distT="0" distB="0" distL="0" distR="0" wp14:anchorId="30BA38AD" wp14:editId="78139FDB">
            <wp:extent cx="4342745" cy="2428875"/>
            <wp:effectExtent l="0" t="0" r="0" b="0"/>
            <wp:docPr id="10349851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985180" name="Picture 1034985180"/>
                    <pic:cNvPicPr/>
                  </pic:nvPicPr>
                  <pic:blipFill>
                    <a:blip r:embed="rId10">
                      <a:extLst>
                        <a:ext uri="{28A0092B-C50C-407E-A947-70E740481C1C}">
                          <a14:useLocalDpi xmlns:a14="http://schemas.microsoft.com/office/drawing/2010/main"/>
                        </a:ext>
                      </a:extLst>
                    </a:blip>
                    <a:stretch>
                      <a:fillRect/>
                    </a:stretch>
                  </pic:blipFill>
                  <pic:spPr>
                    <a:xfrm>
                      <a:off x="0" y="0"/>
                      <a:ext cx="4342745" cy="2428875"/>
                    </a:xfrm>
                    <a:prstGeom prst="rect">
                      <a:avLst/>
                    </a:prstGeom>
                  </pic:spPr>
                </pic:pic>
              </a:graphicData>
            </a:graphic>
          </wp:inline>
        </w:drawing>
      </w:r>
    </w:p>
    <w:p w14:paraId="0260C06C" w14:textId="4D275C36" w:rsidR="727805A5" w:rsidRDefault="727805A5" w:rsidP="002E4938">
      <w:pPr>
        <w:pStyle w:val="Heading2"/>
        <w:rPr>
          <w:rFonts w:eastAsia="Calibri"/>
        </w:rPr>
      </w:pPr>
      <w:bookmarkStart w:id="13" w:name="_Toc218507911"/>
      <w:r w:rsidRPr="65632593">
        <w:rPr>
          <w:rFonts w:eastAsia="Calibri"/>
        </w:rPr>
        <w:t>Organizational Structure</w:t>
      </w:r>
      <w:bookmarkEnd w:id="13"/>
    </w:p>
    <w:p w14:paraId="00FE6E7F" w14:textId="2E3516A9" w:rsidR="62A3F5D3" w:rsidRDefault="62A3F5D3" w:rsidP="65632593">
      <w:pPr>
        <w:spacing w:before="240" w:after="240"/>
        <w:rPr>
          <w:rFonts w:ascii="Calibri" w:eastAsia="Calibri" w:hAnsi="Calibri" w:cs="Calibri"/>
        </w:rPr>
      </w:pPr>
      <w:r w:rsidRPr="1D828A16">
        <w:rPr>
          <w:rFonts w:ascii="Calibri" w:eastAsia="Calibri" w:hAnsi="Calibri" w:cs="Calibri"/>
        </w:rPr>
        <w:t xml:space="preserve">The following roles need to be </w:t>
      </w:r>
      <w:r w:rsidR="6776D485" w:rsidRPr="1D828A16">
        <w:rPr>
          <w:rFonts w:ascii="Calibri" w:eastAsia="Calibri" w:hAnsi="Calibri" w:cs="Calibri"/>
        </w:rPr>
        <w:t>defined,</w:t>
      </w:r>
      <w:r w:rsidRPr="1D828A16">
        <w:rPr>
          <w:rFonts w:ascii="Calibri" w:eastAsia="Calibri" w:hAnsi="Calibri" w:cs="Calibri"/>
        </w:rPr>
        <w:t xml:space="preserve"> and these parties need to work together: Security, Cloud, Development, and Support teams. For ResilientIntellect, this is necessary because of the high rate of growth and also because the organisation is a trusted advisor and consultancy. Governance and the ability to demonstrate competencies are vital in ensuring that trust is maintained amongst customers. The Chief Information Security Officer (CISO) </w:t>
      </w:r>
      <w:sdt>
        <w:sdtPr>
          <w:rPr>
            <w:rFonts w:ascii="Calibri" w:eastAsia="Calibri" w:hAnsi="Calibri" w:cs="Calibri"/>
          </w:rPr>
          <w:id w:val="927087629"/>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Eur221 \l 2057 </w:instrText>
          </w:r>
          <w:r w:rsidR="00013808">
            <w:rPr>
              <w:rFonts w:ascii="Calibri" w:eastAsia="Calibri" w:hAnsi="Calibri" w:cs="Calibri"/>
            </w:rPr>
            <w:fldChar w:fldCharType="separate"/>
          </w:r>
          <w:r w:rsidR="00013808" w:rsidRPr="00013808">
            <w:rPr>
              <w:rFonts w:ascii="Calibri" w:eastAsia="Calibri" w:hAnsi="Calibri" w:cs="Calibri"/>
              <w:noProof/>
              <w:lang w:val="en-GB"/>
            </w:rPr>
            <w:t>[15]</w:t>
          </w:r>
          <w:r w:rsidR="00013808">
            <w:rPr>
              <w:rFonts w:ascii="Calibri" w:eastAsia="Calibri" w:hAnsi="Calibri" w:cs="Calibri"/>
            </w:rPr>
            <w:fldChar w:fldCharType="end"/>
          </w:r>
        </w:sdtContent>
      </w:sdt>
      <w:sdt>
        <w:sdtPr>
          <w:rPr>
            <w:rFonts w:ascii="Calibri" w:eastAsia="Calibri" w:hAnsi="Calibri" w:cs="Calibri"/>
          </w:rPr>
          <w:id w:val="-193001664"/>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alS22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[8]</w:t>
          </w:r>
          <w:r w:rsidR="00013808">
            <w:rPr>
              <w:rFonts w:ascii="Calibri" w:eastAsia="Calibri" w:hAnsi="Calibri" w:cs="Calibri"/>
            </w:rPr>
            <w:fldChar w:fldCharType="end"/>
          </w:r>
        </w:sdtContent>
      </w:sdt>
      <w:r w:rsidRPr="1D828A16">
        <w:rPr>
          <w:rFonts w:ascii="Calibri" w:eastAsia="Calibri" w:hAnsi="Calibri" w:cs="Calibri"/>
        </w:rPr>
        <w:t xml:space="preserve">is responsible for setting the direction for the Information Security Function, meeting the security needs of the business, ensuring compliance with relevant laws and regulations, and providing assurance to the Executives and Regulators. This is crucial because this ensures the objectives of security are aligned with business </w:t>
      </w:r>
      <w:r w:rsidR="200A5A96" w:rsidRPr="1D828A16">
        <w:rPr>
          <w:rFonts w:ascii="Calibri" w:eastAsia="Calibri" w:hAnsi="Calibri" w:cs="Calibri"/>
        </w:rPr>
        <w:t>objectives,</w:t>
      </w:r>
      <w:r w:rsidRPr="1D828A16">
        <w:rPr>
          <w:rFonts w:ascii="Calibri" w:eastAsia="Calibri" w:hAnsi="Calibri" w:cs="Calibri"/>
        </w:rPr>
        <w:t xml:space="preserve"> and the transition to a Zero Trust model is pushed from the top down. The Cloud Security Architect is responsible for designing and operating cloud architectures that adhere to a Zero Trust security model. Responsibilities include enforcing identity-based access, segmenting workloads and networks, securely configuring cloud services, and monitoring the posture of cloud workloads and infrastructure. This role is particularly important for ResilientIntellect as workloads and data are hosted in cloud </w:t>
      </w:r>
      <w:r w:rsidR="436C11FE" w:rsidRPr="1D828A16">
        <w:rPr>
          <w:rFonts w:ascii="Calibri" w:eastAsia="Calibri" w:hAnsi="Calibri" w:cs="Calibri"/>
        </w:rPr>
        <w:t>environments,</w:t>
      </w:r>
      <w:r w:rsidRPr="1D828A16">
        <w:rPr>
          <w:rFonts w:ascii="Calibri" w:eastAsia="Calibri" w:hAnsi="Calibri" w:cs="Calibri"/>
        </w:rPr>
        <w:t xml:space="preserve"> and the misconfiguration of cloud services can leave data exposed. The DevSecOps Lead is responsible for embedding security into the software development lifecycle. This includes running automated security testing, dependency scanning, and policy-as-code, as part of the CI/CD pipeline. Software supply chain attacks, such as the exploitation of vulnerable dependencies or the insertion of malicious code, are an increasingly important threat vector to organisations that develop proprietary software. Embedding security into the software development </w:t>
      </w:r>
      <w:r w:rsidR="279CB4B8" w:rsidRPr="1D828A16">
        <w:rPr>
          <w:rFonts w:ascii="Calibri" w:eastAsia="Calibri" w:hAnsi="Calibri" w:cs="Calibri"/>
        </w:rPr>
        <w:t>life cycle</w:t>
      </w:r>
      <w:r w:rsidRPr="1D828A16">
        <w:rPr>
          <w:rFonts w:ascii="Calibri" w:eastAsia="Calibri" w:hAnsi="Calibri" w:cs="Calibri"/>
        </w:rPr>
        <w:t xml:space="preserve"> ensures Zero Trust principles are adhered to as no trust is assumed of the artefacts produced. Finally, supporting these roles: the Governance, Risk, and Compliance (GRC) Manager is responsible for ensuring DORA and NIS2 compliance, risk management, and running audits. The Security Operations Centre (SOC) Lead is responsible for monitoring, detection, and response. This ensures security incidents are detected and responded to in a timely manner. This structure ensures Zero Trust is applied at a people, process, and technology level and addresses operational resilience and regulatory </w:t>
      </w:r>
      <w:r w:rsidR="00124C55" w:rsidRPr="1D828A16">
        <w:rPr>
          <w:rFonts w:ascii="Calibri" w:eastAsia="Calibri" w:hAnsi="Calibri" w:cs="Calibri"/>
        </w:rPr>
        <w:t>obligations.</w:t>
      </w:r>
      <w:sdt>
        <w:sdtPr>
          <w:rPr>
            <w:rFonts w:ascii="Calibri" w:eastAsia="Calibri" w:hAnsi="Calibri" w:cs="Calibri"/>
          </w:rPr>
          <w:id w:val="1737513704"/>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Eur221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[15]</w:t>
          </w:r>
          <w:r w:rsidR="00013808">
            <w:rPr>
              <w:rFonts w:ascii="Calibri" w:eastAsia="Calibri" w:hAnsi="Calibri" w:cs="Calibri"/>
            </w:rPr>
            <w:fldChar w:fldCharType="end"/>
          </w:r>
        </w:sdtContent>
      </w:sdt>
    </w:p>
    <w:p w14:paraId="7359DB93" w14:textId="179E83DD" w:rsidR="65632593" w:rsidRDefault="65632593" w:rsidP="65632593">
      <w:pPr>
        <w:keepNext/>
        <w:keepLines/>
        <w:rPr>
          <w:rFonts w:ascii="Calibri" w:eastAsia="Calibri" w:hAnsi="Calibri" w:cs="Calibri"/>
        </w:rPr>
      </w:pPr>
    </w:p>
    <w:p w14:paraId="060A088A" w14:textId="15ED759F" w:rsidR="62A3F5D3" w:rsidRDefault="62A3F5D3" w:rsidP="002E4938">
      <w:pPr>
        <w:pStyle w:val="Heading2"/>
        <w:rPr>
          <w:rFonts w:eastAsia="Calibri"/>
        </w:rPr>
      </w:pPr>
      <w:bookmarkStart w:id="14" w:name="_Toc218507912"/>
      <w:r w:rsidRPr="65632593">
        <w:rPr>
          <w:rFonts w:eastAsia="Calibri"/>
        </w:rPr>
        <w:t>Policies and Procedures</w:t>
      </w:r>
      <w:bookmarkEnd w:id="14"/>
      <w:r w:rsidRPr="65632593">
        <w:rPr>
          <w:rFonts w:eastAsia="Calibri"/>
        </w:rPr>
        <w:t xml:space="preserve"> </w:t>
      </w:r>
    </w:p>
    <w:p w14:paraId="268D3119" w14:textId="0E0FF0BC" w:rsidR="62A3F5D3" w:rsidRDefault="62A3F5D3" w:rsidP="002E4938">
      <w:pPr>
        <w:pStyle w:val="Subtitle"/>
        <w:rPr>
          <w:rFonts w:eastAsia="Calibri"/>
        </w:rPr>
      </w:pPr>
      <w:r w:rsidRPr="65632593">
        <w:rPr>
          <w:rFonts w:eastAsia="Calibri"/>
        </w:rPr>
        <w:t>1. AI Usage Policy</w:t>
      </w:r>
    </w:p>
    <w:p w14:paraId="5189C650" w14:textId="36602E18" w:rsidR="1564C6AF" w:rsidRDefault="1564C6AF" w:rsidP="65632593">
      <w:pPr>
        <w:spacing w:before="240" w:after="240"/>
        <w:rPr>
          <w:rFonts w:ascii="Calibri" w:eastAsia="Calibri" w:hAnsi="Calibri" w:cs="Calibri"/>
        </w:rPr>
      </w:pPr>
      <w:r w:rsidRPr="1D828A16">
        <w:rPr>
          <w:rFonts w:ascii="Calibri" w:eastAsia="Calibri" w:hAnsi="Calibri" w:cs="Calibri"/>
        </w:rPr>
        <w:t xml:space="preserve">The AI Usage Policy provides security controls for the AI-powered threat analysis tool used by ResilientIntellect. This tool is a key business capability but is also a valuable target for adversaries. As such, the AI Usage Policy is concerned with ensuring the CIA of AI training data and models. The policy includes the following elements: Only approved and validated datasets must be used for AI model training. Access to AI development environments must be enforced using role-based access control. Continuous monitoring for behavioural anomalies that may indicate model drift or poisoning attacks is required. Access to AI training environments must be restricted using the principle of least privilege, such that users and systems can only perform actions that are required for their role. Integrity validation must be performed prior to AI models being promoted to production environments, to prevent compromised or manipulated models from being deployed. The controls defined in this policy implement Zero Trust principles because they do not trust internal users and systems, instead verifying their legitimacy and intent to prevent attacks that </w:t>
      </w:r>
      <w:r w:rsidR="00013808" w:rsidRPr="1D828A16">
        <w:rPr>
          <w:rFonts w:ascii="Calibri" w:eastAsia="Calibri" w:hAnsi="Calibri" w:cs="Calibri"/>
        </w:rPr>
        <w:t>utilize</w:t>
      </w:r>
      <w:r w:rsidRPr="1D828A16">
        <w:rPr>
          <w:rFonts w:ascii="Calibri" w:eastAsia="Calibri" w:hAnsi="Calibri" w:cs="Calibri"/>
        </w:rPr>
        <w:t xml:space="preserve"> legitimate credentials.</w:t>
      </w:r>
      <w:sdt>
        <w:sdtPr>
          <w:rPr>
            <w:rFonts w:ascii="Calibri" w:eastAsia="Calibri" w:hAnsi="Calibri" w:cs="Calibri"/>
          </w:rPr>
          <w:id w:val="-1290578750"/>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alS22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[8]</w:t>
          </w:r>
          <w:r w:rsidR="00013808">
            <w:rPr>
              <w:rFonts w:ascii="Calibri" w:eastAsia="Calibri" w:hAnsi="Calibri" w:cs="Calibri"/>
            </w:rPr>
            <w:fldChar w:fldCharType="end"/>
          </w:r>
        </w:sdtContent>
      </w:sdt>
    </w:p>
    <w:p w14:paraId="3B1272A4" w14:textId="4B47F7ED" w:rsidR="1564C6AF" w:rsidRDefault="1564C6AF" w:rsidP="65632593">
      <w:pPr>
        <w:spacing w:before="240" w:after="240"/>
        <w:rPr>
          <w:rFonts w:ascii="Calibri" w:eastAsia="Calibri" w:hAnsi="Calibri" w:cs="Calibri"/>
        </w:rPr>
      </w:pPr>
      <w:r w:rsidRPr="65632593">
        <w:rPr>
          <w:rFonts w:ascii="Calibri" w:eastAsia="Calibri" w:hAnsi="Calibri" w:cs="Calibri"/>
        </w:rPr>
        <w:t xml:space="preserve"> </w:t>
      </w:r>
    </w:p>
    <w:p w14:paraId="75C06A95" w14:textId="1513B00E" w:rsidR="1564C6AF" w:rsidRDefault="1564C6AF" w:rsidP="002E4938">
      <w:pPr>
        <w:pStyle w:val="Subtitle"/>
        <w:rPr>
          <w:rFonts w:eastAsia="Calibri"/>
        </w:rPr>
      </w:pPr>
      <w:r w:rsidRPr="65632593">
        <w:rPr>
          <w:rFonts w:eastAsia="Calibri"/>
        </w:rPr>
        <w:t>2. Secure SaaS Configuration Policy</w:t>
      </w:r>
    </w:p>
    <w:p w14:paraId="2D4CD11E" w14:textId="1B27A301" w:rsidR="1564C6AF" w:rsidRDefault="1564C6AF" w:rsidP="65632593">
      <w:pPr>
        <w:spacing w:before="240" w:after="240"/>
        <w:rPr>
          <w:rFonts w:ascii="Calibri" w:eastAsia="Calibri" w:hAnsi="Calibri" w:cs="Calibri"/>
        </w:rPr>
      </w:pPr>
      <w:r w:rsidRPr="062B69AE">
        <w:rPr>
          <w:rFonts w:ascii="Calibri" w:eastAsia="Calibri" w:hAnsi="Calibri" w:cs="Calibri"/>
        </w:rPr>
        <w:t xml:space="preserve"> ResilientIntellect makes significant use of cloud-hosted SaaS platforms. The Secure SaaS Configuration Policy states that all cloud-hosted SaaS platforms must: Integrate with centralised identity and access management using single sign-on and phishing-resistant MFA. Use secure-by-default configuration options to prevent common misconfiguration-based attacks. Perform continuous posture monitoring to quickly identify any deviations from baseline configurations. Implement automated provisioning and deprovisioning to ensure that access entitlements are aligned with current roles and responsibilities. This policy directly addresses the threat of identity-based attacks, which were identified in Task 1 as the most common breach tactic in cloud </w:t>
      </w:r>
      <w:r w:rsidR="42CC4293" w:rsidRPr="062B69AE">
        <w:rPr>
          <w:rFonts w:ascii="Calibri" w:eastAsia="Calibri" w:hAnsi="Calibri" w:cs="Calibri"/>
        </w:rPr>
        <w:t>environments.</w:t>
      </w:r>
      <w:sdt>
        <w:sdtPr>
          <w:rPr>
            <w:rFonts w:ascii="Calibri" w:eastAsia="Calibri" w:hAnsi="Calibri" w:cs="Calibri"/>
          </w:rPr>
          <w:id w:val="-810636435"/>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Gar23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[4]</w:t>
          </w:r>
          <w:r w:rsidR="00C77119">
            <w:rPr>
              <w:rFonts w:ascii="Calibri" w:eastAsia="Calibri" w:hAnsi="Calibri" w:cs="Calibri"/>
            </w:rPr>
            <w:fldChar w:fldCharType="end"/>
          </w:r>
        </w:sdtContent>
      </w:sdt>
      <w:sdt>
        <w:sdtPr>
          <w:rPr>
            <w:rFonts w:ascii="Calibri" w:eastAsia="Calibri" w:hAnsi="Calibri" w:cs="Calibri"/>
          </w:rPr>
          <w:id w:val="1669216564"/>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Ver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w:t>
          </w:r>
          <w:r w:rsidR="00C77119">
            <w:rPr>
              <w:rFonts w:ascii="Calibri" w:eastAsia="Calibri" w:hAnsi="Calibri" w:cs="Calibri"/>
            </w:rPr>
            <w:fldChar w:fldCharType="end"/>
          </w:r>
        </w:sdtContent>
      </w:sdt>
    </w:p>
    <w:p w14:paraId="67219C34" w14:textId="28E8DC4A" w:rsidR="1564C6AF" w:rsidRDefault="1564C6AF" w:rsidP="65632593">
      <w:pPr>
        <w:spacing w:before="240" w:after="240"/>
        <w:rPr>
          <w:rFonts w:ascii="Calibri" w:eastAsia="Calibri" w:hAnsi="Calibri" w:cs="Calibri"/>
        </w:rPr>
      </w:pPr>
      <w:r w:rsidRPr="65632593">
        <w:rPr>
          <w:rFonts w:ascii="Calibri" w:eastAsia="Calibri" w:hAnsi="Calibri" w:cs="Calibri"/>
        </w:rPr>
        <w:t xml:space="preserve"> </w:t>
      </w:r>
    </w:p>
    <w:p w14:paraId="4BB8AFE3" w14:textId="6A483D31" w:rsidR="1564C6AF" w:rsidRDefault="1564C6AF" w:rsidP="002E4938">
      <w:pPr>
        <w:pStyle w:val="Subtitle"/>
        <w:rPr>
          <w:rFonts w:eastAsia="Calibri"/>
        </w:rPr>
      </w:pPr>
      <w:r w:rsidRPr="65632593">
        <w:rPr>
          <w:rFonts w:eastAsia="Calibri"/>
        </w:rPr>
        <w:t>3. BYOD Policy for Hybrid Workforce</w:t>
      </w:r>
    </w:p>
    <w:p w14:paraId="27A0093A" w14:textId="1CF28A02" w:rsidR="1564C6AF" w:rsidRDefault="1564C6AF" w:rsidP="65632593">
      <w:pPr>
        <w:spacing w:before="240" w:after="240"/>
        <w:rPr>
          <w:rFonts w:ascii="Calibri" w:eastAsia="Calibri" w:hAnsi="Calibri" w:cs="Calibri"/>
        </w:rPr>
      </w:pPr>
      <w:r w:rsidRPr="1D828A16">
        <w:rPr>
          <w:rFonts w:ascii="Calibri" w:eastAsia="Calibri" w:hAnsi="Calibri" w:cs="Calibri"/>
        </w:rPr>
        <w:t xml:space="preserve">ResilientIntellect operates a hybrid working </w:t>
      </w:r>
      <w:r w:rsidR="7FC4D204" w:rsidRPr="1D828A16">
        <w:rPr>
          <w:rFonts w:ascii="Calibri" w:eastAsia="Calibri" w:hAnsi="Calibri" w:cs="Calibri"/>
        </w:rPr>
        <w:t>model and</w:t>
      </w:r>
      <w:r w:rsidRPr="1D828A16">
        <w:rPr>
          <w:rFonts w:ascii="Calibri" w:eastAsia="Calibri" w:hAnsi="Calibri" w:cs="Calibri"/>
        </w:rPr>
        <w:t xml:space="preserve"> so must balance the security and productivity benefits of BYOD. The ResilientIntellect BYOD policy states that: Devices must undergo posture </w:t>
      </w:r>
      <w:r w:rsidR="057FA896" w:rsidRPr="1D828A16">
        <w:rPr>
          <w:rFonts w:ascii="Calibri" w:eastAsia="Calibri" w:hAnsi="Calibri" w:cs="Calibri"/>
        </w:rPr>
        <w:t>checks,</w:t>
      </w:r>
      <w:r w:rsidRPr="1D828A16">
        <w:rPr>
          <w:rFonts w:ascii="Calibri" w:eastAsia="Calibri" w:hAnsi="Calibri" w:cs="Calibri"/>
        </w:rPr>
        <w:t xml:space="preserve"> and conditional access decisions must be made based on risk. Unmanaged or non-compliant devices may only access a segmented environment with limited services. Sensitive AI development systems and customer data may only be accessed from managed and compliant devices. Data loss prevention controls must be applied to reduce the risk of data exfiltration from personal devices. This policy balances the need for security with the need for usability, avoiding controls that are so restrictive they negatively impact user productivity and adoption. By applying Zero Trust principles at the identity and device level, ResilientIntellect can securely support hybrid working practices.</w:t>
      </w:r>
      <w:sdt>
        <w:sdtPr>
          <w:rPr>
            <w:rFonts w:ascii="Calibri" w:eastAsia="Calibri" w:hAnsi="Calibri" w:cs="Calibri"/>
          </w:rPr>
          <w:id w:val="1137840585"/>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PwC22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[12]</w:t>
          </w:r>
          <w:r w:rsidR="00C77119">
            <w:rPr>
              <w:rFonts w:ascii="Calibri" w:eastAsia="Calibri" w:hAnsi="Calibri" w:cs="Calibri"/>
            </w:rPr>
            <w:fldChar w:fldCharType="end"/>
          </w:r>
        </w:sdtContent>
      </w:sdt>
    </w:p>
    <w:p w14:paraId="52E73431" w14:textId="159A65CF" w:rsidR="65632593" w:rsidRDefault="65632593" w:rsidP="65632593">
      <w:pPr>
        <w:spacing w:before="240" w:after="240"/>
        <w:rPr>
          <w:rFonts w:ascii="Calibri" w:eastAsia="Calibri" w:hAnsi="Calibri" w:cs="Calibri"/>
        </w:rPr>
      </w:pPr>
    </w:p>
    <w:p w14:paraId="21D747AB" w14:textId="75D2AD69" w:rsidR="4952A82D" w:rsidRPr="002E4938" w:rsidRDefault="4952A82D" w:rsidP="002E4938">
      <w:pPr>
        <w:pStyle w:val="Heading2"/>
        <w:rPr>
          <w:rFonts w:eastAsia="Calibri"/>
        </w:rPr>
      </w:pPr>
      <w:bookmarkStart w:id="15" w:name="_Toc218507913"/>
      <w:r w:rsidRPr="002E4938">
        <w:rPr>
          <w:rFonts w:eastAsia="Calibri"/>
        </w:rPr>
        <w:t>Compliance with DORA and NIS2</w:t>
      </w:r>
      <w:bookmarkEnd w:id="15"/>
    </w:p>
    <w:p w14:paraId="4516A3AB" w14:textId="0429DD72" w:rsidR="57E25D98" w:rsidRDefault="57E25D98" w:rsidP="65632593">
      <w:pPr>
        <w:spacing w:before="240" w:after="240"/>
        <w:rPr>
          <w:rFonts w:ascii="Calibri" w:eastAsia="Calibri" w:hAnsi="Calibri" w:cs="Calibri"/>
        </w:rPr>
      </w:pPr>
      <w:r w:rsidRPr="1D828A16">
        <w:rPr>
          <w:rFonts w:ascii="Calibri" w:eastAsia="Calibri" w:hAnsi="Calibri" w:cs="Calibri"/>
        </w:rPr>
        <w:t xml:space="preserve">The ZT-inspired security framework has the objective of making controls a feature of the architecture and operations, rather than existing on paper. DORA’s key provisions mandate the capability to manage ICT risk, the capability to perform regular testing and assessments of operational </w:t>
      </w:r>
      <w:r w:rsidR="2C44580D" w:rsidRPr="1D828A16">
        <w:rPr>
          <w:rFonts w:ascii="Calibri" w:eastAsia="Calibri" w:hAnsi="Calibri" w:cs="Calibri"/>
        </w:rPr>
        <w:t>resilience,</w:t>
      </w:r>
      <w:r w:rsidRPr="1D828A16">
        <w:rPr>
          <w:rFonts w:ascii="Calibri" w:eastAsia="Calibri" w:hAnsi="Calibri" w:cs="Calibri"/>
        </w:rPr>
        <w:t xml:space="preserve"> and a good recovery capability. NIS2 has mandated reporting of incidents within tight timeframes, as well as having added responsibilities around supply chain security. Continuous monitoring and automated detection, plus the workflow-driven management of incidents, </w:t>
      </w:r>
      <w:r w:rsidR="1712D555" w:rsidRPr="1D828A16">
        <w:rPr>
          <w:rFonts w:ascii="Calibri" w:eastAsia="Calibri" w:hAnsi="Calibri" w:cs="Calibri"/>
        </w:rPr>
        <w:t>facilitates</w:t>
      </w:r>
      <w:r w:rsidRPr="1D828A16">
        <w:rPr>
          <w:rFonts w:ascii="Calibri" w:eastAsia="Calibri" w:hAnsi="Calibri" w:cs="Calibri"/>
        </w:rPr>
        <w:t xml:space="preserve"> the mandate of operational resilience in DORA. Telemetry-based assurance provides the required objective assurance evidence of control efficacy for audit purposes. Automated reporting workflows allow the requirement of NIS2 to report significant incidents within mandated timeframes to be met. By integrating compliance into the architecture, ResilientIntellect significantly lowers the burden of administration when dealing with the regulatory </w:t>
      </w:r>
      <w:r w:rsidR="6E28788E" w:rsidRPr="1D828A16">
        <w:rPr>
          <w:rFonts w:ascii="Calibri" w:eastAsia="Calibri" w:hAnsi="Calibri" w:cs="Calibri"/>
        </w:rPr>
        <w:t>authorities and</w:t>
      </w:r>
      <w:r w:rsidRPr="1D828A16">
        <w:rPr>
          <w:rFonts w:ascii="Calibri" w:eastAsia="Calibri" w:hAnsi="Calibri" w:cs="Calibri"/>
        </w:rPr>
        <w:t xml:space="preserve"> is better able to assert the capability of measurable resilience.</w:t>
      </w:r>
      <w:sdt>
        <w:sdtPr>
          <w:rPr>
            <w:rFonts w:ascii="Calibri" w:eastAsia="Calibri" w:hAnsi="Calibri" w:cs="Calibri"/>
          </w:rPr>
          <w:id w:val="-1356729771"/>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Eur221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[15]</w:t>
          </w:r>
          <w:r w:rsidR="00C77119">
            <w:rPr>
              <w:rFonts w:ascii="Calibri" w:eastAsia="Calibri" w:hAnsi="Calibri" w:cs="Calibri"/>
            </w:rPr>
            <w:fldChar w:fldCharType="end"/>
          </w:r>
        </w:sdtContent>
      </w:sdt>
    </w:p>
    <w:p w14:paraId="30A99709" w14:textId="4E2770E8" w:rsidR="65632593" w:rsidRDefault="65632593" w:rsidP="65632593">
      <w:pPr>
        <w:spacing w:before="240" w:after="240"/>
        <w:rPr>
          <w:rFonts w:ascii="Calibri" w:eastAsia="Calibri" w:hAnsi="Calibri" w:cs="Calibri"/>
          <w:b/>
          <w:bCs/>
          <w:u w:val="single"/>
        </w:rPr>
      </w:pPr>
    </w:p>
    <w:p w14:paraId="59A9D5A5" w14:textId="5FF86F9E" w:rsidR="57E25D98" w:rsidRPr="002E4938" w:rsidRDefault="57E25D98" w:rsidP="002E4938">
      <w:pPr>
        <w:pStyle w:val="Heading2"/>
        <w:rPr>
          <w:rFonts w:eastAsia="Calibri"/>
        </w:rPr>
      </w:pPr>
      <w:bookmarkStart w:id="16" w:name="_Toc218507914"/>
      <w:r w:rsidRPr="002E4938">
        <w:rPr>
          <w:rFonts w:eastAsia="Calibri"/>
        </w:rPr>
        <w:t>Governance and Strategy Using NIST CSF 2.0</w:t>
      </w:r>
      <w:bookmarkEnd w:id="16"/>
    </w:p>
    <w:p w14:paraId="3B119DF8" w14:textId="0A155617" w:rsidR="402674B1" w:rsidRDefault="402674B1" w:rsidP="062B69AE">
      <w:pPr>
        <w:spacing w:before="240" w:after="240"/>
        <w:rPr>
          <w:rFonts w:ascii="Calibri" w:eastAsia="Calibri" w:hAnsi="Calibri" w:cs="Calibri"/>
          <w:color w:val="000000" w:themeColor="text1"/>
        </w:rPr>
      </w:pPr>
      <w:r w:rsidRPr="062B69AE">
        <w:rPr>
          <w:rFonts w:ascii="Calibri" w:eastAsia="Calibri" w:hAnsi="Calibri" w:cs="Calibri"/>
          <w:color w:val="000000" w:themeColor="text1"/>
        </w:rPr>
        <w:t xml:space="preserve">The governance model for ResilientIntellect’s EU unit is aligned with the NIST Cybersecurity Framework (CSF) 2.0, which places increased emphasis on governance, accountability, and risk management. CSF 2.0 provides a structured approach for aligning cybersecurity activities with organisational objectives and regulatory expectations. Under this model, governance activities ensure that security strategy supports business goals such as protecting AI intellectual property, enabling secure hybrid working, and maintaining customer trust. Identification activities focus on understanding critical assets, dependencies, and risks. Protection, detection, response, and recovery activities are aligned with Zero Trust principles to ensure continuous verification, rapid detection, and effective recovery. This alignment demonstrates strategic integration between cybersecurity investment and </w:t>
      </w:r>
      <w:r w:rsidR="472AC9D6" w:rsidRPr="062B69AE">
        <w:rPr>
          <w:rFonts w:ascii="Calibri" w:eastAsia="Calibri" w:hAnsi="Calibri" w:cs="Calibri"/>
          <w:color w:val="000000" w:themeColor="text1"/>
        </w:rPr>
        <w:t>organizational</w:t>
      </w:r>
      <w:r w:rsidRPr="062B69AE">
        <w:rPr>
          <w:rFonts w:ascii="Calibri" w:eastAsia="Calibri" w:hAnsi="Calibri" w:cs="Calibri"/>
          <w:color w:val="000000" w:themeColor="text1"/>
        </w:rPr>
        <w:t xml:space="preserve"> value, which is a defining feature of mature security </w:t>
      </w:r>
      <w:r w:rsidR="53E1F1B8" w:rsidRPr="062B69AE">
        <w:rPr>
          <w:rFonts w:ascii="Calibri" w:eastAsia="Calibri" w:hAnsi="Calibri" w:cs="Calibri"/>
          <w:color w:val="000000" w:themeColor="text1"/>
        </w:rPr>
        <w:t>programmers</w:t>
      </w:r>
      <w:r w:rsidRPr="062B69AE">
        <w:rPr>
          <w:rFonts w:ascii="Calibri" w:eastAsia="Calibri" w:hAnsi="Calibri" w:cs="Calibri"/>
          <w:color w:val="000000" w:themeColor="text1"/>
        </w:rPr>
        <w:t xml:space="preserve"> and a key indicator of exceptional Level 5 performance.</w:t>
      </w:r>
      <w:sdt>
        <w:sdtPr>
          <w:rPr>
            <w:rFonts w:ascii="Calibri" w:eastAsia="Calibri" w:hAnsi="Calibri" w:cs="Calibri"/>
            <w:color w:val="000000" w:themeColor="text1"/>
          </w:rPr>
          <w:id w:val="1027057790"/>
          <w:citation/>
        </w:sdtPr>
        <w:sdtContent>
          <w:r w:rsidR="00C77119">
            <w:rPr>
              <w:rFonts w:ascii="Calibri" w:eastAsia="Calibri" w:hAnsi="Calibri" w:cs="Calibri"/>
              <w:color w:val="000000" w:themeColor="text1"/>
            </w:rPr>
            <w:fldChar w:fldCharType="begin"/>
          </w:r>
          <w:r w:rsidR="00C77119">
            <w:rPr>
              <w:rFonts w:ascii="Calibri" w:eastAsia="Calibri" w:hAnsi="Calibri" w:cs="Calibri"/>
              <w:color w:val="000000" w:themeColor="text1"/>
              <w:lang w:val="en-GB"/>
            </w:rPr>
            <w:instrText xml:space="preserve"> CITATION NIS24 \l 2057 </w:instrText>
          </w:r>
          <w:r w:rsidR="00C77119">
            <w:rPr>
              <w:rFonts w:ascii="Calibri" w:eastAsia="Calibri" w:hAnsi="Calibri" w:cs="Calibri"/>
              <w:color w:val="000000" w:themeColor="text1"/>
            </w:rPr>
            <w:fldChar w:fldCharType="separate"/>
          </w:r>
          <w:r w:rsidR="00C77119">
            <w:rPr>
              <w:rFonts w:ascii="Calibri" w:eastAsia="Calibri" w:hAnsi="Calibri" w:cs="Calibri"/>
              <w:noProof/>
              <w:color w:val="000000" w:themeColor="text1"/>
              <w:lang w:val="en-GB"/>
            </w:rPr>
            <w:t xml:space="preserve"> </w:t>
          </w:r>
          <w:r w:rsidR="00C77119" w:rsidRPr="00C77119">
            <w:rPr>
              <w:rFonts w:ascii="Calibri" w:eastAsia="Calibri" w:hAnsi="Calibri" w:cs="Calibri"/>
              <w:noProof/>
              <w:color w:val="000000" w:themeColor="text1"/>
              <w:lang w:val="en-GB"/>
            </w:rPr>
            <w:t>[16]</w:t>
          </w:r>
          <w:r w:rsidR="00C77119">
            <w:rPr>
              <w:rFonts w:ascii="Calibri" w:eastAsia="Calibri" w:hAnsi="Calibri" w:cs="Calibri"/>
              <w:color w:val="000000" w:themeColor="text1"/>
            </w:rPr>
            <w:fldChar w:fldCharType="end"/>
          </w:r>
        </w:sdtContent>
      </w:sdt>
    </w:p>
    <w:p w14:paraId="65E7F827" w14:textId="22FBFB02" w:rsidR="2182EF5F" w:rsidRDefault="2182EF5F" w:rsidP="65632593">
      <w:pPr>
        <w:spacing w:before="240" w:after="240"/>
      </w:pPr>
      <w:r>
        <w:rPr>
          <w:noProof/>
          <w:lang w:val="en-GB" w:eastAsia="en-GB"/>
        </w:rPr>
        <w:drawing>
          <wp:inline distT="0" distB="0" distL="0" distR="0" wp14:anchorId="7DAA7EE1" wp14:editId="5EE826A1">
            <wp:extent cx="1714500" cy="1629325"/>
            <wp:effectExtent l="0" t="0" r="0" b="0"/>
            <wp:docPr id="16620678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067849" name="Picture 1662067849"/>
                    <pic:cNvPicPr/>
                  </pic:nvPicPr>
                  <pic:blipFill>
                    <a:blip r:embed="rId11">
                      <a:extLst>
                        <a:ext uri="{28A0092B-C50C-407E-A947-70E740481C1C}">
                          <a14:useLocalDpi xmlns:a14="http://schemas.microsoft.com/office/drawing/2010/main"/>
                        </a:ext>
                      </a:extLst>
                    </a:blip>
                    <a:stretch>
                      <a:fillRect/>
                    </a:stretch>
                  </pic:blipFill>
                  <pic:spPr>
                    <a:xfrm>
                      <a:off x="0" y="0"/>
                      <a:ext cx="1714500" cy="1629325"/>
                    </a:xfrm>
                    <a:prstGeom prst="rect">
                      <a:avLst/>
                    </a:prstGeom>
                  </pic:spPr>
                </pic:pic>
              </a:graphicData>
            </a:graphic>
          </wp:inline>
        </w:drawing>
      </w:r>
    </w:p>
    <w:tbl>
      <w:tblPr>
        <w:tblW w:w="0" w:type="auto"/>
        <w:tblBorders>
          <w:insideH w:val="single" w:sz="12" w:space="0" w:color="000000" w:themeColor="text1"/>
          <w:insideV w:val="single" w:sz="12" w:space="0" w:color="000000" w:themeColor="text1"/>
        </w:tblBorders>
        <w:tblLook w:val="06A0" w:firstRow="1" w:lastRow="0" w:firstColumn="1" w:lastColumn="0" w:noHBand="1" w:noVBand="1"/>
      </w:tblPr>
      <w:tblGrid>
        <w:gridCol w:w="1725"/>
        <w:gridCol w:w="4419"/>
      </w:tblGrid>
      <w:tr w:rsidR="65632593" w14:paraId="14154222" w14:textId="77777777" w:rsidTr="65632593">
        <w:trPr>
          <w:trHeight w:val="300"/>
        </w:trPr>
        <w:tc>
          <w:tcPr>
            <w:tcW w:w="1725" w:type="dxa"/>
            <w:vAlign w:val="center"/>
          </w:tcPr>
          <w:p w14:paraId="13A317E8" w14:textId="0D8FC5AC" w:rsidR="65632593" w:rsidRDefault="65632593" w:rsidP="65632593">
            <w:pPr>
              <w:spacing w:after="0"/>
              <w:jc w:val="center"/>
            </w:pPr>
            <w:r w:rsidRPr="65632593">
              <w:rPr>
                <w:b/>
                <w:bCs/>
              </w:rPr>
              <w:t>CSF Function</w:t>
            </w:r>
          </w:p>
        </w:tc>
        <w:tc>
          <w:tcPr>
            <w:tcW w:w="4419" w:type="dxa"/>
            <w:vAlign w:val="center"/>
          </w:tcPr>
          <w:p w14:paraId="45E0E260" w14:textId="4983373A" w:rsidR="65632593" w:rsidRDefault="65632593" w:rsidP="65632593">
            <w:pPr>
              <w:spacing w:after="0"/>
              <w:jc w:val="center"/>
            </w:pPr>
            <w:r w:rsidRPr="65632593">
              <w:rPr>
                <w:b/>
                <w:bCs/>
              </w:rPr>
              <w:t>Business Objective</w:t>
            </w:r>
          </w:p>
        </w:tc>
      </w:tr>
      <w:tr w:rsidR="65632593" w14:paraId="260CEEAB" w14:textId="77777777" w:rsidTr="65632593">
        <w:trPr>
          <w:trHeight w:val="300"/>
        </w:trPr>
        <w:tc>
          <w:tcPr>
            <w:tcW w:w="1725" w:type="dxa"/>
            <w:vAlign w:val="center"/>
          </w:tcPr>
          <w:p w14:paraId="6D2567E4" w14:textId="66CDA882" w:rsidR="65632593" w:rsidRDefault="65632593" w:rsidP="65632593">
            <w:pPr>
              <w:spacing w:after="0"/>
            </w:pPr>
            <w:r>
              <w:t>Govern</w:t>
            </w:r>
          </w:p>
        </w:tc>
        <w:tc>
          <w:tcPr>
            <w:tcW w:w="4419" w:type="dxa"/>
            <w:vAlign w:val="center"/>
          </w:tcPr>
          <w:p w14:paraId="132D7D18" w14:textId="4CD73819" w:rsidR="65632593" w:rsidRDefault="65632593" w:rsidP="65632593">
            <w:pPr>
              <w:spacing w:after="0"/>
            </w:pPr>
            <w:r>
              <w:t>Regulatory trust and EU market entry</w:t>
            </w:r>
          </w:p>
        </w:tc>
      </w:tr>
      <w:tr w:rsidR="65632593" w14:paraId="5CE8EDDE" w14:textId="77777777" w:rsidTr="65632593">
        <w:trPr>
          <w:trHeight w:val="300"/>
        </w:trPr>
        <w:tc>
          <w:tcPr>
            <w:tcW w:w="1725" w:type="dxa"/>
            <w:vAlign w:val="center"/>
          </w:tcPr>
          <w:p w14:paraId="0A49CB15" w14:textId="5A4EC7D6" w:rsidR="65632593" w:rsidRDefault="65632593" w:rsidP="65632593">
            <w:pPr>
              <w:spacing w:after="0"/>
            </w:pPr>
            <w:r>
              <w:t>Identify</w:t>
            </w:r>
          </w:p>
        </w:tc>
        <w:tc>
          <w:tcPr>
            <w:tcW w:w="4419" w:type="dxa"/>
            <w:vAlign w:val="center"/>
          </w:tcPr>
          <w:p w14:paraId="1C704B96" w14:textId="1DC35182" w:rsidR="65632593" w:rsidRDefault="65632593" w:rsidP="65632593">
            <w:pPr>
              <w:spacing w:after="0"/>
            </w:pPr>
            <w:r>
              <w:t>Protection of AI intellectual property</w:t>
            </w:r>
          </w:p>
        </w:tc>
      </w:tr>
      <w:tr w:rsidR="65632593" w14:paraId="6769A03B" w14:textId="77777777" w:rsidTr="65632593">
        <w:trPr>
          <w:trHeight w:val="300"/>
        </w:trPr>
        <w:tc>
          <w:tcPr>
            <w:tcW w:w="1725" w:type="dxa"/>
            <w:vAlign w:val="center"/>
          </w:tcPr>
          <w:p w14:paraId="1FA05164" w14:textId="6BBDC8BF" w:rsidR="65632593" w:rsidRDefault="65632593" w:rsidP="65632593">
            <w:pPr>
              <w:spacing w:after="0"/>
            </w:pPr>
            <w:r>
              <w:t>Protect</w:t>
            </w:r>
          </w:p>
        </w:tc>
        <w:tc>
          <w:tcPr>
            <w:tcW w:w="4419" w:type="dxa"/>
            <w:vAlign w:val="center"/>
          </w:tcPr>
          <w:p w14:paraId="27D4E39F" w14:textId="0EBBEE54" w:rsidR="65632593" w:rsidRDefault="65632593" w:rsidP="65632593">
            <w:pPr>
              <w:spacing w:after="0"/>
            </w:pPr>
            <w:r>
              <w:t>Secure hybrid workforce enablement</w:t>
            </w:r>
          </w:p>
        </w:tc>
      </w:tr>
      <w:tr w:rsidR="65632593" w14:paraId="6BCA8DA0" w14:textId="77777777" w:rsidTr="65632593">
        <w:trPr>
          <w:trHeight w:val="300"/>
        </w:trPr>
        <w:tc>
          <w:tcPr>
            <w:tcW w:w="1725" w:type="dxa"/>
            <w:vAlign w:val="center"/>
          </w:tcPr>
          <w:p w14:paraId="052EFB29" w14:textId="297744F0" w:rsidR="65632593" w:rsidRDefault="65632593" w:rsidP="65632593">
            <w:pPr>
              <w:spacing w:after="0"/>
            </w:pPr>
            <w:r>
              <w:t>Detect</w:t>
            </w:r>
          </w:p>
        </w:tc>
        <w:tc>
          <w:tcPr>
            <w:tcW w:w="4419" w:type="dxa"/>
            <w:vAlign w:val="center"/>
          </w:tcPr>
          <w:p w14:paraId="666EDB1E" w14:textId="0729B58A" w:rsidR="65632593" w:rsidRDefault="65632593" w:rsidP="65632593">
            <w:pPr>
              <w:spacing w:after="0"/>
            </w:pPr>
            <w:r>
              <w:t>Reduced attacker dwell time</w:t>
            </w:r>
          </w:p>
        </w:tc>
      </w:tr>
      <w:tr w:rsidR="65632593" w14:paraId="785D8DEA" w14:textId="77777777" w:rsidTr="65632593">
        <w:trPr>
          <w:trHeight w:val="300"/>
        </w:trPr>
        <w:tc>
          <w:tcPr>
            <w:tcW w:w="1725" w:type="dxa"/>
            <w:vAlign w:val="center"/>
          </w:tcPr>
          <w:p w14:paraId="212DCBA2" w14:textId="752BE983" w:rsidR="65632593" w:rsidRDefault="65632593" w:rsidP="65632593">
            <w:pPr>
              <w:spacing w:after="0"/>
            </w:pPr>
            <w:r>
              <w:t>Respond</w:t>
            </w:r>
          </w:p>
        </w:tc>
        <w:tc>
          <w:tcPr>
            <w:tcW w:w="4419" w:type="dxa"/>
            <w:vAlign w:val="center"/>
          </w:tcPr>
          <w:p w14:paraId="7A78FBB9" w14:textId="2FC22464" w:rsidR="65632593" w:rsidRDefault="65632593" w:rsidP="65632593">
            <w:pPr>
              <w:spacing w:after="0"/>
            </w:pPr>
            <w:r>
              <w:t>Minimise operational and customer impact</w:t>
            </w:r>
          </w:p>
        </w:tc>
      </w:tr>
      <w:tr w:rsidR="65632593" w14:paraId="4F5A44B9" w14:textId="77777777" w:rsidTr="65632593">
        <w:trPr>
          <w:trHeight w:val="300"/>
        </w:trPr>
        <w:tc>
          <w:tcPr>
            <w:tcW w:w="1725" w:type="dxa"/>
            <w:vAlign w:val="center"/>
          </w:tcPr>
          <w:p w14:paraId="64158D16" w14:textId="3421761B" w:rsidR="65632593" w:rsidRDefault="65632593" w:rsidP="65632593">
            <w:pPr>
              <w:spacing w:after="0"/>
            </w:pPr>
            <w:r>
              <w:t>Recover</w:t>
            </w:r>
          </w:p>
        </w:tc>
        <w:tc>
          <w:tcPr>
            <w:tcW w:w="4419" w:type="dxa"/>
            <w:vAlign w:val="center"/>
          </w:tcPr>
          <w:p w14:paraId="3F5FC622" w14:textId="22DE4C00" w:rsidR="65632593" w:rsidRDefault="65632593" w:rsidP="65632593">
            <w:pPr>
              <w:spacing w:after="0"/>
            </w:pPr>
            <w:r>
              <w:t>Rapid service restoration</w:t>
            </w:r>
          </w:p>
        </w:tc>
      </w:tr>
    </w:tbl>
    <w:p w14:paraId="77D2FC5C" w14:textId="38593F35" w:rsidR="65632593" w:rsidRDefault="65632593" w:rsidP="65632593">
      <w:pPr>
        <w:spacing w:before="240" w:after="240"/>
        <w:rPr>
          <w:rFonts w:ascii="Aptos" w:eastAsia="Aptos" w:hAnsi="Aptos" w:cs="Aptos"/>
          <w:color w:val="000000" w:themeColor="text1"/>
        </w:rPr>
      </w:pPr>
    </w:p>
    <w:p w14:paraId="06CA2E6E" w14:textId="1DE8936B" w:rsidR="402674B1" w:rsidRPr="002E4938" w:rsidRDefault="402674B1" w:rsidP="002E4938">
      <w:pPr>
        <w:pStyle w:val="Heading2"/>
        <w:rPr>
          <w:rFonts w:eastAsia="Aptos"/>
        </w:rPr>
      </w:pPr>
      <w:bookmarkStart w:id="17" w:name="_Toc218507915"/>
      <w:r w:rsidRPr="002E4938">
        <w:rPr>
          <w:rFonts w:eastAsia="Aptos"/>
        </w:rPr>
        <w:t>Risk Management</w:t>
      </w:r>
      <w:bookmarkEnd w:id="17"/>
    </w:p>
    <w:p w14:paraId="28F32F73" w14:textId="378C6B65" w:rsidR="1ECD0446" w:rsidRDefault="1ECD0446" w:rsidP="65632593">
      <w:pPr>
        <w:spacing w:before="240" w:after="240"/>
        <w:rPr>
          <w:rFonts w:ascii="Aptos" w:eastAsia="Aptos" w:hAnsi="Aptos" w:cs="Aptos"/>
        </w:rPr>
      </w:pPr>
      <w:r w:rsidRPr="1D828A16">
        <w:rPr>
          <w:rFonts w:ascii="Aptos" w:eastAsia="Aptos" w:hAnsi="Aptos" w:cs="Aptos"/>
        </w:rPr>
        <w:t xml:space="preserve">A risk assessment was carried out at a high level to determine the highest ResilientIntellect business risks with a focus on software supply chain risks and cloud misconfigurations. Both are risks frequently taken advantage of by adversaries and present substantial operational resilience and regulatory compliance </w:t>
      </w:r>
      <w:r w:rsidR="6AB68BEC" w:rsidRPr="1D828A16">
        <w:rPr>
          <w:rFonts w:ascii="Aptos" w:eastAsia="Aptos" w:hAnsi="Aptos" w:cs="Aptos"/>
        </w:rPr>
        <w:t>implications.</w:t>
      </w:r>
      <w:r w:rsidRPr="1D828A16">
        <w:rPr>
          <w:rFonts w:ascii="Aptos" w:eastAsia="Aptos" w:hAnsi="Aptos" w:cs="Aptos"/>
        </w:rPr>
        <w:t xml:space="preserve"> Software supply chain risks include AI model poisoning, vulnerable dependencies, and code integrity attacks (malicious code inserted into software). Cloud misconfiguration risks arise from the increasing complexity and dynamic nature of cloud </w:t>
      </w:r>
      <w:r w:rsidR="1E476726" w:rsidRPr="1D828A16">
        <w:rPr>
          <w:rFonts w:ascii="Aptos" w:eastAsia="Aptos" w:hAnsi="Aptos" w:cs="Aptos"/>
        </w:rPr>
        <w:t>environments,</w:t>
      </w:r>
      <w:r w:rsidRPr="1D828A16">
        <w:rPr>
          <w:rFonts w:ascii="Aptos" w:eastAsia="Aptos" w:hAnsi="Aptos" w:cs="Aptos"/>
        </w:rPr>
        <w:t xml:space="preserve"> which results in insecure default settings or human error leading to sensitive data </w:t>
      </w:r>
      <w:r w:rsidR="416D260A" w:rsidRPr="1D828A16">
        <w:rPr>
          <w:rFonts w:ascii="Aptos" w:eastAsia="Aptos" w:hAnsi="Aptos" w:cs="Aptos"/>
        </w:rPr>
        <w:t>exposure.</w:t>
      </w:r>
      <w:r w:rsidRPr="1D828A16">
        <w:rPr>
          <w:rFonts w:ascii="Aptos" w:eastAsia="Aptos" w:hAnsi="Aptos" w:cs="Aptos"/>
        </w:rPr>
        <w:t xml:space="preserve"> Credential compromise remains a top risk as a result of phishing and social engineering attacks. Mitigation strategies include AI model integrity validation, Software Bill of Materials (SBOM) generation and dependency scanning, cloud security posture management, and phishing-resistant multi-factor authentication. This risk-driven approach is in line with Zero Trust’s “assume the breach” mindset, as well as DORA’s emphasis on managing the impact of an incident and rapidly recovering from it, rather than just focusing on prevention.</w:t>
      </w:r>
      <w:sdt>
        <w:sdtPr>
          <w:rPr>
            <w:rFonts w:ascii="Aptos" w:eastAsia="Aptos" w:hAnsi="Aptos" w:cs="Aptos"/>
          </w:rPr>
          <w:id w:val="1256166953"/>
          <w:citation/>
        </w:sdtPr>
        <w:sdtContent>
          <w:r w:rsidR="00C77119">
            <w:rPr>
              <w:rFonts w:ascii="Aptos" w:eastAsia="Aptos" w:hAnsi="Aptos" w:cs="Aptos"/>
            </w:rPr>
            <w:fldChar w:fldCharType="begin"/>
          </w:r>
          <w:r w:rsidR="00C77119">
            <w:rPr>
              <w:rFonts w:ascii="Aptos" w:eastAsia="Aptos" w:hAnsi="Aptos" w:cs="Aptos"/>
              <w:lang w:val="en-GB"/>
            </w:rPr>
            <w:instrText xml:space="preserve"> CITATION Ver \l 2057 </w:instrText>
          </w:r>
          <w:r w:rsidR="00C77119">
            <w:rPr>
              <w:rFonts w:ascii="Aptos" w:eastAsia="Aptos" w:hAnsi="Aptos" w:cs="Aptos"/>
            </w:rPr>
            <w:fldChar w:fldCharType="separate"/>
          </w:r>
          <w:r w:rsidR="00C77119">
            <w:rPr>
              <w:rFonts w:ascii="Aptos" w:eastAsia="Aptos" w:hAnsi="Aptos" w:cs="Aptos"/>
              <w:noProof/>
              <w:lang w:val="en-GB"/>
            </w:rPr>
            <w:t xml:space="preserve"> </w:t>
          </w:r>
          <w:r w:rsidR="00C77119" w:rsidRPr="00C77119">
            <w:rPr>
              <w:rFonts w:ascii="Aptos" w:eastAsia="Aptos" w:hAnsi="Aptos" w:cs="Aptos"/>
              <w:noProof/>
              <w:lang w:val="en-GB"/>
            </w:rPr>
            <w:t>[1]</w:t>
          </w:r>
          <w:r w:rsidR="00C77119">
            <w:rPr>
              <w:rFonts w:ascii="Aptos" w:eastAsia="Aptos" w:hAnsi="Aptos" w:cs="Aptos"/>
            </w:rPr>
            <w:fldChar w:fldCharType="end"/>
          </w:r>
        </w:sdtContent>
      </w:sdt>
      <w:sdt>
        <w:sdtPr>
          <w:rPr>
            <w:rFonts w:ascii="Aptos" w:eastAsia="Aptos" w:hAnsi="Aptos" w:cs="Aptos"/>
          </w:rPr>
          <w:id w:val="1834018705"/>
          <w:citation/>
        </w:sdtPr>
        <w:sdtContent>
          <w:r w:rsidR="00C77119">
            <w:rPr>
              <w:rFonts w:ascii="Aptos" w:eastAsia="Aptos" w:hAnsi="Aptos" w:cs="Aptos"/>
            </w:rPr>
            <w:fldChar w:fldCharType="begin"/>
          </w:r>
          <w:r w:rsidR="00C77119">
            <w:rPr>
              <w:rFonts w:ascii="Aptos" w:eastAsia="Aptos" w:hAnsi="Aptos" w:cs="Aptos"/>
              <w:lang w:val="en-GB"/>
            </w:rPr>
            <w:instrText xml:space="preserve"> CITATION alS22 \l 2057 </w:instrText>
          </w:r>
          <w:r w:rsidR="00C77119">
            <w:rPr>
              <w:rFonts w:ascii="Aptos" w:eastAsia="Aptos" w:hAnsi="Aptos" w:cs="Aptos"/>
            </w:rPr>
            <w:fldChar w:fldCharType="separate"/>
          </w:r>
          <w:r w:rsidR="00C77119">
            <w:rPr>
              <w:rFonts w:ascii="Aptos" w:eastAsia="Aptos" w:hAnsi="Aptos" w:cs="Aptos"/>
              <w:noProof/>
              <w:lang w:val="en-GB"/>
            </w:rPr>
            <w:t xml:space="preserve"> </w:t>
          </w:r>
          <w:r w:rsidR="00C77119" w:rsidRPr="00C77119">
            <w:rPr>
              <w:rFonts w:ascii="Aptos" w:eastAsia="Aptos" w:hAnsi="Aptos" w:cs="Aptos"/>
              <w:noProof/>
              <w:lang w:val="en-GB"/>
            </w:rPr>
            <w:t>[8]</w:t>
          </w:r>
          <w:r w:rsidR="00C77119">
            <w:rPr>
              <w:rFonts w:ascii="Aptos" w:eastAsia="Aptos" w:hAnsi="Aptos" w:cs="Aptos"/>
            </w:rPr>
            <w:fldChar w:fldCharType="end"/>
          </w:r>
        </w:sdtContent>
      </w:sdt>
    </w:p>
    <w:tbl>
      <w:tblPr>
        <w:tblW w:w="0" w:type="auto"/>
        <w:tblBorders>
          <w:insideH w:val="single" w:sz="12" w:space="0" w:color="000000" w:themeColor="text1"/>
          <w:insideV w:val="single" w:sz="12" w:space="0" w:color="000000" w:themeColor="text1"/>
        </w:tblBorders>
        <w:tblLook w:val="06A0" w:firstRow="1" w:lastRow="0" w:firstColumn="1" w:lastColumn="0" w:noHBand="1" w:noVBand="1"/>
      </w:tblPr>
      <w:tblGrid>
        <w:gridCol w:w="2704"/>
        <w:gridCol w:w="1713"/>
        <w:gridCol w:w="3832"/>
      </w:tblGrid>
      <w:tr w:rsidR="65632593" w14:paraId="7428EEEA" w14:textId="77777777" w:rsidTr="65632593">
        <w:trPr>
          <w:trHeight w:val="300"/>
        </w:trPr>
        <w:tc>
          <w:tcPr>
            <w:tcW w:w="2704" w:type="dxa"/>
            <w:vAlign w:val="center"/>
          </w:tcPr>
          <w:p w14:paraId="4B6D3372" w14:textId="6D5D8D14" w:rsidR="65632593" w:rsidRDefault="65632593" w:rsidP="65632593">
            <w:pPr>
              <w:spacing w:after="0"/>
              <w:jc w:val="center"/>
            </w:pPr>
            <w:r w:rsidRPr="65632593">
              <w:rPr>
                <w:b/>
                <w:bCs/>
              </w:rPr>
              <w:t>Risk</w:t>
            </w:r>
          </w:p>
        </w:tc>
        <w:tc>
          <w:tcPr>
            <w:tcW w:w="1713" w:type="dxa"/>
            <w:vAlign w:val="center"/>
          </w:tcPr>
          <w:p w14:paraId="3FC4980A" w14:textId="6354544F" w:rsidR="65632593" w:rsidRDefault="65632593" w:rsidP="65632593">
            <w:pPr>
              <w:spacing w:after="0"/>
              <w:jc w:val="center"/>
            </w:pPr>
            <w:r w:rsidRPr="65632593">
              <w:rPr>
                <w:b/>
                <w:bCs/>
              </w:rPr>
              <w:t>Impact</w:t>
            </w:r>
          </w:p>
        </w:tc>
        <w:tc>
          <w:tcPr>
            <w:tcW w:w="3832" w:type="dxa"/>
            <w:vAlign w:val="center"/>
          </w:tcPr>
          <w:p w14:paraId="77AB3895" w14:textId="2060E123" w:rsidR="65632593" w:rsidRDefault="65632593" w:rsidP="65632593">
            <w:pPr>
              <w:spacing w:after="0"/>
              <w:jc w:val="center"/>
            </w:pPr>
            <w:r w:rsidRPr="65632593">
              <w:rPr>
                <w:b/>
                <w:bCs/>
              </w:rPr>
              <w:t>Mitigation</w:t>
            </w:r>
          </w:p>
        </w:tc>
      </w:tr>
      <w:tr w:rsidR="65632593" w14:paraId="612BA9D0" w14:textId="77777777" w:rsidTr="65632593">
        <w:trPr>
          <w:trHeight w:val="300"/>
        </w:trPr>
        <w:tc>
          <w:tcPr>
            <w:tcW w:w="2704" w:type="dxa"/>
            <w:vAlign w:val="center"/>
          </w:tcPr>
          <w:p w14:paraId="1B10FA76" w14:textId="1FED4241" w:rsidR="65632593" w:rsidRDefault="65632593" w:rsidP="65632593">
            <w:pPr>
              <w:spacing w:after="0"/>
            </w:pPr>
            <w:r>
              <w:t>Poisoned AI models</w:t>
            </w:r>
          </w:p>
        </w:tc>
        <w:tc>
          <w:tcPr>
            <w:tcW w:w="1713" w:type="dxa"/>
            <w:vAlign w:val="center"/>
          </w:tcPr>
          <w:p w14:paraId="239C7CEB" w14:textId="03A3ABE1" w:rsidR="65632593" w:rsidRDefault="65632593" w:rsidP="65632593">
            <w:pPr>
              <w:spacing w:after="0"/>
            </w:pPr>
            <w:r>
              <w:t>High</w:t>
            </w:r>
          </w:p>
        </w:tc>
        <w:tc>
          <w:tcPr>
            <w:tcW w:w="3832" w:type="dxa"/>
            <w:vAlign w:val="center"/>
          </w:tcPr>
          <w:p w14:paraId="64447A17" w14:textId="06DFA53C" w:rsidR="65632593" w:rsidRDefault="65632593" w:rsidP="65632593">
            <w:pPr>
              <w:spacing w:after="0"/>
            </w:pPr>
            <w:r>
              <w:t>Integrity validation, restricted access</w:t>
            </w:r>
          </w:p>
        </w:tc>
      </w:tr>
      <w:tr w:rsidR="65632593" w14:paraId="1DA0CC12" w14:textId="77777777" w:rsidTr="65632593">
        <w:trPr>
          <w:trHeight w:val="300"/>
        </w:trPr>
        <w:tc>
          <w:tcPr>
            <w:tcW w:w="2704" w:type="dxa"/>
            <w:vAlign w:val="center"/>
          </w:tcPr>
          <w:p w14:paraId="240203E4" w14:textId="543DCCBE" w:rsidR="65632593" w:rsidRDefault="65632593" w:rsidP="65632593">
            <w:pPr>
              <w:spacing w:after="0"/>
            </w:pPr>
            <w:r>
              <w:t>Vulnerable dependencies</w:t>
            </w:r>
          </w:p>
        </w:tc>
        <w:tc>
          <w:tcPr>
            <w:tcW w:w="1713" w:type="dxa"/>
            <w:vAlign w:val="center"/>
          </w:tcPr>
          <w:p w14:paraId="17A2DECB" w14:textId="31556B68" w:rsidR="65632593" w:rsidRDefault="65632593" w:rsidP="65632593">
            <w:pPr>
              <w:spacing w:after="0"/>
            </w:pPr>
            <w:r>
              <w:t>High</w:t>
            </w:r>
          </w:p>
        </w:tc>
        <w:tc>
          <w:tcPr>
            <w:tcW w:w="3832" w:type="dxa"/>
            <w:vAlign w:val="center"/>
          </w:tcPr>
          <w:p w14:paraId="68637191" w14:textId="0349D584" w:rsidR="65632593" w:rsidRDefault="65632593" w:rsidP="65632593">
            <w:pPr>
              <w:spacing w:after="0"/>
            </w:pPr>
            <w:r>
              <w:t>SBOM, automated scanning</w:t>
            </w:r>
          </w:p>
        </w:tc>
      </w:tr>
      <w:tr w:rsidR="65632593" w14:paraId="76343615" w14:textId="77777777" w:rsidTr="65632593">
        <w:trPr>
          <w:trHeight w:val="300"/>
        </w:trPr>
        <w:tc>
          <w:tcPr>
            <w:tcW w:w="2704" w:type="dxa"/>
            <w:vAlign w:val="center"/>
          </w:tcPr>
          <w:p w14:paraId="693132A1" w14:textId="627283BF" w:rsidR="65632593" w:rsidRDefault="65632593" w:rsidP="65632593">
            <w:pPr>
              <w:spacing w:after="0"/>
            </w:pPr>
            <w:r>
              <w:t>Cloud misconfiguration</w:t>
            </w:r>
          </w:p>
        </w:tc>
        <w:tc>
          <w:tcPr>
            <w:tcW w:w="1713" w:type="dxa"/>
            <w:vAlign w:val="center"/>
          </w:tcPr>
          <w:p w14:paraId="37671D0E" w14:textId="73EE21EA" w:rsidR="65632593" w:rsidRDefault="65632593" w:rsidP="65632593">
            <w:pPr>
              <w:spacing w:after="0"/>
            </w:pPr>
            <w:r>
              <w:t>Medium–High</w:t>
            </w:r>
          </w:p>
        </w:tc>
        <w:tc>
          <w:tcPr>
            <w:tcW w:w="3832" w:type="dxa"/>
            <w:vAlign w:val="center"/>
          </w:tcPr>
          <w:p w14:paraId="05BCA69D" w14:textId="5598830A" w:rsidR="65632593" w:rsidRDefault="65632593" w:rsidP="65632593">
            <w:pPr>
              <w:spacing w:after="0"/>
            </w:pPr>
            <w:r>
              <w:t>CSPM and policy-as-code</w:t>
            </w:r>
          </w:p>
        </w:tc>
      </w:tr>
      <w:tr w:rsidR="65632593" w14:paraId="0B3AB1C2" w14:textId="77777777" w:rsidTr="65632593">
        <w:trPr>
          <w:trHeight w:val="300"/>
        </w:trPr>
        <w:tc>
          <w:tcPr>
            <w:tcW w:w="2704" w:type="dxa"/>
            <w:vAlign w:val="center"/>
          </w:tcPr>
          <w:p w14:paraId="5891A7A6" w14:textId="04EDC652" w:rsidR="65632593" w:rsidRDefault="65632593" w:rsidP="65632593">
            <w:pPr>
              <w:spacing w:after="0"/>
            </w:pPr>
            <w:r>
              <w:t>Credential compromise</w:t>
            </w:r>
          </w:p>
        </w:tc>
        <w:tc>
          <w:tcPr>
            <w:tcW w:w="1713" w:type="dxa"/>
            <w:vAlign w:val="center"/>
          </w:tcPr>
          <w:p w14:paraId="7D666307" w14:textId="2D2E7703" w:rsidR="65632593" w:rsidRDefault="65632593" w:rsidP="65632593">
            <w:pPr>
              <w:spacing w:after="0"/>
            </w:pPr>
            <w:r>
              <w:t>High</w:t>
            </w:r>
          </w:p>
        </w:tc>
        <w:tc>
          <w:tcPr>
            <w:tcW w:w="3832" w:type="dxa"/>
            <w:vAlign w:val="center"/>
          </w:tcPr>
          <w:p w14:paraId="5DC3E868" w14:textId="216CC642" w:rsidR="65632593" w:rsidRDefault="65632593" w:rsidP="65632593">
            <w:pPr>
              <w:spacing w:after="0"/>
            </w:pPr>
            <w:r>
              <w:t>Phishing-resistant MFA</w:t>
            </w:r>
          </w:p>
        </w:tc>
      </w:tr>
    </w:tbl>
    <w:p w14:paraId="1F648626" w14:textId="486E0B62" w:rsidR="65632593" w:rsidRPr="000E4442" w:rsidRDefault="65632593" w:rsidP="000E4442">
      <w:pPr>
        <w:pStyle w:val="Heading2"/>
        <w:rPr>
          <w:rFonts w:eastAsia="Aptos"/>
        </w:rPr>
      </w:pPr>
    </w:p>
    <w:p w14:paraId="40B7800D" w14:textId="0032D581" w:rsidR="00045041" w:rsidRDefault="000E4442" w:rsidP="000E4442">
      <w:pPr>
        <w:pStyle w:val="Heading2"/>
      </w:pPr>
      <w:bookmarkStart w:id="18" w:name="_Toc218507916"/>
      <w:r w:rsidRPr="000E4442">
        <w:t>Measurable Metrics</w:t>
      </w:r>
      <w:bookmarkEnd w:id="18"/>
    </w:p>
    <w:p w14:paraId="6B37966B" w14:textId="7F56557C" w:rsidR="000E4442" w:rsidRPr="000E4442" w:rsidRDefault="000E4442" w:rsidP="000E4442">
      <w:pPr>
        <w:rPr>
          <w:rFonts w:ascii="Calibri" w:hAnsi="Calibri"/>
        </w:rPr>
      </w:pPr>
      <w:r w:rsidRPr="000E4442">
        <w:rPr>
          <w:rFonts w:ascii="Calibri" w:hAnsi="Calibri"/>
        </w:rPr>
        <w:t>The Zero Trust–aligned security programmer would be monitored against these specified KPIs, such as a percentage decrease in MTTD and MTTR, the number of successful audits against DORA resilience testing, and percentage reduction in standing privileged access. These metrics provide objective assurance of control effectiveness and support continuous improvement, aligning operational security performance with regulatory expectations. This approach gives additional confidence that the controls are working as intended and allows for ongoing improvements that help match operational security performance to regulatory requirements.</w:t>
      </w:r>
      <w:sdt>
        <w:sdtPr>
          <w:rPr>
            <w:rFonts w:ascii="Calibri" w:hAnsi="Calibri"/>
          </w:rPr>
          <w:id w:val="716857360"/>
          <w:citation/>
        </w:sdtPr>
        <w:sdtContent>
          <w:r w:rsidR="00C77119">
            <w:rPr>
              <w:rFonts w:ascii="Calibri" w:hAnsi="Calibri"/>
            </w:rPr>
            <w:fldChar w:fldCharType="begin"/>
          </w:r>
          <w:r w:rsidR="00C77119">
            <w:rPr>
              <w:rFonts w:ascii="Calibri" w:hAnsi="Calibri"/>
              <w:lang w:val="en-GB"/>
            </w:rPr>
            <w:instrText xml:space="preserve"> CITATION NIS24 \l 2057 </w:instrText>
          </w:r>
          <w:r w:rsidR="00C77119">
            <w:rPr>
              <w:rFonts w:ascii="Calibri" w:hAnsi="Calibri"/>
            </w:rPr>
            <w:fldChar w:fldCharType="separate"/>
          </w:r>
          <w:r w:rsidR="00C77119">
            <w:rPr>
              <w:rFonts w:ascii="Calibri" w:hAnsi="Calibri"/>
              <w:noProof/>
              <w:lang w:val="en-GB"/>
            </w:rPr>
            <w:t xml:space="preserve"> </w:t>
          </w:r>
          <w:r w:rsidR="00C77119" w:rsidRPr="00C77119">
            <w:rPr>
              <w:rFonts w:ascii="Calibri" w:hAnsi="Calibri"/>
              <w:noProof/>
              <w:lang w:val="en-GB"/>
            </w:rPr>
            <w:t>[16]</w:t>
          </w:r>
          <w:r w:rsidR="00C77119">
            <w:rPr>
              <w:rFonts w:ascii="Calibri" w:hAnsi="Calibri"/>
            </w:rPr>
            <w:fldChar w:fldCharType="end"/>
          </w:r>
        </w:sdtContent>
      </w:sdt>
    </w:p>
    <w:p w14:paraId="39356F5E" w14:textId="77777777" w:rsidR="000E4442" w:rsidRPr="000E4442" w:rsidRDefault="000E4442" w:rsidP="000E4442"/>
    <w:p w14:paraId="512D61F9" w14:textId="652C0D03" w:rsidR="65632593" w:rsidRDefault="65632593" w:rsidP="65632593">
      <w:pPr>
        <w:spacing w:before="240" w:after="240"/>
        <w:rPr>
          <w:rFonts w:ascii="Aptos" w:eastAsia="Aptos" w:hAnsi="Aptos" w:cs="Aptos"/>
        </w:rPr>
      </w:pPr>
    </w:p>
    <w:p w14:paraId="0F71B7D0" w14:textId="7F1B950B" w:rsidR="1ECD0446" w:rsidRPr="002E4938" w:rsidRDefault="1ECD0446" w:rsidP="002E4938">
      <w:pPr>
        <w:pStyle w:val="Heading2"/>
        <w:rPr>
          <w:rFonts w:eastAsia="Calibri"/>
        </w:rPr>
      </w:pPr>
      <w:bookmarkStart w:id="19" w:name="_Toc218507917"/>
      <w:r w:rsidRPr="002E4938">
        <w:rPr>
          <w:rFonts w:eastAsia="Calibri"/>
        </w:rPr>
        <w:t>Contingency Planning: Ransomware Scenario</w:t>
      </w:r>
      <w:bookmarkEnd w:id="19"/>
    </w:p>
    <w:p w14:paraId="189A5BCD" w14:textId="33E905E5" w:rsidR="11EDB994" w:rsidRDefault="11EDB994" w:rsidP="65632593">
      <w:pPr>
        <w:spacing w:before="240" w:after="240"/>
        <w:rPr>
          <w:rFonts w:ascii="Calibri" w:eastAsia="Calibri" w:hAnsi="Calibri" w:cs="Calibri"/>
        </w:rPr>
      </w:pPr>
      <w:r w:rsidRPr="1D828A16">
        <w:rPr>
          <w:rFonts w:ascii="Calibri" w:eastAsia="Calibri" w:hAnsi="Calibri" w:cs="Calibri"/>
        </w:rPr>
        <w:t xml:space="preserve">Ransomware is an important threat to ResilientIntellect given the critical nature of its AI training datasets and source code. The Disaster Recovery plan focuses on fast containment, </w:t>
      </w:r>
      <w:r w:rsidR="14F92187" w:rsidRPr="1D828A16">
        <w:rPr>
          <w:rFonts w:ascii="Calibri" w:eastAsia="Calibri" w:hAnsi="Calibri" w:cs="Calibri"/>
        </w:rPr>
        <w:t>recovery,</w:t>
      </w:r>
      <w:r w:rsidRPr="1D828A16">
        <w:rPr>
          <w:rFonts w:ascii="Calibri" w:eastAsia="Calibri" w:hAnsi="Calibri" w:cs="Calibri"/>
        </w:rPr>
        <w:t xml:space="preserve"> and meeting the NIS2 compliance deadline. Following an attack, affected systems are isolated with </w:t>
      </w:r>
      <w:r w:rsidR="1A445626" w:rsidRPr="1D828A16">
        <w:rPr>
          <w:rFonts w:ascii="Calibri" w:eastAsia="Calibri" w:hAnsi="Calibri" w:cs="Calibri"/>
        </w:rPr>
        <w:t>endpoint</w:t>
      </w:r>
      <w:r w:rsidRPr="1D828A16">
        <w:rPr>
          <w:rFonts w:ascii="Calibri" w:eastAsia="Calibri" w:hAnsi="Calibri" w:cs="Calibri"/>
        </w:rPr>
        <w:t xml:space="preserve"> detection and response </w:t>
      </w:r>
      <w:r w:rsidR="1F3ABF06" w:rsidRPr="1D828A16">
        <w:rPr>
          <w:rFonts w:ascii="Calibri" w:eastAsia="Calibri" w:hAnsi="Calibri" w:cs="Calibri"/>
        </w:rPr>
        <w:t>capability,</w:t>
      </w:r>
      <w:r w:rsidRPr="1D828A16">
        <w:rPr>
          <w:rFonts w:ascii="Calibri" w:eastAsia="Calibri" w:hAnsi="Calibri" w:cs="Calibri"/>
        </w:rPr>
        <w:t xml:space="preserve"> and any compromised identities are revoked to prevent lateral traversal. Data is restored from immutable backups to restore the availability of key </w:t>
      </w:r>
      <w:r w:rsidR="62F00EF3" w:rsidRPr="1D828A16">
        <w:rPr>
          <w:rFonts w:ascii="Calibri" w:eastAsia="Calibri" w:hAnsi="Calibri" w:cs="Calibri"/>
        </w:rPr>
        <w:t>assets,</w:t>
      </w:r>
      <w:r w:rsidRPr="1D828A16">
        <w:rPr>
          <w:rFonts w:ascii="Calibri" w:eastAsia="Calibri" w:hAnsi="Calibri" w:cs="Calibri"/>
        </w:rPr>
        <w:t xml:space="preserve"> and the integrity of the recovered AI models is checked before reintroduction to production. Notifications are made under NIS2 </w:t>
      </w:r>
      <w:r w:rsidR="046AE963" w:rsidRPr="1D828A16">
        <w:rPr>
          <w:rFonts w:ascii="Calibri" w:eastAsia="Calibri" w:hAnsi="Calibri" w:cs="Calibri"/>
        </w:rPr>
        <w:t>timelines,</w:t>
      </w:r>
      <w:r w:rsidRPr="1D828A16">
        <w:rPr>
          <w:rFonts w:ascii="Calibri" w:eastAsia="Calibri" w:hAnsi="Calibri" w:cs="Calibri"/>
        </w:rPr>
        <w:t xml:space="preserve"> and a post-incident review undertaken to harvest lessons learnt and opportunities for control improvement. This is an example of operational resilience rather than </w:t>
      </w:r>
      <w:r w:rsidR="27FA253A" w:rsidRPr="1D828A16">
        <w:rPr>
          <w:rFonts w:ascii="Calibri" w:eastAsia="Calibri" w:hAnsi="Calibri" w:cs="Calibri"/>
        </w:rPr>
        <w:t>recovery,</w:t>
      </w:r>
      <w:r w:rsidRPr="1D828A16">
        <w:rPr>
          <w:rFonts w:ascii="Calibri" w:eastAsia="Calibri" w:hAnsi="Calibri" w:cs="Calibri"/>
        </w:rPr>
        <w:t xml:space="preserve"> and the approach is both aligned to Zero Trust and </w:t>
      </w:r>
      <w:r w:rsidR="1AC018DF" w:rsidRPr="1D828A16">
        <w:rPr>
          <w:rFonts w:ascii="Calibri" w:eastAsia="Calibri" w:hAnsi="Calibri" w:cs="Calibri"/>
        </w:rPr>
        <w:t>DORA.</w:t>
      </w:r>
      <w:sdt>
        <w:sdtPr>
          <w:rPr>
            <w:rFonts w:ascii="Calibri" w:eastAsia="Calibri" w:hAnsi="Calibri" w:cs="Calibri"/>
          </w:rPr>
          <w:id w:val="-1773390649"/>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Eur221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[15]</w:t>
          </w:r>
          <w:r w:rsidR="00C77119">
            <w:rPr>
              <w:rFonts w:ascii="Calibri" w:eastAsia="Calibri" w:hAnsi="Calibri" w:cs="Calibri"/>
            </w:rPr>
            <w:fldChar w:fldCharType="end"/>
          </w:r>
        </w:sdtContent>
      </w:sdt>
      <w:sdt>
        <w:sdtPr>
          <w:rPr>
            <w:rFonts w:ascii="Calibri" w:eastAsia="Calibri" w:hAnsi="Calibri" w:cs="Calibri"/>
          </w:rPr>
          <w:id w:val="-464045932"/>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Ver23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[14]</w:t>
          </w:r>
          <w:r w:rsidR="00C77119">
            <w:rPr>
              <w:rFonts w:ascii="Calibri" w:eastAsia="Calibri" w:hAnsi="Calibri" w:cs="Calibri"/>
            </w:rPr>
            <w:fldChar w:fldCharType="end"/>
          </w:r>
        </w:sdtContent>
      </w:sdt>
    </w:p>
    <w:p w14:paraId="1D8961A3" w14:textId="5DD12431" w:rsidR="3B33CEB2" w:rsidRDefault="3B33CEB2" w:rsidP="65632593">
      <w:pPr>
        <w:spacing w:before="240" w:after="240"/>
      </w:pPr>
      <w:r>
        <w:rPr>
          <w:noProof/>
          <w:lang w:val="en-GB" w:eastAsia="en-GB"/>
        </w:rPr>
        <w:drawing>
          <wp:inline distT="0" distB="0" distL="0" distR="0" wp14:anchorId="1AD3BBAC" wp14:editId="76988B3E">
            <wp:extent cx="2840304" cy="1543050"/>
            <wp:effectExtent l="0" t="0" r="0" b="0"/>
            <wp:docPr id="4646568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656859" name="Picture 464656859"/>
                    <pic:cNvPicPr/>
                  </pic:nvPicPr>
                  <pic:blipFill>
                    <a:blip r:embed="rId12">
                      <a:extLst>
                        <a:ext uri="{28A0092B-C50C-407E-A947-70E740481C1C}">
                          <a14:useLocalDpi xmlns:a14="http://schemas.microsoft.com/office/drawing/2010/main"/>
                        </a:ext>
                      </a:extLst>
                    </a:blip>
                    <a:stretch>
                      <a:fillRect/>
                    </a:stretch>
                  </pic:blipFill>
                  <pic:spPr>
                    <a:xfrm>
                      <a:off x="0" y="0"/>
                      <a:ext cx="2840304" cy="1543050"/>
                    </a:xfrm>
                    <a:prstGeom prst="rect">
                      <a:avLst/>
                    </a:prstGeom>
                  </pic:spPr>
                </pic:pic>
              </a:graphicData>
            </a:graphic>
          </wp:inline>
        </w:drawing>
      </w:r>
      <w:r w:rsidR="6089056D">
        <w:rPr>
          <w:noProof/>
          <w:lang w:val="en-GB" w:eastAsia="en-GB"/>
        </w:rPr>
        <w:drawing>
          <wp:inline distT="0" distB="0" distL="0" distR="0" wp14:anchorId="7A08B0E1" wp14:editId="67F9BB49">
            <wp:extent cx="2961750" cy="2439646"/>
            <wp:effectExtent l="0" t="0" r="0" b="0"/>
            <wp:docPr id="20907941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94136" name="Picture 2090794136"/>
                    <pic:cNvPicPr/>
                  </pic:nvPicPr>
                  <pic:blipFill>
                    <a:blip r:embed="rId13">
                      <a:extLst>
                        <a:ext uri="{28A0092B-C50C-407E-A947-70E740481C1C}">
                          <a14:useLocalDpi xmlns:a14="http://schemas.microsoft.com/office/drawing/2010/main"/>
                        </a:ext>
                      </a:extLst>
                    </a:blip>
                    <a:stretch>
                      <a:fillRect/>
                    </a:stretch>
                  </pic:blipFill>
                  <pic:spPr>
                    <a:xfrm>
                      <a:off x="0" y="0"/>
                      <a:ext cx="2961750" cy="2439646"/>
                    </a:xfrm>
                    <a:prstGeom prst="rect">
                      <a:avLst/>
                    </a:prstGeom>
                  </pic:spPr>
                </pic:pic>
              </a:graphicData>
            </a:graphic>
          </wp:inline>
        </w:drawing>
      </w:r>
    </w:p>
    <w:p w14:paraId="5060BAFD" w14:textId="2B1939EB" w:rsidR="65632593" w:rsidRDefault="65632593" w:rsidP="65632593">
      <w:pPr>
        <w:spacing w:before="240" w:after="240"/>
        <w:rPr>
          <w:rFonts w:ascii="Calibri" w:eastAsia="Calibri" w:hAnsi="Calibri" w:cs="Calibri"/>
        </w:rPr>
      </w:pPr>
    </w:p>
    <w:p w14:paraId="60A57FEF" w14:textId="4E45CE75" w:rsidR="11EDB994" w:rsidRPr="002E4938" w:rsidRDefault="11EDB994" w:rsidP="002E4938">
      <w:pPr>
        <w:pStyle w:val="Heading2"/>
        <w:rPr>
          <w:rFonts w:eastAsia="Calibri"/>
        </w:rPr>
      </w:pPr>
      <w:bookmarkStart w:id="20" w:name="_Toc218507918"/>
      <w:r w:rsidRPr="002E4938">
        <w:rPr>
          <w:rFonts w:eastAsia="Calibri"/>
        </w:rPr>
        <w:t>Protection Mechanisms</w:t>
      </w:r>
      <w:bookmarkEnd w:id="20"/>
    </w:p>
    <w:p w14:paraId="3845B5A2" w14:textId="57D1E0A8" w:rsidR="73495327" w:rsidRDefault="73495327" w:rsidP="65632593">
      <w:pPr>
        <w:spacing w:before="240" w:after="240"/>
        <w:rPr>
          <w:rFonts w:ascii="Calibri" w:eastAsia="Calibri" w:hAnsi="Calibri" w:cs="Calibri"/>
        </w:rPr>
      </w:pPr>
      <w:r w:rsidRPr="1D828A16">
        <w:rPr>
          <w:rFonts w:ascii="Calibri" w:eastAsia="Calibri" w:hAnsi="Calibri" w:cs="Calibri"/>
        </w:rPr>
        <w:t xml:space="preserve">Enabling the Zero Trust model </w:t>
      </w:r>
      <w:r w:rsidR="58C60CA4" w:rsidRPr="1D828A16">
        <w:rPr>
          <w:rFonts w:ascii="Calibri" w:eastAsia="Calibri" w:hAnsi="Calibri" w:cs="Calibri"/>
        </w:rPr>
        <w:t>is</w:t>
      </w:r>
      <w:r w:rsidRPr="1D828A16">
        <w:rPr>
          <w:rFonts w:ascii="Calibri" w:eastAsia="Calibri" w:hAnsi="Calibri" w:cs="Calibri"/>
        </w:rPr>
        <w:t xml:space="preserve"> a set of modern security controls which enable visibility, automation, and responsiveness. Cloud security posture management controls help prevent </w:t>
      </w:r>
      <w:r w:rsidR="63BA0E8A" w:rsidRPr="1D828A16">
        <w:rPr>
          <w:rFonts w:ascii="Calibri" w:eastAsia="Calibri" w:hAnsi="Calibri" w:cs="Calibri"/>
        </w:rPr>
        <w:t>misconfiguration</w:t>
      </w:r>
      <w:r w:rsidRPr="1D828A16">
        <w:rPr>
          <w:rFonts w:ascii="Calibri" w:eastAsia="Calibri" w:hAnsi="Calibri" w:cs="Calibri"/>
        </w:rPr>
        <w:t>. Security information and event management systems collect, monitor, and analyze data logs from the environment. Security orchestration and automated response tools quickly contain and remediate issues. \n\nEndpoint detection and response tools monitor and isolate endpoints. Phishing resistant multi-factor authentication secures identities. Cloud infrastructure entitlement management (CIEM) solutions implement least privilege access at scale. These controls support continuous verification and automated response for secure scale in a regulated environment.</w:t>
      </w:r>
      <w:sdt>
        <w:sdtPr>
          <w:rPr>
            <w:rFonts w:ascii="Calibri" w:eastAsia="Calibri" w:hAnsi="Calibri" w:cs="Calibri"/>
          </w:rPr>
          <w:id w:val="1073468215"/>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Nat20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[6]</w:t>
          </w:r>
          <w:r w:rsidR="00C77119">
            <w:rPr>
              <w:rFonts w:ascii="Calibri" w:eastAsia="Calibri" w:hAnsi="Calibri" w:cs="Calibri"/>
            </w:rPr>
            <w:fldChar w:fldCharType="end"/>
          </w:r>
        </w:sdtContent>
      </w:sdt>
      <w:sdt>
        <w:sdtPr>
          <w:rPr>
            <w:rFonts w:ascii="Calibri" w:eastAsia="Calibri" w:hAnsi="Calibri" w:cs="Calibri"/>
          </w:rPr>
          <w:id w:val="-1901968323"/>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Pal23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[10]</w:t>
          </w:r>
          <w:r w:rsidR="00C77119">
            <w:rPr>
              <w:rFonts w:ascii="Calibri" w:eastAsia="Calibri" w:hAnsi="Calibri" w:cs="Calibri"/>
            </w:rPr>
            <w:fldChar w:fldCharType="end"/>
          </w:r>
        </w:sdtContent>
      </w:sdt>
    </w:p>
    <w:p w14:paraId="2298D2A7" w14:textId="3660D8C1" w:rsidR="6CAAA9DD" w:rsidRDefault="6CAAA9DD" w:rsidP="65632593">
      <w:pPr>
        <w:spacing w:before="240" w:after="240"/>
        <w:rPr>
          <w:rFonts w:ascii="Calibri" w:eastAsia="Calibri" w:hAnsi="Calibri" w:cs="Calibri"/>
        </w:rPr>
      </w:pPr>
      <w:r w:rsidRPr="65632593">
        <w:rPr>
          <w:rFonts w:ascii="Calibri" w:eastAsia="Calibri" w:hAnsi="Calibri" w:cs="Calibri"/>
        </w:rPr>
        <w:t xml:space="preserve">A Zero Trust–aligned security programmer has been developed and justified to protect ResilientIntellect Ltd’s AI asset in the EU market. The security programmer incorporates Zero Trust concepts into </w:t>
      </w:r>
      <w:r w:rsidR="5169FB27" w:rsidRPr="65632593">
        <w:rPr>
          <w:rFonts w:ascii="Calibri" w:eastAsia="Calibri" w:hAnsi="Calibri" w:cs="Calibri"/>
        </w:rPr>
        <w:t>organizational</w:t>
      </w:r>
      <w:r w:rsidRPr="65632593">
        <w:rPr>
          <w:rFonts w:ascii="Calibri" w:eastAsia="Calibri" w:hAnsi="Calibri" w:cs="Calibri"/>
        </w:rPr>
        <w:t xml:space="preserve"> structure, governance, policy, risk management, contingency planning and technical controls, addressing the current security model shortcomings while closely aligning with the DORA and NIS2 requirements. \n\nAlthough some programmer implementation barriers are foreseen (e.g. cultural, cost barriers), this strategic risk-based approach will allow ResilientIntellect Ltd to implement Zero Trust pragmatically and sustainably. As the regulatory environment increases its level of scrutiny and as the threat landscape continues to evolve, this security programmer will allow ResilientIntellect Ltd to protect its AI asset, retain customer confidence and guarantee business continuity in the long term.</w:t>
      </w:r>
      <w:sdt>
        <w:sdtPr>
          <w:rPr>
            <w:rFonts w:ascii="Calibri" w:eastAsia="Calibri" w:hAnsi="Calibri" w:cs="Calibri"/>
          </w:rPr>
          <w:id w:val="1765259877"/>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Eur221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[15]</w:t>
          </w:r>
          <w:r w:rsidR="00C77119">
            <w:rPr>
              <w:rFonts w:ascii="Calibri" w:eastAsia="Calibri" w:hAnsi="Calibri" w:cs="Calibri"/>
            </w:rPr>
            <w:fldChar w:fldCharType="end"/>
          </w:r>
        </w:sdtContent>
      </w:sdt>
      <w:sdt>
        <w:sdtPr>
          <w:rPr>
            <w:rFonts w:ascii="Calibri" w:eastAsia="Calibri" w:hAnsi="Calibri" w:cs="Calibri"/>
          </w:rPr>
          <w:id w:val="1449118932"/>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Ver23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[14]</w:t>
          </w:r>
          <w:r w:rsidR="00C77119">
            <w:rPr>
              <w:rFonts w:ascii="Calibri" w:eastAsia="Calibri" w:hAnsi="Calibri" w:cs="Calibri"/>
            </w:rPr>
            <w:fldChar w:fldCharType="end"/>
          </w:r>
        </w:sdtContent>
      </w:sdt>
    </w:p>
    <w:p w14:paraId="020CFA22" w14:textId="17349999" w:rsidR="00C77119" w:rsidRDefault="00C77119" w:rsidP="65632593">
      <w:pPr>
        <w:spacing w:before="240" w:after="240"/>
        <w:rPr>
          <w:rFonts w:ascii="Aptos" w:eastAsia="Aptos" w:hAnsi="Aptos" w:cs="Aptos"/>
          <w:color w:val="000000" w:themeColor="text1"/>
        </w:rPr>
      </w:pPr>
    </w:p>
    <w:bookmarkStart w:id="21" w:name="_Toc218507919" w:displacedByCustomXml="next"/>
    <w:sdt>
      <w:sdtPr>
        <w:id w:val="-2109886989"/>
        <w:docPartObj>
          <w:docPartGallery w:val="Bibliographies"/>
          <w:docPartUnique/>
        </w:docPartObj>
      </w:sdtPr>
      <w:sdtEndPr>
        <w:rPr>
          <w:rFonts w:asciiTheme="minorHAnsi" w:eastAsiaTheme="minorEastAsia" w:hAnsiTheme="minorHAnsi" w:cstheme="minorBidi"/>
          <w:color w:val="auto"/>
          <w:sz w:val="24"/>
          <w:szCs w:val="24"/>
        </w:rPr>
      </w:sdtEndPr>
      <w:sdtContent>
        <w:p w14:paraId="0485579C" w14:textId="5B4D5766" w:rsidR="00C77119" w:rsidRPr="00C77119" w:rsidRDefault="00C77119">
          <w:pPr>
            <w:pStyle w:val="Heading1"/>
            <w:rPr>
              <w:u w:val="single"/>
            </w:rPr>
          </w:pPr>
          <w:r w:rsidRPr="00C77119">
            <w:rPr>
              <w:rStyle w:val="Heading3Char"/>
              <w:sz w:val="32"/>
              <w:u w:val="single"/>
            </w:rPr>
            <w:t>References</w:t>
          </w:r>
          <w:bookmarkEnd w:id="21"/>
        </w:p>
        <w:sdt>
          <w:sdtPr>
            <w:id w:val="-573587230"/>
            <w:bibliography/>
          </w:sdtPr>
          <w:sdtContent>
            <w:p w14:paraId="777771DA" w14:textId="77777777" w:rsidR="00C77119" w:rsidRDefault="00C7711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884"/>
              </w:tblGrid>
              <w:tr w:rsidR="00C77119" w14:paraId="36718DDA" w14:textId="77777777">
                <w:trPr>
                  <w:divId w:val="1539849983"/>
                  <w:tblCellSpacing w:w="15" w:type="dxa"/>
                </w:trPr>
                <w:tc>
                  <w:tcPr>
                    <w:tcW w:w="50" w:type="pct"/>
                    <w:hideMark/>
                  </w:tcPr>
                  <w:p w14:paraId="63716D0A" w14:textId="13030F87" w:rsidR="00C77119" w:rsidRDefault="00C77119">
                    <w:pPr>
                      <w:pStyle w:val="Bibliography"/>
                      <w:rPr>
                        <w:noProof/>
                      </w:rPr>
                    </w:pPr>
                    <w:r>
                      <w:rPr>
                        <w:noProof/>
                      </w:rPr>
                      <w:t xml:space="preserve">[1] </w:t>
                    </w:r>
                  </w:p>
                </w:tc>
                <w:tc>
                  <w:tcPr>
                    <w:tcW w:w="0" w:type="auto"/>
                    <w:hideMark/>
                  </w:tcPr>
                  <w:p w14:paraId="1170FB9E" w14:textId="77777777" w:rsidR="00C77119" w:rsidRDefault="00C77119">
                    <w:pPr>
                      <w:pStyle w:val="Bibliography"/>
                      <w:rPr>
                        <w:noProof/>
                      </w:rPr>
                    </w:pPr>
                    <w:r>
                      <w:rPr>
                        <w:noProof/>
                      </w:rPr>
                      <w:t>Verzizon, "Data Breach Investigation Report 2023".</w:t>
                    </w:r>
                  </w:p>
                </w:tc>
              </w:tr>
              <w:tr w:rsidR="00C77119" w14:paraId="5B5F9580" w14:textId="77777777">
                <w:trPr>
                  <w:divId w:val="1539849983"/>
                  <w:tblCellSpacing w:w="15" w:type="dxa"/>
                </w:trPr>
                <w:tc>
                  <w:tcPr>
                    <w:tcW w:w="50" w:type="pct"/>
                    <w:hideMark/>
                  </w:tcPr>
                  <w:p w14:paraId="3D5BB98A" w14:textId="77777777" w:rsidR="00C77119" w:rsidRDefault="00C77119">
                    <w:pPr>
                      <w:pStyle w:val="Bibliography"/>
                      <w:rPr>
                        <w:noProof/>
                      </w:rPr>
                    </w:pPr>
                    <w:r>
                      <w:rPr>
                        <w:noProof/>
                      </w:rPr>
                      <w:t xml:space="preserve">[2] </w:t>
                    </w:r>
                  </w:p>
                </w:tc>
                <w:tc>
                  <w:tcPr>
                    <w:tcW w:w="0" w:type="auto"/>
                    <w:hideMark/>
                  </w:tcPr>
                  <w:p w14:paraId="02E9B8B4" w14:textId="77777777" w:rsidR="00C77119" w:rsidRDefault="00C77119">
                    <w:pPr>
                      <w:pStyle w:val="Bibliography"/>
                      <w:rPr>
                        <w:noProof/>
                      </w:rPr>
                    </w:pPr>
                    <w:r>
                      <w:rPr>
                        <w:noProof/>
                      </w:rPr>
                      <w:t>I. Security, "Cost of a Data breach Report 2023".</w:t>
                    </w:r>
                  </w:p>
                </w:tc>
              </w:tr>
              <w:tr w:rsidR="00C77119" w14:paraId="09724967" w14:textId="77777777">
                <w:trPr>
                  <w:divId w:val="1539849983"/>
                  <w:tblCellSpacing w:w="15" w:type="dxa"/>
                </w:trPr>
                <w:tc>
                  <w:tcPr>
                    <w:tcW w:w="50" w:type="pct"/>
                    <w:hideMark/>
                  </w:tcPr>
                  <w:p w14:paraId="7CF72D9C" w14:textId="77777777" w:rsidR="00C77119" w:rsidRDefault="00C77119">
                    <w:pPr>
                      <w:pStyle w:val="Bibliography"/>
                      <w:rPr>
                        <w:noProof/>
                      </w:rPr>
                    </w:pPr>
                    <w:r>
                      <w:rPr>
                        <w:noProof/>
                      </w:rPr>
                      <w:t xml:space="preserve">[3] </w:t>
                    </w:r>
                  </w:p>
                </w:tc>
                <w:tc>
                  <w:tcPr>
                    <w:tcW w:w="0" w:type="auto"/>
                    <w:hideMark/>
                  </w:tcPr>
                  <w:p w14:paraId="319DAFE9" w14:textId="77777777" w:rsidR="00C77119" w:rsidRDefault="00C77119">
                    <w:pPr>
                      <w:pStyle w:val="Bibliography"/>
                      <w:rPr>
                        <w:noProof/>
                      </w:rPr>
                    </w:pPr>
                    <w:r>
                      <w:rPr>
                        <w:noProof/>
                      </w:rPr>
                      <w:t>C. Systems, "Annual Internet Report," 2022.</w:t>
                    </w:r>
                  </w:p>
                </w:tc>
              </w:tr>
              <w:tr w:rsidR="00C77119" w14:paraId="58EAEAE7" w14:textId="77777777">
                <w:trPr>
                  <w:divId w:val="1539849983"/>
                  <w:tblCellSpacing w:w="15" w:type="dxa"/>
                </w:trPr>
                <w:tc>
                  <w:tcPr>
                    <w:tcW w:w="50" w:type="pct"/>
                    <w:hideMark/>
                  </w:tcPr>
                  <w:p w14:paraId="00769A09" w14:textId="77777777" w:rsidR="00C77119" w:rsidRDefault="00C77119">
                    <w:pPr>
                      <w:pStyle w:val="Bibliography"/>
                      <w:rPr>
                        <w:noProof/>
                      </w:rPr>
                    </w:pPr>
                    <w:r>
                      <w:rPr>
                        <w:noProof/>
                      </w:rPr>
                      <w:t xml:space="preserve">[4] </w:t>
                    </w:r>
                  </w:p>
                </w:tc>
                <w:tc>
                  <w:tcPr>
                    <w:tcW w:w="0" w:type="auto"/>
                    <w:hideMark/>
                  </w:tcPr>
                  <w:p w14:paraId="610005C9" w14:textId="77777777" w:rsidR="00C77119" w:rsidRDefault="00C77119">
                    <w:pPr>
                      <w:pStyle w:val="Bibliography"/>
                      <w:rPr>
                        <w:noProof/>
                      </w:rPr>
                    </w:pPr>
                    <w:r>
                      <w:rPr>
                        <w:noProof/>
                      </w:rPr>
                      <w:t>Gartner, ""Identity-First Security: Why Identity is the New Perimeter"," 2023.</w:t>
                    </w:r>
                  </w:p>
                </w:tc>
              </w:tr>
              <w:tr w:rsidR="00C77119" w14:paraId="47567F97" w14:textId="77777777">
                <w:trPr>
                  <w:divId w:val="1539849983"/>
                  <w:tblCellSpacing w:w="15" w:type="dxa"/>
                </w:trPr>
                <w:tc>
                  <w:tcPr>
                    <w:tcW w:w="50" w:type="pct"/>
                    <w:hideMark/>
                  </w:tcPr>
                  <w:p w14:paraId="47428106" w14:textId="77777777" w:rsidR="00C77119" w:rsidRDefault="00C77119">
                    <w:pPr>
                      <w:pStyle w:val="Bibliography"/>
                      <w:rPr>
                        <w:noProof/>
                      </w:rPr>
                    </w:pPr>
                    <w:r>
                      <w:rPr>
                        <w:noProof/>
                      </w:rPr>
                      <w:t xml:space="preserve">[5] </w:t>
                    </w:r>
                  </w:p>
                </w:tc>
                <w:tc>
                  <w:tcPr>
                    <w:tcW w:w="0" w:type="auto"/>
                    <w:hideMark/>
                  </w:tcPr>
                  <w:p w14:paraId="5D5CAC9A" w14:textId="77777777" w:rsidR="00C77119" w:rsidRDefault="00C77119">
                    <w:pPr>
                      <w:pStyle w:val="Bibliography"/>
                      <w:rPr>
                        <w:noProof/>
                      </w:rPr>
                    </w:pPr>
                    <w:r>
                      <w:rPr>
                        <w:noProof/>
                      </w:rPr>
                      <w:t>E. Commission, "NIS2 Directive Overview," 2022.</w:t>
                    </w:r>
                  </w:p>
                </w:tc>
              </w:tr>
              <w:tr w:rsidR="00C77119" w14:paraId="19EC7F89" w14:textId="77777777">
                <w:trPr>
                  <w:divId w:val="1539849983"/>
                  <w:tblCellSpacing w:w="15" w:type="dxa"/>
                </w:trPr>
                <w:tc>
                  <w:tcPr>
                    <w:tcW w:w="50" w:type="pct"/>
                    <w:hideMark/>
                  </w:tcPr>
                  <w:p w14:paraId="5C69900E" w14:textId="77777777" w:rsidR="00C77119" w:rsidRDefault="00C77119">
                    <w:pPr>
                      <w:pStyle w:val="Bibliography"/>
                      <w:rPr>
                        <w:noProof/>
                      </w:rPr>
                    </w:pPr>
                    <w:r>
                      <w:rPr>
                        <w:noProof/>
                      </w:rPr>
                      <w:t xml:space="preserve">[6] </w:t>
                    </w:r>
                  </w:p>
                </w:tc>
                <w:tc>
                  <w:tcPr>
                    <w:tcW w:w="0" w:type="auto"/>
                    <w:hideMark/>
                  </w:tcPr>
                  <w:p w14:paraId="58C85EDF" w14:textId="77777777" w:rsidR="00C77119" w:rsidRDefault="00C77119">
                    <w:pPr>
                      <w:pStyle w:val="Bibliography"/>
                      <w:rPr>
                        <w:noProof/>
                      </w:rPr>
                    </w:pPr>
                    <w:r>
                      <w:rPr>
                        <w:noProof/>
                      </w:rPr>
                      <w:t>N. I. o. S. a. Technology, " SP 800-207: Zero Trust Architecture, Gaithersburg: NIST,," 2020.</w:t>
                    </w:r>
                  </w:p>
                </w:tc>
              </w:tr>
              <w:tr w:rsidR="00C77119" w14:paraId="633A19D2" w14:textId="77777777">
                <w:trPr>
                  <w:divId w:val="1539849983"/>
                  <w:tblCellSpacing w:w="15" w:type="dxa"/>
                </w:trPr>
                <w:tc>
                  <w:tcPr>
                    <w:tcW w:w="50" w:type="pct"/>
                    <w:hideMark/>
                  </w:tcPr>
                  <w:p w14:paraId="20E55B2D" w14:textId="77777777" w:rsidR="00C77119" w:rsidRDefault="00C77119">
                    <w:pPr>
                      <w:pStyle w:val="Bibliography"/>
                      <w:rPr>
                        <w:noProof/>
                      </w:rPr>
                    </w:pPr>
                    <w:r>
                      <w:rPr>
                        <w:noProof/>
                      </w:rPr>
                      <w:t xml:space="preserve">[7] </w:t>
                    </w:r>
                  </w:p>
                </w:tc>
                <w:tc>
                  <w:tcPr>
                    <w:tcW w:w="0" w:type="auto"/>
                    <w:hideMark/>
                  </w:tcPr>
                  <w:p w14:paraId="19E78DDD" w14:textId="77777777" w:rsidR="00C77119" w:rsidRDefault="00C77119">
                    <w:pPr>
                      <w:pStyle w:val="Bibliography"/>
                      <w:rPr>
                        <w:noProof/>
                      </w:rPr>
                    </w:pPr>
                    <w:r>
                      <w:rPr>
                        <w:noProof/>
                      </w:rPr>
                      <w:t>]. J. Kindervag, " “No More Chewy Centers: Introducing Zero Trust,” Forrester Research," 2010.</w:t>
                    </w:r>
                  </w:p>
                </w:tc>
              </w:tr>
              <w:tr w:rsidR="00C77119" w14:paraId="385BC22A" w14:textId="77777777">
                <w:trPr>
                  <w:divId w:val="1539849983"/>
                  <w:tblCellSpacing w:w="15" w:type="dxa"/>
                </w:trPr>
                <w:tc>
                  <w:tcPr>
                    <w:tcW w:w="50" w:type="pct"/>
                    <w:hideMark/>
                  </w:tcPr>
                  <w:p w14:paraId="46FD7284" w14:textId="77777777" w:rsidR="00C77119" w:rsidRDefault="00C77119">
                    <w:pPr>
                      <w:pStyle w:val="Bibliography"/>
                      <w:rPr>
                        <w:noProof/>
                      </w:rPr>
                    </w:pPr>
                    <w:r>
                      <w:rPr>
                        <w:noProof/>
                      </w:rPr>
                      <w:t xml:space="preserve">[8] </w:t>
                    </w:r>
                  </w:p>
                </w:tc>
                <w:tc>
                  <w:tcPr>
                    <w:tcW w:w="0" w:type="auto"/>
                    <w:hideMark/>
                  </w:tcPr>
                  <w:p w14:paraId="041F1B02" w14:textId="77777777" w:rsidR="00C77119" w:rsidRDefault="00C77119">
                    <w:pPr>
                      <w:pStyle w:val="Bibliography"/>
                      <w:rPr>
                        <w:noProof/>
                      </w:rPr>
                    </w:pPr>
                    <w:r>
                      <w:rPr>
                        <w:noProof/>
                      </w:rPr>
                      <w:t xml:space="preserve">S. R. e. al, "“Limitations and Pitfalls of Zero Trust,” IEEE Security &amp; Privacy," vol. 19, p. 15–25, 2022. </w:t>
                    </w:r>
                  </w:p>
                </w:tc>
              </w:tr>
              <w:tr w:rsidR="00C77119" w14:paraId="23D66456" w14:textId="77777777">
                <w:trPr>
                  <w:divId w:val="1539849983"/>
                  <w:tblCellSpacing w:w="15" w:type="dxa"/>
                </w:trPr>
                <w:tc>
                  <w:tcPr>
                    <w:tcW w:w="50" w:type="pct"/>
                    <w:hideMark/>
                  </w:tcPr>
                  <w:p w14:paraId="3334A611" w14:textId="77777777" w:rsidR="00C77119" w:rsidRDefault="00C77119">
                    <w:pPr>
                      <w:pStyle w:val="Bibliography"/>
                      <w:rPr>
                        <w:noProof/>
                      </w:rPr>
                    </w:pPr>
                    <w:r>
                      <w:rPr>
                        <w:noProof/>
                      </w:rPr>
                      <w:t xml:space="preserve">[9] </w:t>
                    </w:r>
                  </w:p>
                </w:tc>
                <w:tc>
                  <w:tcPr>
                    <w:tcW w:w="0" w:type="auto"/>
                    <w:hideMark/>
                  </w:tcPr>
                  <w:p w14:paraId="05D3A7BB" w14:textId="77777777" w:rsidR="00C77119" w:rsidRDefault="00C77119">
                    <w:pPr>
                      <w:pStyle w:val="Bibliography"/>
                      <w:rPr>
                        <w:noProof/>
                      </w:rPr>
                    </w:pPr>
                    <w:r>
                      <w:rPr>
                        <w:noProof/>
                      </w:rPr>
                      <w:t>ENISA, "Zero Trust Architecture Guidelines, European Union Agency for Cybersecurity," 2023.</w:t>
                    </w:r>
                  </w:p>
                </w:tc>
              </w:tr>
              <w:tr w:rsidR="00C77119" w14:paraId="330DE973" w14:textId="77777777">
                <w:trPr>
                  <w:divId w:val="1539849983"/>
                  <w:tblCellSpacing w:w="15" w:type="dxa"/>
                </w:trPr>
                <w:tc>
                  <w:tcPr>
                    <w:tcW w:w="50" w:type="pct"/>
                    <w:hideMark/>
                  </w:tcPr>
                  <w:p w14:paraId="72D401F1" w14:textId="77777777" w:rsidR="00C77119" w:rsidRDefault="00C77119">
                    <w:pPr>
                      <w:pStyle w:val="Bibliography"/>
                      <w:rPr>
                        <w:noProof/>
                      </w:rPr>
                    </w:pPr>
                    <w:r>
                      <w:rPr>
                        <w:noProof/>
                      </w:rPr>
                      <w:t xml:space="preserve">[10] </w:t>
                    </w:r>
                  </w:p>
                </w:tc>
                <w:tc>
                  <w:tcPr>
                    <w:tcW w:w="0" w:type="auto"/>
                    <w:hideMark/>
                  </w:tcPr>
                  <w:p w14:paraId="4A5B7E6D" w14:textId="77777777" w:rsidR="00C77119" w:rsidRDefault="00C77119">
                    <w:pPr>
                      <w:pStyle w:val="Bibliography"/>
                      <w:rPr>
                        <w:noProof/>
                      </w:rPr>
                    </w:pPr>
                    <w:r>
                      <w:rPr>
                        <w:noProof/>
                      </w:rPr>
                      <w:t>Palo Alto Networks, "SOAR and Zero Trust Integration Whitepaper," 2023.</w:t>
                    </w:r>
                  </w:p>
                </w:tc>
              </w:tr>
              <w:tr w:rsidR="00C77119" w14:paraId="38D06659" w14:textId="77777777">
                <w:trPr>
                  <w:divId w:val="1539849983"/>
                  <w:tblCellSpacing w:w="15" w:type="dxa"/>
                </w:trPr>
                <w:tc>
                  <w:tcPr>
                    <w:tcW w:w="50" w:type="pct"/>
                    <w:hideMark/>
                  </w:tcPr>
                  <w:p w14:paraId="37C1B00D" w14:textId="77777777" w:rsidR="00C77119" w:rsidRDefault="00C77119">
                    <w:pPr>
                      <w:pStyle w:val="Bibliography"/>
                      <w:rPr>
                        <w:noProof/>
                      </w:rPr>
                    </w:pPr>
                    <w:r>
                      <w:rPr>
                        <w:noProof/>
                      </w:rPr>
                      <w:t xml:space="preserve">[11] </w:t>
                    </w:r>
                  </w:p>
                </w:tc>
                <w:tc>
                  <w:tcPr>
                    <w:tcW w:w="0" w:type="auto"/>
                    <w:hideMark/>
                  </w:tcPr>
                  <w:p w14:paraId="1C8BC34F" w14:textId="77777777" w:rsidR="00C77119" w:rsidRDefault="00C77119">
                    <w:pPr>
                      <w:pStyle w:val="Bibliography"/>
                      <w:rPr>
                        <w:noProof/>
                      </w:rPr>
                    </w:pPr>
                    <w:r>
                      <w:rPr>
                        <w:noProof/>
                      </w:rPr>
                      <w:t>I. Security, " Cost of a Data Breach Report," 2023.</w:t>
                    </w:r>
                  </w:p>
                </w:tc>
              </w:tr>
              <w:tr w:rsidR="00C77119" w14:paraId="55D2E778" w14:textId="77777777">
                <w:trPr>
                  <w:divId w:val="1539849983"/>
                  <w:tblCellSpacing w:w="15" w:type="dxa"/>
                </w:trPr>
                <w:tc>
                  <w:tcPr>
                    <w:tcW w:w="50" w:type="pct"/>
                    <w:hideMark/>
                  </w:tcPr>
                  <w:p w14:paraId="2DF32419" w14:textId="77777777" w:rsidR="00C77119" w:rsidRDefault="00C77119">
                    <w:pPr>
                      <w:pStyle w:val="Bibliography"/>
                      <w:rPr>
                        <w:noProof/>
                      </w:rPr>
                    </w:pPr>
                    <w:r>
                      <w:rPr>
                        <w:noProof/>
                      </w:rPr>
                      <w:t xml:space="preserve">[12] </w:t>
                    </w:r>
                  </w:p>
                </w:tc>
                <w:tc>
                  <w:tcPr>
                    <w:tcW w:w="0" w:type="auto"/>
                    <w:hideMark/>
                  </w:tcPr>
                  <w:p w14:paraId="63BC9CA9" w14:textId="77777777" w:rsidR="00C77119" w:rsidRDefault="00C77119">
                    <w:pPr>
                      <w:pStyle w:val="Bibliography"/>
                      <w:rPr>
                        <w:noProof/>
                      </w:rPr>
                    </w:pPr>
                    <w:r>
                      <w:rPr>
                        <w:noProof/>
                      </w:rPr>
                      <w:t>PwC, "“Zero Trust: A Strategy, Not a Product,” Cybersecurity Insights," 2022.</w:t>
                    </w:r>
                  </w:p>
                </w:tc>
              </w:tr>
              <w:tr w:rsidR="00C77119" w14:paraId="0C19E04D" w14:textId="77777777">
                <w:trPr>
                  <w:divId w:val="1539849983"/>
                  <w:tblCellSpacing w:w="15" w:type="dxa"/>
                </w:trPr>
                <w:tc>
                  <w:tcPr>
                    <w:tcW w:w="50" w:type="pct"/>
                    <w:hideMark/>
                  </w:tcPr>
                  <w:p w14:paraId="1706CBE6" w14:textId="77777777" w:rsidR="00C77119" w:rsidRDefault="00C77119">
                    <w:pPr>
                      <w:pStyle w:val="Bibliography"/>
                      <w:rPr>
                        <w:noProof/>
                      </w:rPr>
                    </w:pPr>
                    <w:r>
                      <w:rPr>
                        <w:noProof/>
                      </w:rPr>
                      <w:t xml:space="preserve">[13] </w:t>
                    </w:r>
                  </w:p>
                </w:tc>
                <w:tc>
                  <w:tcPr>
                    <w:tcW w:w="0" w:type="auto"/>
                    <w:hideMark/>
                  </w:tcPr>
                  <w:p w14:paraId="7AC90035" w14:textId="77777777" w:rsidR="00C77119" w:rsidRDefault="00C77119">
                    <w:pPr>
                      <w:pStyle w:val="Bibliography"/>
                      <w:rPr>
                        <w:noProof/>
                      </w:rPr>
                    </w:pPr>
                    <w:r>
                      <w:rPr>
                        <w:noProof/>
                      </w:rPr>
                      <w:t>U. C. a. I. S. A. (CISA), " Colonial Pipeline Incident Analysis," 2021.</w:t>
                    </w:r>
                  </w:p>
                </w:tc>
              </w:tr>
              <w:tr w:rsidR="00C77119" w14:paraId="400A703C" w14:textId="77777777">
                <w:trPr>
                  <w:divId w:val="1539849983"/>
                  <w:tblCellSpacing w:w="15" w:type="dxa"/>
                </w:trPr>
                <w:tc>
                  <w:tcPr>
                    <w:tcW w:w="50" w:type="pct"/>
                    <w:hideMark/>
                  </w:tcPr>
                  <w:p w14:paraId="57BEA4F1" w14:textId="77777777" w:rsidR="00C77119" w:rsidRDefault="00C77119">
                    <w:pPr>
                      <w:pStyle w:val="Bibliography"/>
                      <w:rPr>
                        <w:noProof/>
                      </w:rPr>
                    </w:pPr>
                    <w:r>
                      <w:rPr>
                        <w:noProof/>
                      </w:rPr>
                      <w:t xml:space="preserve">[14] </w:t>
                    </w:r>
                  </w:p>
                </w:tc>
                <w:tc>
                  <w:tcPr>
                    <w:tcW w:w="0" w:type="auto"/>
                    <w:hideMark/>
                  </w:tcPr>
                  <w:p w14:paraId="47CA8984" w14:textId="77777777" w:rsidR="00C77119" w:rsidRDefault="00C77119">
                    <w:pPr>
                      <w:pStyle w:val="Bibliography"/>
                      <w:rPr>
                        <w:noProof/>
                      </w:rPr>
                    </w:pPr>
                    <w:r>
                      <w:rPr>
                        <w:noProof/>
                      </w:rPr>
                      <w:t>Verizon, "Data Breach Investigations Report," 2023.</w:t>
                    </w:r>
                  </w:p>
                </w:tc>
              </w:tr>
              <w:tr w:rsidR="00C77119" w14:paraId="13904F31" w14:textId="77777777">
                <w:trPr>
                  <w:divId w:val="1539849983"/>
                  <w:tblCellSpacing w:w="15" w:type="dxa"/>
                </w:trPr>
                <w:tc>
                  <w:tcPr>
                    <w:tcW w:w="50" w:type="pct"/>
                    <w:hideMark/>
                  </w:tcPr>
                  <w:p w14:paraId="6B807B1F" w14:textId="77777777" w:rsidR="00C77119" w:rsidRDefault="00C77119">
                    <w:pPr>
                      <w:pStyle w:val="Bibliography"/>
                      <w:rPr>
                        <w:noProof/>
                      </w:rPr>
                    </w:pPr>
                    <w:r>
                      <w:rPr>
                        <w:noProof/>
                      </w:rPr>
                      <w:t xml:space="preserve">[15] </w:t>
                    </w:r>
                  </w:p>
                </w:tc>
                <w:tc>
                  <w:tcPr>
                    <w:tcW w:w="0" w:type="auto"/>
                    <w:hideMark/>
                  </w:tcPr>
                  <w:p w14:paraId="3B003F7C" w14:textId="77777777" w:rsidR="00C77119" w:rsidRDefault="00C77119">
                    <w:pPr>
                      <w:pStyle w:val="Bibliography"/>
                      <w:rPr>
                        <w:noProof/>
                      </w:rPr>
                    </w:pPr>
                    <w:r>
                      <w:rPr>
                        <w:noProof/>
                      </w:rPr>
                      <w:t>E. Commission, " NIS2 Directive Overview," 2022.</w:t>
                    </w:r>
                  </w:p>
                </w:tc>
              </w:tr>
              <w:tr w:rsidR="00C77119" w14:paraId="2355E5BC" w14:textId="77777777">
                <w:trPr>
                  <w:divId w:val="1539849983"/>
                  <w:tblCellSpacing w:w="15" w:type="dxa"/>
                </w:trPr>
                <w:tc>
                  <w:tcPr>
                    <w:tcW w:w="50" w:type="pct"/>
                    <w:hideMark/>
                  </w:tcPr>
                  <w:p w14:paraId="223AC7CB" w14:textId="77777777" w:rsidR="00C77119" w:rsidRDefault="00C77119">
                    <w:pPr>
                      <w:pStyle w:val="Bibliography"/>
                      <w:rPr>
                        <w:noProof/>
                      </w:rPr>
                    </w:pPr>
                    <w:r>
                      <w:rPr>
                        <w:noProof/>
                      </w:rPr>
                      <w:t xml:space="preserve">[16] </w:t>
                    </w:r>
                  </w:p>
                </w:tc>
                <w:tc>
                  <w:tcPr>
                    <w:tcW w:w="0" w:type="auto"/>
                    <w:hideMark/>
                  </w:tcPr>
                  <w:p w14:paraId="440F8B0A" w14:textId="77777777" w:rsidR="00C77119" w:rsidRDefault="00C77119">
                    <w:pPr>
                      <w:pStyle w:val="Bibliography"/>
                      <w:rPr>
                        <w:noProof/>
                      </w:rPr>
                    </w:pPr>
                    <w:r>
                      <w:rPr>
                        <w:noProof/>
                      </w:rPr>
                      <w:t>NIST, " Cybersecurity Framework 2.0," 2024.</w:t>
                    </w:r>
                  </w:p>
                </w:tc>
              </w:tr>
            </w:tbl>
            <w:p w14:paraId="315B34BD" w14:textId="77777777" w:rsidR="00C77119" w:rsidRDefault="00C77119">
              <w:pPr>
                <w:divId w:val="1539849983"/>
                <w:rPr>
                  <w:rFonts w:eastAsia="Times New Roman"/>
                  <w:noProof/>
                </w:rPr>
              </w:pPr>
            </w:p>
            <w:p w14:paraId="0A7EA75C" w14:textId="08C07B78" w:rsidR="00C77119" w:rsidRDefault="00C77119">
              <w:r>
                <w:rPr>
                  <w:b/>
                  <w:bCs/>
                  <w:noProof/>
                </w:rPr>
                <w:fldChar w:fldCharType="end"/>
              </w:r>
            </w:p>
          </w:sdtContent>
        </w:sdt>
      </w:sdtContent>
    </w:sdt>
    <w:p w14:paraId="57F53682" w14:textId="77777777" w:rsidR="00C77119" w:rsidRDefault="00C77119" w:rsidP="65632593">
      <w:pPr>
        <w:spacing w:before="240" w:after="240"/>
        <w:rPr>
          <w:rFonts w:ascii="Aptos" w:eastAsia="Aptos" w:hAnsi="Aptos" w:cs="Aptos"/>
          <w:color w:val="000000" w:themeColor="text1"/>
        </w:rPr>
      </w:pPr>
    </w:p>
    <w:p w14:paraId="2B436A6C" w14:textId="587EE7E7" w:rsidR="65632593" w:rsidRDefault="65632593" w:rsidP="65632593">
      <w:pPr>
        <w:spacing w:before="240" w:after="240"/>
        <w:rPr>
          <w:rFonts w:ascii="Calibri" w:eastAsia="Calibri" w:hAnsi="Calibri" w:cs="Calibri"/>
        </w:rPr>
      </w:pPr>
    </w:p>
    <w:p w14:paraId="2BB4230A" w14:textId="55E36817" w:rsidR="65632593" w:rsidRDefault="65632593" w:rsidP="65632593">
      <w:pPr>
        <w:spacing w:before="240" w:after="240"/>
        <w:rPr>
          <w:rFonts w:ascii="Calibri" w:eastAsia="Calibri" w:hAnsi="Calibri" w:cs="Calibri"/>
        </w:rPr>
      </w:pPr>
    </w:p>
    <w:p w14:paraId="78C90407" w14:textId="3CC68C2F" w:rsidR="65632593" w:rsidRDefault="65632593" w:rsidP="65632593">
      <w:pPr>
        <w:spacing w:before="240" w:after="240"/>
        <w:rPr>
          <w:rFonts w:ascii="Calibri" w:eastAsia="Calibri" w:hAnsi="Calibri" w:cs="Calibri"/>
        </w:rPr>
      </w:pPr>
    </w:p>
    <w:p w14:paraId="1781A5A3" w14:textId="34B244B9" w:rsidR="65632593" w:rsidRDefault="65632593" w:rsidP="65632593">
      <w:pPr>
        <w:spacing w:before="240" w:after="240"/>
        <w:rPr>
          <w:rFonts w:ascii="Calibri" w:eastAsia="Calibri" w:hAnsi="Calibri" w:cs="Calibri"/>
        </w:rPr>
      </w:pPr>
    </w:p>
    <w:p w14:paraId="407C85CC" w14:textId="21BFF183" w:rsidR="65632593" w:rsidRDefault="65632593" w:rsidP="00C77119">
      <w:pPr>
        <w:pStyle w:val="Heading3"/>
        <w:rPr>
          <w:rFonts w:eastAsia="Calibri"/>
        </w:rPr>
      </w:pPr>
    </w:p>
    <w:p w14:paraId="464F0C55" w14:textId="69FF61CD" w:rsidR="65632593" w:rsidRDefault="65632593" w:rsidP="65632593">
      <w:pPr>
        <w:spacing w:before="240" w:after="240"/>
        <w:rPr>
          <w:rFonts w:ascii="Calibri" w:eastAsia="Calibri" w:hAnsi="Calibri" w:cs="Calibri"/>
          <w:b/>
          <w:bCs/>
          <w:u w:val="single"/>
        </w:rPr>
      </w:pPr>
    </w:p>
    <w:p w14:paraId="33407FDA" w14:textId="5EA6150D" w:rsidR="65632593" w:rsidRDefault="65632593" w:rsidP="65632593">
      <w:pPr>
        <w:spacing w:before="240" w:after="240"/>
        <w:rPr>
          <w:rFonts w:ascii="Calibri" w:eastAsia="Calibri" w:hAnsi="Calibri" w:cs="Calibri"/>
          <w:b/>
          <w:bCs/>
          <w:u w:val="single"/>
        </w:rPr>
      </w:pPr>
    </w:p>
    <w:p w14:paraId="545AD966" w14:textId="277A25A2" w:rsidR="65632593" w:rsidRDefault="65632593" w:rsidP="65632593">
      <w:pPr>
        <w:spacing w:before="240" w:after="240"/>
        <w:rPr>
          <w:rFonts w:ascii="Aptos" w:eastAsia="Aptos" w:hAnsi="Aptos" w:cs="Aptos"/>
        </w:rPr>
      </w:pPr>
    </w:p>
    <w:p w14:paraId="5036DDB4" w14:textId="186C6D75" w:rsidR="65632593" w:rsidRDefault="65632593" w:rsidP="65632593">
      <w:pPr>
        <w:spacing w:before="240" w:after="240"/>
        <w:rPr>
          <w:rFonts w:ascii="Aptos" w:eastAsia="Aptos" w:hAnsi="Aptos" w:cs="Aptos"/>
          <w:b/>
          <w:bCs/>
          <w:u w:val="single"/>
        </w:rPr>
      </w:pPr>
    </w:p>
    <w:p w14:paraId="67CD8C7E" w14:textId="515E6C42" w:rsidR="65632593" w:rsidRDefault="65632593" w:rsidP="65632593">
      <w:pPr>
        <w:spacing w:before="240" w:after="240"/>
        <w:rPr>
          <w:rFonts w:ascii="Aptos" w:eastAsia="Aptos" w:hAnsi="Aptos" w:cs="Aptos"/>
          <w:b/>
          <w:bCs/>
          <w:u w:val="single"/>
        </w:rPr>
      </w:pPr>
    </w:p>
    <w:p w14:paraId="0B77C410" w14:textId="1BA31209" w:rsidR="65632593" w:rsidRDefault="65632593" w:rsidP="65632593">
      <w:pPr>
        <w:spacing w:before="240" w:after="240"/>
        <w:rPr>
          <w:rFonts w:ascii="Aptos" w:eastAsia="Aptos" w:hAnsi="Aptos" w:cs="Aptos"/>
          <w:color w:val="000000" w:themeColor="text1"/>
        </w:rPr>
      </w:pPr>
    </w:p>
    <w:p w14:paraId="584FB8D1" w14:textId="4BCC53A9" w:rsidR="65632593" w:rsidRDefault="65632593" w:rsidP="65632593">
      <w:pPr>
        <w:spacing w:before="240" w:after="240"/>
        <w:rPr>
          <w:rFonts w:ascii="Calibri" w:eastAsia="Calibri" w:hAnsi="Calibri" w:cs="Calibri"/>
        </w:rPr>
      </w:pPr>
    </w:p>
    <w:p w14:paraId="6C63D305" w14:textId="27553941" w:rsidR="65632593" w:rsidRDefault="65632593" w:rsidP="65632593">
      <w:pPr>
        <w:spacing w:before="240" w:after="240"/>
        <w:rPr>
          <w:rFonts w:ascii="Calibri" w:eastAsia="Calibri" w:hAnsi="Calibri" w:cs="Calibri"/>
        </w:rPr>
      </w:pPr>
    </w:p>
    <w:p w14:paraId="79C183AC" w14:textId="64BF3F68" w:rsidR="65632593" w:rsidRDefault="65632593" w:rsidP="65632593">
      <w:pPr>
        <w:spacing w:before="240" w:after="240"/>
        <w:rPr>
          <w:rFonts w:ascii="Calibri" w:eastAsia="Calibri" w:hAnsi="Calibri" w:cs="Calibri"/>
        </w:rPr>
      </w:pPr>
    </w:p>
    <w:p w14:paraId="45923196" w14:textId="7C8E0FF0" w:rsidR="65632593" w:rsidRDefault="65632593" w:rsidP="65632593">
      <w:pPr>
        <w:spacing w:before="240" w:after="240"/>
        <w:rPr>
          <w:rFonts w:ascii="Calibri" w:eastAsia="Calibri" w:hAnsi="Calibri" w:cs="Calibri"/>
        </w:rPr>
      </w:pPr>
    </w:p>
    <w:p w14:paraId="78D7B09E" w14:textId="5F89C825" w:rsidR="65632593" w:rsidRDefault="65632593" w:rsidP="65632593">
      <w:pPr>
        <w:spacing w:before="240" w:after="240"/>
        <w:rPr>
          <w:rFonts w:ascii="Calibri" w:eastAsia="Calibri" w:hAnsi="Calibri" w:cs="Calibri"/>
          <w:b/>
          <w:bCs/>
          <w:u w:val="single"/>
        </w:rPr>
      </w:pPr>
    </w:p>
    <w:p w14:paraId="7C8BD656" w14:textId="599631E5" w:rsidR="65632593" w:rsidRDefault="65632593" w:rsidP="65632593">
      <w:pPr>
        <w:spacing w:before="240" w:after="240"/>
        <w:rPr>
          <w:rFonts w:ascii="Calibri" w:eastAsia="Calibri" w:hAnsi="Calibri" w:cs="Calibri"/>
        </w:rPr>
      </w:pPr>
    </w:p>
    <w:p w14:paraId="6EDA9813" w14:textId="0DBEEBE2" w:rsidR="65632593" w:rsidRDefault="65632593" w:rsidP="65632593">
      <w:pPr>
        <w:spacing w:before="240" w:after="240"/>
        <w:rPr>
          <w:rFonts w:ascii="Calibri" w:eastAsia="Calibri" w:hAnsi="Calibri" w:cs="Calibri"/>
          <w:u w:val="single"/>
        </w:rPr>
      </w:pPr>
    </w:p>
    <w:p w14:paraId="5ACA21A0" w14:textId="28C29B38" w:rsidR="65632593" w:rsidRDefault="65632593" w:rsidP="65632593">
      <w:pPr>
        <w:spacing w:before="240" w:after="240"/>
        <w:rPr>
          <w:rFonts w:ascii="Calibri" w:eastAsia="Calibri" w:hAnsi="Calibri" w:cs="Calibri"/>
          <w:u w:val="single"/>
        </w:rPr>
      </w:pPr>
    </w:p>
    <w:p w14:paraId="0447A0C3" w14:textId="657964E9" w:rsidR="65632593" w:rsidRDefault="65632593" w:rsidP="65632593">
      <w:pPr>
        <w:spacing w:before="240" w:after="240"/>
        <w:rPr>
          <w:rFonts w:ascii="Calibri" w:eastAsia="Calibri" w:hAnsi="Calibri" w:cs="Calibri"/>
          <w:b/>
          <w:bCs/>
          <w:u w:val="single"/>
        </w:rPr>
      </w:pPr>
    </w:p>
    <w:p w14:paraId="55D176B3" w14:textId="167585F1" w:rsidR="65632593" w:rsidRDefault="65632593" w:rsidP="65632593">
      <w:pPr>
        <w:keepNext/>
        <w:keepLines/>
        <w:rPr>
          <w:rFonts w:ascii="Calibri" w:eastAsia="Calibri" w:hAnsi="Calibri" w:cs="Calibri"/>
        </w:rPr>
      </w:pPr>
    </w:p>
    <w:p w14:paraId="64711FE9" w14:textId="79C4AC08" w:rsidR="65632593" w:rsidRDefault="65632593" w:rsidP="65632593">
      <w:pPr>
        <w:keepNext/>
        <w:keepLines/>
        <w:rPr>
          <w:rFonts w:ascii="Calibri" w:eastAsia="Calibri" w:hAnsi="Calibri" w:cs="Calibri"/>
        </w:rPr>
      </w:pPr>
    </w:p>
    <w:p w14:paraId="18B8A40C" w14:textId="763FF502" w:rsidR="65632593" w:rsidRDefault="65632593" w:rsidP="65632593">
      <w:pPr>
        <w:keepNext/>
        <w:keepLines/>
        <w:rPr>
          <w:rFonts w:ascii="Calibri" w:eastAsia="Calibri" w:hAnsi="Calibri" w:cs="Calibri"/>
        </w:rPr>
      </w:pPr>
    </w:p>
    <w:p w14:paraId="4F2AF07B" w14:textId="03D9EDA4" w:rsidR="65632593" w:rsidRDefault="65632593" w:rsidP="65632593">
      <w:pPr>
        <w:keepNext/>
        <w:keepLines/>
        <w:rPr>
          <w:rFonts w:ascii="Calibri" w:eastAsia="Calibri" w:hAnsi="Calibri" w:cs="Calibri"/>
        </w:rPr>
      </w:pPr>
    </w:p>
    <w:p w14:paraId="0646B83F" w14:textId="5919A2C9" w:rsidR="65632593" w:rsidRDefault="65632593" w:rsidP="65632593">
      <w:pPr>
        <w:keepNext/>
        <w:keepLines/>
        <w:rPr>
          <w:rFonts w:ascii="Calibri" w:eastAsia="Calibri" w:hAnsi="Calibri" w:cs="Calibri"/>
        </w:rPr>
      </w:pPr>
    </w:p>
    <w:p w14:paraId="200F91DF" w14:textId="2314C1A5" w:rsidR="65632593" w:rsidRDefault="65632593" w:rsidP="65632593">
      <w:pPr>
        <w:keepNext/>
        <w:keepLines/>
        <w:rPr>
          <w:rFonts w:ascii="Calibri" w:eastAsia="Calibri" w:hAnsi="Calibri" w:cs="Calibri"/>
        </w:rPr>
      </w:pPr>
    </w:p>
    <w:p w14:paraId="1DE6D7A2" w14:textId="55178233" w:rsidR="65632593" w:rsidRDefault="65632593" w:rsidP="65632593">
      <w:pPr>
        <w:spacing w:before="240" w:after="240"/>
        <w:rPr>
          <w:rFonts w:ascii="Calibri" w:eastAsia="Calibri" w:hAnsi="Calibri" w:cs="Calibri"/>
        </w:rPr>
      </w:pPr>
    </w:p>
    <w:p w14:paraId="21EE10E7" w14:textId="2D93A542" w:rsidR="65632593" w:rsidRDefault="65632593" w:rsidP="65632593">
      <w:pPr>
        <w:spacing w:before="240" w:after="240"/>
        <w:rPr>
          <w:rFonts w:ascii="Calibri" w:eastAsia="Calibri" w:hAnsi="Calibri" w:cs="Calibri"/>
          <w:b/>
          <w:bCs/>
          <w:sz w:val="32"/>
          <w:szCs w:val="32"/>
          <w:u w:val="single"/>
        </w:rPr>
      </w:pPr>
    </w:p>
    <w:p w14:paraId="6B734BDB" w14:textId="7D2957CB" w:rsidR="65632593" w:rsidRDefault="65632593" w:rsidP="65632593">
      <w:pPr>
        <w:spacing w:before="240" w:after="240"/>
        <w:rPr>
          <w:rFonts w:ascii="Calibri" w:eastAsia="Calibri" w:hAnsi="Calibri" w:cs="Calibri"/>
          <w:b/>
          <w:bCs/>
          <w:sz w:val="32"/>
          <w:szCs w:val="32"/>
          <w:u w:val="single"/>
        </w:rPr>
      </w:pPr>
    </w:p>
    <w:p w14:paraId="537FEADC" w14:textId="577167EC" w:rsidR="65632593" w:rsidRDefault="65632593" w:rsidP="65632593">
      <w:pPr>
        <w:spacing w:before="240" w:after="240"/>
        <w:rPr>
          <w:rFonts w:ascii="Calibri" w:eastAsia="Calibri" w:hAnsi="Calibri" w:cs="Calibri"/>
          <w:b/>
          <w:bCs/>
          <w:sz w:val="32"/>
          <w:szCs w:val="32"/>
          <w:u w:val="single"/>
        </w:rPr>
      </w:pPr>
    </w:p>
    <w:p w14:paraId="7C6C167E" w14:textId="74688279" w:rsidR="65632593" w:rsidRDefault="65632593" w:rsidP="65632593">
      <w:pPr>
        <w:spacing w:before="240" w:after="240"/>
        <w:rPr>
          <w:rFonts w:ascii="Calibri" w:eastAsia="Calibri" w:hAnsi="Calibri" w:cs="Calibri"/>
          <w:sz w:val="32"/>
          <w:szCs w:val="32"/>
        </w:rPr>
      </w:pPr>
    </w:p>
    <w:p w14:paraId="5209BCEA" w14:textId="0F0BE3E4" w:rsidR="6CF1AB07" w:rsidRDefault="6CF1AB07" w:rsidP="6CF1AB07">
      <w:pPr>
        <w:spacing w:before="240" w:after="240"/>
        <w:rPr>
          <w:rFonts w:ascii="Calibri" w:eastAsia="Calibri" w:hAnsi="Calibri" w:cs="Calibri"/>
          <w:b/>
          <w:bCs/>
          <w:sz w:val="32"/>
          <w:szCs w:val="32"/>
          <w:u w:val="single"/>
        </w:rPr>
      </w:pPr>
    </w:p>
    <w:p w14:paraId="36699D03" w14:textId="196F1419" w:rsidR="6CF1AB07" w:rsidRDefault="6CF1AB07" w:rsidP="6CF1AB07">
      <w:pPr>
        <w:rPr>
          <w:rFonts w:ascii="Calibri" w:eastAsia="Calibri" w:hAnsi="Calibri" w:cs="Calibri"/>
        </w:rPr>
      </w:pPr>
    </w:p>
    <w:p w14:paraId="6B0B0603" w14:textId="0F1D1ADA" w:rsidR="6CF1AB07" w:rsidRDefault="6CF1AB07" w:rsidP="6CF1AB07">
      <w:pPr>
        <w:rPr>
          <w:rFonts w:ascii="Calibri" w:eastAsia="Calibri" w:hAnsi="Calibri" w:cs="Calibri"/>
          <w:u w:val="single"/>
        </w:rPr>
      </w:pPr>
    </w:p>
    <w:p w14:paraId="5060A0D6" w14:textId="35FA8EDA" w:rsidR="6CF1AB07" w:rsidRDefault="6CF1AB07" w:rsidP="6CF1AB07">
      <w:pPr>
        <w:rPr>
          <w:rFonts w:ascii="Calibri" w:eastAsia="Calibri" w:hAnsi="Calibri" w:cs="Calibri"/>
          <w:u w:val="single"/>
        </w:rPr>
      </w:pPr>
    </w:p>
    <w:p w14:paraId="0E72D666" w14:textId="2CB7E23E" w:rsidR="6CF1AB07" w:rsidRDefault="6CF1AB07" w:rsidP="6CF1AB07">
      <w:pPr>
        <w:rPr>
          <w:rFonts w:ascii="Calibri" w:eastAsia="Calibri" w:hAnsi="Calibri" w:cs="Calibri"/>
          <w:u w:val="single"/>
        </w:rPr>
      </w:pPr>
    </w:p>
    <w:p w14:paraId="6861B0C2" w14:textId="1B5598AD" w:rsidR="6CF1AB07" w:rsidRDefault="6CF1AB07" w:rsidP="6CF1AB07">
      <w:pPr>
        <w:rPr>
          <w:rFonts w:ascii="Calibri" w:eastAsia="Calibri" w:hAnsi="Calibri" w:cs="Calibri"/>
          <w:u w:val="single"/>
        </w:rPr>
      </w:pPr>
    </w:p>
    <w:p w14:paraId="4725F6C5" w14:textId="2F67EFBB" w:rsidR="6CF1AB07" w:rsidRDefault="6CF1AB07" w:rsidP="6CF1AB07">
      <w:pPr>
        <w:rPr>
          <w:rFonts w:ascii="Calibri" w:eastAsia="Calibri" w:hAnsi="Calibri" w:cs="Calibri"/>
          <w:u w:val="single"/>
        </w:rPr>
      </w:pPr>
    </w:p>
    <w:p w14:paraId="057CE953" w14:textId="697FAE7B" w:rsidR="6CF1AB07" w:rsidRDefault="6CF1AB07" w:rsidP="6CF1AB07">
      <w:pPr>
        <w:rPr>
          <w:rFonts w:ascii="Calibri" w:eastAsia="Calibri" w:hAnsi="Calibri" w:cs="Calibri"/>
          <w:u w:val="single"/>
        </w:rPr>
      </w:pPr>
    </w:p>
    <w:p w14:paraId="2DC6FFAD" w14:textId="33FDA7E4" w:rsidR="6CF1AB07" w:rsidRDefault="6CF1AB07" w:rsidP="6CF1AB07">
      <w:pPr>
        <w:rPr>
          <w:rFonts w:ascii="Calibri" w:eastAsia="Calibri" w:hAnsi="Calibri" w:cs="Calibri"/>
          <w:u w:val="single"/>
        </w:rPr>
      </w:pPr>
    </w:p>
    <w:p w14:paraId="4954E98D" w14:textId="0724E4AB" w:rsidR="6CF1AB07" w:rsidRDefault="6CF1AB07" w:rsidP="6CF1AB07">
      <w:pPr>
        <w:rPr>
          <w:rFonts w:ascii="Calibri" w:eastAsia="Calibri" w:hAnsi="Calibri" w:cs="Calibri"/>
          <w:u w:val="single"/>
        </w:rPr>
      </w:pPr>
    </w:p>
    <w:p w14:paraId="6FBBEFA5" w14:textId="71E28826" w:rsidR="6CF1AB07" w:rsidRDefault="6CF1AB07" w:rsidP="6CF1AB07">
      <w:pPr>
        <w:rPr>
          <w:rFonts w:ascii="Calibri" w:eastAsia="Calibri" w:hAnsi="Calibri" w:cs="Calibri"/>
          <w:u w:val="single"/>
        </w:rPr>
      </w:pPr>
    </w:p>
    <w:p w14:paraId="2B636D29" w14:textId="59738F58" w:rsidR="6CF1AB07" w:rsidRDefault="6CF1AB07" w:rsidP="6CF1AB07"/>
    <w:p w14:paraId="12383D5E" w14:textId="6F704706" w:rsidR="6CF1AB07" w:rsidRDefault="6CF1AB07" w:rsidP="6CF1AB07"/>
    <w:p w14:paraId="5AF19F2D" w14:textId="0E83BF05" w:rsidR="6CF1AB07" w:rsidRDefault="6CF1AB07" w:rsidP="6CF1AB07">
      <w:pPr>
        <w:spacing w:before="240" w:after="240"/>
        <w:rPr>
          <w:rFonts w:ascii="Calibri" w:eastAsia="Calibri" w:hAnsi="Calibri" w:cs="Calibri"/>
        </w:rPr>
      </w:pPr>
    </w:p>
    <w:p w14:paraId="128FDDE3" w14:textId="47FEEB8F" w:rsidR="6CF1AB07" w:rsidRDefault="6CF1AB07" w:rsidP="6CF1AB07">
      <w:pPr>
        <w:rPr>
          <w:rFonts w:ascii="Calibri" w:eastAsia="Calibri" w:hAnsi="Calibri" w:cs="Calibri"/>
          <w:u w:val="single"/>
        </w:rPr>
      </w:pPr>
    </w:p>
    <w:p w14:paraId="6D605479" w14:textId="66C674CF" w:rsidR="6CF1AB07" w:rsidRDefault="6CF1AB07" w:rsidP="6CF1AB07">
      <w:pPr>
        <w:rPr>
          <w:rFonts w:ascii="Calibri" w:eastAsia="Calibri" w:hAnsi="Calibri" w:cs="Calibri"/>
          <w:b/>
          <w:bCs/>
          <w:sz w:val="32"/>
          <w:szCs w:val="32"/>
          <w:u w:val="single"/>
        </w:rPr>
      </w:pPr>
    </w:p>
    <w:p w14:paraId="28930FF3" w14:textId="2691AFA7" w:rsidR="6CF1AB07" w:rsidRDefault="6CF1AB07" w:rsidP="6CF1AB07">
      <w:pPr>
        <w:rPr>
          <w:rFonts w:ascii="Calibri" w:eastAsia="Calibri" w:hAnsi="Calibri" w:cs="Calibri"/>
          <w:b/>
          <w:bCs/>
          <w:sz w:val="32"/>
          <w:szCs w:val="32"/>
          <w:u w:val="single"/>
        </w:rPr>
      </w:pPr>
    </w:p>
    <w:p w14:paraId="3C423033" w14:textId="3EB9BA9A" w:rsidR="6CF1AB07" w:rsidRDefault="6CF1AB07" w:rsidP="6CF1AB07">
      <w:pPr>
        <w:rPr>
          <w:rFonts w:ascii="Calibri" w:eastAsia="Calibri" w:hAnsi="Calibri" w:cs="Calibri"/>
          <w:sz w:val="32"/>
          <w:szCs w:val="32"/>
          <w:u w:val="single"/>
        </w:rPr>
      </w:pPr>
    </w:p>
    <w:sectPr w:rsidR="6CF1AB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8D20B3"/>
    <w:multiLevelType w:val="hybridMultilevel"/>
    <w:tmpl w:val="62864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E572E7"/>
    <w:rsid w:val="00013808"/>
    <w:rsid w:val="00045041"/>
    <w:rsid w:val="000E4442"/>
    <w:rsid w:val="00124C55"/>
    <w:rsid w:val="002E3D1E"/>
    <w:rsid w:val="002E4938"/>
    <w:rsid w:val="003579E6"/>
    <w:rsid w:val="004B7D74"/>
    <w:rsid w:val="0050717C"/>
    <w:rsid w:val="00606C03"/>
    <w:rsid w:val="006B68BE"/>
    <w:rsid w:val="0080778A"/>
    <w:rsid w:val="00C77119"/>
    <w:rsid w:val="00E37D9A"/>
    <w:rsid w:val="00EB53A8"/>
    <w:rsid w:val="0101CC17"/>
    <w:rsid w:val="02266DE4"/>
    <w:rsid w:val="0233310F"/>
    <w:rsid w:val="028A75C6"/>
    <w:rsid w:val="0340B593"/>
    <w:rsid w:val="046AE963"/>
    <w:rsid w:val="04F7487D"/>
    <w:rsid w:val="057FA896"/>
    <w:rsid w:val="062B69AE"/>
    <w:rsid w:val="08007975"/>
    <w:rsid w:val="08B80D9E"/>
    <w:rsid w:val="08CC5EE1"/>
    <w:rsid w:val="08F7CE76"/>
    <w:rsid w:val="0CDF59A1"/>
    <w:rsid w:val="0D6FFF2D"/>
    <w:rsid w:val="0E25FF63"/>
    <w:rsid w:val="0E3E62D4"/>
    <w:rsid w:val="0F06F257"/>
    <w:rsid w:val="0F115D72"/>
    <w:rsid w:val="0F25E2F4"/>
    <w:rsid w:val="0FFB6B80"/>
    <w:rsid w:val="116EBAAA"/>
    <w:rsid w:val="11CE3528"/>
    <w:rsid w:val="11EDB994"/>
    <w:rsid w:val="1297DC3C"/>
    <w:rsid w:val="12B49BFA"/>
    <w:rsid w:val="132D3414"/>
    <w:rsid w:val="13D65B30"/>
    <w:rsid w:val="1440510C"/>
    <w:rsid w:val="14F92187"/>
    <w:rsid w:val="1564C6AF"/>
    <w:rsid w:val="17093383"/>
    <w:rsid w:val="1712D555"/>
    <w:rsid w:val="1764F501"/>
    <w:rsid w:val="17C40747"/>
    <w:rsid w:val="1859D16D"/>
    <w:rsid w:val="186E3E0F"/>
    <w:rsid w:val="187C8AF1"/>
    <w:rsid w:val="19C6DD11"/>
    <w:rsid w:val="19F2813F"/>
    <w:rsid w:val="1A445626"/>
    <w:rsid w:val="1AC018DF"/>
    <w:rsid w:val="1AFCF23F"/>
    <w:rsid w:val="1B3B0690"/>
    <w:rsid w:val="1BEB48CF"/>
    <w:rsid w:val="1D828A16"/>
    <w:rsid w:val="1D95D9C4"/>
    <w:rsid w:val="1E476726"/>
    <w:rsid w:val="1E76B273"/>
    <w:rsid w:val="1ECD0446"/>
    <w:rsid w:val="1ECDBD86"/>
    <w:rsid w:val="1EE57347"/>
    <w:rsid w:val="1F3ABF06"/>
    <w:rsid w:val="1FD3BEF3"/>
    <w:rsid w:val="200A5A96"/>
    <w:rsid w:val="209AF2FB"/>
    <w:rsid w:val="2182EF5F"/>
    <w:rsid w:val="220AE3FE"/>
    <w:rsid w:val="229080E3"/>
    <w:rsid w:val="22BC5960"/>
    <w:rsid w:val="22FF77E2"/>
    <w:rsid w:val="2395BB93"/>
    <w:rsid w:val="23E86ABD"/>
    <w:rsid w:val="24045A37"/>
    <w:rsid w:val="243118EB"/>
    <w:rsid w:val="26D0EBBC"/>
    <w:rsid w:val="2733D6F6"/>
    <w:rsid w:val="279CB4B8"/>
    <w:rsid w:val="27FA253A"/>
    <w:rsid w:val="2963CB5E"/>
    <w:rsid w:val="2ADBD054"/>
    <w:rsid w:val="2B4D6F4F"/>
    <w:rsid w:val="2B6ECD66"/>
    <w:rsid w:val="2BA3B7CB"/>
    <w:rsid w:val="2C166100"/>
    <w:rsid w:val="2C44580D"/>
    <w:rsid w:val="2C5D5F5B"/>
    <w:rsid w:val="2E2BD640"/>
    <w:rsid w:val="2EC1A59C"/>
    <w:rsid w:val="2FD3A8A5"/>
    <w:rsid w:val="30F9BCCE"/>
    <w:rsid w:val="314741CB"/>
    <w:rsid w:val="316DAE3E"/>
    <w:rsid w:val="34BDD633"/>
    <w:rsid w:val="3545B05F"/>
    <w:rsid w:val="3584D762"/>
    <w:rsid w:val="363D5F7B"/>
    <w:rsid w:val="37824CAE"/>
    <w:rsid w:val="38246F92"/>
    <w:rsid w:val="3B33CEB2"/>
    <w:rsid w:val="3B3A89FD"/>
    <w:rsid w:val="3E2BB32B"/>
    <w:rsid w:val="3E6DEB9E"/>
    <w:rsid w:val="402674B1"/>
    <w:rsid w:val="405F0FB4"/>
    <w:rsid w:val="40771C21"/>
    <w:rsid w:val="416D260A"/>
    <w:rsid w:val="41EA2521"/>
    <w:rsid w:val="4226881F"/>
    <w:rsid w:val="42B1754B"/>
    <w:rsid w:val="42BEC39B"/>
    <w:rsid w:val="42CC4293"/>
    <w:rsid w:val="436C11FE"/>
    <w:rsid w:val="43CA30D7"/>
    <w:rsid w:val="45F87CC9"/>
    <w:rsid w:val="46E62CAF"/>
    <w:rsid w:val="472AC9D6"/>
    <w:rsid w:val="487051BF"/>
    <w:rsid w:val="49417EF8"/>
    <w:rsid w:val="4952A82D"/>
    <w:rsid w:val="498725F0"/>
    <w:rsid w:val="4A082F78"/>
    <w:rsid w:val="4A29DD97"/>
    <w:rsid w:val="4A3C1A75"/>
    <w:rsid w:val="4A582A3C"/>
    <w:rsid w:val="4AE5FE86"/>
    <w:rsid w:val="4B45CB92"/>
    <w:rsid w:val="4B508434"/>
    <w:rsid w:val="4C4D84D0"/>
    <w:rsid w:val="4C9E84CB"/>
    <w:rsid w:val="4E0B50C2"/>
    <w:rsid w:val="4E232D64"/>
    <w:rsid w:val="4EEB405E"/>
    <w:rsid w:val="4F7D0F69"/>
    <w:rsid w:val="505755C7"/>
    <w:rsid w:val="50E2CA70"/>
    <w:rsid w:val="5169FB27"/>
    <w:rsid w:val="51E42474"/>
    <w:rsid w:val="5219BE5F"/>
    <w:rsid w:val="52F2B150"/>
    <w:rsid w:val="532536EB"/>
    <w:rsid w:val="53A74A6A"/>
    <w:rsid w:val="53E1F1B8"/>
    <w:rsid w:val="5409FB52"/>
    <w:rsid w:val="542CE5B9"/>
    <w:rsid w:val="548CBE2D"/>
    <w:rsid w:val="554B4193"/>
    <w:rsid w:val="56584D25"/>
    <w:rsid w:val="57B434EA"/>
    <w:rsid w:val="57E25D98"/>
    <w:rsid w:val="57FD62E6"/>
    <w:rsid w:val="58C60CA4"/>
    <w:rsid w:val="58CD601D"/>
    <w:rsid w:val="59B84A65"/>
    <w:rsid w:val="5A6E19F7"/>
    <w:rsid w:val="5BB380D0"/>
    <w:rsid w:val="5CDC4376"/>
    <w:rsid w:val="5CDFA3B9"/>
    <w:rsid w:val="5D12B49D"/>
    <w:rsid w:val="5DED9447"/>
    <w:rsid w:val="5DF0309E"/>
    <w:rsid w:val="5E6BA380"/>
    <w:rsid w:val="5E6C744D"/>
    <w:rsid w:val="5F5306A1"/>
    <w:rsid w:val="5F71C390"/>
    <w:rsid w:val="6089056D"/>
    <w:rsid w:val="609B05B9"/>
    <w:rsid w:val="61D619CA"/>
    <w:rsid w:val="61E7FC4E"/>
    <w:rsid w:val="6238FAB9"/>
    <w:rsid w:val="62A3F5D3"/>
    <w:rsid w:val="62F00EF3"/>
    <w:rsid w:val="63BA0E8A"/>
    <w:rsid w:val="644AF6B7"/>
    <w:rsid w:val="64B0F4C4"/>
    <w:rsid w:val="65224C68"/>
    <w:rsid w:val="65632593"/>
    <w:rsid w:val="6776D485"/>
    <w:rsid w:val="68034A05"/>
    <w:rsid w:val="6A02155E"/>
    <w:rsid w:val="6AB68BEC"/>
    <w:rsid w:val="6B524F40"/>
    <w:rsid w:val="6B7D03A6"/>
    <w:rsid w:val="6B9739D7"/>
    <w:rsid w:val="6C6BB078"/>
    <w:rsid w:val="6CAAA9DD"/>
    <w:rsid w:val="6CB48B42"/>
    <w:rsid w:val="6CF1AB07"/>
    <w:rsid w:val="6DBEA8AD"/>
    <w:rsid w:val="6DDA9FD1"/>
    <w:rsid w:val="6E28788E"/>
    <w:rsid w:val="6ED8C690"/>
    <w:rsid w:val="7064B09B"/>
    <w:rsid w:val="70A003B2"/>
    <w:rsid w:val="70C7FD98"/>
    <w:rsid w:val="727805A5"/>
    <w:rsid w:val="7310BB94"/>
    <w:rsid w:val="73492D8B"/>
    <w:rsid w:val="73495327"/>
    <w:rsid w:val="74649E9C"/>
    <w:rsid w:val="74E572E7"/>
    <w:rsid w:val="787D7D99"/>
    <w:rsid w:val="7890E01F"/>
    <w:rsid w:val="7B8DA525"/>
    <w:rsid w:val="7D22153E"/>
    <w:rsid w:val="7E44DAAD"/>
    <w:rsid w:val="7F30556A"/>
    <w:rsid w:val="7FC4D2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3F074"/>
  <w15:chartTrackingRefBased/>
  <w15:docId w15:val="{2260F32F-A9FC-4710-AB97-D07974CB9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E3D1E"/>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2E3D1E"/>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2E3D1E"/>
    <w:pPr>
      <w:spacing w:line="259" w:lineRule="auto"/>
      <w:outlineLvl w:val="9"/>
    </w:pPr>
    <w:rPr>
      <w:lang w:eastAsia="en-US"/>
    </w:rPr>
  </w:style>
  <w:style w:type="paragraph" w:styleId="TOC3">
    <w:name w:val="toc 3"/>
    <w:basedOn w:val="Normal"/>
    <w:next w:val="Normal"/>
    <w:autoRedefine/>
    <w:uiPriority w:val="39"/>
    <w:unhideWhenUsed/>
    <w:rsid w:val="002E3D1E"/>
    <w:pPr>
      <w:spacing w:after="100"/>
      <w:ind w:left="480"/>
    </w:pPr>
  </w:style>
  <w:style w:type="paragraph" w:styleId="TOC2">
    <w:name w:val="toc 2"/>
    <w:basedOn w:val="Normal"/>
    <w:next w:val="Normal"/>
    <w:autoRedefine/>
    <w:uiPriority w:val="39"/>
    <w:unhideWhenUsed/>
    <w:rsid w:val="002E3D1E"/>
    <w:pPr>
      <w:spacing w:after="100"/>
      <w:ind w:left="240"/>
    </w:pPr>
  </w:style>
  <w:style w:type="character" w:styleId="Hyperlink">
    <w:name w:val="Hyperlink"/>
    <w:basedOn w:val="DefaultParagraphFont"/>
    <w:uiPriority w:val="99"/>
    <w:unhideWhenUsed/>
    <w:rsid w:val="002E3D1E"/>
    <w:rPr>
      <w:color w:val="467886" w:themeColor="hyperlink"/>
      <w:u w:val="single"/>
    </w:rPr>
  </w:style>
  <w:style w:type="paragraph" w:styleId="TOC1">
    <w:name w:val="toc 1"/>
    <w:basedOn w:val="Normal"/>
    <w:next w:val="Normal"/>
    <w:autoRedefine/>
    <w:uiPriority w:val="39"/>
    <w:unhideWhenUsed/>
    <w:rsid w:val="002E3D1E"/>
    <w:pPr>
      <w:spacing w:after="100"/>
    </w:pPr>
  </w:style>
  <w:style w:type="paragraph" w:styleId="Subtitle">
    <w:name w:val="Subtitle"/>
    <w:basedOn w:val="Normal"/>
    <w:next w:val="Normal"/>
    <w:link w:val="SubtitleChar"/>
    <w:uiPriority w:val="11"/>
    <w:qFormat/>
    <w:rsid w:val="002E3D1E"/>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2E3D1E"/>
    <w:rPr>
      <w:color w:val="5A5A5A" w:themeColor="text1" w:themeTint="A5"/>
      <w:spacing w:val="15"/>
      <w:sz w:val="22"/>
      <w:szCs w:val="22"/>
    </w:rPr>
  </w:style>
  <w:style w:type="paragraph" w:styleId="Bibliography">
    <w:name w:val="Bibliography"/>
    <w:basedOn w:val="Normal"/>
    <w:next w:val="Normal"/>
    <w:uiPriority w:val="37"/>
    <w:unhideWhenUsed/>
    <w:rsid w:val="00C771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12800">
      <w:bodyDiv w:val="1"/>
      <w:marLeft w:val="0"/>
      <w:marRight w:val="0"/>
      <w:marTop w:val="0"/>
      <w:marBottom w:val="0"/>
      <w:divBdr>
        <w:top w:val="none" w:sz="0" w:space="0" w:color="auto"/>
        <w:left w:val="none" w:sz="0" w:space="0" w:color="auto"/>
        <w:bottom w:val="none" w:sz="0" w:space="0" w:color="auto"/>
        <w:right w:val="none" w:sz="0" w:space="0" w:color="auto"/>
      </w:divBdr>
    </w:div>
    <w:div w:id="74589781">
      <w:bodyDiv w:val="1"/>
      <w:marLeft w:val="0"/>
      <w:marRight w:val="0"/>
      <w:marTop w:val="0"/>
      <w:marBottom w:val="0"/>
      <w:divBdr>
        <w:top w:val="none" w:sz="0" w:space="0" w:color="auto"/>
        <w:left w:val="none" w:sz="0" w:space="0" w:color="auto"/>
        <w:bottom w:val="none" w:sz="0" w:space="0" w:color="auto"/>
        <w:right w:val="none" w:sz="0" w:space="0" w:color="auto"/>
      </w:divBdr>
    </w:div>
    <w:div w:id="121772277">
      <w:bodyDiv w:val="1"/>
      <w:marLeft w:val="0"/>
      <w:marRight w:val="0"/>
      <w:marTop w:val="0"/>
      <w:marBottom w:val="0"/>
      <w:divBdr>
        <w:top w:val="none" w:sz="0" w:space="0" w:color="auto"/>
        <w:left w:val="none" w:sz="0" w:space="0" w:color="auto"/>
        <w:bottom w:val="none" w:sz="0" w:space="0" w:color="auto"/>
        <w:right w:val="none" w:sz="0" w:space="0" w:color="auto"/>
      </w:divBdr>
    </w:div>
    <w:div w:id="137655716">
      <w:bodyDiv w:val="1"/>
      <w:marLeft w:val="0"/>
      <w:marRight w:val="0"/>
      <w:marTop w:val="0"/>
      <w:marBottom w:val="0"/>
      <w:divBdr>
        <w:top w:val="none" w:sz="0" w:space="0" w:color="auto"/>
        <w:left w:val="none" w:sz="0" w:space="0" w:color="auto"/>
        <w:bottom w:val="none" w:sz="0" w:space="0" w:color="auto"/>
        <w:right w:val="none" w:sz="0" w:space="0" w:color="auto"/>
      </w:divBdr>
    </w:div>
    <w:div w:id="234509312">
      <w:bodyDiv w:val="1"/>
      <w:marLeft w:val="0"/>
      <w:marRight w:val="0"/>
      <w:marTop w:val="0"/>
      <w:marBottom w:val="0"/>
      <w:divBdr>
        <w:top w:val="none" w:sz="0" w:space="0" w:color="auto"/>
        <w:left w:val="none" w:sz="0" w:space="0" w:color="auto"/>
        <w:bottom w:val="none" w:sz="0" w:space="0" w:color="auto"/>
        <w:right w:val="none" w:sz="0" w:space="0" w:color="auto"/>
      </w:divBdr>
    </w:div>
    <w:div w:id="297227818">
      <w:bodyDiv w:val="1"/>
      <w:marLeft w:val="0"/>
      <w:marRight w:val="0"/>
      <w:marTop w:val="0"/>
      <w:marBottom w:val="0"/>
      <w:divBdr>
        <w:top w:val="none" w:sz="0" w:space="0" w:color="auto"/>
        <w:left w:val="none" w:sz="0" w:space="0" w:color="auto"/>
        <w:bottom w:val="none" w:sz="0" w:space="0" w:color="auto"/>
        <w:right w:val="none" w:sz="0" w:space="0" w:color="auto"/>
      </w:divBdr>
    </w:div>
    <w:div w:id="325397429">
      <w:bodyDiv w:val="1"/>
      <w:marLeft w:val="0"/>
      <w:marRight w:val="0"/>
      <w:marTop w:val="0"/>
      <w:marBottom w:val="0"/>
      <w:divBdr>
        <w:top w:val="none" w:sz="0" w:space="0" w:color="auto"/>
        <w:left w:val="none" w:sz="0" w:space="0" w:color="auto"/>
        <w:bottom w:val="none" w:sz="0" w:space="0" w:color="auto"/>
        <w:right w:val="none" w:sz="0" w:space="0" w:color="auto"/>
      </w:divBdr>
    </w:div>
    <w:div w:id="338504314">
      <w:bodyDiv w:val="1"/>
      <w:marLeft w:val="0"/>
      <w:marRight w:val="0"/>
      <w:marTop w:val="0"/>
      <w:marBottom w:val="0"/>
      <w:divBdr>
        <w:top w:val="none" w:sz="0" w:space="0" w:color="auto"/>
        <w:left w:val="none" w:sz="0" w:space="0" w:color="auto"/>
        <w:bottom w:val="none" w:sz="0" w:space="0" w:color="auto"/>
        <w:right w:val="none" w:sz="0" w:space="0" w:color="auto"/>
      </w:divBdr>
    </w:div>
    <w:div w:id="344870457">
      <w:bodyDiv w:val="1"/>
      <w:marLeft w:val="0"/>
      <w:marRight w:val="0"/>
      <w:marTop w:val="0"/>
      <w:marBottom w:val="0"/>
      <w:divBdr>
        <w:top w:val="none" w:sz="0" w:space="0" w:color="auto"/>
        <w:left w:val="none" w:sz="0" w:space="0" w:color="auto"/>
        <w:bottom w:val="none" w:sz="0" w:space="0" w:color="auto"/>
        <w:right w:val="none" w:sz="0" w:space="0" w:color="auto"/>
      </w:divBdr>
    </w:div>
    <w:div w:id="352192360">
      <w:bodyDiv w:val="1"/>
      <w:marLeft w:val="0"/>
      <w:marRight w:val="0"/>
      <w:marTop w:val="0"/>
      <w:marBottom w:val="0"/>
      <w:divBdr>
        <w:top w:val="none" w:sz="0" w:space="0" w:color="auto"/>
        <w:left w:val="none" w:sz="0" w:space="0" w:color="auto"/>
        <w:bottom w:val="none" w:sz="0" w:space="0" w:color="auto"/>
        <w:right w:val="none" w:sz="0" w:space="0" w:color="auto"/>
      </w:divBdr>
    </w:div>
    <w:div w:id="398334185">
      <w:bodyDiv w:val="1"/>
      <w:marLeft w:val="0"/>
      <w:marRight w:val="0"/>
      <w:marTop w:val="0"/>
      <w:marBottom w:val="0"/>
      <w:divBdr>
        <w:top w:val="none" w:sz="0" w:space="0" w:color="auto"/>
        <w:left w:val="none" w:sz="0" w:space="0" w:color="auto"/>
        <w:bottom w:val="none" w:sz="0" w:space="0" w:color="auto"/>
        <w:right w:val="none" w:sz="0" w:space="0" w:color="auto"/>
      </w:divBdr>
    </w:div>
    <w:div w:id="442961300">
      <w:bodyDiv w:val="1"/>
      <w:marLeft w:val="0"/>
      <w:marRight w:val="0"/>
      <w:marTop w:val="0"/>
      <w:marBottom w:val="0"/>
      <w:divBdr>
        <w:top w:val="none" w:sz="0" w:space="0" w:color="auto"/>
        <w:left w:val="none" w:sz="0" w:space="0" w:color="auto"/>
        <w:bottom w:val="none" w:sz="0" w:space="0" w:color="auto"/>
        <w:right w:val="none" w:sz="0" w:space="0" w:color="auto"/>
      </w:divBdr>
    </w:div>
    <w:div w:id="443038392">
      <w:bodyDiv w:val="1"/>
      <w:marLeft w:val="0"/>
      <w:marRight w:val="0"/>
      <w:marTop w:val="0"/>
      <w:marBottom w:val="0"/>
      <w:divBdr>
        <w:top w:val="none" w:sz="0" w:space="0" w:color="auto"/>
        <w:left w:val="none" w:sz="0" w:space="0" w:color="auto"/>
        <w:bottom w:val="none" w:sz="0" w:space="0" w:color="auto"/>
        <w:right w:val="none" w:sz="0" w:space="0" w:color="auto"/>
      </w:divBdr>
    </w:div>
    <w:div w:id="454913956">
      <w:bodyDiv w:val="1"/>
      <w:marLeft w:val="0"/>
      <w:marRight w:val="0"/>
      <w:marTop w:val="0"/>
      <w:marBottom w:val="0"/>
      <w:divBdr>
        <w:top w:val="none" w:sz="0" w:space="0" w:color="auto"/>
        <w:left w:val="none" w:sz="0" w:space="0" w:color="auto"/>
        <w:bottom w:val="none" w:sz="0" w:space="0" w:color="auto"/>
        <w:right w:val="none" w:sz="0" w:space="0" w:color="auto"/>
      </w:divBdr>
    </w:div>
    <w:div w:id="475342841">
      <w:bodyDiv w:val="1"/>
      <w:marLeft w:val="0"/>
      <w:marRight w:val="0"/>
      <w:marTop w:val="0"/>
      <w:marBottom w:val="0"/>
      <w:divBdr>
        <w:top w:val="none" w:sz="0" w:space="0" w:color="auto"/>
        <w:left w:val="none" w:sz="0" w:space="0" w:color="auto"/>
        <w:bottom w:val="none" w:sz="0" w:space="0" w:color="auto"/>
        <w:right w:val="none" w:sz="0" w:space="0" w:color="auto"/>
      </w:divBdr>
    </w:div>
    <w:div w:id="503126461">
      <w:bodyDiv w:val="1"/>
      <w:marLeft w:val="0"/>
      <w:marRight w:val="0"/>
      <w:marTop w:val="0"/>
      <w:marBottom w:val="0"/>
      <w:divBdr>
        <w:top w:val="none" w:sz="0" w:space="0" w:color="auto"/>
        <w:left w:val="none" w:sz="0" w:space="0" w:color="auto"/>
        <w:bottom w:val="none" w:sz="0" w:space="0" w:color="auto"/>
        <w:right w:val="none" w:sz="0" w:space="0" w:color="auto"/>
      </w:divBdr>
    </w:div>
    <w:div w:id="537395965">
      <w:bodyDiv w:val="1"/>
      <w:marLeft w:val="0"/>
      <w:marRight w:val="0"/>
      <w:marTop w:val="0"/>
      <w:marBottom w:val="0"/>
      <w:divBdr>
        <w:top w:val="none" w:sz="0" w:space="0" w:color="auto"/>
        <w:left w:val="none" w:sz="0" w:space="0" w:color="auto"/>
        <w:bottom w:val="none" w:sz="0" w:space="0" w:color="auto"/>
        <w:right w:val="none" w:sz="0" w:space="0" w:color="auto"/>
      </w:divBdr>
    </w:div>
    <w:div w:id="553590248">
      <w:bodyDiv w:val="1"/>
      <w:marLeft w:val="0"/>
      <w:marRight w:val="0"/>
      <w:marTop w:val="0"/>
      <w:marBottom w:val="0"/>
      <w:divBdr>
        <w:top w:val="none" w:sz="0" w:space="0" w:color="auto"/>
        <w:left w:val="none" w:sz="0" w:space="0" w:color="auto"/>
        <w:bottom w:val="none" w:sz="0" w:space="0" w:color="auto"/>
        <w:right w:val="none" w:sz="0" w:space="0" w:color="auto"/>
      </w:divBdr>
    </w:div>
    <w:div w:id="572079903">
      <w:bodyDiv w:val="1"/>
      <w:marLeft w:val="0"/>
      <w:marRight w:val="0"/>
      <w:marTop w:val="0"/>
      <w:marBottom w:val="0"/>
      <w:divBdr>
        <w:top w:val="none" w:sz="0" w:space="0" w:color="auto"/>
        <w:left w:val="none" w:sz="0" w:space="0" w:color="auto"/>
        <w:bottom w:val="none" w:sz="0" w:space="0" w:color="auto"/>
        <w:right w:val="none" w:sz="0" w:space="0" w:color="auto"/>
      </w:divBdr>
    </w:div>
    <w:div w:id="584653741">
      <w:bodyDiv w:val="1"/>
      <w:marLeft w:val="0"/>
      <w:marRight w:val="0"/>
      <w:marTop w:val="0"/>
      <w:marBottom w:val="0"/>
      <w:divBdr>
        <w:top w:val="none" w:sz="0" w:space="0" w:color="auto"/>
        <w:left w:val="none" w:sz="0" w:space="0" w:color="auto"/>
        <w:bottom w:val="none" w:sz="0" w:space="0" w:color="auto"/>
        <w:right w:val="none" w:sz="0" w:space="0" w:color="auto"/>
      </w:divBdr>
    </w:div>
    <w:div w:id="604843219">
      <w:bodyDiv w:val="1"/>
      <w:marLeft w:val="0"/>
      <w:marRight w:val="0"/>
      <w:marTop w:val="0"/>
      <w:marBottom w:val="0"/>
      <w:divBdr>
        <w:top w:val="none" w:sz="0" w:space="0" w:color="auto"/>
        <w:left w:val="none" w:sz="0" w:space="0" w:color="auto"/>
        <w:bottom w:val="none" w:sz="0" w:space="0" w:color="auto"/>
        <w:right w:val="none" w:sz="0" w:space="0" w:color="auto"/>
      </w:divBdr>
    </w:div>
    <w:div w:id="661812360">
      <w:bodyDiv w:val="1"/>
      <w:marLeft w:val="0"/>
      <w:marRight w:val="0"/>
      <w:marTop w:val="0"/>
      <w:marBottom w:val="0"/>
      <w:divBdr>
        <w:top w:val="none" w:sz="0" w:space="0" w:color="auto"/>
        <w:left w:val="none" w:sz="0" w:space="0" w:color="auto"/>
        <w:bottom w:val="none" w:sz="0" w:space="0" w:color="auto"/>
        <w:right w:val="none" w:sz="0" w:space="0" w:color="auto"/>
      </w:divBdr>
    </w:div>
    <w:div w:id="666790298">
      <w:bodyDiv w:val="1"/>
      <w:marLeft w:val="0"/>
      <w:marRight w:val="0"/>
      <w:marTop w:val="0"/>
      <w:marBottom w:val="0"/>
      <w:divBdr>
        <w:top w:val="none" w:sz="0" w:space="0" w:color="auto"/>
        <w:left w:val="none" w:sz="0" w:space="0" w:color="auto"/>
        <w:bottom w:val="none" w:sz="0" w:space="0" w:color="auto"/>
        <w:right w:val="none" w:sz="0" w:space="0" w:color="auto"/>
      </w:divBdr>
    </w:div>
    <w:div w:id="672684499">
      <w:bodyDiv w:val="1"/>
      <w:marLeft w:val="0"/>
      <w:marRight w:val="0"/>
      <w:marTop w:val="0"/>
      <w:marBottom w:val="0"/>
      <w:divBdr>
        <w:top w:val="none" w:sz="0" w:space="0" w:color="auto"/>
        <w:left w:val="none" w:sz="0" w:space="0" w:color="auto"/>
        <w:bottom w:val="none" w:sz="0" w:space="0" w:color="auto"/>
        <w:right w:val="none" w:sz="0" w:space="0" w:color="auto"/>
      </w:divBdr>
    </w:div>
    <w:div w:id="674570701">
      <w:bodyDiv w:val="1"/>
      <w:marLeft w:val="0"/>
      <w:marRight w:val="0"/>
      <w:marTop w:val="0"/>
      <w:marBottom w:val="0"/>
      <w:divBdr>
        <w:top w:val="none" w:sz="0" w:space="0" w:color="auto"/>
        <w:left w:val="none" w:sz="0" w:space="0" w:color="auto"/>
        <w:bottom w:val="none" w:sz="0" w:space="0" w:color="auto"/>
        <w:right w:val="none" w:sz="0" w:space="0" w:color="auto"/>
      </w:divBdr>
    </w:div>
    <w:div w:id="715470207">
      <w:bodyDiv w:val="1"/>
      <w:marLeft w:val="0"/>
      <w:marRight w:val="0"/>
      <w:marTop w:val="0"/>
      <w:marBottom w:val="0"/>
      <w:divBdr>
        <w:top w:val="none" w:sz="0" w:space="0" w:color="auto"/>
        <w:left w:val="none" w:sz="0" w:space="0" w:color="auto"/>
        <w:bottom w:val="none" w:sz="0" w:space="0" w:color="auto"/>
        <w:right w:val="none" w:sz="0" w:space="0" w:color="auto"/>
      </w:divBdr>
    </w:div>
    <w:div w:id="718944706">
      <w:bodyDiv w:val="1"/>
      <w:marLeft w:val="0"/>
      <w:marRight w:val="0"/>
      <w:marTop w:val="0"/>
      <w:marBottom w:val="0"/>
      <w:divBdr>
        <w:top w:val="none" w:sz="0" w:space="0" w:color="auto"/>
        <w:left w:val="none" w:sz="0" w:space="0" w:color="auto"/>
        <w:bottom w:val="none" w:sz="0" w:space="0" w:color="auto"/>
        <w:right w:val="none" w:sz="0" w:space="0" w:color="auto"/>
      </w:divBdr>
    </w:div>
    <w:div w:id="724989006">
      <w:bodyDiv w:val="1"/>
      <w:marLeft w:val="0"/>
      <w:marRight w:val="0"/>
      <w:marTop w:val="0"/>
      <w:marBottom w:val="0"/>
      <w:divBdr>
        <w:top w:val="none" w:sz="0" w:space="0" w:color="auto"/>
        <w:left w:val="none" w:sz="0" w:space="0" w:color="auto"/>
        <w:bottom w:val="none" w:sz="0" w:space="0" w:color="auto"/>
        <w:right w:val="none" w:sz="0" w:space="0" w:color="auto"/>
      </w:divBdr>
    </w:div>
    <w:div w:id="738744691">
      <w:bodyDiv w:val="1"/>
      <w:marLeft w:val="0"/>
      <w:marRight w:val="0"/>
      <w:marTop w:val="0"/>
      <w:marBottom w:val="0"/>
      <w:divBdr>
        <w:top w:val="none" w:sz="0" w:space="0" w:color="auto"/>
        <w:left w:val="none" w:sz="0" w:space="0" w:color="auto"/>
        <w:bottom w:val="none" w:sz="0" w:space="0" w:color="auto"/>
        <w:right w:val="none" w:sz="0" w:space="0" w:color="auto"/>
      </w:divBdr>
    </w:div>
    <w:div w:id="754517775">
      <w:bodyDiv w:val="1"/>
      <w:marLeft w:val="0"/>
      <w:marRight w:val="0"/>
      <w:marTop w:val="0"/>
      <w:marBottom w:val="0"/>
      <w:divBdr>
        <w:top w:val="none" w:sz="0" w:space="0" w:color="auto"/>
        <w:left w:val="none" w:sz="0" w:space="0" w:color="auto"/>
        <w:bottom w:val="none" w:sz="0" w:space="0" w:color="auto"/>
        <w:right w:val="none" w:sz="0" w:space="0" w:color="auto"/>
      </w:divBdr>
    </w:div>
    <w:div w:id="768893838">
      <w:bodyDiv w:val="1"/>
      <w:marLeft w:val="0"/>
      <w:marRight w:val="0"/>
      <w:marTop w:val="0"/>
      <w:marBottom w:val="0"/>
      <w:divBdr>
        <w:top w:val="none" w:sz="0" w:space="0" w:color="auto"/>
        <w:left w:val="none" w:sz="0" w:space="0" w:color="auto"/>
        <w:bottom w:val="none" w:sz="0" w:space="0" w:color="auto"/>
        <w:right w:val="none" w:sz="0" w:space="0" w:color="auto"/>
      </w:divBdr>
    </w:div>
    <w:div w:id="834226560">
      <w:bodyDiv w:val="1"/>
      <w:marLeft w:val="0"/>
      <w:marRight w:val="0"/>
      <w:marTop w:val="0"/>
      <w:marBottom w:val="0"/>
      <w:divBdr>
        <w:top w:val="none" w:sz="0" w:space="0" w:color="auto"/>
        <w:left w:val="none" w:sz="0" w:space="0" w:color="auto"/>
        <w:bottom w:val="none" w:sz="0" w:space="0" w:color="auto"/>
        <w:right w:val="none" w:sz="0" w:space="0" w:color="auto"/>
      </w:divBdr>
    </w:div>
    <w:div w:id="835652485">
      <w:bodyDiv w:val="1"/>
      <w:marLeft w:val="0"/>
      <w:marRight w:val="0"/>
      <w:marTop w:val="0"/>
      <w:marBottom w:val="0"/>
      <w:divBdr>
        <w:top w:val="none" w:sz="0" w:space="0" w:color="auto"/>
        <w:left w:val="none" w:sz="0" w:space="0" w:color="auto"/>
        <w:bottom w:val="none" w:sz="0" w:space="0" w:color="auto"/>
        <w:right w:val="none" w:sz="0" w:space="0" w:color="auto"/>
      </w:divBdr>
    </w:div>
    <w:div w:id="847410549">
      <w:bodyDiv w:val="1"/>
      <w:marLeft w:val="0"/>
      <w:marRight w:val="0"/>
      <w:marTop w:val="0"/>
      <w:marBottom w:val="0"/>
      <w:divBdr>
        <w:top w:val="none" w:sz="0" w:space="0" w:color="auto"/>
        <w:left w:val="none" w:sz="0" w:space="0" w:color="auto"/>
        <w:bottom w:val="none" w:sz="0" w:space="0" w:color="auto"/>
        <w:right w:val="none" w:sz="0" w:space="0" w:color="auto"/>
      </w:divBdr>
    </w:div>
    <w:div w:id="921379485">
      <w:bodyDiv w:val="1"/>
      <w:marLeft w:val="0"/>
      <w:marRight w:val="0"/>
      <w:marTop w:val="0"/>
      <w:marBottom w:val="0"/>
      <w:divBdr>
        <w:top w:val="none" w:sz="0" w:space="0" w:color="auto"/>
        <w:left w:val="none" w:sz="0" w:space="0" w:color="auto"/>
        <w:bottom w:val="none" w:sz="0" w:space="0" w:color="auto"/>
        <w:right w:val="none" w:sz="0" w:space="0" w:color="auto"/>
      </w:divBdr>
    </w:div>
    <w:div w:id="924343656">
      <w:bodyDiv w:val="1"/>
      <w:marLeft w:val="0"/>
      <w:marRight w:val="0"/>
      <w:marTop w:val="0"/>
      <w:marBottom w:val="0"/>
      <w:divBdr>
        <w:top w:val="none" w:sz="0" w:space="0" w:color="auto"/>
        <w:left w:val="none" w:sz="0" w:space="0" w:color="auto"/>
        <w:bottom w:val="none" w:sz="0" w:space="0" w:color="auto"/>
        <w:right w:val="none" w:sz="0" w:space="0" w:color="auto"/>
      </w:divBdr>
    </w:div>
    <w:div w:id="938487255">
      <w:bodyDiv w:val="1"/>
      <w:marLeft w:val="0"/>
      <w:marRight w:val="0"/>
      <w:marTop w:val="0"/>
      <w:marBottom w:val="0"/>
      <w:divBdr>
        <w:top w:val="none" w:sz="0" w:space="0" w:color="auto"/>
        <w:left w:val="none" w:sz="0" w:space="0" w:color="auto"/>
        <w:bottom w:val="none" w:sz="0" w:space="0" w:color="auto"/>
        <w:right w:val="none" w:sz="0" w:space="0" w:color="auto"/>
      </w:divBdr>
    </w:div>
    <w:div w:id="967662805">
      <w:bodyDiv w:val="1"/>
      <w:marLeft w:val="0"/>
      <w:marRight w:val="0"/>
      <w:marTop w:val="0"/>
      <w:marBottom w:val="0"/>
      <w:divBdr>
        <w:top w:val="none" w:sz="0" w:space="0" w:color="auto"/>
        <w:left w:val="none" w:sz="0" w:space="0" w:color="auto"/>
        <w:bottom w:val="none" w:sz="0" w:space="0" w:color="auto"/>
        <w:right w:val="none" w:sz="0" w:space="0" w:color="auto"/>
      </w:divBdr>
    </w:div>
    <w:div w:id="990672228">
      <w:bodyDiv w:val="1"/>
      <w:marLeft w:val="0"/>
      <w:marRight w:val="0"/>
      <w:marTop w:val="0"/>
      <w:marBottom w:val="0"/>
      <w:divBdr>
        <w:top w:val="none" w:sz="0" w:space="0" w:color="auto"/>
        <w:left w:val="none" w:sz="0" w:space="0" w:color="auto"/>
        <w:bottom w:val="none" w:sz="0" w:space="0" w:color="auto"/>
        <w:right w:val="none" w:sz="0" w:space="0" w:color="auto"/>
      </w:divBdr>
    </w:div>
    <w:div w:id="1026910442">
      <w:bodyDiv w:val="1"/>
      <w:marLeft w:val="0"/>
      <w:marRight w:val="0"/>
      <w:marTop w:val="0"/>
      <w:marBottom w:val="0"/>
      <w:divBdr>
        <w:top w:val="none" w:sz="0" w:space="0" w:color="auto"/>
        <w:left w:val="none" w:sz="0" w:space="0" w:color="auto"/>
        <w:bottom w:val="none" w:sz="0" w:space="0" w:color="auto"/>
        <w:right w:val="none" w:sz="0" w:space="0" w:color="auto"/>
      </w:divBdr>
    </w:div>
    <w:div w:id="1064791785">
      <w:bodyDiv w:val="1"/>
      <w:marLeft w:val="0"/>
      <w:marRight w:val="0"/>
      <w:marTop w:val="0"/>
      <w:marBottom w:val="0"/>
      <w:divBdr>
        <w:top w:val="none" w:sz="0" w:space="0" w:color="auto"/>
        <w:left w:val="none" w:sz="0" w:space="0" w:color="auto"/>
        <w:bottom w:val="none" w:sz="0" w:space="0" w:color="auto"/>
        <w:right w:val="none" w:sz="0" w:space="0" w:color="auto"/>
      </w:divBdr>
    </w:div>
    <w:div w:id="1136337624">
      <w:bodyDiv w:val="1"/>
      <w:marLeft w:val="0"/>
      <w:marRight w:val="0"/>
      <w:marTop w:val="0"/>
      <w:marBottom w:val="0"/>
      <w:divBdr>
        <w:top w:val="none" w:sz="0" w:space="0" w:color="auto"/>
        <w:left w:val="none" w:sz="0" w:space="0" w:color="auto"/>
        <w:bottom w:val="none" w:sz="0" w:space="0" w:color="auto"/>
        <w:right w:val="none" w:sz="0" w:space="0" w:color="auto"/>
      </w:divBdr>
    </w:div>
    <w:div w:id="1160535698">
      <w:bodyDiv w:val="1"/>
      <w:marLeft w:val="0"/>
      <w:marRight w:val="0"/>
      <w:marTop w:val="0"/>
      <w:marBottom w:val="0"/>
      <w:divBdr>
        <w:top w:val="none" w:sz="0" w:space="0" w:color="auto"/>
        <w:left w:val="none" w:sz="0" w:space="0" w:color="auto"/>
        <w:bottom w:val="none" w:sz="0" w:space="0" w:color="auto"/>
        <w:right w:val="none" w:sz="0" w:space="0" w:color="auto"/>
      </w:divBdr>
    </w:div>
    <w:div w:id="1218588548">
      <w:bodyDiv w:val="1"/>
      <w:marLeft w:val="0"/>
      <w:marRight w:val="0"/>
      <w:marTop w:val="0"/>
      <w:marBottom w:val="0"/>
      <w:divBdr>
        <w:top w:val="none" w:sz="0" w:space="0" w:color="auto"/>
        <w:left w:val="none" w:sz="0" w:space="0" w:color="auto"/>
        <w:bottom w:val="none" w:sz="0" w:space="0" w:color="auto"/>
        <w:right w:val="none" w:sz="0" w:space="0" w:color="auto"/>
      </w:divBdr>
    </w:div>
    <w:div w:id="1256283859">
      <w:bodyDiv w:val="1"/>
      <w:marLeft w:val="0"/>
      <w:marRight w:val="0"/>
      <w:marTop w:val="0"/>
      <w:marBottom w:val="0"/>
      <w:divBdr>
        <w:top w:val="none" w:sz="0" w:space="0" w:color="auto"/>
        <w:left w:val="none" w:sz="0" w:space="0" w:color="auto"/>
        <w:bottom w:val="none" w:sz="0" w:space="0" w:color="auto"/>
        <w:right w:val="none" w:sz="0" w:space="0" w:color="auto"/>
      </w:divBdr>
    </w:div>
    <w:div w:id="1308704989">
      <w:bodyDiv w:val="1"/>
      <w:marLeft w:val="0"/>
      <w:marRight w:val="0"/>
      <w:marTop w:val="0"/>
      <w:marBottom w:val="0"/>
      <w:divBdr>
        <w:top w:val="none" w:sz="0" w:space="0" w:color="auto"/>
        <w:left w:val="none" w:sz="0" w:space="0" w:color="auto"/>
        <w:bottom w:val="none" w:sz="0" w:space="0" w:color="auto"/>
        <w:right w:val="none" w:sz="0" w:space="0" w:color="auto"/>
      </w:divBdr>
    </w:div>
    <w:div w:id="1327825780">
      <w:bodyDiv w:val="1"/>
      <w:marLeft w:val="0"/>
      <w:marRight w:val="0"/>
      <w:marTop w:val="0"/>
      <w:marBottom w:val="0"/>
      <w:divBdr>
        <w:top w:val="none" w:sz="0" w:space="0" w:color="auto"/>
        <w:left w:val="none" w:sz="0" w:space="0" w:color="auto"/>
        <w:bottom w:val="none" w:sz="0" w:space="0" w:color="auto"/>
        <w:right w:val="none" w:sz="0" w:space="0" w:color="auto"/>
      </w:divBdr>
    </w:div>
    <w:div w:id="1358854366">
      <w:bodyDiv w:val="1"/>
      <w:marLeft w:val="0"/>
      <w:marRight w:val="0"/>
      <w:marTop w:val="0"/>
      <w:marBottom w:val="0"/>
      <w:divBdr>
        <w:top w:val="none" w:sz="0" w:space="0" w:color="auto"/>
        <w:left w:val="none" w:sz="0" w:space="0" w:color="auto"/>
        <w:bottom w:val="none" w:sz="0" w:space="0" w:color="auto"/>
        <w:right w:val="none" w:sz="0" w:space="0" w:color="auto"/>
      </w:divBdr>
    </w:div>
    <w:div w:id="1371606792">
      <w:bodyDiv w:val="1"/>
      <w:marLeft w:val="0"/>
      <w:marRight w:val="0"/>
      <w:marTop w:val="0"/>
      <w:marBottom w:val="0"/>
      <w:divBdr>
        <w:top w:val="none" w:sz="0" w:space="0" w:color="auto"/>
        <w:left w:val="none" w:sz="0" w:space="0" w:color="auto"/>
        <w:bottom w:val="none" w:sz="0" w:space="0" w:color="auto"/>
        <w:right w:val="none" w:sz="0" w:space="0" w:color="auto"/>
      </w:divBdr>
    </w:div>
    <w:div w:id="1396470613">
      <w:bodyDiv w:val="1"/>
      <w:marLeft w:val="0"/>
      <w:marRight w:val="0"/>
      <w:marTop w:val="0"/>
      <w:marBottom w:val="0"/>
      <w:divBdr>
        <w:top w:val="none" w:sz="0" w:space="0" w:color="auto"/>
        <w:left w:val="none" w:sz="0" w:space="0" w:color="auto"/>
        <w:bottom w:val="none" w:sz="0" w:space="0" w:color="auto"/>
        <w:right w:val="none" w:sz="0" w:space="0" w:color="auto"/>
      </w:divBdr>
    </w:div>
    <w:div w:id="1409618722">
      <w:bodyDiv w:val="1"/>
      <w:marLeft w:val="0"/>
      <w:marRight w:val="0"/>
      <w:marTop w:val="0"/>
      <w:marBottom w:val="0"/>
      <w:divBdr>
        <w:top w:val="none" w:sz="0" w:space="0" w:color="auto"/>
        <w:left w:val="none" w:sz="0" w:space="0" w:color="auto"/>
        <w:bottom w:val="none" w:sz="0" w:space="0" w:color="auto"/>
        <w:right w:val="none" w:sz="0" w:space="0" w:color="auto"/>
      </w:divBdr>
    </w:div>
    <w:div w:id="1430812727">
      <w:bodyDiv w:val="1"/>
      <w:marLeft w:val="0"/>
      <w:marRight w:val="0"/>
      <w:marTop w:val="0"/>
      <w:marBottom w:val="0"/>
      <w:divBdr>
        <w:top w:val="none" w:sz="0" w:space="0" w:color="auto"/>
        <w:left w:val="none" w:sz="0" w:space="0" w:color="auto"/>
        <w:bottom w:val="none" w:sz="0" w:space="0" w:color="auto"/>
        <w:right w:val="none" w:sz="0" w:space="0" w:color="auto"/>
      </w:divBdr>
    </w:div>
    <w:div w:id="1435905539">
      <w:bodyDiv w:val="1"/>
      <w:marLeft w:val="0"/>
      <w:marRight w:val="0"/>
      <w:marTop w:val="0"/>
      <w:marBottom w:val="0"/>
      <w:divBdr>
        <w:top w:val="none" w:sz="0" w:space="0" w:color="auto"/>
        <w:left w:val="none" w:sz="0" w:space="0" w:color="auto"/>
        <w:bottom w:val="none" w:sz="0" w:space="0" w:color="auto"/>
        <w:right w:val="none" w:sz="0" w:space="0" w:color="auto"/>
      </w:divBdr>
    </w:div>
    <w:div w:id="1440250278">
      <w:bodyDiv w:val="1"/>
      <w:marLeft w:val="0"/>
      <w:marRight w:val="0"/>
      <w:marTop w:val="0"/>
      <w:marBottom w:val="0"/>
      <w:divBdr>
        <w:top w:val="none" w:sz="0" w:space="0" w:color="auto"/>
        <w:left w:val="none" w:sz="0" w:space="0" w:color="auto"/>
        <w:bottom w:val="none" w:sz="0" w:space="0" w:color="auto"/>
        <w:right w:val="none" w:sz="0" w:space="0" w:color="auto"/>
      </w:divBdr>
    </w:div>
    <w:div w:id="1478304096">
      <w:bodyDiv w:val="1"/>
      <w:marLeft w:val="0"/>
      <w:marRight w:val="0"/>
      <w:marTop w:val="0"/>
      <w:marBottom w:val="0"/>
      <w:divBdr>
        <w:top w:val="none" w:sz="0" w:space="0" w:color="auto"/>
        <w:left w:val="none" w:sz="0" w:space="0" w:color="auto"/>
        <w:bottom w:val="none" w:sz="0" w:space="0" w:color="auto"/>
        <w:right w:val="none" w:sz="0" w:space="0" w:color="auto"/>
      </w:divBdr>
    </w:div>
    <w:div w:id="1537037226">
      <w:bodyDiv w:val="1"/>
      <w:marLeft w:val="0"/>
      <w:marRight w:val="0"/>
      <w:marTop w:val="0"/>
      <w:marBottom w:val="0"/>
      <w:divBdr>
        <w:top w:val="none" w:sz="0" w:space="0" w:color="auto"/>
        <w:left w:val="none" w:sz="0" w:space="0" w:color="auto"/>
        <w:bottom w:val="none" w:sz="0" w:space="0" w:color="auto"/>
        <w:right w:val="none" w:sz="0" w:space="0" w:color="auto"/>
      </w:divBdr>
    </w:div>
    <w:div w:id="1539849983">
      <w:bodyDiv w:val="1"/>
      <w:marLeft w:val="0"/>
      <w:marRight w:val="0"/>
      <w:marTop w:val="0"/>
      <w:marBottom w:val="0"/>
      <w:divBdr>
        <w:top w:val="none" w:sz="0" w:space="0" w:color="auto"/>
        <w:left w:val="none" w:sz="0" w:space="0" w:color="auto"/>
        <w:bottom w:val="none" w:sz="0" w:space="0" w:color="auto"/>
        <w:right w:val="none" w:sz="0" w:space="0" w:color="auto"/>
      </w:divBdr>
    </w:div>
    <w:div w:id="1543207494">
      <w:bodyDiv w:val="1"/>
      <w:marLeft w:val="0"/>
      <w:marRight w:val="0"/>
      <w:marTop w:val="0"/>
      <w:marBottom w:val="0"/>
      <w:divBdr>
        <w:top w:val="none" w:sz="0" w:space="0" w:color="auto"/>
        <w:left w:val="none" w:sz="0" w:space="0" w:color="auto"/>
        <w:bottom w:val="none" w:sz="0" w:space="0" w:color="auto"/>
        <w:right w:val="none" w:sz="0" w:space="0" w:color="auto"/>
      </w:divBdr>
    </w:div>
    <w:div w:id="1578788264">
      <w:bodyDiv w:val="1"/>
      <w:marLeft w:val="0"/>
      <w:marRight w:val="0"/>
      <w:marTop w:val="0"/>
      <w:marBottom w:val="0"/>
      <w:divBdr>
        <w:top w:val="none" w:sz="0" w:space="0" w:color="auto"/>
        <w:left w:val="none" w:sz="0" w:space="0" w:color="auto"/>
        <w:bottom w:val="none" w:sz="0" w:space="0" w:color="auto"/>
        <w:right w:val="none" w:sz="0" w:space="0" w:color="auto"/>
      </w:divBdr>
    </w:div>
    <w:div w:id="1619067440">
      <w:bodyDiv w:val="1"/>
      <w:marLeft w:val="0"/>
      <w:marRight w:val="0"/>
      <w:marTop w:val="0"/>
      <w:marBottom w:val="0"/>
      <w:divBdr>
        <w:top w:val="none" w:sz="0" w:space="0" w:color="auto"/>
        <w:left w:val="none" w:sz="0" w:space="0" w:color="auto"/>
        <w:bottom w:val="none" w:sz="0" w:space="0" w:color="auto"/>
        <w:right w:val="none" w:sz="0" w:space="0" w:color="auto"/>
      </w:divBdr>
    </w:div>
    <w:div w:id="1652364238">
      <w:bodyDiv w:val="1"/>
      <w:marLeft w:val="0"/>
      <w:marRight w:val="0"/>
      <w:marTop w:val="0"/>
      <w:marBottom w:val="0"/>
      <w:divBdr>
        <w:top w:val="none" w:sz="0" w:space="0" w:color="auto"/>
        <w:left w:val="none" w:sz="0" w:space="0" w:color="auto"/>
        <w:bottom w:val="none" w:sz="0" w:space="0" w:color="auto"/>
        <w:right w:val="none" w:sz="0" w:space="0" w:color="auto"/>
      </w:divBdr>
    </w:div>
    <w:div w:id="1657301888">
      <w:bodyDiv w:val="1"/>
      <w:marLeft w:val="0"/>
      <w:marRight w:val="0"/>
      <w:marTop w:val="0"/>
      <w:marBottom w:val="0"/>
      <w:divBdr>
        <w:top w:val="none" w:sz="0" w:space="0" w:color="auto"/>
        <w:left w:val="none" w:sz="0" w:space="0" w:color="auto"/>
        <w:bottom w:val="none" w:sz="0" w:space="0" w:color="auto"/>
        <w:right w:val="none" w:sz="0" w:space="0" w:color="auto"/>
      </w:divBdr>
    </w:div>
    <w:div w:id="1672946562">
      <w:bodyDiv w:val="1"/>
      <w:marLeft w:val="0"/>
      <w:marRight w:val="0"/>
      <w:marTop w:val="0"/>
      <w:marBottom w:val="0"/>
      <w:divBdr>
        <w:top w:val="none" w:sz="0" w:space="0" w:color="auto"/>
        <w:left w:val="none" w:sz="0" w:space="0" w:color="auto"/>
        <w:bottom w:val="none" w:sz="0" w:space="0" w:color="auto"/>
        <w:right w:val="none" w:sz="0" w:space="0" w:color="auto"/>
      </w:divBdr>
    </w:div>
    <w:div w:id="1684085506">
      <w:bodyDiv w:val="1"/>
      <w:marLeft w:val="0"/>
      <w:marRight w:val="0"/>
      <w:marTop w:val="0"/>
      <w:marBottom w:val="0"/>
      <w:divBdr>
        <w:top w:val="none" w:sz="0" w:space="0" w:color="auto"/>
        <w:left w:val="none" w:sz="0" w:space="0" w:color="auto"/>
        <w:bottom w:val="none" w:sz="0" w:space="0" w:color="auto"/>
        <w:right w:val="none" w:sz="0" w:space="0" w:color="auto"/>
      </w:divBdr>
    </w:div>
    <w:div w:id="1781147990">
      <w:bodyDiv w:val="1"/>
      <w:marLeft w:val="0"/>
      <w:marRight w:val="0"/>
      <w:marTop w:val="0"/>
      <w:marBottom w:val="0"/>
      <w:divBdr>
        <w:top w:val="none" w:sz="0" w:space="0" w:color="auto"/>
        <w:left w:val="none" w:sz="0" w:space="0" w:color="auto"/>
        <w:bottom w:val="none" w:sz="0" w:space="0" w:color="auto"/>
        <w:right w:val="none" w:sz="0" w:space="0" w:color="auto"/>
      </w:divBdr>
    </w:div>
    <w:div w:id="1794711497">
      <w:bodyDiv w:val="1"/>
      <w:marLeft w:val="0"/>
      <w:marRight w:val="0"/>
      <w:marTop w:val="0"/>
      <w:marBottom w:val="0"/>
      <w:divBdr>
        <w:top w:val="none" w:sz="0" w:space="0" w:color="auto"/>
        <w:left w:val="none" w:sz="0" w:space="0" w:color="auto"/>
        <w:bottom w:val="none" w:sz="0" w:space="0" w:color="auto"/>
        <w:right w:val="none" w:sz="0" w:space="0" w:color="auto"/>
      </w:divBdr>
    </w:div>
    <w:div w:id="1852988085">
      <w:bodyDiv w:val="1"/>
      <w:marLeft w:val="0"/>
      <w:marRight w:val="0"/>
      <w:marTop w:val="0"/>
      <w:marBottom w:val="0"/>
      <w:divBdr>
        <w:top w:val="none" w:sz="0" w:space="0" w:color="auto"/>
        <w:left w:val="none" w:sz="0" w:space="0" w:color="auto"/>
        <w:bottom w:val="none" w:sz="0" w:space="0" w:color="auto"/>
        <w:right w:val="none" w:sz="0" w:space="0" w:color="auto"/>
      </w:divBdr>
    </w:div>
    <w:div w:id="1889535167">
      <w:bodyDiv w:val="1"/>
      <w:marLeft w:val="0"/>
      <w:marRight w:val="0"/>
      <w:marTop w:val="0"/>
      <w:marBottom w:val="0"/>
      <w:divBdr>
        <w:top w:val="none" w:sz="0" w:space="0" w:color="auto"/>
        <w:left w:val="none" w:sz="0" w:space="0" w:color="auto"/>
        <w:bottom w:val="none" w:sz="0" w:space="0" w:color="auto"/>
        <w:right w:val="none" w:sz="0" w:space="0" w:color="auto"/>
      </w:divBdr>
    </w:div>
    <w:div w:id="1975982697">
      <w:bodyDiv w:val="1"/>
      <w:marLeft w:val="0"/>
      <w:marRight w:val="0"/>
      <w:marTop w:val="0"/>
      <w:marBottom w:val="0"/>
      <w:divBdr>
        <w:top w:val="none" w:sz="0" w:space="0" w:color="auto"/>
        <w:left w:val="none" w:sz="0" w:space="0" w:color="auto"/>
        <w:bottom w:val="none" w:sz="0" w:space="0" w:color="auto"/>
        <w:right w:val="none" w:sz="0" w:space="0" w:color="auto"/>
      </w:divBdr>
    </w:div>
    <w:div w:id="1980376819">
      <w:bodyDiv w:val="1"/>
      <w:marLeft w:val="0"/>
      <w:marRight w:val="0"/>
      <w:marTop w:val="0"/>
      <w:marBottom w:val="0"/>
      <w:divBdr>
        <w:top w:val="none" w:sz="0" w:space="0" w:color="auto"/>
        <w:left w:val="none" w:sz="0" w:space="0" w:color="auto"/>
        <w:bottom w:val="none" w:sz="0" w:space="0" w:color="auto"/>
        <w:right w:val="none" w:sz="0" w:space="0" w:color="auto"/>
      </w:divBdr>
    </w:div>
    <w:div w:id="2021227190">
      <w:bodyDiv w:val="1"/>
      <w:marLeft w:val="0"/>
      <w:marRight w:val="0"/>
      <w:marTop w:val="0"/>
      <w:marBottom w:val="0"/>
      <w:divBdr>
        <w:top w:val="none" w:sz="0" w:space="0" w:color="auto"/>
        <w:left w:val="none" w:sz="0" w:space="0" w:color="auto"/>
        <w:bottom w:val="none" w:sz="0" w:space="0" w:color="auto"/>
        <w:right w:val="none" w:sz="0" w:space="0" w:color="auto"/>
      </w:divBdr>
    </w:div>
    <w:div w:id="2023966117">
      <w:bodyDiv w:val="1"/>
      <w:marLeft w:val="0"/>
      <w:marRight w:val="0"/>
      <w:marTop w:val="0"/>
      <w:marBottom w:val="0"/>
      <w:divBdr>
        <w:top w:val="none" w:sz="0" w:space="0" w:color="auto"/>
        <w:left w:val="none" w:sz="0" w:space="0" w:color="auto"/>
        <w:bottom w:val="none" w:sz="0" w:space="0" w:color="auto"/>
        <w:right w:val="none" w:sz="0" w:space="0" w:color="auto"/>
      </w:divBdr>
    </w:div>
    <w:div w:id="2033535480">
      <w:bodyDiv w:val="1"/>
      <w:marLeft w:val="0"/>
      <w:marRight w:val="0"/>
      <w:marTop w:val="0"/>
      <w:marBottom w:val="0"/>
      <w:divBdr>
        <w:top w:val="none" w:sz="0" w:space="0" w:color="auto"/>
        <w:left w:val="none" w:sz="0" w:space="0" w:color="auto"/>
        <w:bottom w:val="none" w:sz="0" w:space="0" w:color="auto"/>
        <w:right w:val="none" w:sz="0" w:space="0" w:color="auto"/>
      </w:divBdr>
    </w:div>
    <w:div w:id="2048027021">
      <w:bodyDiv w:val="1"/>
      <w:marLeft w:val="0"/>
      <w:marRight w:val="0"/>
      <w:marTop w:val="0"/>
      <w:marBottom w:val="0"/>
      <w:divBdr>
        <w:top w:val="none" w:sz="0" w:space="0" w:color="auto"/>
        <w:left w:val="none" w:sz="0" w:space="0" w:color="auto"/>
        <w:bottom w:val="none" w:sz="0" w:space="0" w:color="auto"/>
        <w:right w:val="none" w:sz="0" w:space="0" w:color="auto"/>
      </w:divBdr>
    </w:div>
    <w:div w:id="2065595979">
      <w:bodyDiv w:val="1"/>
      <w:marLeft w:val="0"/>
      <w:marRight w:val="0"/>
      <w:marTop w:val="0"/>
      <w:marBottom w:val="0"/>
      <w:divBdr>
        <w:top w:val="none" w:sz="0" w:space="0" w:color="auto"/>
        <w:left w:val="none" w:sz="0" w:space="0" w:color="auto"/>
        <w:bottom w:val="none" w:sz="0" w:space="0" w:color="auto"/>
        <w:right w:val="none" w:sz="0" w:space="0" w:color="auto"/>
      </w:divBdr>
    </w:div>
    <w:div w:id="2076932586">
      <w:bodyDiv w:val="1"/>
      <w:marLeft w:val="0"/>
      <w:marRight w:val="0"/>
      <w:marTop w:val="0"/>
      <w:marBottom w:val="0"/>
      <w:divBdr>
        <w:top w:val="none" w:sz="0" w:space="0" w:color="auto"/>
        <w:left w:val="none" w:sz="0" w:space="0" w:color="auto"/>
        <w:bottom w:val="none" w:sz="0" w:space="0" w:color="auto"/>
        <w:right w:val="none" w:sz="0" w:space="0" w:color="auto"/>
      </w:divBdr>
    </w:div>
    <w:div w:id="2102213148">
      <w:bodyDiv w:val="1"/>
      <w:marLeft w:val="0"/>
      <w:marRight w:val="0"/>
      <w:marTop w:val="0"/>
      <w:marBottom w:val="0"/>
      <w:divBdr>
        <w:top w:val="none" w:sz="0" w:space="0" w:color="auto"/>
        <w:left w:val="none" w:sz="0" w:space="0" w:color="auto"/>
        <w:bottom w:val="none" w:sz="0" w:space="0" w:color="auto"/>
        <w:right w:val="none" w:sz="0" w:space="0" w:color="auto"/>
      </w:divBdr>
    </w:div>
    <w:div w:id="2123836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abc409029345f02550cc3234751c86b9">
  <xsd:schema xmlns:xsd="http://www.w3.org/2001/XMLSchema" xmlns:xs="http://www.w3.org/2001/XMLSchema" xmlns:p="http://schemas.microsoft.com/office/2006/metadata/properties" xmlns:ns3="0085e1a2-9cbf-4b92-866b-21f3c89040b6" targetNamespace="http://schemas.microsoft.com/office/2006/metadata/properties" ma:root="true" ma:fieldsID="d138775a2656a86021b64ed1ca45bb3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Ver</b:Tag>
    <b:SourceType>Report</b:SourceType>
    <b:Guid>{7B1ABA59-01B4-420A-A038-FF453907107E}</b:Guid>
    <b:Title>Data Breach Investigation Report 2023</b:Title>
    <b:Author>
      <b:Author>
        <b:NameList>
          <b:Person>
            <b:Last>Verzizon</b:Last>
          </b:Person>
        </b:NameList>
      </b:Author>
    </b:Author>
    <b:RefOrder>1</b:RefOrder>
  </b:Source>
  <b:Source>
    <b:Tag>IBM</b:Tag>
    <b:SourceType>Report</b:SourceType>
    <b:Guid>{AD4BCA5B-0C32-450C-B474-0D74AE257329}</b:Guid>
    <b:Author>
      <b:Author>
        <b:NameList>
          <b:Person>
            <b:Last>Security</b:Last>
            <b:First>IBM</b:First>
          </b:Person>
        </b:NameList>
      </b:Author>
    </b:Author>
    <b:Title>Cost of a Data breach Report 2023</b:Title>
    <b:RefOrder>2</b:RefOrder>
  </b:Source>
  <b:Source>
    <b:Tag>Cis22</b:Tag>
    <b:SourceType>Report</b:SourceType>
    <b:Guid>{810ACBDA-37D6-446A-9F84-EBDF275DC741}</b:Guid>
    <b:Author>
      <b:Author>
        <b:NameList>
          <b:Person>
            <b:Last>Systems</b:Last>
            <b:First>Cisco</b:First>
          </b:Person>
        </b:NameList>
      </b:Author>
    </b:Author>
    <b:Title>Annual Internet Report</b:Title>
    <b:Year>2022</b:Year>
    <b:RefOrder>3</b:RefOrder>
  </b:Source>
  <b:Source>
    <b:Tag>Gar23</b:Tag>
    <b:SourceType>Report</b:SourceType>
    <b:Guid>{F16D9F79-1855-4612-B1C6-EF79C38161B8}</b:Guid>
    <b:Title>"Identity-First Security: Why Identity is the New Perimeter"</b:Title>
    <b:Year>2023</b:Year>
    <b:Author>
      <b:Author>
        <b:NameList>
          <b:Person>
            <b:Last>Gartner</b:Last>
          </b:Person>
        </b:NameList>
      </b:Author>
    </b:Author>
    <b:RefOrder>4</b:RefOrder>
  </b:Source>
  <b:Source>
    <b:Tag>Eur22</b:Tag>
    <b:SourceType>Report</b:SourceType>
    <b:Guid>{48D750B1-D232-40AA-85C4-CFCA59BCF340}</b:Guid>
    <b:Author>
      <b:Author>
        <b:NameList>
          <b:Person>
            <b:Last>Commission</b:Last>
            <b:First>European</b:First>
          </b:Person>
        </b:NameList>
      </b:Author>
    </b:Author>
    <b:Title>NIS2 Directive Overview</b:Title>
    <b:Year>2022</b:Year>
    <b:RefOrder>5</b:RefOrder>
  </b:Source>
  <b:Source>
    <b:Tag>Nat20</b:Tag>
    <b:SourceType>Report</b:SourceType>
    <b:Guid>{45FDA1C0-E7E2-4EE7-9E6B-C37EC425C642}</b:Guid>
    <b:Title> SP 800-207: Zero Trust Architecture, Gaithersburg: NIST, </b:Title>
    <b:Year>2020</b:Year>
    <b:Author>
      <b:Author>
        <b:NameList>
          <b:Person>
            <b:Last>Technology</b:Last>
            <b:First>National</b:First>
            <b:Middle>Institute of Standards and</b:Middle>
          </b:Person>
        </b:NameList>
      </b:Author>
    </b:Author>
    <b:RefOrder>6</b:RefOrder>
  </b:Source>
  <b:Source>
    <b:Tag>JKi10</b:Tag>
    <b:SourceType>Report</b:SourceType>
    <b:Guid>{5BEC96BD-BDA8-4B0F-B990-29A4EB63D033}</b:Guid>
    <b:Author>
      <b:Author>
        <b:NameList>
          <b:Person>
            <b:Last>Kindervag</b:Last>
            <b:First>]</b:First>
            <b:Middle>J.</b:Middle>
          </b:Person>
        </b:NameList>
      </b:Author>
    </b:Author>
    <b:Title> “No More Chewy Centers: Introducing Zero Trust,” Forrester Research</b:Title>
    <b:Year>2010</b:Year>
    <b:RefOrder>7</b:RefOrder>
  </b:Source>
  <b:Source>
    <b:Tag>alS22</b:Tag>
    <b:SourceType>JournalArticle</b:SourceType>
    <b:Guid>{59FCE13D-D972-4588-B611-A5B048807777}</b:Guid>
    <b:Author>
      <b:Author>
        <b:NameList>
          <b:Person>
            <b:Last>al</b:Last>
            <b:First>S.</b:First>
            <b:Middle>Rose et</b:Middle>
          </b:Person>
        </b:NameList>
      </b:Author>
    </b:Author>
    <b:Title>“Limitations and Pitfalls of Zero Trust,” IEEE Security &amp; Privacy</b:Title>
    <b:Year>2022</b:Year>
    <b:City>,pp. 15–25</b:City>
    <b:Pages> 15–25</b:Pages>
    <b:Volume>19</b:Volume>
    <b:RefOrder>8</b:RefOrder>
  </b:Source>
  <b:Source>
    <b:Tag>ENI23</b:Tag>
    <b:SourceType>Report</b:SourceType>
    <b:Guid>{34D953BC-369A-4A6D-B723-43F2EDD62D8E}</b:Guid>
    <b:Title>Zero Trust Architecture Guidelines, European Union Agency for Cybersecurity</b:Title>
    <b:Year>2023</b:Year>
    <b:Author>
      <b:Author>
        <b:NameList>
          <b:Person>
            <b:Last>ENISA</b:Last>
          </b:Person>
        </b:NameList>
      </b:Author>
    </b:Author>
    <b:RefOrder>9</b:RefOrder>
  </b:Source>
  <b:Source>
    <b:Tag>Pal23</b:Tag>
    <b:SourceType>Report</b:SourceType>
    <b:Guid>{6C3BAF0C-29FA-4FC9-9173-DA026027E7E0}</b:Guid>
    <b:Author>
      <b:Author>
        <b:NameList>
          <b:Person>
            <b:Last>Palo Alto Networks</b:Last>
          </b:Person>
        </b:NameList>
      </b:Author>
    </b:Author>
    <b:Title>SOAR and Zero Trust Integration Whitepaper</b:Title>
    <b:Year>2023</b:Year>
    <b:RefOrder>10</b:RefOrder>
  </b:Source>
  <b:Source>
    <b:Tag>IBM23</b:Tag>
    <b:SourceType>Report</b:SourceType>
    <b:Guid>{8A8FF767-6C29-46EB-9B56-C346F32BD13E}</b:Guid>
    <b:Author>
      <b:Author>
        <b:NameList>
          <b:Person>
            <b:Last>Security</b:Last>
            <b:First>IBM</b:First>
          </b:Person>
        </b:NameList>
      </b:Author>
    </b:Author>
    <b:Title> Cost of a Data Breach Report</b:Title>
    <b:Year>2023</b:Year>
    <b:RefOrder>11</b:RefOrder>
  </b:Source>
  <b:Source>
    <b:Tag>PwC22</b:Tag>
    <b:SourceType>Report</b:SourceType>
    <b:Guid>{CB371661-B182-4A73-8795-5612E66B8CFB}</b:Guid>
    <b:Author>
      <b:Author>
        <b:NameList>
          <b:Person>
            <b:Last>PwC</b:Last>
          </b:Person>
        </b:NameList>
      </b:Author>
    </b:Author>
    <b:Title>“Zero Trust: A Strategy, Not a Product,” Cybersecurity Insights</b:Title>
    <b:Year>2022</b:Year>
    <b:RefOrder>12</b:RefOrder>
  </b:Source>
  <b:Source>
    <b:Tag>USC21</b:Tag>
    <b:SourceType>Report</b:SourceType>
    <b:Guid>{A6944CB2-840D-4F3F-A63C-B506FD095623}</b:Guid>
    <b:Author>
      <b:Author>
        <b:NameList>
          <b:Person>
            <b:Last>(CISA)</b:Last>
            <b:First>U.S.</b:First>
            <b:Middle>Cybersecurity and Infrastructure Security Agency</b:Middle>
          </b:Person>
        </b:NameList>
      </b:Author>
    </b:Author>
    <b:Title> Colonial Pipeline Incident Analysis</b:Title>
    <b:Year>2021</b:Year>
    <b:RefOrder>13</b:RefOrder>
  </b:Source>
  <b:Source>
    <b:Tag>Ver23</b:Tag>
    <b:SourceType>Report</b:SourceType>
    <b:Guid>{18B7BEF9-B722-4107-AEF4-5154491B5C02}</b:Guid>
    <b:Author>
      <b:Author>
        <b:NameList>
          <b:Person>
            <b:Last>Verizon</b:Last>
          </b:Person>
        </b:NameList>
      </b:Author>
    </b:Author>
    <b:Title>Data Breach Investigations Report</b:Title>
    <b:Year>2023</b:Year>
    <b:RefOrder>14</b:RefOrder>
  </b:Source>
  <b:Source>
    <b:Tag>Eur221</b:Tag>
    <b:SourceType>Report</b:SourceType>
    <b:Guid>{F8E232F6-8878-47E5-AB9D-DB049F5E7E41}</b:Guid>
    <b:Author>
      <b:Author>
        <b:NameList>
          <b:Person>
            <b:Last>Commission</b:Last>
            <b:First>European</b:First>
          </b:Person>
        </b:NameList>
      </b:Author>
    </b:Author>
    <b:Title> NIS2 Directive Overview</b:Title>
    <b:Year>2022</b:Year>
    <b:RefOrder>15</b:RefOrder>
  </b:Source>
  <b:Source>
    <b:Tag>NIS24</b:Tag>
    <b:SourceType>Report</b:SourceType>
    <b:Guid>{D7CF51A7-C3F8-47BC-924E-C024152727D6}</b:Guid>
    <b:Author>
      <b:Author>
        <b:NameList>
          <b:Person>
            <b:Last>NIST</b:Last>
          </b:Person>
        </b:NameList>
      </b:Author>
    </b:Author>
    <b:Title> Cybersecurity Framework 2.0</b:Title>
    <b:Year>2024</b:Year>
    <b:RefOrder>16</b:RefOrder>
  </b:Source>
</b:Sources>
</file>

<file path=customXml/itemProps1.xml><?xml version="1.0" encoding="utf-8"?>
<ds:datastoreItem xmlns:ds="http://schemas.openxmlformats.org/officeDocument/2006/customXml" ds:itemID="{A7313A7C-7174-485B-BB22-CC383B5DBB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C016D3-5F83-4C01-BA88-E1D585A3941E}">
  <ds:schemaRefs>
    <ds:schemaRef ds:uri="http://schemas.microsoft.com/sharepoint/v3/contenttype/forms"/>
  </ds:schemaRefs>
</ds:datastoreItem>
</file>

<file path=customXml/itemProps3.xml><?xml version="1.0" encoding="utf-8"?>
<ds:datastoreItem xmlns:ds="http://schemas.openxmlformats.org/officeDocument/2006/customXml" ds:itemID="{849B95D0-2B2F-4F89-B8AD-AC7B14814F39}">
  <ds:schemaRefs>
    <ds:schemaRef ds:uri="http://schemas.microsoft.com/office/2006/documentManagement/types"/>
    <ds:schemaRef ds:uri="0085e1a2-9cbf-4b92-866b-21f3c89040b6"/>
    <ds:schemaRef ds:uri="http://purl.org/dc/elements/1.1/"/>
    <ds:schemaRef ds:uri="http://schemas.microsoft.com/office/infopath/2007/PartnerControls"/>
    <ds:schemaRef ds:uri="http://purl.org/dc/terms/"/>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814FE99E-003C-4739-A174-4B284EED6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18</Pages>
  <Words>5652</Words>
  <Characters>32223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Miles (2404521)</dc:creator>
  <cp:keywords/>
  <dc:description/>
  <cp:lastModifiedBy>Aaron Miles (2404521)</cp:lastModifiedBy>
  <cp:revision>5</cp:revision>
  <dcterms:created xsi:type="dcterms:W3CDTF">2026-01-05T10:10:00Z</dcterms:created>
  <dcterms:modified xsi:type="dcterms:W3CDTF">2026-01-05T12:18:00Z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