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2">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6">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C">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E">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A">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E">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0">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1">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2">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4">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A">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B">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Executive Summary</w:t>
      </w:r>
    </w:p>
    <w:p w:rsidR="00000000" w:rsidDel="00000000" w:rsidP="00000000" w:rsidRDefault="00000000" w:rsidRPr="00000000" w14:paraId="0000003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Organisational structure, culture, change initiatives, strategic direction, and improvement recommendations are the main topics covered in this report's analysis of Hyatt Hotels Corporation. Aligned with Mintzberg's organisational model, Hyatt's hierarchical structure allows consistent operations across its worldwide network and simplified decision-making. Stability and adaptability to different markets are guaranteed by the corporate culture's combination of task and role orientations. Within the theoretical frameworks of Handy and Schein, this cultural approach cultivates a consistent brand identity that encourages employee participation and improves the customer service they receive. </w:t>
        <w:br w:type="textWrapping"/>
        <w:t xml:space="preserve">Hyatt has made many changes recently, especially in the areas of sustainability and digital transformation, so that they can stay competitive and meet the changing expectations of their consumers. Problems like staff pushbacks and lack of uniformity across properties persist, but overall, these initiatives have increased operational efficiency and satisfied customers. Using frameworks such as SWOT, PESTLE, and Porter's Five Forces, strategic studies shed light on Hyatt's competitive advantages and areas that require adjustment to meet market demands.</w:t>
      </w:r>
    </w:p>
    <w:p w:rsidR="00000000" w:rsidDel="00000000" w:rsidP="00000000" w:rsidRDefault="00000000" w:rsidRPr="00000000" w14:paraId="0000003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the report's last recommendations, Hyatt is advised to improve its digital personalisation initiatives, sustainability practices, and market position by incorporating culturally immersive experiences. To strengthen brand loyalty and support long-term growth, these strategies seek to align Hyatt's offerings with current trends in the hospitality industry. </w:t>
        <w:br w:type="textWrapping"/>
      </w:r>
    </w:p>
    <w:p w:rsidR="00000000" w:rsidDel="00000000" w:rsidP="00000000" w:rsidRDefault="00000000" w:rsidRPr="00000000" w14:paraId="0000003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8">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of Contents</w:t>
      </w:r>
    </w:p>
    <w:p w:rsidR="00000000" w:rsidDel="00000000" w:rsidP="00000000" w:rsidRDefault="00000000" w:rsidRPr="00000000" w14:paraId="00000039">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Executive Summary</w:t>
      </w:r>
      <w:r w:rsidDel="00000000" w:rsidR="00000000" w:rsidRPr="00000000">
        <w:rPr>
          <w:rtl w:val="0"/>
        </w:rPr>
      </w:r>
    </w:p>
    <w:p w:rsidR="00000000" w:rsidDel="00000000" w:rsidP="00000000" w:rsidRDefault="00000000" w:rsidRPr="00000000" w14:paraId="0000003A">
      <w:pPr>
        <w:spacing w:line="360" w:lineRule="auto"/>
        <w:ind w:left="720"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Introduction</w:t>
      </w:r>
      <w:r w:rsidDel="00000000" w:rsidR="00000000" w:rsidRPr="00000000">
        <w:rPr>
          <w:rFonts w:ascii="Arial" w:cs="Arial" w:eastAsia="Arial" w:hAnsi="Arial"/>
          <w:sz w:val="24"/>
          <w:szCs w:val="24"/>
          <w:rtl w:val="0"/>
        </w:rPr>
        <w:br w:type="textWrapping"/>
      </w:r>
      <w:r w:rsidDel="00000000" w:rsidR="00000000" w:rsidRPr="00000000">
        <w:rPr>
          <w:rFonts w:ascii="Arial" w:cs="Arial" w:eastAsia="Arial" w:hAnsi="Arial"/>
          <w:b w:val="1"/>
          <w:sz w:val="24"/>
          <w:szCs w:val="24"/>
          <w:rtl w:val="0"/>
        </w:rPr>
        <w:t xml:space="preserve">Organisation Structure, Culture, and Goals</w:t>
      </w:r>
      <w:r w:rsidDel="00000000" w:rsidR="00000000" w:rsidRPr="00000000">
        <w:rPr>
          <w:rtl w:val="0"/>
        </w:rPr>
      </w:r>
    </w:p>
    <w:p w:rsidR="00000000" w:rsidDel="00000000" w:rsidP="00000000" w:rsidRDefault="00000000" w:rsidRPr="00000000" w14:paraId="0000003B">
      <w:pPr>
        <w:spacing w:line="360" w:lineRule="auto"/>
        <w:ind w:left="1440"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3.1 Organisational Structure</w:t>
      </w:r>
      <w:r w:rsidDel="00000000" w:rsidR="00000000" w:rsidRPr="00000000">
        <w:rPr>
          <w:rtl w:val="0"/>
        </w:rPr>
      </w:r>
    </w:p>
    <w:p w:rsidR="00000000" w:rsidDel="00000000" w:rsidP="00000000" w:rsidRDefault="00000000" w:rsidRPr="00000000" w14:paraId="0000003C">
      <w:pPr>
        <w:spacing w:line="360" w:lineRule="auto"/>
        <w:ind w:left="144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3.2 Corporate Culture</w:t>
      </w:r>
    </w:p>
    <w:p w:rsidR="00000000" w:rsidDel="00000000" w:rsidP="00000000" w:rsidRDefault="00000000" w:rsidRPr="00000000" w14:paraId="0000003D">
      <w:pPr>
        <w:spacing w:line="360" w:lineRule="auto"/>
        <w:ind w:left="144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3.3 Corporate and Unit Goals</w:t>
      </w:r>
    </w:p>
    <w:p w:rsidR="00000000" w:rsidDel="00000000" w:rsidP="00000000" w:rsidRDefault="00000000" w:rsidRPr="00000000" w14:paraId="0000003E">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Recent Change Initiatives</w:t>
      </w:r>
      <w:r w:rsidDel="00000000" w:rsidR="00000000" w:rsidRPr="00000000">
        <w:rPr>
          <w:rtl w:val="0"/>
        </w:rPr>
      </w:r>
    </w:p>
    <w:p w:rsidR="00000000" w:rsidDel="00000000" w:rsidP="00000000" w:rsidRDefault="00000000" w:rsidRPr="00000000" w14:paraId="0000003F">
      <w:pPr>
        <w:spacing w:line="360" w:lineRule="auto"/>
        <w:ind w:left="1440"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4.1 Overview of Recent Initiatives</w:t>
      </w:r>
      <w:r w:rsidDel="00000000" w:rsidR="00000000" w:rsidRPr="00000000">
        <w:rPr>
          <w:rtl w:val="0"/>
        </w:rPr>
      </w:r>
    </w:p>
    <w:p w:rsidR="00000000" w:rsidDel="00000000" w:rsidP="00000000" w:rsidRDefault="00000000" w:rsidRPr="00000000" w14:paraId="00000040">
      <w:pPr>
        <w:spacing w:line="360" w:lineRule="auto"/>
        <w:ind w:left="1440"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4.2 Impact of Changes</w:t>
      </w:r>
      <w:r w:rsidDel="00000000" w:rsidR="00000000" w:rsidRPr="00000000">
        <w:rPr>
          <w:rtl w:val="0"/>
        </w:rPr>
      </w:r>
    </w:p>
    <w:p w:rsidR="00000000" w:rsidDel="00000000" w:rsidP="00000000" w:rsidRDefault="00000000" w:rsidRPr="00000000" w14:paraId="00000041">
      <w:pPr>
        <w:spacing w:line="360" w:lineRule="auto"/>
        <w:ind w:left="144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4.3 Evaluation of Change Management</w:t>
      </w:r>
    </w:p>
    <w:p w:rsidR="00000000" w:rsidDel="00000000" w:rsidP="00000000" w:rsidRDefault="00000000" w:rsidRPr="00000000" w14:paraId="00000042">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Strategic Direction</w:t>
      </w:r>
      <w:r w:rsidDel="00000000" w:rsidR="00000000" w:rsidRPr="00000000">
        <w:rPr>
          <w:rtl w:val="0"/>
        </w:rPr>
      </w:r>
    </w:p>
    <w:p w:rsidR="00000000" w:rsidDel="00000000" w:rsidP="00000000" w:rsidRDefault="00000000" w:rsidRPr="00000000" w14:paraId="00000043">
      <w:pPr>
        <w:spacing w:line="360" w:lineRule="auto"/>
        <w:ind w:left="1440"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5.1 Strategic Analysis</w:t>
      </w:r>
      <w:r w:rsidDel="00000000" w:rsidR="00000000" w:rsidRPr="00000000">
        <w:rPr>
          <w:rtl w:val="0"/>
        </w:rPr>
      </w:r>
    </w:p>
    <w:p w:rsidR="00000000" w:rsidDel="00000000" w:rsidP="00000000" w:rsidRDefault="00000000" w:rsidRPr="00000000" w14:paraId="00000044">
      <w:pPr>
        <w:spacing w:line="360" w:lineRule="auto"/>
        <w:ind w:left="1440"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5.2 Long-term Strategy and Vision</w:t>
      </w:r>
      <w:r w:rsidDel="00000000" w:rsidR="00000000" w:rsidRPr="00000000">
        <w:rPr>
          <w:rtl w:val="0"/>
        </w:rPr>
      </w:r>
    </w:p>
    <w:p w:rsidR="00000000" w:rsidDel="00000000" w:rsidP="00000000" w:rsidRDefault="00000000" w:rsidRPr="00000000" w14:paraId="00000045">
      <w:pPr>
        <w:spacing w:line="360" w:lineRule="auto"/>
        <w:ind w:left="144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5.3 Competitive Edge and Sustainability</w:t>
      </w:r>
    </w:p>
    <w:p w:rsidR="00000000" w:rsidDel="00000000" w:rsidP="00000000" w:rsidRDefault="00000000" w:rsidRPr="00000000" w14:paraId="00000046">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Recommendations</w:t>
      </w:r>
      <w:r w:rsidDel="00000000" w:rsidR="00000000" w:rsidRPr="00000000">
        <w:rPr>
          <w:rtl w:val="0"/>
        </w:rPr>
      </w:r>
    </w:p>
    <w:p w:rsidR="00000000" w:rsidDel="00000000" w:rsidP="00000000" w:rsidRDefault="00000000" w:rsidRPr="00000000" w14:paraId="00000047">
      <w:pPr>
        <w:spacing w:line="360" w:lineRule="auto"/>
        <w:ind w:left="1440"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6.1 Improvement Suggestions</w:t>
      </w:r>
      <w:r w:rsidDel="00000000" w:rsidR="00000000" w:rsidRPr="00000000">
        <w:rPr>
          <w:rtl w:val="0"/>
        </w:rPr>
      </w:r>
    </w:p>
    <w:p w:rsidR="00000000" w:rsidDel="00000000" w:rsidP="00000000" w:rsidRDefault="00000000" w:rsidRPr="00000000" w14:paraId="00000048">
      <w:pPr>
        <w:spacing w:line="360" w:lineRule="auto"/>
        <w:ind w:left="144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6.2 Implementation Plan</w:t>
      </w:r>
    </w:p>
    <w:p w:rsidR="00000000" w:rsidDel="00000000" w:rsidP="00000000" w:rsidRDefault="00000000" w:rsidRPr="00000000" w14:paraId="00000049">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Conclusion</w:t>
      </w:r>
      <w:r w:rsidDel="00000000" w:rsidR="00000000" w:rsidRPr="00000000">
        <w:rPr>
          <w:rFonts w:ascii="Arial" w:cs="Arial" w:eastAsia="Arial" w:hAnsi="Arial"/>
          <w:sz w:val="24"/>
          <w:szCs w:val="24"/>
          <w:rtl w:val="0"/>
        </w:rPr>
        <w:br w:type="textWrapping"/>
      </w:r>
    </w:p>
    <w:p w:rsidR="00000000" w:rsidDel="00000000" w:rsidP="00000000" w:rsidRDefault="00000000" w:rsidRPr="00000000" w14:paraId="0000004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D">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Introduction</w:t>
      </w:r>
    </w:p>
    <w:p w:rsidR="00000000" w:rsidDel="00000000" w:rsidP="00000000" w:rsidRDefault="00000000" w:rsidRPr="00000000" w14:paraId="0000004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Famous for its extensive portfolio of five-star hotels and resorts, Hyatt Hotels Corporation is an established worldwide brand in the hospitality industry. Hyatt, which began with a single hotel in Los Angeles in 1957, is now a worldwide chain with properties in more than 60 countries. Park Hyatt, Andaz, and Hyatt Regency are a few of the well-known brands in the company's varied portfolio that serve various types of travellers with a shared dedication to outstanding service (Hyatt Hotels Corporation, 2024). The strategic position of Hyatt within the global hospitality industry is characterised by its consistent expansion into emerging markets, guest-centric approach, and strong brand reputation. </w:t>
        <w:br w:type="textWrapping"/>
        <w:t xml:space="preserve">By analysing Hyatt Hotels Corporation's organisational structure, corporate culture, and strategic objectives, this report will critically evaluate the company as a whole and its units. Along with Hyatt's long-term strategy and competitive positioning, it also assesses recent sustainability and digital transformation change initiatives. The report will draw on pertinent organisational theories to evaluate Hyatt's internal dynamics and offer suggestions to strengthen its competitive advantage and market adaptability. The analysis lays the groundwork for comprehending Hyatt's opportunities and threats in the ever-changing global hospitality industry.</w:t>
      </w:r>
    </w:p>
    <w:p w:rsidR="00000000" w:rsidDel="00000000" w:rsidP="00000000" w:rsidRDefault="00000000" w:rsidRPr="00000000" w14:paraId="0000004F">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0">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Organisation Structure, Culture, and Goals</w:t>
      </w:r>
    </w:p>
    <w:p w:rsidR="00000000" w:rsidDel="00000000" w:rsidP="00000000" w:rsidRDefault="00000000" w:rsidRPr="00000000" w14:paraId="00000051">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Organisational Structure </w:t>
      </w:r>
    </w:p>
    <w:p w:rsidR="00000000" w:rsidDel="00000000" w:rsidP="00000000" w:rsidRDefault="00000000" w:rsidRPr="00000000" w14:paraId="0000005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organisational hierarchy of Hyatt Hotels Corporation aligns with Mintzberg's model, which is characteristic of large, global hotel chains, emphasising centralised management (Mintzberg, 1980). The executive leadership team of Hyatt comprises the CEO and board members tasked with establishing the company's overarching goals and policies to align with its long-term objectives (Mintzberg, 1980; Hyatt Hotels Corporation, 2023). Hyatt maintains consistency and control over its diverse international operations through centralised decision-making. </w:t>
        <w:br w:type="textWrapping"/>
        <w:t xml:space="preserve">Hotel units report to regional and property managers, who serve as intermediaries between corporate headquarters and these units, translating strategic objectives into actionable plans while adapting them to local conditions (Mintzberg, 1980). These managers are essential for aligning the daily operations of all hotels with corporate objectives. The operational core, comprising front-line personnel such as hotel staff interacting directly with guests, is crucial for upholding Hyatt's brand standards across all properties (Mintzberg, 1980; Hyatt Hotels Corporation, 2023). This layered structure facilitates efficiency and consistency across Hyatt's global network while permitting flexibility at the unit level. </w:t>
      </w:r>
    </w:p>
    <w:p w:rsidR="00000000" w:rsidDel="00000000" w:rsidP="00000000" w:rsidRDefault="00000000" w:rsidRPr="00000000" w14:paraId="00000053">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Corporate Culture </w:t>
      </w:r>
    </w:p>
    <w:p w:rsidR="00000000" w:rsidDel="00000000" w:rsidP="00000000" w:rsidRDefault="00000000" w:rsidRPr="00000000" w14:paraId="0000005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Hyatt's corporate culture embodies the blend of role and task systems, similar to the Handy model. Hyatt exemplifies role culture through its structured and bureaucratic methodology, wherein clearly defined roles and standardised procedures are essential to maintaining service consistency across its global locations (Russo et al., 2013). This framework enables Hyatt to uphold high operational regularity, guaranteeing that all properties comply with established standards irrespective of geographic location, a crucial aspect in hospitality chains (Hyatt Hotels Corporation, 2024).</w:t>
      </w:r>
    </w:p>
    <w:p w:rsidR="00000000" w:rsidDel="00000000" w:rsidP="00000000" w:rsidRDefault="00000000" w:rsidRPr="00000000" w14:paraId="0000005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Moreover, Hyatt's establishments cultivate a task-oriented culture to promote teamwork and adaptability, particularly in fast-paced environments where collaboration is necessary for promptly and effectively managing guest requirements (Russo et al., 2013). This dual approach corresponds with Schein’s levels of culture, wherein artefacts—such as brand-specific interior designs and staff uniforms—embody the visible aspects of Hyatt’s identity, espoused values consist of a commitment to consumer satisfaction and hospitality excellence, and underlying assumptions pertain to a dedication to quality service and customer-centric experiences (Schein, 2016). This cultural foundation supports Hyatt's capacity to sustain a unified brand identity and a flexible service model across diverse markets, thereby improving employee engagement and reinforcing the brand's competitive stance (Hyatt Hotels Corporation, 2024). </w:t>
      </w:r>
    </w:p>
    <w:p w:rsidR="00000000" w:rsidDel="00000000" w:rsidP="00000000" w:rsidRDefault="00000000" w:rsidRPr="00000000" w14:paraId="0000005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Corporate and Unit Goals </w:t>
      </w:r>
    </w:p>
    <w:p w:rsidR="00000000" w:rsidDel="00000000" w:rsidP="00000000" w:rsidRDefault="00000000" w:rsidRPr="00000000" w14:paraId="0000005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Hyatt is dedicated to sustainability, innovation, and responsible growth at the corporate level. One of its principal objectives is to attain net-zero emissions and mitigate its environmental impact in accordance with its corporate social responsibility efforts, aligning with industry-wide commitments regarding environmental conservation (Hyatt Hotels Corporation, 2024). This objective illustrates the triple bottom line framework, prioritising equilibrium among profit, social equity, and environmental sustainability (Elkington and Rowlands, 1999).</w:t>
      </w:r>
    </w:p>
    <w:p w:rsidR="00000000" w:rsidDel="00000000" w:rsidP="00000000" w:rsidRDefault="00000000" w:rsidRPr="00000000" w14:paraId="0000005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Individual hotels establish objectives according to corporate expectations and particular market requirements. Each property aims to enhance guest satisfaction scores and boost occupancy rates through localised strategies customised for their distinct customer demographic (Hyatt Hotels Corporation, 2024). Furthermore, these units execute sustainability practices at the operational level, including waste reduction and energy conservation initiatives, which advance Hyatt’s comprehensive environmental goals. This multi-tiered strategy allows Hyatt to achieve global corporate objectives while retaining adaptability to respond to each market's unique needs and opportunities (Hyatt Hotels Corporation, 2024). </w:t>
      </w:r>
    </w:p>
    <w:p w:rsidR="00000000" w:rsidDel="00000000" w:rsidP="00000000" w:rsidRDefault="00000000" w:rsidRPr="00000000" w14:paraId="0000005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Recent Change Initiatives</w:t>
      </w:r>
    </w:p>
    <w:p w:rsidR="00000000" w:rsidDel="00000000" w:rsidP="00000000" w:rsidRDefault="00000000" w:rsidRPr="00000000" w14:paraId="0000005C">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Overview of Recent Initiatives </w:t>
      </w:r>
    </w:p>
    <w:p w:rsidR="00000000" w:rsidDel="00000000" w:rsidP="00000000" w:rsidRDefault="00000000" w:rsidRPr="00000000" w14:paraId="0000005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Hyatt Hotels Corporation has recently executed strategic initiatives focused on sustainability, technological innovation, and operational flexibility to respond to evolving market demands. Hyatt is concentrating on environmental sustainability by committing to diminish its ecological footprint via energy-efficient retrofits, waste minimisation, and resource management strategies (Hyatt Hotels Corporation, 2023). This commitment corresponds with the hospitality industry's broader response to customer demand for environmentally friendly procedures and regulations (Jones et al., 2014).</w:t>
      </w:r>
    </w:p>
    <w:p w:rsidR="00000000" w:rsidDel="00000000" w:rsidP="00000000" w:rsidRDefault="00000000" w:rsidRPr="00000000" w14:paraId="0000005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Hyatt has made substantial investments in digital technology, launching a mobile application that facilitates contactless check-in, room entry, and virtual customer service (Hyatt Hotels Corporation, 2024). Studies indicate that digital innovations are essential for improving the guest experience and fulfilling contemporary consumer demands for convenience (Pencarelli, 2020). Hyatt has revised its policies to offer flexible booking options and improved health protocols, strategically addressing post-pandemic changes in traveller expectations and emphasising health safety and adaptability (Suri, 2023). </w:t>
      </w:r>
    </w:p>
    <w:p w:rsidR="00000000" w:rsidDel="00000000" w:rsidP="00000000" w:rsidRDefault="00000000" w:rsidRPr="00000000" w14:paraId="0000005F">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0">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Impact of Changes </w:t>
      </w:r>
    </w:p>
    <w:p w:rsidR="00000000" w:rsidDel="00000000" w:rsidP="00000000" w:rsidRDefault="00000000" w:rsidRPr="00000000" w14:paraId="0000006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Hyatt's sustainability initiatives have implemented significant operational modifications, necessitating each hotel to embrace resource-efficient practices, such as energy conservation and waste minimisation. These modifications align with Lewin’s Change Management Model, specifically, the unfreezing stage, wherein Hyatt has acknowledged external regulatory pressures and the competitive necessity to exhibit environmental responsibility (Diaz-Iglesias et al., 2021). Critics contend that large hotel chains such as Hyatt frequently prioritise profit over authentic environmental stewardship, suggesting that their sustainability initiatives may lack the requisite depth for substantial impact (Kasim, 2007).</w:t>
      </w:r>
    </w:p>
    <w:p w:rsidR="00000000" w:rsidDel="00000000" w:rsidP="00000000" w:rsidRDefault="00000000" w:rsidRPr="00000000" w14:paraId="0000006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Hyatt's digital transformations have significantly enhanced operational efficiency and customer satisfaction. Innovative app-based services, including digital check-in and room access, diminish conventional front-desk interactions and optimise operations, allowing staff to devote increased time to guest engagement (Hyejo and Jeong, 2022). Nonetheless, rapid technological integration frequently results in employee resistance, particularly when technological training is inadequate (Jalo and Pirkkalainen, 2024). Although Hyatt's technological initiatives align with industry trends, it remains uncertain whether their implementation sufficiently supports employees and guests, as research suggests that inadequate training can compromise service quality (Buhalis &amp; Sinarta, 2019). </w:t>
        <w:br w:type="textWrapping"/>
        <w:t xml:space="preserve">Moreover, the policy modifications regarding booking flexibility and health protocols demonstrate Hyatt's recognition of evolving consumer priorities. Research indicates that brands that demonstrate customer-centric policies improve customer loyalty, particularly during disruptive events such as the COVID-19 pandemic (Bonfanti et al., 2021). Despite the value of Hyatt's adaptations, some contend that they may insufficiently differentiate the brand in a highly competitive marketplace, as major competitors have implemented similar policies, thereby reducing Hyatt's potential for competitive distinction (Dahlke, 2002). </w:t>
      </w:r>
    </w:p>
    <w:p w:rsidR="00000000" w:rsidDel="00000000" w:rsidP="00000000" w:rsidRDefault="00000000" w:rsidRPr="00000000" w14:paraId="00000063">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Evaluation of Change Management </w:t>
      </w:r>
    </w:p>
    <w:p w:rsidR="00000000" w:rsidDel="00000000" w:rsidP="00000000" w:rsidRDefault="00000000" w:rsidRPr="00000000" w14:paraId="0000006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Hyatt's change management strategy supports communication and employee involvement to alleviate resistance. Lewin's refreezing stage asserts that successful change management requires stakeholder involvement and continuous support to institutionalise new practices (Hassan, 2018). Hyatt has established a systematic communication strategy that includes training programs on digital tools and sustainability practices, which research suggests is essential for minimising employee resistance (Kotter, 2012). The effectiveness of Hyatt's training methodology requires further investigation, as hospitality staff often report feelings of inadequacy in adapting to rapid technological changes (Buhalis &amp; Sinarta, 2019).</w:t>
      </w:r>
    </w:p>
    <w:p w:rsidR="00000000" w:rsidDel="00000000" w:rsidP="00000000" w:rsidRDefault="00000000" w:rsidRPr="00000000" w14:paraId="0000006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Moreover, Hyatt's comprehensive change process aligns with best practices in organisational behaviour, emphasising the significance of transparent communication and feedback for facilitating smooth transitions (Oreg et al., 2011). The level of engagement varies among properties, with some hotels struggling to fully comply with corporate directives, highlighting the challenges of uniform implementation within decentralised structures. This variability may undermine the consistency and effectiveness of Hyatt's change initiatives, potentially impacting guest experiences and employee morale across different regions (Oreg et al., 2011). </w:t>
      </w:r>
    </w:p>
    <w:p w:rsidR="00000000" w:rsidDel="00000000" w:rsidP="00000000" w:rsidRDefault="00000000" w:rsidRPr="00000000" w14:paraId="0000006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Strategic Direction</w:t>
      </w:r>
    </w:p>
    <w:p w:rsidR="00000000" w:rsidDel="00000000" w:rsidP="00000000" w:rsidRDefault="00000000" w:rsidRPr="00000000" w14:paraId="00000068">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Strategic Analysis </w:t>
      </w:r>
    </w:p>
    <w:p w:rsidR="00000000" w:rsidDel="00000000" w:rsidP="00000000" w:rsidRDefault="00000000" w:rsidRPr="00000000" w14:paraId="0000006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Hyatt Hotels Corporation operates in a highly competitive and dynamic hospitality industry, requiring ongoing strategic assessment to maintain its market position. As revealed by a SWOT analysis, Hyatt's key strengths include its global brand reputation, exceptional service quality, and an extensive portfolio of luxury hotels, which set it apart in the upscale and luxury market segments (Hyatt Hotels Corporation, 2024). However, its relatively small size compared to industry giants like Marriott and Hilton may be viewed as a drawback, limiting Hyatt's market penetration and brand visibility (Foroudi, 2019). </w:t>
        <w:br w:type="textWrapping"/>
        <w:t xml:space="preserve">Hyatt's primary opportunities lie in improving its footprint in emerging markets and capitalising on consumer trends favouring sustainable and wellness-oriented accommodations (Jones et al., 2014). The increasing demand for sustainable practices offers a growth opportunity for Hyatt, aligning with its commitment to environmental stewardship. However, challenges, including economic recessions, global crises (e.g., COVID-19), and evolving consumer expectations, impose constraints on profitability and adaptability (Maggon and Chaudhry, 2015). A PESTLE analysis highlights the regulatory challenges facing Hyatt, particularly in regions with stringent environmental and labour regulations. The economic volatility and advancements in AI and digital services pose risks and opportunities for Hyatt to improve customer service and operational efficiency (Dahlke, 2002). </w:t>
      </w:r>
    </w:p>
    <w:p w:rsidR="00000000" w:rsidDel="00000000" w:rsidP="00000000" w:rsidRDefault="00000000" w:rsidRPr="00000000" w14:paraId="0000006A">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Long-term Strategy and Vision </w:t>
      </w:r>
    </w:p>
    <w:p w:rsidR="00000000" w:rsidDel="00000000" w:rsidP="00000000" w:rsidRDefault="00000000" w:rsidRPr="00000000" w14:paraId="0000006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Hyatt's mission, "to care for people so they can be their best," demonstrates a dedication to customer-centricity and corresponds with its long-term objective of becoming a global hospitality leader by fostering significant guest experiences (Hyatt Hotels Corporation, 2024). This mission propels Hyatt's strategic objectives in employee engagement, customer satisfaction, and brand differentiation, especially within the luxury and lifestyle sectors. Hyatt seeks to improve its brand identity as a premium, customer-centric chain by prioritising service and care.</w:t>
      </w:r>
    </w:p>
    <w:p w:rsidR="00000000" w:rsidDel="00000000" w:rsidP="00000000" w:rsidRDefault="00000000" w:rsidRPr="00000000" w14:paraId="0000006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Porter’s Five Forces framework underscores Hyatt’s strategic emphasis in the luxury sector, characterised by intense competitive rivalry yet bolstered by robust brand loyalty (Porter, 1998). The significant bargaining power of buyers, particularly in the business and luxury sectors, requires a differentiation strategy, which Hyatt fulfils through exclusive amenities and tailored services. The Boston Matrix classifies Hyatt’s luxury and lifestyle brands as “stars” because of their growth potential in the upscale market. At the same time, its smaller economy offerings are deemed “question marks,” indicating uncertain long-term viability (Mintzberg, 1980). </w:t>
      </w:r>
    </w:p>
    <w:p w:rsidR="00000000" w:rsidDel="00000000" w:rsidP="00000000" w:rsidRDefault="00000000" w:rsidRPr="00000000" w14:paraId="0000006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Competitive Edge and Sustainability </w:t>
      </w:r>
    </w:p>
    <w:p w:rsidR="00000000" w:rsidDel="00000000" w:rsidP="00000000" w:rsidRDefault="00000000" w:rsidRPr="00000000" w14:paraId="0000006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Hyatt has strategically established itself to sustain a competitive advantage by prioritising quality service and pioneering hospitality solutions. Hyatt distinguishes itself from competitors by prioritising customer experience and customising services for luxury and business travellers. It offers a high degree of personalisation and boutique-style amenities, enhancing brand loyalty (Wu and Gao, 2019). Nonetheless, its competitive positioning necessitates adapting to industry trends, especially as competing chains broaden their presence and launch analogous luxury products.</w:t>
      </w:r>
    </w:p>
    <w:p w:rsidR="00000000" w:rsidDel="00000000" w:rsidP="00000000" w:rsidRDefault="00000000" w:rsidRPr="00000000" w14:paraId="0000007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Hyatt's sustainability initiatives are integral to its enduring competitiveness, as sustainability increasingly affects consumer choices (Jones et al., 2014). Hyatt's "World of Care" initiative aims to mitigate environmental impacts throughout its operations, aligning with global sustainability objectives and augmenting its brand attractiveness to eco-conscious travellers. Critics contend that although these initiatives are praiseworthy, large chains frequently encounter difficulties executing significant environmental modifications uniformly across their properties, doubting the depth and consistency of Hyatt's sustainability practices (Kasim, 2007). </w:t>
      </w:r>
    </w:p>
    <w:p w:rsidR="00000000" w:rsidDel="00000000" w:rsidP="00000000" w:rsidRDefault="00000000" w:rsidRPr="00000000" w14:paraId="00000071">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Recommendations</w:t>
      </w:r>
    </w:p>
    <w:p w:rsidR="00000000" w:rsidDel="00000000" w:rsidP="00000000" w:rsidRDefault="00000000" w:rsidRPr="00000000" w14:paraId="00000072">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Improvement Suggestions </w:t>
      </w:r>
    </w:p>
    <w:p w:rsidR="00000000" w:rsidDel="00000000" w:rsidP="00000000" w:rsidRDefault="00000000" w:rsidRPr="00000000" w14:paraId="0000007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Several recommendations are suggested to fortify Hyatt's market position and augment its service offerings. Hyatt should enhance its digital transformation by investing in advanced technologies, including AI-driven guest personalisation and predictive analytics, to customise services according to individual guest preferences (Pencarelli, 2020). This can elevate the guest experience by anticipating needs and providing tailored recommendations, enhancing overall satisfaction and loyalty.</w:t>
      </w:r>
    </w:p>
    <w:p w:rsidR="00000000" w:rsidDel="00000000" w:rsidP="00000000" w:rsidRDefault="00000000" w:rsidRPr="00000000" w14:paraId="0000007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Sustainability initiatives must be enhanced through quantifiable, comprehensive strategies, including adopting renewable energy sources and expanding waste-reduction practices, to meet the increasing consumer demand for environmentally responsible alternatives (Hariram et al., 2023). Finally, Hyatt can enhance brand values by incorporating cultural and wellness-oriented experiences into its offerings, aligning with trends in experiential travel. Providing distinctive, locally influenced experiences will distinguish Hyatt in the luxury sector, appealing to guests desiring significant, immersive accommodations (Dahlke, 2002). </w:t>
      </w:r>
    </w:p>
    <w:p w:rsidR="00000000" w:rsidDel="00000000" w:rsidP="00000000" w:rsidRDefault="00000000" w:rsidRPr="00000000" w14:paraId="00000075">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Implementation Plan </w:t>
      </w:r>
    </w:p>
    <w:p w:rsidR="00000000" w:rsidDel="00000000" w:rsidP="00000000" w:rsidRDefault="00000000" w:rsidRPr="00000000" w14:paraId="0000007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Hyatt should designate specialised teams for digital transformation, sustainability, and guest experience to execute these recommendations. During a 12- to 18-month timeframe, these teams will implement the initiatives, allocate resources for personnel training, and establish clear KPIs to assess progress, ensuring alignment with corporate objectives (Kotter, 2012).</w:t>
      </w:r>
    </w:p>
    <w:p w:rsidR="00000000" w:rsidDel="00000000" w:rsidP="00000000" w:rsidRDefault="00000000" w:rsidRPr="00000000" w14:paraId="00000077">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Conclusion</w:t>
      </w:r>
    </w:p>
    <w:p w:rsidR="00000000" w:rsidDel="00000000" w:rsidP="00000000" w:rsidRDefault="00000000" w:rsidRPr="00000000" w14:paraId="0000007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summary, Hyatt Hotels Corporation's organisational hierarchy and robust corporate culture centred on role and task orientation support its operational consistency and adaptability in global markets. Recent sustainability and digital transformation initiatives have improved operational efficiency and guest experience; however, challenges persist in achieving uniform adoption and differentiation within a competitive sector. Strategic analyses employing SWOT, PESTLE, and Porter’s Five Forces reveal Hyatt’s competitive advantages and the necessity for ongoing adaptation to changing consumer and environmental requirements.</w:t>
      </w:r>
    </w:p>
    <w:p w:rsidR="00000000" w:rsidDel="00000000" w:rsidP="00000000" w:rsidRDefault="00000000" w:rsidRPr="00000000" w14:paraId="0000007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Implementing recommendations centred on enhanced digital personalisation, fortified sustainability practices, and culturally immersive guest experiences will likely strengthen Hyatt's position in the industry. These initiatives may augment Hyatt's brand allure, aligning with consumer inclinations for personalisation and sustainability, fortifying its competitive position and facilitating sustained growth in the luxury hospitality industry. </w:t>
      </w:r>
    </w:p>
    <w:p w:rsidR="00000000" w:rsidDel="00000000" w:rsidP="00000000" w:rsidRDefault="00000000" w:rsidRPr="00000000" w14:paraId="0000007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br w:type="textWrapping"/>
      </w:r>
    </w:p>
    <w:p w:rsidR="00000000" w:rsidDel="00000000" w:rsidP="00000000" w:rsidRDefault="00000000" w:rsidRPr="00000000" w14:paraId="0000007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07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Bonfanti, A., Vigolo, V. and Yfantidou, G., 2021. The impact of the Covid-19 pandemic on customer experience design: The hotel managers’ perspective. </w:t>
      </w:r>
      <w:r w:rsidDel="00000000" w:rsidR="00000000" w:rsidRPr="00000000">
        <w:rPr>
          <w:rFonts w:ascii="Arial" w:cs="Arial" w:eastAsia="Arial" w:hAnsi="Arial"/>
          <w:i w:val="1"/>
          <w:sz w:val="24"/>
          <w:szCs w:val="24"/>
          <w:rtl w:val="0"/>
        </w:rPr>
        <w:t xml:space="preserve">International Journal of Hospitality Management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94</w:t>
      </w:r>
      <w:r w:rsidDel="00000000" w:rsidR="00000000" w:rsidRPr="00000000">
        <w:rPr>
          <w:rFonts w:ascii="Arial" w:cs="Arial" w:eastAsia="Arial" w:hAnsi="Arial"/>
          <w:sz w:val="24"/>
          <w:szCs w:val="24"/>
          <w:rtl w:val="0"/>
        </w:rPr>
        <w:t xml:space="preserve">, p.102871. </w:t>
      </w:r>
      <w:hyperlink r:id="rId6">
        <w:r w:rsidDel="00000000" w:rsidR="00000000" w:rsidRPr="00000000">
          <w:rPr>
            <w:rFonts w:ascii="Arial" w:cs="Arial" w:eastAsia="Arial" w:hAnsi="Arial"/>
            <w:color w:val="0563c1"/>
            <w:sz w:val="24"/>
            <w:szCs w:val="24"/>
            <w:u w:val="single"/>
            <w:rtl w:val="0"/>
          </w:rPr>
          <w:t xml:space="preserve">https://doi.org/10.1016/j.ijhm.2021.102871</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F">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Buhalis, D. and Sinarta, Y., 2019. Real-time co-creation and nowness service: lessons from tourism and hospitality. </w:t>
      </w:r>
      <w:r w:rsidDel="00000000" w:rsidR="00000000" w:rsidRPr="00000000">
        <w:rPr>
          <w:rFonts w:ascii="Arial" w:cs="Arial" w:eastAsia="Arial" w:hAnsi="Arial"/>
          <w:i w:val="1"/>
          <w:sz w:val="24"/>
          <w:szCs w:val="24"/>
          <w:rtl w:val="0"/>
        </w:rPr>
        <w:t xml:space="preserve">Journal of Travel &amp; Tourism Marketing</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36</w:t>
      </w:r>
      <w:r w:rsidDel="00000000" w:rsidR="00000000" w:rsidRPr="00000000">
        <w:rPr>
          <w:rFonts w:ascii="Arial" w:cs="Arial" w:eastAsia="Arial" w:hAnsi="Arial"/>
          <w:sz w:val="24"/>
          <w:szCs w:val="24"/>
          <w:rtl w:val="0"/>
        </w:rPr>
        <w:t xml:space="preserve">(5), pp.563-582. </w:t>
      </w:r>
      <w:hyperlink r:id="rId7">
        <w:r w:rsidDel="00000000" w:rsidR="00000000" w:rsidRPr="00000000">
          <w:rPr>
            <w:rFonts w:ascii="Arial" w:cs="Arial" w:eastAsia="Arial" w:hAnsi="Arial"/>
            <w:color w:val="0563c1"/>
            <w:sz w:val="24"/>
            <w:szCs w:val="24"/>
            <w:u w:val="single"/>
            <w:rtl w:val="0"/>
          </w:rPr>
          <w:t xml:space="preserve">https://doi.org/10.1080/10548408.2019.1592059</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0">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DAHLKE, D., 2002. The Experience Economy: Work is Theatre &amp; Every Business a Stage: Goods and Services are No Longer Enough. </w:t>
      </w:r>
      <w:r w:rsidDel="00000000" w:rsidR="00000000" w:rsidRPr="00000000">
        <w:rPr>
          <w:rFonts w:ascii="Arial" w:cs="Arial" w:eastAsia="Arial" w:hAnsi="Arial"/>
          <w:i w:val="1"/>
          <w:sz w:val="24"/>
          <w:szCs w:val="24"/>
          <w:rtl w:val="0"/>
        </w:rPr>
        <w:t xml:space="preserve">Journal of Revenue and Pricing Management, </w:t>
      </w:r>
      <w:r w:rsidDel="00000000" w:rsidR="00000000" w:rsidRPr="00000000">
        <w:rPr>
          <w:rFonts w:ascii="Arial" w:cs="Arial" w:eastAsia="Arial" w:hAnsi="Arial"/>
          <w:b w:val="1"/>
          <w:sz w:val="24"/>
          <w:szCs w:val="24"/>
          <w:rtl w:val="0"/>
        </w:rPr>
        <w:t xml:space="preserve">1</w:t>
      </w:r>
      <w:r w:rsidDel="00000000" w:rsidR="00000000" w:rsidRPr="00000000">
        <w:rPr>
          <w:rFonts w:ascii="Arial" w:cs="Arial" w:eastAsia="Arial" w:hAnsi="Arial"/>
          <w:sz w:val="24"/>
          <w:szCs w:val="24"/>
          <w:rtl w:val="0"/>
        </w:rPr>
        <w:t xml:space="preserve">(1), pp. 90-92. </w:t>
      </w:r>
      <w:hyperlink r:id="rId8">
        <w:r w:rsidDel="00000000" w:rsidR="00000000" w:rsidRPr="00000000">
          <w:rPr>
            <w:rFonts w:ascii="Arial" w:cs="Arial" w:eastAsia="Arial" w:hAnsi="Arial"/>
            <w:color w:val="0563c1"/>
            <w:sz w:val="24"/>
            <w:szCs w:val="24"/>
            <w:u w:val="single"/>
            <w:rtl w:val="0"/>
          </w:rPr>
          <w:t xml:space="preserve">https://www.proquest.com/scholarly-journals/experience-economy-work-is-theatre-every-business/docview/214497134/se-2?accountid=130472</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1">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Diaz-Iglesias, S., Carlos, U.R.J., Blanco-Gonzalez, A. and Orden-Cruz, C., 2021. Theoretical framework for sustainability, corporate social responsibility and change management. </w:t>
      </w:r>
      <w:r w:rsidDel="00000000" w:rsidR="00000000" w:rsidRPr="00000000">
        <w:rPr>
          <w:rFonts w:ascii="Arial" w:cs="Arial" w:eastAsia="Arial" w:hAnsi="Arial"/>
          <w:i w:val="1"/>
          <w:sz w:val="24"/>
          <w:szCs w:val="24"/>
          <w:rtl w:val="0"/>
        </w:rPr>
        <w:t xml:space="preserve">J. Sustain. Sci. Manag</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16</w:t>
      </w:r>
      <w:r w:rsidDel="00000000" w:rsidR="00000000" w:rsidRPr="00000000">
        <w:rPr>
          <w:rFonts w:ascii="Arial" w:cs="Arial" w:eastAsia="Arial" w:hAnsi="Arial"/>
          <w:sz w:val="24"/>
          <w:szCs w:val="24"/>
          <w:rtl w:val="0"/>
        </w:rPr>
        <w:t xml:space="preserve">, pp.315-332. </w:t>
      </w:r>
      <w:hyperlink r:id="rId9">
        <w:r w:rsidDel="00000000" w:rsidR="00000000" w:rsidRPr="00000000">
          <w:rPr>
            <w:rFonts w:ascii="Arial" w:cs="Arial" w:eastAsia="Arial" w:hAnsi="Arial"/>
            <w:color w:val="0563c1"/>
            <w:sz w:val="24"/>
            <w:szCs w:val="24"/>
            <w:u w:val="single"/>
            <w:rtl w:val="0"/>
          </w:rPr>
          <w:t xml:space="preserve">https://www.academia.edu/download/117615020/JSSMV16N6-25.pdf</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2">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ELKINGTON, J. and ROWLANDS, I.H., 1999. [Cannibals with forks: the triple bottom line of 21st-century business]. </w:t>
      </w:r>
      <w:r w:rsidDel="00000000" w:rsidR="00000000" w:rsidRPr="00000000">
        <w:rPr>
          <w:rFonts w:ascii="Arial" w:cs="Arial" w:eastAsia="Arial" w:hAnsi="Arial"/>
          <w:i w:val="1"/>
          <w:sz w:val="24"/>
          <w:szCs w:val="24"/>
          <w:rtl w:val="0"/>
        </w:rPr>
        <w:t xml:space="preserve">Alternatives Journal, </w:t>
      </w:r>
      <w:r w:rsidDel="00000000" w:rsidR="00000000" w:rsidRPr="00000000">
        <w:rPr>
          <w:rFonts w:ascii="Arial" w:cs="Arial" w:eastAsia="Arial" w:hAnsi="Arial"/>
          <w:b w:val="1"/>
          <w:sz w:val="24"/>
          <w:szCs w:val="24"/>
          <w:rtl w:val="0"/>
        </w:rPr>
        <w:t xml:space="preserve">25</w:t>
      </w:r>
      <w:r w:rsidDel="00000000" w:rsidR="00000000" w:rsidRPr="00000000">
        <w:rPr>
          <w:rFonts w:ascii="Arial" w:cs="Arial" w:eastAsia="Arial" w:hAnsi="Arial"/>
          <w:sz w:val="24"/>
          <w:szCs w:val="24"/>
          <w:rtl w:val="0"/>
        </w:rPr>
        <w:t xml:space="preserve">(4), pp. 42-43. </w:t>
      </w:r>
      <w:hyperlink r:id="rId10">
        <w:r w:rsidDel="00000000" w:rsidR="00000000" w:rsidRPr="00000000">
          <w:rPr>
            <w:rFonts w:ascii="Arial" w:cs="Arial" w:eastAsia="Arial" w:hAnsi="Arial"/>
            <w:color w:val="0563c1"/>
            <w:sz w:val="24"/>
            <w:szCs w:val="24"/>
            <w:u w:val="single"/>
            <w:rtl w:val="0"/>
          </w:rPr>
          <w:t xml:space="preserve">https://www.proquest.com/scholarly-journals/cannibals-with-forks-triple-bottom-line-21st/docview/218750101/se-2?accountid=130472</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3">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Foroudi, P., 2019. Influence of brand signature, brand awareness, brand attitude, brand reputation on hotel industry’s brand performance. </w:t>
      </w:r>
      <w:r w:rsidDel="00000000" w:rsidR="00000000" w:rsidRPr="00000000">
        <w:rPr>
          <w:rFonts w:ascii="Arial" w:cs="Arial" w:eastAsia="Arial" w:hAnsi="Arial"/>
          <w:i w:val="1"/>
          <w:sz w:val="24"/>
          <w:szCs w:val="24"/>
          <w:rtl w:val="0"/>
        </w:rPr>
        <w:t xml:space="preserve">International journal of hospitality management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76</w:t>
      </w:r>
      <w:r w:rsidDel="00000000" w:rsidR="00000000" w:rsidRPr="00000000">
        <w:rPr>
          <w:rFonts w:ascii="Arial" w:cs="Arial" w:eastAsia="Arial" w:hAnsi="Arial"/>
          <w:sz w:val="24"/>
          <w:szCs w:val="24"/>
          <w:rtl w:val="0"/>
        </w:rPr>
        <w:t xml:space="preserve">, pp.271-285. </w:t>
      </w:r>
      <w:hyperlink r:id="rId11">
        <w:r w:rsidDel="00000000" w:rsidR="00000000" w:rsidRPr="00000000">
          <w:rPr>
            <w:rFonts w:ascii="Arial" w:cs="Arial" w:eastAsia="Arial" w:hAnsi="Arial"/>
            <w:color w:val="0563c1"/>
            <w:sz w:val="24"/>
            <w:szCs w:val="24"/>
            <w:u w:val="single"/>
            <w:rtl w:val="0"/>
          </w:rPr>
          <w:t xml:space="preserve">https://doi.org/10.1016/j.ijhm.2018.05.016</w:t>
        </w:r>
      </w:hyperlink>
      <w:r w:rsidDel="00000000" w:rsidR="00000000" w:rsidRPr="00000000">
        <w:rPr>
          <w:rtl w:val="0"/>
        </w:rPr>
      </w:r>
    </w:p>
    <w:p w:rsidR="00000000" w:rsidDel="00000000" w:rsidP="00000000" w:rsidRDefault="00000000" w:rsidRPr="00000000" w14:paraId="00000084">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Hariram, N.P., Mekha, K.B., Suganthan, V. and Sudhakar, K., 2023. Sustainalism: An integrated socio-economic-environmental model to address sustainable development and sustainability. </w:t>
      </w:r>
      <w:r w:rsidDel="00000000" w:rsidR="00000000" w:rsidRPr="00000000">
        <w:rPr>
          <w:rFonts w:ascii="Arial" w:cs="Arial" w:eastAsia="Arial" w:hAnsi="Arial"/>
          <w:i w:val="1"/>
          <w:sz w:val="24"/>
          <w:szCs w:val="24"/>
          <w:rtl w:val="0"/>
        </w:rPr>
        <w:t xml:space="preserve">Sustainability</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15</w:t>
      </w:r>
      <w:r w:rsidDel="00000000" w:rsidR="00000000" w:rsidRPr="00000000">
        <w:rPr>
          <w:rFonts w:ascii="Arial" w:cs="Arial" w:eastAsia="Arial" w:hAnsi="Arial"/>
          <w:sz w:val="24"/>
          <w:szCs w:val="24"/>
          <w:rtl w:val="0"/>
        </w:rPr>
        <w:t xml:space="preserve">(13), p.10682. </w:t>
      </w:r>
      <w:hyperlink r:id="rId12">
        <w:r w:rsidDel="00000000" w:rsidR="00000000" w:rsidRPr="00000000">
          <w:rPr>
            <w:rFonts w:ascii="Arial" w:cs="Arial" w:eastAsia="Arial" w:hAnsi="Arial"/>
            <w:color w:val="0563c1"/>
            <w:sz w:val="24"/>
            <w:szCs w:val="24"/>
            <w:u w:val="single"/>
            <w:rtl w:val="0"/>
          </w:rPr>
          <w:t xml:space="preserve">https://doi.org/10.3390/su151310682</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5">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Hassan, A.T., 2018. Organisational change management: A literature review. </w:t>
      </w:r>
      <w:r w:rsidDel="00000000" w:rsidR="00000000" w:rsidRPr="00000000">
        <w:rPr>
          <w:rFonts w:ascii="Arial" w:cs="Arial" w:eastAsia="Arial" w:hAnsi="Arial"/>
          <w:i w:val="1"/>
          <w:sz w:val="24"/>
          <w:szCs w:val="24"/>
          <w:rtl w:val="0"/>
        </w:rPr>
        <w:t xml:space="preserve">Available at SSRN 3135770</w:t>
      </w:r>
      <w:r w:rsidDel="00000000" w:rsidR="00000000" w:rsidRPr="00000000">
        <w:rPr>
          <w:rFonts w:ascii="Arial" w:cs="Arial" w:eastAsia="Arial" w:hAnsi="Arial"/>
          <w:sz w:val="24"/>
          <w:szCs w:val="24"/>
          <w:rtl w:val="0"/>
        </w:rPr>
        <w:t xml:space="preserve">.  </w:t>
      </w:r>
      <w:hyperlink r:id="rId13">
        <w:r w:rsidDel="00000000" w:rsidR="00000000" w:rsidRPr="00000000">
          <w:rPr>
            <w:rFonts w:ascii="Arial" w:cs="Arial" w:eastAsia="Arial" w:hAnsi="Arial"/>
            <w:color w:val="0563c1"/>
            <w:sz w:val="24"/>
            <w:szCs w:val="24"/>
            <w:u w:val="single"/>
            <w:rtl w:val="0"/>
          </w:rPr>
          <w:t xml:space="preserve">https://dx.doi.org/10.2139/ssrn.3135770</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6">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Hyatt, 2024. World of Hyatt. </w:t>
      </w:r>
      <w:hyperlink r:id="rId14">
        <w:r w:rsidDel="00000000" w:rsidR="00000000" w:rsidRPr="00000000">
          <w:rPr>
            <w:rFonts w:ascii="Arial" w:cs="Arial" w:eastAsia="Arial" w:hAnsi="Arial"/>
            <w:color w:val="0563c1"/>
            <w:sz w:val="24"/>
            <w:szCs w:val="24"/>
            <w:u w:val="single"/>
            <w:rtl w:val="0"/>
          </w:rPr>
          <w:t xml:space="preserve">https://www.hyatt.com/</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7">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HYEJO, H.S. and JEONG, M., 2022. Redefining luxury service with technology implementation: the impact of technology on guest satisfaction and loyalty in a luxury hotel. </w:t>
      </w:r>
      <w:r w:rsidDel="00000000" w:rsidR="00000000" w:rsidRPr="00000000">
        <w:rPr>
          <w:rFonts w:ascii="Arial" w:cs="Arial" w:eastAsia="Arial" w:hAnsi="Arial"/>
          <w:i w:val="1"/>
          <w:sz w:val="24"/>
          <w:szCs w:val="24"/>
          <w:rtl w:val="0"/>
        </w:rPr>
        <w:t xml:space="preserve">International Journal of Contemporary Hospitality Management, </w:t>
      </w:r>
      <w:r w:rsidDel="00000000" w:rsidR="00000000" w:rsidRPr="00000000">
        <w:rPr>
          <w:rFonts w:ascii="Arial" w:cs="Arial" w:eastAsia="Arial" w:hAnsi="Arial"/>
          <w:b w:val="1"/>
          <w:sz w:val="24"/>
          <w:szCs w:val="24"/>
          <w:rtl w:val="0"/>
        </w:rPr>
        <w:t xml:space="preserve">34</w:t>
      </w:r>
      <w:r w:rsidDel="00000000" w:rsidR="00000000" w:rsidRPr="00000000">
        <w:rPr>
          <w:rFonts w:ascii="Arial" w:cs="Arial" w:eastAsia="Arial" w:hAnsi="Arial"/>
          <w:sz w:val="24"/>
          <w:szCs w:val="24"/>
          <w:rtl w:val="0"/>
        </w:rPr>
        <w:t xml:space="preserve">(4), pp. 1491-1514. </w:t>
      </w:r>
      <w:hyperlink r:id="rId15">
        <w:r w:rsidDel="00000000" w:rsidR="00000000" w:rsidRPr="00000000">
          <w:rPr>
            <w:rFonts w:ascii="Arial" w:cs="Arial" w:eastAsia="Arial" w:hAnsi="Arial"/>
            <w:color w:val="0563c1"/>
            <w:sz w:val="24"/>
            <w:szCs w:val="24"/>
            <w:u w:val="single"/>
            <w:rtl w:val="0"/>
          </w:rPr>
          <w:t xml:space="preserve">https://www.proquest.com/scholarly-journals/redefining-luxury-service-with-technology/docview/2637583309/se-2?accountid=130472</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8">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Jalo, H. and Pirkkalainen, H., 2024. Effect of user resistance on the organisational adoption of extended reality technologies: A mixed methods study. </w:t>
      </w:r>
      <w:r w:rsidDel="00000000" w:rsidR="00000000" w:rsidRPr="00000000">
        <w:rPr>
          <w:rFonts w:ascii="Arial" w:cs="Arial" w:eastAsia="Arial" w:hAnsi="Arial"/>
          <w:i w:val="1"/>
          <w:sz w:val="24"/>
          <w:szCs w:val="24"/>
          <w:rtl w:val="0"/>
        </w:rPr>
        <w:t xml:space="preserve">International Journal of Information Management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75</w:t>
      </w:r>
      <w:r w:rsidDel="00000000" w:rsidR="00000000" w:rsidRPr="00000000">
        <w:rPr>
          <w:rFonts w:ascii="Arial" w:cs="Arial" w:eastAsia="Arial" w:hAnsi="Arial"/>
          <w:sz w:val="24"/>
          <w:szCs w:val="24"/>
          <w:rtl w:val="0"/>
        </w:rPr>
        <w:t xml:space="preserve">, p.102731.  </w:t>
      </w:r>
      <w:hyperlink r:id="rId16">
        <w:r w:rsidDel="00000000" w:rsidR="00000000" w:rsidRPr="00000000">
          <w:rPr>
            <w:rFonts w:ascii="Arial" w:cs="Arial" w:eastAsia="Arial" w:hAnsi="Arial"/>
            <w:color w:val="0563c1"/>
            <w:sz w:val="24"/>
            <w:szCs w:val="24"/>
            <w:u w:val="single"/>
            <w:rtl w:val="0"/>
          </w:rPr>
          <w:t xml:space="preserve">https://doi.org/10.1016/j.ijinfomgt.2023.102731</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9">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JONES, P., HILLIER, D. and COMFORT, D., 2014. Sustainability in the global hotel industry. </w:t>
      </w:r>
      <w:r w:rsidDel="00000000" w:rsidR="00000000" w:rsidRPr="00000000">
        <w:rPr>
          <w:rFonts w:ascii="Arial" w:cs="Arial" w:eastAsia="Arial" w:hAnsi="Arial"/>
          <w:i w:val="1"/>
          <w:sz w:val="24"/>
          <w:szCs w:val="24"/>
          <w:rtl w:val="0"/>
        </w:rPr>
        <w:t xml:space="preserve">International Journal of Contemporary Hospitality Management, </w:t>
      </w:r>
      <w:r w:rsidDel="00000000" w:rsidR="00000000" w:rsidRPr="00000000">
        <w:rPr>
          <w:rFonts w:ascii="Arial" w:cs="Arial" w:eastAsia="Arial" w:hAnsi="Arial"/>
          <w:b w:val="1"/>
          <w:sz w:val="24"/>
          <w:szCs w:val="24"/>
          <w:rtl w:val="0"/>
        </w:rPr>
        <w:t xml:space="preserve">26</w:t>
      </w:r>
      <w:r w:rsidDel="00000000" w:rsidR="00000000" w:rsidRPr="00000000">
        <w:rPr>
          <w:rFonts w:ascii="Arial" w:cs="Arial" w:eastAsia="Arial" w:hAnsi="Arial"/>
          <w:sz w:val="24"/>
          <w:szCs w:val="24"/>
          <w:rtl w:val="0"/>
        </w:rPr>
        <w:t xml:space="preserve">(1), pp. 5-17. </w:t>
      </w:r>
      <w:hyperlink r:id="rId17">
        <w:r w:rsidDel="00000000" w:rsidR="00000000" w:rsidRPr="00000000">
          <w:rPr>
            <w:rFonts w:ascii="Arial" w:cs="Arial" w:eastAsia="Arial" w:hAnsi="Arial"/>
            <w:color w:val="0563c1"/>
            <w:sz w:val="24"/>
            <w:szCs w:val="24"/>
            <w:u w:val="single"/>
            <w:rtl w:val="0"/>
          </w:rPr>
          <w:t xml:space="preserve">https://www.proquest.com/scholarly-journals/sustainability-global-hotel-industry/docview/1467805855/se-2?accountid=130472</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A">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Kasim, A., 2007. Towards a wider adoption of environmental responsibility in the hotel sector. </w:t>
      </w:r>
      <w:r w:rsidDel="00000000" w:rsidR="00000000" w:rsidRPr="00000000">
        <w:rPr>
          <w:rFonts w:ascii="Arial" w:cs="Arial" w:eastAsia="Arial" w:hAnsi="Arial"/>
          <w:i w:val="1"/>
          <w:sz w:val="24"/>
          <w:szCs w:val="24"/>
          <w:rtl w:val="0"/>
        </w:rPr>
        <w:t xml:space="preserve">International journal of hospitality &amp; tourism administration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8</w:t>
      </w:r>
      <w:r w:rsidDel="00000000" w:rsidR="00000000" w:rsidRPr="00000000">
        <w:rPr>
          <w:rFonts w:ascii="Arial" w:cs="Arial" w:eastAsia="Arial" w:hAnsi="Arial"/>
          <w:sz w:val="24"/>
          <w:szCs w:val="24"/>
          <w:rtl w:val="0"/>
        </w:rPr>
        <w:t xml:space="preserve">(2), pp.25-49.  </w:t>
      </w:r>
      <w:hyperlink r:id="rId18">
        <w:r w:rsidDel="00000000" w:rsidR="00000000" w:rsidRPr="00000000">
          <w:rPr>
            <w:rFonts w:ascii="Arial" w:cs="Arial" w:eastAsia="Arial" w:hAnsi="Arial"/>
            <w:color w:val="0563c1"/>
            <w:sz w:val="24"/>
            <w:szCs w:val="24"/>
            <w:u w:val="single"/>
            <w:rtl w:val="0"/>
          </w:rPr>
          <w:t xml:space="preserve">https://doi.org/10.1300/J149v08n02_02</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B">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Kotter, J.P., 2012. Leading Change. with a New Preface by the Author, Harvard Business Review Press, La Vergne. Available from: ProQuest Ebook Central. </w:t>
      </w:r>
      <w:hyperlink r:id="rId19">
        <w:r w:rsidDel="00000000" w:rsidR="00000000" w:rsidRPr="00000000">
          <w:rPr>
            <w:rFonts w:ascii="Arial" w:cs="Arial" w:eastAsia="Arial" w:hAnsi="Arial"/>
            <w:color w:val="0563c1"/>
            <w:sz w:val="24"/>
            <w:szCs w:val="24"/>
            <w:u w:val="single"/>
            <w:rtl w:val="0"/>
          </w:rPr>
          <w:t xml:space="preserve">https://ebookcentral.proquest.com/lib/trinity/detail.action?docID=5182145</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C">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Maggon, M. and Chaudhry, H. (2015) ‘Revisiting Relationship Marketing and Customer Relationship Management in Leading Tourism and Hospitality Journals: Research Trends From 2001 to 2013’, </w:t>
      </w:r>
      <w:r w:rsidDel="00000000" w:rsidR="00000000" w:rsidRPr="00000000">
        <w:rPr>
          <w:rFonts w:ascii="Arial" w:cs="Arial" w:eastAsia="Arial" w:hAnsi="Arial"/>
          <w:i w:val="1"/>
          <w:sz w:val="24"/>
          <w:szCs w:val="24"/>
          <w:rtl w:val="0"/>
        </w:rPr>
        <w:t xml:space="preserve">Journal of Relationship Marketing</w:t>
      </w:r>
      <w:r w:rsidDel="00000000" w:rsidR="00000000" w:rsidRPr="00000000">
        <w:rPr>
          <w:rFonts w:ascii="Arial" w:cs="Arial" w:eastAsia="Arial" w:hAnsi="Arial"/>
          <w:sz w:val="24"/>
          <w:szCs w:val="24"/>
          <w:rtl w:val="0"/>
        </w:rPr>
        <w:t xml:space="preserve">, 14(1), pp. 53–77. </w:t>
      </w:r>
      <w:hyperlink r:id="rId20">
        <w:r w:rsidDel="00000000" w:rsidR="00000000" w:rsidRPr="00000000">
          <w:rPr>
            <w:rFonts w:ascii="Arial" w:cs="Arial" w:eastAsia="Arial" w:hAnsi="Arial"/>
            <w:color w:val="0563c1"/>
            <w:sz w:val="24"/>
            <w:szCs w:val="24"/>
            <w:u w:val="single"/>
            <w:rtl w:val="0"/>
          </w:rPr>
          <w:t xml:space="preserve">https://research-ebsco-com.ezproxy.uwtsd.ac.uk/linkprocessor/plink?id=f0658f11-b060-3f7b-8c62-f2403b728e8c</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D">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Mintzberg, H., 1980. Structure in 5’s: A Synthesis of the Research on Organization Design. </w:t>
      </w:r>
      <w:r w:rsidDel="00000000" w:rsidR="00000000" w:rsidRPr="00000000">
        <w:rPr>
          <w:rFonts w:ascii="Arial" w:cs="Arial" w:eastAsia="Arial" w:hAnsi="Arial"/>
          <w:i w:val="1"/>
          <w:sz w:val="24"/>
          <w:szCs w:val="24"/>
          <w:rtl w:val="0"/>
        </w:rPr>
        <w:t xml:space="preserve">Management Science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26</w:t>
      </w:r>
      <w:r w:rsidDel="00000000" w:rsidR="00000000" w:rsidRPr="00000000">
        <w:rPr>
          <w:rFonts w:ascii="Arial" w:cs="Arial" w:eastAsia="Arial" w:hAnsi="Arial"/>
          <w:sz w:val="24"/>
          <w:szCs w:val="24"/>
          <w:rtl w:val="0"/>
        </w:rPr>
        <w:t xml:space="preserve">(3), 322–341. </w:t>
      </w:r>
      <w:hyperlink r:id="rId21">
        <w:r w:rsidDel="00000000" w:rsidR="00000000" w:rsidRPr="00000000">
          <w:rPr>
            <w:rFonts w:ascii="Arial" w:cs="Arial" w:eastAsia="Arial" w:hAnsi="Arial"/>
            <w:color w:val="0563c1"/>
            <w:sz w:val="24"/>
            <w:szCs w:val="24"/>
            <w:u w:val="single"/>
            <w:rtl w:val="0"/>
          </w:rPr>
          <w:t xml:space="preserve">http://www.jstor.org/stable/2630506</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E">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Oreg, S., Vakola, M., and Armenakis, A., 2011. Change Recipients’ Reactions to Organizational Change: A 60-Year Review of Quantitative Studies. </w:t>
      </w:r>
      <w:r w:rsidDel="00000000" w:rsidR="00000000" w:rsidRPr="00000000">
        <w:rPr>
          <w:rFonts w:ascii="Arial" w:cs="Arial" w:eastAsia="Arial" w:hAnsi="Arial"/>
          <w:i w:val="1"/>
          <w:sz w:val="24"/>
          <w:szCs w:val="24"/>
          <w:rtl w:val="0"/>
        </w:rPr>
        <w:t xml:space="preserve">The Journal of Applied Behavioral Science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47</w:t>
      </w:r>
      <w:r w:rsidDel="00000000" w:rsidR="00000000" w:rsidRPr="00000000">
        <w:rPr>
          <w:rFonts w:ascii="Arial" w:cs="Arial" w:eastAsia="Arial" w:hAnsi="Arial"/>
          <w:sz w:val="24"/>
          <w:szCs w:val="24"/>
          <w:rtl w:val="0"/>
        </w:rPr>
        <w:t xml:space="preserve">(4), 461-524. </w:t>
      </w:r>
      <w:hyperlink r:id="rId22">
        <w:r w:rsidDel="00000000" w:rsidR="00000000" w:rsidRPr="00000000">
          <w:rPr>
            <w:rFonts w:ascii="Arial" w:cs="Arial" w:eastAsia="Arial" w:hAnsi="Arial"/>
            <w:color w:val="0563c1"/>
            <w:sz w:val="24"/>
            <w:szCs w:val="24"/>
            <w:u w:val="single"/>
            <w:rtl w:val="0"/>
          </w:rPr>
          <w:t xml:space="preserve">https://doi-org.ezproxy.uwtsd.ac.uk/10.1177/0021886310396550</w:t>
        </w:r>
      </w:hyperlink>
      <w:r w:rsidDel="00000000" w:rsidR="00000000" w:rsidRPr="00000000">
        <w:rPr>
          <w:rtl w:val="0"/>
        </w:rPr>
      </w:r>
    </w:p>
    <w:p w:rsidR="00000000" w:rsidDel="00000000" w:rsidP="00000000" w:rsidRDefault="00000000" w:rsidRPr="00000000" w14:paraId="0000008F">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Pencarelli, T., 2020. The digital revolution in the travel and tourism industry. </w:t>
      </w:r>
      <w:r w:rsidDel="00000000" w:rsidR="00000000" w:rsidRPr="00000000">
        <w:rPr>
          <w:rFonts w:ascii="Arial" w:cs="Arial" w:eastAsia="Arial" w:hAnsi="Arial"/>
          <w:i w:val="1"/>
          <w:sz w:val="24"/>
          <w:szCs w:val="24"/>
          <w:rtl w:val="0"/>
        </w:rPr>
        <w:t xml:space="preserve">Information Technology &amp; Tourism</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22</w:t>
      </w:r>
      <w:r w:rsidDel="00000000" w:rsidR="00000000" w:rsidRPr="00000000">
        <w:rPr>
          <w:rFonts w:ascii="Arial" w:cs="Arial" w:eastAsia="Arial" w:hAnsi="Arial"/>
          <w:sz w:val="24"/>
          <w:szCs w:val="24"/>
          <w:rtl w:val="0"/>
        </w:rPr>
        <w:t xml:space="preserve">(3), pp.455-476. </w:t>
      </w:r>
      <w:hyperlink r:id="rId23">
        <w:r w:rsidDel="00000000" w:rsidR="00000000" w:rsidRPr="00000000">
          <w:rPr>
            <w:rFonts w:ascii="Arial" w:cs="Arial" w:eastAsia="Arial" w:hAnsi="Arial"/>
            <w:color w:val="0563c1"/>
            <w:sz w:val="24"/>
            <w:szCs w:val="24"/>
            <w:u w:val="single"/>
            <w:rtl w:val="0"/>
          </w:rPr>
          <w:t xml:space="preserve">https://link.springer.com/content/pdf/10.1007/s40558-019-00160-3.pdf</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90">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Porter, M.E., 1998. Competitive Strategy : Techniques for Analyzing Industries and Competitors, Free Press, New York. </w:t>
      </w:r>
      <w:hyperlink r:id="rId24">
        <w:r w:rsidDel="00000000" w:rsidR="00000000" w:rsidRPr="00000000">
          <w:rPr>
            <w:rFonts w:ascii="Arial" w:cs="Arial" w:eastAsia="Arial" w:hAnsi="Arial"/>
            <w:color w:val="0563c1"/>
            <w:sz w:val="24"/>
            <w:szCs w:val="24"/>
            <w:u w:val="single"/>
            <w:rtl w:val="0"/>
          </w:rPr>
          <w:t xml:space="preserve">https://ebookcentral.proquest.com/lib/trinity/detail.action?docID=4934952</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91">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Russo, G. M., Tomei, P. A., Linhares, A. B. J., &amp; Santos, A. M., 2013. Correlation Between Organizational Culture and Compensation Strategies Using Charles Handy’s Typology. </w:t>
      </w:r>
      <w:r w:rsidDel="00000000" w:rsidR="00000000" w:rsidRPr="00000000">
        <w:rPr>
          <w:rFonts w:ascii="Arial" w:cs="Arial" w:eastAsia="Arial" w:hAnsi="Arial"/>
          <w:i w:val="1"/>
          <w:sz w:val="24"/>
          <w:szCs w:val="24"/>
          <w:rtl w:val="0"/>
        </w:rPr>
        <w:t xml:space="preserve">Performance Improvement (International Society for Performance Improvement)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52</w:t>
      </w:r>
      <w:r w:rsidDel="00000000" w:rsidR="00000000" w:rsidRPr="00000000">
        <w:rPr>
          <w:rFonts w:ascii="Arial" w:cs="Arial" w:eastAsia="Arial" w:hAnsi="Arial"/>
          <w:sz w:val="24"/>
          <w:szCs w:val="24"/>
          <w:rtl w:val="0"/>
        </w:rPr>
        <w:t xml:space="preserve">(7), 13–21. </w:t>
      </w:r>
      <w:hyperlink r:id="rId25">
        <w:r w:rsidDel="00000000" w:rsidR="00000000" w:rsidRPr="00000000">
          <w:rPr>
            <w:rFonts w:ascii="Arial" w:cs="Arial" w:eastAsia="Arial" w:hAnsi="Arial"/>
            <w:color w:val="0563c1"/>
            <w:sz w:val="24"/>
            <w:szCs w:val="24"/>
            <w:u w:val="single"/>
            <w:rtl w:val="0"/>
          </w:rPr>
          <w:t xml:space="preserve">https://doi.org/10.1002/pfi.21359</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92">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Schein, E.H., 2016. Organisational Culture and Leadership, John Wiley &amp; Sons, Incorporated </w:t>
      </w:r>
      <w:hyperlink r:id="rId26">
        <w:r w:rsidDel="00000000" w:rsidR="00000000" w:rsidRPr="00000000">
          <w:rPr>
            <w:rFonts w:ascii="Arial" w:cs="Arial" w:eastAsia="Arial" w:hAnsi="Arial"/>
            <w:color w:val="0563c1"/>
            <w:sz w:val="24"/>
            <w:szCs w:val="24"/>
            <w:u w:val="single"/>
            <w:rtl w:val="0"/>
          </w:rPr>
          <w:t xml:space="preserve">https://ebookcentral.proquest.com/lib/trinity/detail.action?docID=4766585</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93">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sz w:val="24"/>
          <w:szCs w:val="24"/>
          <w:rtl w:val="0"/>
        </w:rPr>
        <w:t xml:space="preserve">WU, S. and GAO, Y., 2019. Understanding emotional customer experience and co-creation behaviours in luxury hotels. </w:t>
      </w:r>
      <w:r w:rsidDel="00000000" w:rsidR="00000000" w:rsidRPr="00000000">
        <w:rPr>
          <w:rFonts w:ascii="Arial" w:cs="Arial" w:eastAsia="Arial" w:hAnsi="Arial"/>
          <w:i w:val="1"/>
          <w:sz w:val="24"/>
          <w:szCs w:val="24"/>
          <w:rtl w:val="0"/>
        </w:rPr>
        <w:t xml:space="preserve">International Journal of Contemporary Hospitality Management, </w:t>
      </w:r>
      <w:r w:rsidDel="00000000" w:rsidR="00000000" w:rsidRPr="00000000">
        <w:rPr>
          <w:rFonts w:ascii="Arial" w:cs="Arial" w:eastAsia="Arial" w:hAnsi="Arial"/>
          <w:b w:val="1"/>
          <w:sz w:val="24"/>
          <w:szCs w:val="24"/>
          <w:rtl w:val="0"/>
        </w:rPr>
        <w:t xml:space="preserve">31</w:t>
      </w:r>
      <w:r w:rsidDel="00000000" w:rsidR="00000000" w:rsidRPr="00000000">
        <w:rPr>
          <w:rFonts w:ascii="Arial" w:cs="Arial" w:eastAsia="Arial" w:hAnsi="Arial"/>
          <w:sz w:val="24"/>
          <w:szCs w:val="24"/>
          <w:rtl w:val="0"/>
        </w:rPr>
        <w:t xml:space="preserve">(11), pp. 4247-4275. </w:t>
      </w:r>
      <w:hyperlink r:id="rId27">
        <w:r w:rsidDel="00000000" w:rsidR="00000000" w:rsidRPr="00000000">
          <w:rPr>
            <w:rFonts w:ascii="Arial" w:cs="Arial" w:eastAsia="Arial" w:hAnsi="Arial"/>
            <w:color w:val="0563c1"/>
            <w:sz w:val="24"/>
            <w:szCs w:val="24"/>
            <w:u w:val="single"/>
            <w:rtl w:val="0"/>
          </w:rPr>
          <w:t xml:space="preserve">https://www.proquest.com/scholarly-journals/understanding-emotional-customer-experience-co/docview/2315963245/se-2?accountid=130472</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9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spacing w:line="360" w:lineRule="auto"/>
        <w:jc w:val="both"/>
        <w:rPr>
          <w:rFonts w:ascii="Arial" w:cs="Arial" w:eastAsia="Arial" w:hAnsi="Arial"/>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research-ebsco-com.ezproxy.uwtsd.ac.uk/linkprocessor/plink?id=f0658f11-b060-3f7b-8c62-f2403b728e8c" TargetMode="External"/><Relationship Id="rId22" Type="http://schemas.openxmlformats.org/officeDocument/2006/relationships/hyperlink" Target="https://doi-org.ezproxy.uwtsd.ac.uk/10.1177/0021886310396550" TargetMode="External"/><Relationship Id="rId21" Type="http://schemas.openxmlformats.org/officeDocument/2006/relationships/hyperlink" Target="http://www.jstor.org/stable/2630506" TargetMode="External"/><Relationship Id="rId24" Type="http://schemas.openxmlformats.org/officeDocument/2006/relationships/hyperlink" Target="https://ebookcentral.proquest.com/lib/trinity/detail.action?docID=4934952" TargetMode="External"/><Relationship Id="rId23" Type="http://schemas.openxmlformats.org/officeDocument/2006/relationships/hyperlink" Target="https://link.springer.com/content/pdf/10.1007/s40558-019-00160-3.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ademia.edu/download/117615020/JSSMV16N6-25.pdf" TargetMode="External"/><Relationship Id="rId26" Type="http://schemas.openxmlformats.org/officeDocument/2006/relationships/hyperlink" Target="https://ebookcentral.proquest.com/lib/trinity/detail.action?docID=4766585" TargetMode="External"/><Relationship Id="rId25" Type="http://schemas.openxmlformats.org/officeDocument/2006/relationships/hyperlink" Target="https://doi.org/10.1002/pfi.21359" TargetMode="External"/><Relationship Id="rId27" Type="http://schemas.openxmlformats.org/officeDocument/2006/relationships/hyperlink" Target="https://www.proquest.com/scholarly-journals/understanding-emotional-customer-experience-co/docview/2315963245/se-2?accountid=130472" TargetMode="External"/><Relationship Id="rId5" Type="http://schemas.openxmlformats.org/officeDocument/2006/relationships/styles" Target="styles.xml"/><Relationship Id="rId6" Type="http://schemas.openxmlformats.org/officeDocument/2006/relationships/hyperlink" Target="https://doi.org/10.1016/j.ijhm.2021.102871" TargetMode="External"/><Relationship Id="rId7" Type="http://schemas.openxmlformats.org/officeDocument/2006/relationships/hyperlink" Target="https://doi.org/10.1080/10548408.2019.1592059" TargetMode="External"/><Relationship Id="rId8" Type="http://schemas.openxmlformats.org/officeDocument/2006/relationships/hyperlink" Target="https://www.proquest.com/scholarly-journals/experience-economy-work-is-theatre-every-business/docview/214497134/se-2?accountid=130472" TargetMode="External"/><Relationship Id="rId11" Type="http://schemas.openxmlformats.org/officeDocument/2006/relationships/hyperlink" Target="https://doi.org/10.1016/j.ijhm.2018.05.016" TargetMode="External"/><Relationship Id="rId10" Type="http://schemas.openxmlformats.org/officeDocument/2006/relationships/hyperlink" Target="https://www.proquest.com/scholarly-journals/cannibals-with-forks-triple-bottom-line-21st/docview/218750101/se-2?accountid=130472" TargetMode="External"/><Relationship Id="rId13" Type="http://schemas.openxmlformats.org/officeDocument/2006/relationships/hyperlink" Target="https://dx.doi.org/10.2139/ssrn.3135770" TargetMode="External"/><Relationship Id="rId12" Type="http://schemas.openxmlformats.org/officeDocument/2006/relationships/hyperlink" Target="https://doi.org/10.3390/su151310682" TargetMode="External"/><Relationship Id="rId15" Type="http://schemas.openxmlformats.org/officeDocument/2006/relationships/hyperlink" Target="https://www.proquest.com/scholarly-journals/redefining-luxury-service-with-technology/docview/2637583309/se-2?accountid=130472" TargetMode="External"/><Relationship Id="rId14" Type="http://schemas.openxmlformats.org/officeDocument/2006/relationships/hyperlink" Target="https://www.hyatt.com/" TargetMode="External"/><Relationship Id="rId17" Type="http://schemas.openxmlformats.org/officeDocument/2006/relationships/hyperlink" Target="https://www.proquest.com/scholarly-journals/sustainability-global-hotel-industry/docview/1467805855/se-2?accountid=130472" TargetMode="External"/><Relationship Id="rId16" Type="http://schemas.openxmlformats.org/officeDocument/2006/relationships/hyperlink" Target="https://doi.org/10.1016/j.ijinfomgt.2023.102731" TargetMode="External"/><Relationship Id="rId19" Type="http://schemas.openxmlformats.org/officeDocument/2006/relationships/hyperlink" Target="https://ebookcentral.proquest.com/lib/trinity/detail.action?docID=5182145" TargetMode="External"/><Relationship Id="rId18" Type="http://schemas.openxmlformats.org/officeDocument/2006/relationships/hyperlink" Target="https://doi.org/10.1300/J149v08n02_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