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32B0AE" w14:textId="77777777" w:rsidR="00311CC2" w:rsidRDefault="00000000">
      <w:pPr>
        <w:pStyle w:val="Title"/>
        <w:jc w:val="center"/>
      </w:pPr>
      <w:r>
        <w:t>From Policy Transfer to Contextual Adaptation:</w:t>
      </w:r>
      <w:r>
        <w:br/>
        <w:t>Cybersecurity Skills Ecosystems in the United Kingdom, Lithuania and CARICOM</w:t>
      </w:r>
    </w:p>
    <w:p w14:paraId="06B1007F" w14:textId="15D9B1D9" w:rsidR="00311CC2" w:rsidRDefault="00CB4988">
      <w:pPr>
        <w:jc w:val="center"/>
      </w:pPr>
      <w:r w:rsidRPr="00CB4988">
        <w:rPr>
          <w:b/>
          <w:bCs/>
          <w:lang w:val="en-GB"/>
        </w:rPr>
        <w:t>Devon Rowe</w:t>
      </w:r>
      <w:r w:rsidR="00E52196" w:rsidRPr="00E52196">
        <w:rPr>
          <w:b/>
          <w:bCs/>
          <w:vertAlign w:val="superscript"/>
          <w:lang w:val="en-GB"/>
        </w:rPr>
        <w:t>1</w:t>
      </w:r>
      <w:r w:rsidRPr="00CB4988">
        <w:rPr>
          <w:b/>
          <w:bCs/>
          <w:lang w:val="en-GB"/>
        </w:rPr>
        <w:t>, Carlene Campbell</w:t>
      </w:r>
      <w:r w:rsidR="00E52196" w:rsidRPr="00E52196">
        <w:rPr>
          <w:b/>
          <w:bCs/>
          <w:vertAlign w:val="superscript"/>
          <w:lang w:val="en-GB"/>
        </w:rPr>
        <w:t>2</w:t>
      </w:r>
      <w:r w:rsidRPr="00CB4988">
        <w:rPr>
          <w:b/>
          <w:bCs/>
          <w:lang w:val="en-GB"/>
        </w:rPr>
        <w:t>, (Any other author that add value to the paper)</w:t>
      </w:r>
    </w:p>
    <w:p w14:paraId="5A76E251" w14:textId="77E2CD9B" w:rsidR="00AD67E6" w:rsidRDefault="00E52196" w:rsidP="00AD67E6">
      <w:pPr>
        <w:jc w:val="center"/>
      </w:pPr>
      <w:r w:rsidRPr="00E52196">
        <w:rPr>
          <w:vertAlign w:val="superscript"/>
        </w:rPr>
        <w:t>1</w:t>
      </w:r>
      <w:r>
        <w:t>Caribbean Centre for Development Administration,</w:t>
      </w:r>
      <w:r w:rsidR="00AD67E6">
        <w:t xml:space="preserve"> Barbados.</w:t>
      </w:r>
    </w:p>
    <w:p w14:paraId="1C5D9F64" w14:textId="52F6AC2B" w:rsidR="00E52196" w:rsidRDefault="00E52196" w:rsidP="00AD67E6">
      <w:pPr>
        <w:jc w:val="center"/>
      </w:pPr>
      <w:r w:rsidRPr="00AD67E6">
        <w:rPr>
          <w:vertAlign w:val="superscript"/>
        </w:rPr>
        <w:t>2</w:t>
      </w:r>
      <w:r w:rsidR="00AD67E6" w:rsidRPr="00AD67E6">
        <w:rPr>
          <w:lang w:val="en-GB"/>
        </w:rPr>
        <w:t xml:space="preserve"> University of Wales Trinity Saint David, Swansea, UK</w:t>
      </w:r>
      <w:r w:rsidR="00AD67E6">
        <w:rPr>
          <w:lang w:val="en-GB"/>
        </w:rPr>
        <w:t>.</w:t>
      </w:r>
    </w:p>
    <w:p w14:paraId="4F6CB039" w14:textId="2DB88F49" w:rsidR="00311CC2" w:rsidRDefault="00000000">
      <w:pPr>
        <w:jc w:val="center"/>
      </w:pPr>
      <w:r>
        <w:t>Target journal: Telecommunications Policy | UK English</w:t>
      </w:r>
    </w:p>
    <w:p w14:paraId="17B15B5E" w14:textId="77777777" w:rsidR="00311CC2" w:rsidRDefault="00000000">
      <w:pPr>
        <w:pStyle w:val="Heading1"/>
      </w:pPr>
      <w:r>
        <w:t>Abstract</w:t>
      </w:r>
    </w:p>
    <w:p w14:paraId="0A0AE4C4" w14:textId="77777777" w:rsidR="00311CC2" w:rsidRDefault="00000000">
      <w:pPr>
        <w:jc w:val="both"/>
      </w:pPr>
      <w:r>
        <w:t>Cybersecurity workforce shortages are frequently represented as deficits in the number of qualified professionals. This interpretation is important but incomplete because it does not explain the institutional conditions through which capability is governed, developed, recognised, deployed and reproduced. This study develops a cybersecurity skills ecosystem framework and applies a comparative qualitative documentary analysis to the United Kingdom, Lithuania and the Caribbean Community (CARICOM). Four ecosystem functions are examined: governance and coordination; education, training and assurance; labour-market and industry alignment; and talent-pipeline development and continuity. Policy transfer is then assessed through four qualitative tests: institutional feasibility, resource proportionality, structural compatibility and regional scalability. The comparison shows that workforce-policy mechanisms cannot be separated from labour-market scale, regulatory embeddedness, institutional density and mobility. Rather than copying national institutions, CARICOM requires functional adaptation at a scale compatible with a multi-jurisdictional regional system. Five candidate mechanisms are identified for contextual adaptation: common labour-market intelligence, competency and professional signalling, voluntary quality recognition, work-based transition pathways and a durable coordination function. Their transferability differs and remains conditional on evidence, ownership and implementation capacity. The study contributes an ecosystem interpretation of cybersecurity workforce capability, an explicit framework for context-sensitive policy transfer, and a regional functional-scale proposition for small and fragmented labour markets. For telecommunications and digital-economy policy, the practical implication is that resilience depends not only on secure infrastructure and regulation but also on institutions capable of producing, signalling, deploying and renewing cybersecurity competence.</w:t>
      </w:r>
    </w:p>
    <w:p w14:paraId="5EF6EED8" w14:textId="77777777" w:rsidR="00311CC2" w:rsidRDefault="00000000">
      <w:pPr>
        <w:jc w:val="both"/>
      </w:pPr>
      <w:r>
        <w:t>Keywords: cybersecurity; skills ecosystem; policy transfer; CARICOM; regionalisation; workforce policy; digital resilience</w:t>
      </w:r>
    </w:p>
    <w:p w14:paraId="4235C4C9" w14:textId="77777777" w:rsidR="00311CC2" w:rsidRDefault="00000000">
      <w:pPr>
        <w:pStyle w:val="Heading1"/>
      </w:pPr>
      <w:r>
        <w:t>1. Introduction</w:t>
      </w:r>
    </w:p>
    <w:p w14:paraId="23CB3793" w14:textId="77777777" w:rsidR="00311CC2" w:rsidRDefault="00000000">
      <w:pPr>
        <w:jc w:val="both"/>
      </w:pPr>
      <w:r>
        <w:t>Cybersecurity capability is increasingly intertwined with the resilience of digitally mediated economies, public services and critical infrastructure. Telecommunications policy itself is no longer concerned only with network deployment, market structure or access: cyberattacks, institutional resilience and the security of digital ecosystems now form part of the policy environment in which communications systems operate. Telecommunications Policy has explicitly framed resilience as an institutional and policy research problem in a world where cyber threats cross organisational and national boundaries [6]. Within that environment, the availability and effective deployment of cybersecurity competence becomes a governance issue as well as a labour-market issue.</w:t>
      </w:r>
    </w:p>
    <w:p w14:paraId="461FD31A" w14:textId="77777777" w:rsidR="00311CC2" w:rsidRDefault="00000000">
      <w:pPr>
        <w:jc w:val="both"/>
      </w:pPr>
      <w:r>
        <w:t xml:space="preserve">Governments, professional bodies and international organisations have responded to cybersecurity workforce pressures through occupational frameworks, education and training pathways, professional standards, assurance mechanisms and early-career initiatives. Yet numerical shortage narratives can obscure a more </w:t>
      </w:r>
      <w:r>
        <w:lastRenderedPageBreak/>
        <w:t>difficult problem. A system may train more people while employers continue to report shortages because occupational requirements are poorly signalled, qualifications are difficult to interpret, work experience is inaccessible, or specialist capability migrates into larger labour markets. The UK labour-market evidence illustrates this distinction: recruitment demand, technical skills gaps and workforce gaps are related but not interchangeable measures [9].</w:t>
      </w:r>
    </w:p>
    <w:p w14:paraId="4DF257F9" w14:textId="77777777" w:rsidR="00311CC2" w:rsidRDefault="00000000">
      <w:pPr>
        <w:jc w:val="both"/>
      </w:pPr>
      <w:r>
        <w:t>This study therefore treats cybersecurity workforce development as an ecosystem problem. The relevant question is not simply how many workers exist, but whether institutions can identify demand, translate it into credible learning and occupational signals, connect learners with work, and sustain capability over time. This perspective is consistent with telecommunications-policy research that treats cybersecurity competence as relevant to the governance and development of digital systems rather than as a narrow training concern [5].</w:t>
      </w:r>
    </w:p>
    <w:p w14:paraId="6525C8E4" w14:textId="77777777" w:rsidR="00311CC2" w:rsidRDefault="00000000">
      <w:pPr>
        <w:jc w:val="both"/>
      </w:pPr>
      <w:r>
        <w:t>The transfer problem becomes especially important when policies developed in large or institutionally dense systems are considered for smaller states. Policy-transfer scholarship warns that lessons cannot be detached from the political, administrative and socio-economic settings in which policies operate [1], [2]. Small states may face limited institutional and human capacity, small markets, high fixed costs and difficulty achieving economies of scale, which can make regional alternatives attractive [10]. However, regional cooperation also carries costs: sovereignty concerns, uneven benefits, implementation frictions and weak collective ownership can prevent apparently efficient arrangements from working in practice [11].</w:t>
      </w:r>
    </w:p>
    <w:p w14:paraId="7598C012" w14:textId="77777777" w:rsidR="00311CC2" w:rsidRDefault="00000000">
      <w:pPr>
        <w:jc w:val="both"/>
      </w:pPr>
      <w:r>
        <w:t>The three cases provide deliberately contrasting institutional settings. The United Kingdom is used as a mature national benchmark with recurring labour-market evidence and established workforce interventions. Lithuania provides a small-state comparator embedded within European regulatory and competency structures; the authors' predecessor study documented both the value of that embeddedness and continuing coordination and alignment challenges [3]. CARICOM is analytically different from both because workforce development is distributed across multiple sovereign states and heterogeneous labour markets. The comparison is therefore not a maturity ranking. It is designed to identify which functions matter, how context changes their operation, and which functions might be reproduced at a different territorial scale.</w:t>
      </w:r>
    </w:p>
    <w:p w14:paraId="000D6C4D" w14:textId="77777777" w:rsidR="00311CC2" w:rsidRDefault="00000000">
      <w:pPr>
        <w:jc w:val="both"/>
      </w:pPr>
      <w:r>
        <w:t>Three gaps motivate the study. First, cybersecurity workforce debate is still frequently dominated by supply and shortage measures rather than by the institutional relationships that produce usable capability. Second, policy-transfer studies often caution against copying but provide less operational guidance for judging whether a workforce mechanism can perform an equivalent function in a different context. Third, multi-jurisdictional regional systems raise a scale problem that is not captured by a simple large-state/small-state comparison. This paper addresses those gaps through an ecosystem framework and an explicit transferability assessment.</w:t>
      </w:r>
    </w:p>
    <w:p w14:paraId="1E007FE5" w14:textId="77777777" w:rsidR="00311CC2" w:rsidRDefault="00000000">
      <w:pPr>
        <w:pStyle w:val="Heading2"/>
      </w:pPr>
      <w:r>
        <w:t>1.1 Research questions</w:t>
      </w:r>
    </w:p>
    <w:p w14:paraId="14373755" w14:textId="77777777" w:rsidR="00311CC2" w:rsidRDefault="00000000">
      <w:pPr>
        <w:jc w:val="both"/>
      </w:pPr>
      <w:r>
        <w:t>RQ1. Which ecosystem functions distinguish comparatively mature cybersecurity workforce systems from systems in which capability development is fragmented or discontinuous?</w:t>
      </w:r>
    </w:p>
    <w:p w14:paraId="25526F67" w14:textId="77777777" w:rsidR="00311CC2" w:rsidRDefault="00000000">
      <w:pPr>
        <w:jc w:val="both"/>
      </w:pPr>
      <w:r>
        <w:t>RQ2. Which workforce-policy functions observed in the United Kingdom and Lithuania are plausible candidates for adaptation within CARICOM?</w:t>
      </w:r>
    </w:p>
    <w:p w14:paraId="66888CBF" w14:textId="77777777" w:rsidR="00311CC2" w:rsidRDefault="00000000">
      <w:pPr>
        <w:jc w:val="both"/>
      </w:pPr>
      <w:r>
        <w:t>RQ3. Under what institutional, resource, structural and regional conditions can those functions be transferred without reproducing the institutional form of the originating system?</w:t>
      </w:r>
    </w:p>
    <w:p w14:paraId="1F8C5C6C" w14:textId="77777777" w:rsidR="00311CC2" w:rsidRDefault="00000000">
      <w:pPr>
        <w:pStyle w:val="Heading1"/>
      </w:pPr>
      <w:r>
        <w:t>2. Conceptual framework</w:t>
      </w:r>
    </w:p>
    <w:p w14:paraId="66C25753" w14:textId="77777777" w:rsidR="00311CC2" w:rsidRDefault="00000000">
      <w:pPr>
        <w:pStyle w:val="Heading2"/>
      </w:pPr>
      <w:r>
        <w:t>2.1 Cybersecurity workforce capability as an ecosystem</w:t>
      </w:r>
    </w:p>
    <w:p w14:paraId="489CFEEB" w14:textId="77777777" w:rsidR="00311CC2" w:rsidRDefault="00000000">
      <w:pPr>
        <w:jc w:val="both"/>
      </w:pPr>
      <w:r>
        <w:t>A cybersecurity skills ecosystem is defined here as the interconnected set of institutional arrangements through which cybersecurity capability is governed, developed, signalled and deployed, and reproduced over time. The concept shifts the unit of analysis from individual qualifications or vacancy counts to the relationships that determine whether skills are created, recognised, matched to demand and sustained.</w:t>
      </w:r>
    </w:p>
    <w:p w14:paraId="49EC4933" w14:textId="77777777" w:rsidR="00311CC2" w:rsidRDefault="00000000">
      <w:pPr>
        <w:jc w:val="both"/>
      </w:pPr>
      <w:r>
        <w:lastRenderedPageBreak/>
        <w:t>Four functions structure the analysis. Govern capability concerns strategic ownership, coordination, policy continuity and labour-market intelligence. Develop capability concerns formal education, vocational and professional training, quality assurance and curriculum alignment. Deploy and value capability concerns occupational language, professional signalling, recruitment, work experience and the translation of learning into productive roles. Reproduce capability concerns early pipeline development, progression, inclusion, retention, mobility and the circulation of expertise.</w:t>
      </w:r>
    </w:p>
    <w:p w14:paraId="08C0FC7A" w14:textId="77777777" w:rsidR="00311CC2" w:rsidRDefault="00000000">
      <w:pPr>
        <w:jc w:val="both"/>
      </w:pPr>
      <w:r>
        <w:t>These functions are analytically distinct but interdependent. Expanding training without reliable demand signals can increase qualifications without reducing employer mismatch. Occupational frameworks without accessible pathways can clarify roles without increasing supply. Early engagement without work-based transition can create interest without creating employment-ready entrants. Labour-market intelligence without institutions able to act on it can diagnose a problem without changing outcomes.</w:t>
      </w:r>
    </w:p>
    <w:p w14:paraId="09A02A01" w14:textId="77777777" w:rsidR="00F02958" w:rsidRDefault="00F02958">
      <w:pPr>
        <w:jc w:val="both"/>
      </w:pPr>
    </w:p>
    <w:p w14:paraId="6EA28AB7" w14:textId="239DF394" w:rsidR="00311CC2" w:rsidRDefault="00F02958">
      <w:r>
        <w:rPr>
          <w:noProof/>
        </w:rPr>
        <w:drawing>
          <wp:inline distT="0" distB="0" distL="0" distR="0" wp14:anchorId="1BCDD0E4" wp14:editId="50E606C1">
            <wp:extent cx="6344920" cy="2806700"/>
            <wp:effectExtent l="0" t="0" r="0" b="0"/>
            <wp:docPr id="10930304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44920" cy="2806700"/>
                    </a:xfrm>
                    <a:prstGeom prst="rect">
                      <a:avLst/>
                    </a:prstGeom>
                    <a:noFill/>
                    <a:ln>
                      <a:noFill/>
                    </a:ln>
                  </pic:spPr>
                </pic:pic>
              </a:graphicData>
            </a:graphic>
          </wp:inline>
        </w:drawing>
      </w:r>
    </w:p>
    <w:p w14:paraId="6CB089BC" w14:textId="77777777" w:rsidR="00311CC2" w:rsidRDefault="00000000">
      <w:pPr>
        <w:jc w:val="center"/>
      </w:pPr>
      <w:r>
        <w:t>Figure 1. Cybersecurity skills ecosystem framework</w:t>
      </w:r>
    </w:p>
    <w:p w14:paraId="4BA0E9DB" w14:textId="77777777" w:rsidR="00311CC2" w:rsidRDefault="00000000">
      <w:pPr>
        <w:jc w:val="both"/>
      </w:pPr>
      <w:r>
        <w:t>Figure 1 summarises the paper's analytical logic. Contextual moderators act across all four ecosystem functions. The framework therefore does not assume that a function has the same institutional form in every jurisdiction; it asks whether the receiving system can perform the function under its own scale, regulatory, resource and mobility conditions.</w:t>
      </w:r>
    </w:p>
    <w:p w14:paraId="77385A6F" w14:textId="77777777" w:rsidR="00311CC2" w:rsidRDefault="00000000">
      <w:pPr>
        <w:jc w:val="both"/>
      </w:pPr>
      <w:r>
        <w:t>This paper builds on that literature but uses 'ecosystem' in a more specific institutional sense. Existing studies demonstrate shortages, qualification complexity, education-industry alignment problems and the value of common workforce language [5], [14]–[17]. The present framework integrates these concerns into four policy functions—govern, develop, deploy/value and reproduce capability—and then asks whether those functions can be sustained under different territorial and institutional conditions. The novelty claim is consequently not that cybersecurity education forms an ecosystem, but that workforce capability can be analysed as a set of interdependent institutional functions whose transferability can be tested explicitly.</w:t>
      </w:r>
    </w:p>
    <w:p w14:paraId="47F25966" w14:textId="77777777" w:rsidR="00311CC2" w:rsidRDefault="00000000">
      <w:pPr>
        <w:jc w:val="both"/>
      </w:pPr>
      <w:r>
        <w:t xml:space="preserve">Workforce frameworks make those relationships more explicit. The NICE Framework was designed as a common lexicon for describing cybersecurity work through tasks, knowledge and skills and is intended to improve communication among learners, employers, education providers and workforce planners [14]. The ECSF performs a comparable reference function in Europe [7]. Recent comparative research by Perrone et al. shows, however, that framework heterogeneity and structural differences can impede interoperability across education, training and labour-market ecosystems [17]. A common framework is therefore not an end in itself; </w:t>
      </w:r>
      <w:r>
        <w:lastRenderedPageBreak/>
        <w:t>its policy value depends on how effectively it connects institutional actors and supports recognition across settings.</w:t>
      </w:r>
    </w:p>
    <w:p w14:paraId="375C684F" w14:textId="77777777" w:rsidR="00311CC2" w:rsidRDefault="00000000">
      <w:pPr>
        <w:jc w:val="both"/>
      </w:pPr>
      <w:r>
        <w:t>Cybersecurity workforce research increasingly recognises that the skills problem cannot be reduced to vacancy counts. Furnell's review of the cybersecurity workforce and skills highlights the difficulty created by a diverse qualification and certification landscape and the need for employers and practitioners to interpret which credentials signal relevant capability [15]. Jerman Blažič similarly argues that cybersecurity education must be aligned with industrial requirements and that recruiting, retaining and maintaining capability involves both technical and non-technical roles [16]. These studies support a shift from a narrow supply narrative toward the relationships among education, credentials, employers and work.</w:t>
      </w:r>
    </w:p>
    <w:p w14:paraId="6F1A78C3" w14:textId="77777777" w:rsidR="00311CC2" w:rsidRDefault="00000000">
      <w:pPr>
        <w:pStyle w:val="Heading2"/>
        <w:jc w:val="both"/>
      </w:pPr>
      <w:r>
        <w:t>2.2 Cybersecurity workforce scholarship: from shortages to systems</w:t>
      </w:r>
    </w:p>
    <w:p w14:paraId="6597B76A" w14:textId="77777777" w:rsidR="00311CC2" w:rsidRDefault="00000000">
      <w:pPr>
        <w:pStyle w:val="Heading2"/>
      </w:pPr>
      <w:r>
        <w:t>2.3 Policy transfer as functional equivalence</w:t>
      </w:r>
    </w:p>
    <w:p w14:paraId="086450FA" w14:textId="77777777" w:rsidR="00311CC2" w:rsidRDefault="00000000">
      <w:pPr>
        <w:jc w:val="both"/>
      </w:pPr>
      <w:r>
        <w:t>Dolowitz and Marsh define policy transfer broadly as the use of knowledge about policies, institutions and ideas in one setting in the development of policy in another [1]. Their work also distinguishes forms of transfer ranging from copying to emulation, combination and inspiration. James and Lodge caution that policy-transfer explanations can become analytically weak when the mechanisms linking lesson drawing, context and outcomes are not specified [2]. These cautions are especially relevant to cybersecurity workforce policy because visible programmes often depend on less visible institutional conditions.</w:t>
      </w:r>
    </w:p>
    <w:p w14:paraId="0B8336C7" w14:textId="77777777" w:rsidR="00311CC2" w:rsidRDefault="00000000">
      <w:pPr>
        <w:jc w:val="both"/>
      </w:pPr>
      <w:r>
        <w:t>This study therefore treats transferability as functional equivalence rather than institutional similarity. The analytical task is to identify the function performed in the originating system and ask whether that function can be reproduced through an arrangement compatible with the receiving context. A large national professional institution, for example, may not be transferable; common occupational language may be. A national survey apparatus may be disproportionate; a shared regional data specification may reproduce the evidence function more efficiently.</w:t>
      </w:r>
    </w:p>
    <w:p w14:paraId="43D92D5C" w14:textId="77777777" w:rsidR="00311CC2" w:rsidRDefault="00000000">
      <w:pPr>
        <w:jc w:val="both"/>
      </w:pPr>
      <w:r>
        <w:t>Four tests operationalise this approach: institutional feasibility, resource proportionality, structural compatibility and regional scalability. Institutional feasibility asks whether a credible owner, mandate and participation structure exist. Resource proportionality asks whether administrative, financial and specialist demands are reasonable relative to expected value. Structural compatibility asks whether the mechanism fits legal authority, labour-market structure and sovereignty. Regional scalability asks whether value increases, or at least remains viable, when the mechanism spans multiple jurisdictions.</w:t>
      </w:r>
    </w:p>
    <w:p w14:paraId="5BADF783" w14:textId="77777777" w:rsidR="00B74B4C" w:rsidRDefault="00B74B4C">
      <w:pPr>
        <w:jc w:val="both"/>
      </w:pPr>
    </w:p>
    <w:p w14:paraId="7DADFDAE" w14:textId="5B6129D0" w:rsidR="00311CC2" w:rsidRDefault="00B74B4C">
      <w:r>
        <w:rPr>
          <w:noProof/>
        </w:rPr>
        <w:lastRenderedPageBreak/>
        <w:drawing>
          <wp:inline distT="0" distB="0" distL="0" distR="0" wp14:anchorId="288D2310" wp14:editId="6DD9E633">
            <wp:extent cx="6337300" cy="2910205"/>
            <wp:effectExtent l="0" t="0" r="6350" b="4445"/>
            <wp:docPr id="15490868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37300" cy="2910205"/>
                    </a:xfrm>
                    <a:prstGeom prst="rect">
                      <a:avLst/>
                    </a:prstGeom>
                    <a:noFill/>
                    <a:ln>
                      <a:noFill/>
                    </a:ln>
                  </pic:spPr>
                </pic:pic>
              </a:graphicData>
            </a:graphic>
          </wp:inline>
        </w:drawing>
      </w:r>
    </w:p>
    <w:p w14:paraId="16EA058F" w14:textId="77777777" w:rsidR="00311CC2" w:rsidRDefault="00000000">
      <w:pPr>
        <w:jc w:val="center"/>
      </w:pPr>
      <w:r>
        <w:t>Figure 2. Context-sensitive policy-transfer model</w:t>
      </w:r>
    </w:p>
    <w:p w14:paraId="2AE3F07A" w14:textId="77777777" w:rsidR="00311CC2" w:rsidRDefault="00000000">
      <w:pPr>
        <w:jc w:val="both"/>
      </w:pPr>
      <w:r>
        <w:t>Figure 2 inserts an explicit receiving-context filter between comparative evidence and recommendation. This is the central safeguard against treating a successful programme in the United Kingdom or Lithuania as evidence that the same institution should be reproduced in CARICOM.</w:t>
      </w:r>
    </w:p>
    <w:p w14:paraId="058D54A3" w14:textId="77777777" w:rsidR="00311CC2" w:rsidRDefault="00000000">
      <w:pPr>
        <w:pStyle w:val="Heading2"/>
      </w:pPr>
      <w:r>
        <w:t>2.4 Regionalisation and functional scale</w:t>
      </w:r>
    </w:p>
    <w:p w14:paraId="19F49C4D" w14:textId="77777777" w:rsidR="00311CC2" w:rsidRDefault="00000000">
      <w:pPr>
        <w:jc w:val="both"/>
      </w:pPr>
      <w:r>
        <w:t>Regionalisation is not novel as a response to small-state constraints. Commonwealth small-state policy discussions have long linked limited institutional and human capacity, small markets and difficulty achieving economies of scale with the need to consider regional alternatives [10]. CARICOM itself has a history of functional cooperation in areas where members seek to pool limited resources [11]. The relevant contribution of this study is narrower: it asks whether selected cybersecurity workforce functions can be organised at regional rather than national scale.</w:t>
      </w:r>
    </w:p>
    <w:p w14:paraId="581CFA75" w14:textId="77777777" w:rsidR="00311CC2" w:rsidRDefault="00000000">
      <w:pPr>
        <w:jc w:val="both"/>
      </w:pPr>
      <w:r>
        <w:t>This proposition requires boundary conditions. Warner and Anatol show that Caribbean regionalism is constrained by sovereignty, divergent interests and the need to demonstrate benefits commensurate with negotiation and implementation costs [11]. Regional scale should therefore not be assumed to be superior. It is useful only where sharing reduces duplication, improves interoperability, enlarges the evidence or opportunity base, or makes a function viable that would otherwise lack national critical mass.</w:t>
      </w:r>
    </w:p>
    <w:p w14:paraId="6AC13517" w14:textId="77777777" w:rsidR="00311CC2" w:rsidRDefault="00000000">
      <w:pPr>
        <w:pStyle w:val="Heading1"/>
      </w:pPr>
      <w:r>
        <w:t>3. Methodology</w:t>
      </w:r>
    </w:p>
    <w:p w14:paraId="111EA45A" w14:textId="77777777" w:rsidR="00311CC2" w:rsidRDefault="00000000">
      <w:pPr>
        <w:pStyle w:val="Heading2"/>
      </w:pPr>
      <w:r>
        <w:t>3.1 Comparative qualitative documentary design</w:t>
      </w:r>
    </w:p>
    <w:p w14:paraId="5F93C0DF" w14:textId="77777777" w:rsidR="00311CC2" w:rsidRDefault="00000000">
      <w:pPr>
        <w:jc w:val="both"/>
      </w:pPr>
      <w:r>
        <w:t>The study uses a comparative qualitative documentary design. Comparative case-study reasoning is appropriate where the objective is to understand how similar policy functions operate under different institutional conditions rather than to estimate a common treatment effect [4]. The United Kingdom, Lithuania and CARICOM were selected for analytical contrast: a mature national benchmark, a small EU-embedded state, and a multi-jurisdictional regional system.</w:t>
      </w:r>
    </w:p>
    <w:p w14:paraId="425B2359" w14:textId="77777777" w:rsidR="00311CC2" w:rsidRDefault="00000000">
      <w:pPr>
        <w:jc w:val="both"/>
      </w:pPr>
      <w:r>
        <w:t>Documentary evidence was organised around four source categories: policy and strategy documents; labour-market and skills studies; regulatory and competency frameworks; and peer-reviewed scholarship. The analysis privileges primary institutional sources for factual claims, transparent labour-market studies for quantitative workforce measures, and peer-reviewed research for theory and interpretation. The 2026 UK-Lithuania study is used as a scholarly predecessor rather than as a substitute for current primary evidence [3].</w:t>
      </w:r>
    </w:p>
    <w:p w14:paraId="3D67DC3B" w14:textId="77777777" w:rsidR="00311CC2" w:rsidRDefault="00000000">
      <w:pPr>
        <w:jc w:val="both"/>
      </w:pPr>
      <w:r>
        <w:lastRenderedPageBreak/>
        <w:t>The current study is purposive documentary analysis rather than a systematic review. It does not claim exhaustive coverage of every CARICOM member state's programmes, degree provision or incident-response capacity. Claims that could not be verified consistently across the region—such as regional shortage percentages, country-by-country cybersecurity degree counts, specific CSIRT status, and unsupported migration percentages—were excluded from the comparative findings. This evidential restraint is necessary because uneven documentation is itself a feature of the regional policy problem.</w:t>
      </w:r>
    </w:p>
    <w:p w14:paraId="5478A789" w14:textId="77777777" w:rsidR="00311CC2" w:rsidRDefault="00311CC2">
      <w:pPr>
        <w:jc w:val="both"/>
      </w:pPr>
    </w:p>
    <w:p w14:paraId="33C02663" w14:textId="77777777" w:rsidR="00311CC2" w:rsidRDefault="00000000">
      <w:pPr>
        <w:jc w:val="both"/>
      </w:pPr>
      <w:r>
        <w:t>For reproducibility, the documentary corpus is delimited by source class and explicit selection rules rather than by a retrospectively reconstructed systematic-review count. Policy and strategy documents were retained where they defined mandates, regional or national priorities, or implementation structures; labour-market studies where methods and workforce measures were sufficiently transparent; competency and regulatory frameworks where they structured roles, skills or obligations; and peer-reviewed studies where they informed theory, comparison or interpretation. Duplicate, superseded, inaccessible and insufficiently specified references were removed during the source audit. The references reported in this manuscript constitute the auditable evidence base for the claims retained in the final analysis.</w:t>
      </w:r>
    </w:p>
    <w:p w14:paraId="6D8D61DA" w14:textId="77777777" w:rsidR="00311CC2" w:rsidRDefault="00000000">
      <w:pPr>
        <w:pStyle w:val="Heading3"/>
        <w:jc w:val="both"/>
      </w:pPr>
      <w:r>
        <w:t>3.1.1 Documentary source register and inclusion logic</w:t>
      </w:r>
    </w:p>
    <w:p w14:paraId="63EFE9BF" w14:textId="77777777" w:rsidR="00311CC2" w:rsidRDefault="00000000">
      <w:pPr>
        <w:jc w:val="both"/>
      </w:pPr>
      <w:r>
        <w:t>The retained evidence base is traceable through the numbered reference list and is organised into five source families: peer-reviewed theory and comparative scholarship; official workforce and competency frameworks; national labour-market and policy evidence; CARICOM regional strategy and institutional documentation; and Caribbean small-state/mobility scholarship. This register is intentionally claim-led: a source is retained only where it supports a surviving theoretical, methodological or factual proposition in the manuscript. It should not be interpreted as an exhaustive inventory of cybersecurity activity across all CARICOM Member States.</w:t>
      </w:r>
    </w:p>
    <w:p w14:paraId="05E7207A" w14:textId="77777777" w:rsidR="00311CC2" w:rsidRDefault="00000000">
      <w:pPr>
        <w:pStyle w:val="Heading2"/>
      </w:pPr>
      <w:r>
        <w:t>3.2 Analytical procedure</w:t>
      </w:r>
    </w:p>
    <w:tbl>
      <w:tblPr>
        <w:tblStyle w:val="TableGrid"/>
        <w:tblW w:w="0" w:type="auto"/>
        <w:jc w:val="center"/>
        <w:tblLook w:val="04A0" w:firstRow="1" w:lastRow="0" w:firstColumn="1" w:lastColumn="0" w:noHBand="0" w:noVBand="1"/>
      </w:tblPr>
      <w:tblGrid>
        <w:gridCol w:w="3686"/>
        <w:gridCol w:w="6308"/>
      </w:tblGrid>
      <w:tr w:rsidR="00311CC2" w14:paraId="080D88D2" w14:textId="77777777" w:rsidTr="0031295C">
        <w:trPr>
          <w:jc w:val="center"/>
        </w:trPr>
        <w:tc>
          <w:tcPr>
            <w:tcW w:w="3686" w:type="dxa"/>
            <w:vAlign w:val="center"/>
          </w:tcPr>
          <w:p w14:paraId="0ED5A4DE" w14:textId="77777777" w:rsidR="00311CC2" w:rsidRDefault="00000000">
            <w:r>
              <w:rPr>
                <w:b/>
                <w:sz w:val="17"/>
              </w:rPr>
              <w:t>Stage</w:t>
            </w:r>
          </w:p>
        </w:tc>
        <w:tc>
          <w:tcPr>
            <w:tcW w:w="6308" w:type="dxa"/>
            <w:vAlign w:val="center"/>
          </w:tcPr>
          <w:p w14:paraId="35228322" w14:textId="77777777" w:rsidR="00311CC2" w:rsidRDefault="00000000">
            <w:r>
              <w:rPr>
                <w:b/>
                <w:sz w:val="17"/>
              </w:rPr>
              <w:t>Application</w:t>
            </w:r>
          </w:p>
        </w:tc>
      </w:tr>
      <w:tr w:rsidR="00311CC2" w14:paraId="6084A08B" w14:textId="77777777" w:rsidTr="0031295C">
        <w:trPr>
          <w:jc w:val="center"/>
        </w:trPr>
        <w:tc>
          <w:tcPr>
            <w:tcW w:w="3686" w:type="dxa"/>
          </w:tcPr>
          <w:p w14:paraId="0A468F1F" w14:textId="77777777" w:rsidR="00311CC2" w:rsidRDefault="00000000">
            <w:pPr>
              <w:spacing w:after="20"/>
            </w:pPr>
            <w:r>
              <w:rPr>
                <w:sz w:val="17"/>
              </w:rPr>
              <w:t>1. Source classification</w:t>
            </w:r>
          </w:p>
        </w:tc>
        <w:tc>
          <w:tcPr>
            <w:tcW w:w="6308" w:type="dxa"/>
          </w:tcPr>
          <w:p w14:paraId="4FED5FE4" w14:textId="77777777" w:rsidR="00311CC2" w:rsidRDefault="00000000">
            <w:pPr>
              <w:spacing w:after="20"/>
            </w:pPr>
            <w:r>
              <w:rPr>
                <w:sz w:val="17"/>
              </w:rPr>
              <w:t>Documents were classified by jurisdiction, source type and ecosystem function.</w:t>
            </w:r>
          </w:p>
        </w:tc>
      </w:tr>
      <w:tr w:rsidR="00311CC2" w14:paraId="5FAA7D42" w14:textId="77777777" w:rsidTr="0031295C">
        <w:trPr>
          <w:jc w:val="center"/>
        </w:trPr>
        <w:tc>
          <w:tcPr>
            <w:tcW w:w="3686" w:type="dxa"/>
          </w:tcPr>
          <w:p w14:paraId="5B0FD1DB" w14:textId="77777777" w:rsidR="00311CC2" w:rsidRDefault="00000000">
            <w:pPr>
              <w:spacing w:after="20"/>
            </w:pPr>
            <w:r>
              <w:rPr>
                <w:sz w:val="17"/>
              </w:rPr>
              <w:t>2. Functional coding</w:t>
            </w:r>
          </w:p>
        </w:tc>
        <w:tc>
          <w:tcPr>
            <w:tcW w:w="6308" w:type="dxa"/>
          </w:tcPr>
          <w:p w14:paraId="08F2A4D7" w14:textId="77777777" w:rsidR="00311CC2" w:rsidRDefault="00000000">
            <w:pPr>
              <w:spacing w:after="20"/>
            </w:pPr>
            <w:r>
              <w:rPr>
                <w:sz w:val="17"/>
              </w:rPr>
              <w:t>Evidence was coded deductively against the four ecosystem functions, with contextual observations retained where they affected scale, regulatory embeddedness, resources or mobility.</w:t>
            </w:r>
          </w:p>
        </w:tc>
      </w:tr>
      <w:tr w:rsidR="00311CC2" w14:paraId="25BF6B3A" w14:textId="77777777" w:rsidTr="0031295C">
        <w:trPr>
          <w:jc w:val="center"/>
        </w:trPr>
        <w:tc>
          <w:tcPr>
            <w:tcW w:w="3686" w:type="dxa"/>
          </w:tcPr>
          <w:p w14:paraId="2A942CD0" w14:textId="77777777" w:rsidR="00311CC2" w:rsidRDefault="00000000">
            <w:pPr>
              <w:spacing w:after="20"/>
            </w:pPr>
            <w:r>
              <w:rPr>
                <w:sz w:val="17"/>
              </w:rPr>
              <w:t>3. Within-case profiles</w:t>
            </w:r>
          </w:p>
        </w:tc>
        <w:tc>
          <w:tcPr>
            <w:tcW w:w="6308" w:type="dxa"/>
          </w:tcPr>
          <w:p w14:paraId="1187E741" w14:textId="77777777" w:rsidR="00311CC2" w:rsidRDefault="00000000">
            <w:pPr>
              <w:spacing w:after="20"/>
            </w:pPr>
            <w:r>
              <w:rPr>
                <w:sz w:val="17"/>
              </w:rPr>
              <w:t>Evidence was synthesised into a functional profile for each case rather than a programme inventory.</w:t>
            </w:r>
          </w:p>
        </w:tc>
      </w:tr>
      <w:tr w:rsidR="00311CC2" w14:paraId="28084903" w14:textId="77777777" w:rsidTr="0031295C">
        <w:trPr>
          <w:jc w:val="center"/>
        </w:trPr>
        <w:tc>
          <w:tcPr>
            <w:tcW w:w="3686" w:type="dxa"/>
          </w:tcPr>
          <w:p w14:paraId="3B8155E7" w14:textId="77777777" w:rsidR="00311CC2" w:rsidRDefault="00000000">
            <w:pPr>
              <w:spacing w:after="20"/>
            </w:pPr>
            <w:r>
              <w:rPr>
                <w:sz w:val="17"/>
              </w:rPr>
              <w:t>4. Cross-case comparison</w:t>
            </w:r>
          </w:p>
        </w:tc>
        <w:tc>
          <w:tcPr>
            <w:tcW w:w="6308" w:type="dxa"/>
          </w:tcPr>
          <w:p w14:paraId="6BC963D8" w14:textId="77777777" w:rsidR="00311CC2" w:rsidRDefault="00000000">
            <w:pPr>
              <w:spacing w:after="20"/>
            </w:pPr>
            <w:r>
              <w:rPr>
                <w:sz w:val="17"/>
              </w:rPr>
              <w:t>Equivalent functions were compared across cases to identify institutional conditions, discontinuities and recurring mechanisms.</w:t>
            </w:r>
          </w:p>
        </w:tc>
      </w:tr>
      <w:tr w:rsidR="00311CC2" w14:paraId="7D352978" w14:textId="77777777" w:rsidTr="0031295C">
        <w:trPr>
          <w:jc w:val="center"/>
        </w:trPr>
        <w:tc>
          <w:tcPr>
            <w:tcW w:w="3686" w:type="dxa"/>
          </w:tcPr>
          <w:p w14:paraId="60E5AF29" w14:textId="77777777" w:rsidR="00311CC2" w:rsidRDefault="00000000">
            <w:pPr>
              <w:spacing w:after="20"/>
            </w:pPr>
            <w:r>
              <w:rPr>
                <w:sz w:val="17"/>
              </w:rPr>
              <w:t>5. Transferability assessment</w:t>
            </w:r>
          </w:p>
        </w:tc>
        <w:tc>
          <w:tcPr>
            <w:tcW w:w="6308" w:type="dxa"/>
          </w:tcPr>
          <w:p w14:paraId="667DA523" w14:textId="77777777" w:rsidR="00311CC2" w:rsidRDefault="00000000">
            <w:pPr>
              <w:spacing w:after="20"/>
            </w:pPr>
            <w:r>
              <w:rPr>
                <w:sz w:val="17"/>
              </w:rPr>
              <w:t>Candidate mechanisms were assessed against institutional feasibility, resource proportionality, structural compatibility and regional scalability.</w:t>
            </w:r>
          </w:p>
        </w:tc>
      </w:tr>
      <w:tr w:rsidR="00311CC2" w14:paraId="3CB4D1D4" w14:textId="77777777" w:rsidTr="0031295C">
        <w:trPr>
          <w:jc w:val="center"/>
        </w:trPr>
        <w:tc>
          <w:tcPr>
            <w:tcW w:w="3686" w:type="dxa"/>
          </w:tcPr>
          <w:p w14:paraId="7B84E729" w14:textId="77777777" w:rsidR="00311CC2" w:rsidRDefault="00000000">
            <w:pPr>
              <w:spacing w:after="20"/>
            </w:pPr>
            <w:r>
              <w:rPr>
                <w:sz w:val="17"/>
              </w:rPr>
              <w:t>6. Claim control</w:t>
            </w:r>
          </w:p>
        </w:tc>
        <w:tc>
          <w:tcPr>
            <w:tcW w:w="6308" w:type="dxa"/>
          </w:tcPr>
          <w:p w14:paraId="34A518CA" w14:textId="77777777" w:rsidR="00311CC2" w:rsidRDefault="00000000">
            <w:pPr>
              <w:spacing w:after="20"/>
            </w:pPr>
            <w:r>
              <w:rPr>
                <w:sz w:val="17"/>
              </w:rPr>
              <w:t>Unsupported numerical extrapolations and unverified regional assertions were removed or reframed as research needs rather than findings.</w:t>
            </w:r>
          </w:p>
        </w:tc>
      </w:tr>
    </w:tbl>
    <w:p w14:paraId="7FE280B0" w14:textId="77777777" w:rsidR="00311CC2" w:rsidRDefault="00311CC2"/>
    <w:p w14:paraId="2F6FD580" w14:textId="77777777" w:rsidR="00311CC2" w:rsidRDefault="00000000">
      <w:pPr>
        <w:jc w:val="center"/>
      </w:pPr>
      <w:r>
        <w:t>Table 1. Six-stage analytical procedure</w:t>
      </w:r>
    </w:p>
    <w:p w14:paraId="705E6930" w14:textId="77777777" w:rsidR="00311CC2" w:rsidRDefault="00000000">
      <w:pPr>
        <w:jc w:val="both"/>
      </w:pPr>
      <w:r>
        <w:t>Table 1 shows that comparison and transferability are separate analytical stages. This separation prevents the descriptive presence of a programme in one jurisdiction from becoming an implicit recommendation for another.</w:t>
      </w:r>
    </w:p>
    <w:p w14:paraId="70F64089" w14:textId="77777777" w:rsidR="00311CC2" w:rsidRDefault="00000000">
      <w:pPr>
        <w:pStyle w:val="Heading2"/>
      </w:pPr>
      <w:r>
        <w:t>3.3 Qualitative transferability decision rule</w:t>
      </w:r>
    </w:p>
    <w:p w14:paraId="3216A967" w14:textId="77777777" w:rsidR="00311CC2" w:rsidRDefault="00000000">
      <w:pPr>
        <w:jc w:val="both"/>
      </w:pPr>
      <w:r>
        <w:t xml:space="preserve">The High/Medium/Low assessments are structured qualitative judgements, not quantitative scores. To improve replicability, an overall High assessment requires demonstrable institutional feasibility, no criterion below Medium, and at least two further High criteria. Medium-High denotes strong functional fit with one material institutional or resource dependency. Medium denotes two or more material dependencies that </w:t>
      </w:r>
      <w:r>
        <w:lastRenderedPageBreak/>
        <w:t>require validation or adaptation. Low denotes a structural or institutional incompatibility that cannot reasonably be resolved through proportionate adaptation. Where receiving-context evidence is incomplete, the rating is explicitly conditional.</w:t>
      </w:r>
    </w:p>
    <w:p w14:paraId="2A6DA1F8" w14:textId="77777777" w:rsidR="00311CC2" w:rsidRDefault="00000000">
      <w:pPr>
        <w:pStyle w:val="Heading1"/>
      </w:pPr>
      <w:r>
        <w:t>4. Comparative findings</w:t>
      </w:r>
    </w:p>
    <w:p w14:paraId="4AEB80DC" w14:textId="77777777" w:rsidR="00311CC2" w:rsidRDefault="00000000">
      <w:pPr>
        <w:pStyle w:val="Heading2"/>
      </w:pPr>
      <w:r>
        <w:t>4.1 Governance and institutional coordination</w:t>
      </w:r>
    </w:p>
    <w:p w14:paraId="47BB42A0" w14:textId="77777777" w:rsidR="00311CC2" w:rsidRDefault="00000000">
      <w:pPr>
        <w:jc w:val="both"/>
      </w:pPr>
      <w:r>
        <w:t>The United Kingdom provides the clearest example of recurring evidence and institutional continuity. Government labour-market research distinguishes workforce size, technical skills gaps, recruitment demand and entry barriers rather than collapsing them into a single shortage figure [9]. This repeated evidence function matters because it enables policy actors to identify whether a problem concerns supply, matching, progression or organisational capability.</w:t>
      </w:r>
    </w:p>
    <w:p w14:paraId="75F7D1A2" w14:textId="77777777" w:rsidR="00311CC2" w:rsidRDefault="00000000">
      <w:pPr>
        <w:jc w:val="both"/>
      </w:pPr>
      <w:r>
        <w:t>Lithuania demonstrates that small scale does not imply institutional absence. The predecessor study identified ministries, national cybersecurity bodies, higher education, industry and EU-supported initiatives, while also finding that important workforce-development activity remained fragmented or project-based [3]. EU regulatory and competency structures provide external reference points, but they do not automatically integrate national education, professionalisation and employer demand.</w:t>
      </w:r>
    </w:p>
    <w:p w14:paraId="3F322811" w14:textId="77777777" w:rsidR="00311CC2" w:rsidRDefault="00000000">
      <w:pPr>
        <w:jc w:val="both"/>
      </w:pPr>
      <w:r>
        <w:t>For CARICOM, the governance evidence is now stronger than a simple description of institutional fragmentation. The CARICOM Secretariat Strategic Plan 2022–2030 situates digital skills, ICT human-resource capacity and cybersecurity within the development of the Single ICT Space and calls for collaborative implementation across agreed regional strategies [18]. The CARICOM Digital Skills Task Force was established with Member State and regional/international participation to identify core competencies, review training and certification opportunities, develop a regional digital-skills strategy and address skills mismatch [19]. The HRD 2030 Strategy also supports expanded skills provision, digital learning, quality assurance and access across Member States and the diaspora [20]. These instruments show that CARICOM is not an institutionally empty receiving context; it already possesses regional scaffolding for digital capability. The analytical issue is whether cybersecurity-specific workforce functions can be embedded in, or coordinated through, that scaffolding without duplicating existing mandates.</w:t>
      </w:r>
    </w:p>
    <w:p w14:paraId="0237E387" w14:textId="77777777" w:rsidR="00311CC2" w:rsidRDefault="00000000">
      <w:pPr>
        <w:jc w:val="both"/>
      </w:pPr>
      <w:r>
        <w:t>Cybersecurity-specific regional governance has also advanced. The updated CARICOM Cyber Security and Cybercrime Action Plan (CCSCAP) 2025 is framed as a regional roadmap for national and regional cyber-security frameworks and cyber resilience [21]. In 2026, its Steering Committee began operationalising governance, priorities, monitoring, reporting and funding arrangements while explicitly seeking coherence between regional efforts and Member State priorities [21]. CARICOM's Strategic Framework for Regional Digital Resilience 2025–2030 likewise links the Single ICT Space with security threats, cyber risk and collaborative regional responses [22]. These developments strengthen the empirical basis for analysing coordination and regional scale, while also reinforcing the need to distinguish existing digital/cyber governance from the more specific workforce mechanisms proposed in this study.</w:t>
      </w:r>
    </w:p>
    <w:p w14:paraId="3520733B" w14:textId="77777777" w:rsidR="00311CC2" w:rsidRDefault="00000000">
      <w:pPr>
        <w:pStyle w:val="Heading2"/>
      </w:pPr>
      <w:r>
        <w:t>4.2 Education, training and quality assurance</w:t>
      </w:r>
    </w:p>
    <w:p w14:paraId="38F17953" w14:textId="77777777" w:rsidR="00311CC2" w:rsidRDefault="00000000">
      <w:pPr>
        <w:jc w:val="both"/>
      </w:pPr>
      <w:r>
        <w:t>The UK case shows the policy value of connecting learning pathways with assurance and occupational signalling. The analytical significance is not the number of named programmes, but the existence of mechanisms through which education and training can be interpreted by learners and employers. Lithuania has expanding education and training activity, but the predecessor study found continuing alignment and quality-signalling challenges [3].</w:t>
      </w:r>
    </w:p>
    <w:p w14:paraId="22C83C4C" w14:textId="77777777" w:rsidR="00311CC2" w:rsidRDefault="00000000">
      <w:pPr>
        <w:jc w:val="both"/>
      </w:pPr>
      <w:r>
        <w:t xml:space="preserve">At European level, the ECSF provides a common language for cybersecurity work through 12 professional role profiles and associated competencies [7]. NIS2 provides a distinct regulatory context rather than a workforce framework [8]. The distinction matters: competency architecture can support occupational interoperability, </w:t>
      </w:r>
      <w:r>
        <w:lastRenderedPageBreak/>
        <w:t>while regulation can strengthen organisational demand for security capability. Neither should be treated as a Lithuanian national institution.</w:t>
      </w:r>
    </w:p>
    <w:p w14:paraId="76BDEC99" w14:textId="77777777" w:rsidR="00311CC2" w:rsidRDefault="00000000">
      <w:pPr>
        <w:jc w:val="both"/>
      </w:pPr>
      <w:r>
        <w:t>The CARICOM evidence base does not currently justify a region-wide count of dedicated cybersecurity degrees or a simple conclusion about training sufficiency. It does, however, demonstrate an existing regional digital-skills architecture. The Digital Skills Task Force explicitly addresses core competencies, certification, skills mismatch, cross-sector coordination and priority-sector needs [19], while HRD 2030 envisages expanded skills-based provision, digital learning and quality-assured programmes across Member States and the diaspora [20]. The unresolved cybersecurity question is therefore one of specificity and measurement: how much of this architecture reaches cyber roles, how consistently it connects to employer demand, and whether outcomes can be compared across Member States. Without comparable evidence on provision, quality and transition into employment, policymakers cannot reliably determine whether the dominant problem is insufficient training volume, uneven access, quality signalling or weak work transition.</w:t>
      </w:r>
    </w:p>
    <w:p w14:paraId="6F2AA43D" w14:textId="77777777" w:rsidR="00311CC2" w:rsidRDefault="00000000">
      <w:pPr>
        <w:pStyle w:val="Heading2"/>
      </w:pPr>
      <w:r>
        <w:t>4.3 Labour-market and industry alignment</w:t>
      </w:r>
    </w:p>
    <w:p w14:paraId="51EB9F56" w14:textId="77777777" w:rsidR="00311CC2" w:rsidRDefault="00000000">
      <w:pPr>
        <w:jc w:val="both"/>
      </w:pPr>
      <w:r>
        <w:t>The UK evidence demonstrates why supply and matching must be separated. In the 2025 labour-market study, 63% of core cyber job postings requested two to six years of experience, while only 17% sought candidates with less than one year of experience [9]. A system can therefore experience employer demand and entry-level exclusion simultaneously. Increasing the number of graduates will not resolve a bottleneck if recruitment signals and work-experience opportunities remain misaligned.</w:t>
      </w:r>
    </w:p>
    <w:p w14:paraId="574C84BA" w14:textId="77777777" w:rsidR="00311CC2" w:rsidRDefault="00000000">
      <w:pPr>
        <w:jc w:val="both"/>
      </w:pPr>
      <w:r>
        <w:t>Lithuania similarly illustrates the importance of employer-education alignment in a smaller market, including the need to prepare for multi-role organisational requirements rather than assuming large specialist teams [3]. For CARICOM, harmonised cyber labour-market evidence is insufficiently developed to support precise regional shortage estimates. The defensible implication is that common occupational language and recurring evidence may matter as much as raw training volume because they improve the ability of employers, educators and policymakers to interpret demand.</w:t>
      </w:r>
    </w:p>
    <w:p w14:paraId="2D8CAF49" w14:textId="77777777" w:rsidR="00311CC2" w:rsidRDefault="00000000">
      <w:pPr>
        <w:pStyle w:val="Heading2"/>
      </w:pPr>
      <w:r>
        <w:t>4.4 Talent pipeline, mobility and continuity</w:t>
      </w:r>
    </w:p>
    <w:p w14:paraId="092D4396" w14:textId="77777777" w:rsidR="00311CC2" w:rsidRDefault="00000000">
      <w:pPr>
        <w:jc w:val="both"/>
      </w:pPr>
      <w:r>
        <w:t>A sustainable ecosystem must reproduce capability over time. Mature systems invest not only in advanced training but also in early awareness, entry routes, work transition and professional progression. Lithuania shows how small labour markets can remain vulnerable to discontinuity between education, employment and retention even when access to wider European structures is available [3].</w:t>
      </w:r>
    </w:p>
    <w:p w14:paraId="28869095" w14:textId="77777777" w:rsidR="00311CC2" w:rsidRDefault="00000000">
      <w:pPr>
        <w:jc w:val="both"/>
      </w:pPr>
      <w:r>
        <w:t>CARICOM adds a mobility dimension that should not be reduced to a single 'brain drain' statistic. Dawson's analysis of CARICOM skilled migration argues for moving beyond loss narratives to consider return migration, diaspora engagement and the development returns of highly skilled emigration [12]. Jackson similarly examines institutional strategies for using diaspora knowledge and skills through brain circulation in the Caribbean [13]. These sources justify treating circulation as a policy possibility, not as evidence that migration is harmless or that any specific percentage of cybersecurity graduates works abroad.</w:t>
      </w:r>
    </w:p>
    <w:p w14:paraId="4D657BB8" w14:textId="77777777" w:rsidR="00311CC2" w:rsidRDefault="00000000">
      <w:pPr>
        <w:jc w:val="both"/>
      </w:pPr>
      <w:r>
        <w:t>The cross-case implication is that pipeline policy should be assessed by continuity: whether people can enter, gain credible experience, progress, and remain connected to the capability system even when mobility occurs. Portable competency signals, remote work, diaspora engagement and regional opportunities may therefore complement domestic retention strategies.</w:t>
      </w:r>
    </w:p>
    <w:p w14:paraId="494828A5" w14:textId="77777777" w:rsidR="00311CC2" w:rsidRDefault="00000000">
      <w:pPr>
        <w:jc w:val="center"/>
      </w:pPr>
      <w:r>
        <w:t>Table 2. Cross-case synthesis of cybersecurity workforce ecosystem functions</w:t>
      </w:r>
    </w:p>
    <w:tbl>
      <w:tblPr>
        <w:tblStyle w:val="TableGrid"/>
        <w:tblW w:w="0" w:type="auto"/>
        <w:jc w:val="center"/>
        <w:tblLook w:val="04A0" w:firstRow="1" w:lastRow="0" w:firstColumn="1" w:lastColumn="0" w:noHBand="0" w:noVBand="1"/>
      </w:tblPr>
      <w:tblGrid>
        <w:gridCol w:w="1999"/>
        <w:gridCol w:w="1999"/>
        <w:gridCol w:w="1999"/>
        <w:gridCol w:w="1999"/>
        <w:gridCol w:w="1999"/>
      </w:tblGrid>
      <w:tr w:rsidR="00311CC2" w14:paraId="73E56776" w14:textId="77777777">
        <w:trPr>
          <w:jc w:val="center"/>
        </w:trPr>
        <w:tc>
          <w:tcPr>
            <w:tcW w:w="1999" w:type="dxa"/>
            <w:vAlign w:val="center"/>
          </w:tcPr>
          <w:p w14:paraId="704C23DF" w14:textId="77777777" w:rsidR="00311CC2" w:rsidRDefault="00000000">
            <w:r>
              <w:rPr>
                <w:b/>
                <w:sz w:val="17"/>
              </w:rPr>
              <w:t>Ecosystem function</w:t>
            </w:r>
          </w:p>
        </w:tc>
        <w:tc>
          <w:tcPr>
            <w:tcW w:w="1999" w:type="dxa"/>
            <w:vAlign w:val="center"/>
          </w:tcPr>
          <w:p w14:paraId="34090B5D" w14:textId="77777777" w:rsidR="00311CC2" w:rsidRDefault="00000000">
            <w:r>
              <w:rPr>
                <w:b/>
                <w:sz w:val="17"/>
              </w:rPr>
              <w:t>United Kingdom</w:t>
            </w:r>
          </w:p>
        </w:tc>
        <w:tc>
          <w:tcPr>
            <w:tcW w:w="1999" w:type="dxa"/>
            <w:vAlign w:val="center"/>
          </w:tcPr>
          <w:p w14:paraId="5A05B13F" w14:textId="77777777" w:rsidR="00311CC2" w:rsidRDefault="00000000">
            <w:r>
              <w:rPr>
                <w:b/>
                <w:sz w:val="17"/>
              </w:rPr>
              <w:t>Lithuania</w:t>
            </w:r>
          </w:p>
        </w:tc>
        <w:tc>
          <w:tcPr>
            <w:tcW w:w="1999" w:type="dxa"/>
            <w:vAlign w:val="center"/>
          </w:tcPr>
          <w:p w14:paraId="276D9C26" w14:textId="77777777" w:rsidR="00311CC2" w:rsidRDefault="00000000">
            <w:r>
              <w:rPr>
                <w:b/>
                <w:sz w:val="17"/>
              </w:rPr>
              <w:t>CARICOM</w:t>
            </w:r>
          </w:p>
        </w:tc>
        <w:tc>
          <w:tcPr>
            <w:tcW w:w="1999" w:type="dxa"/>
            <w:vAlign w:val="center"/>
          </w:tcPr>
          <w:p w14:paraId="330C249D" w14:textId="77777777" w:rsidR="00311CC2" w:rsidRDefault="00000000">
            <w:r>
              <w:rPr>
                <w:b/>
                <w:sz w:val="17"/>
              </w:rPr>
              <w:t>Comparative implication</w:t>
            </w:r>
          </w:p>
        </w:tc>
      </w:tr>
      <w:tr w:rsidR="00311CC2" w14:paraId="1BAFEDD8" w14:textId="77777777">
        <w:trPr>
          <w:jc w:val="center"/>
        </w:trPr>
        <w:tc>
          <w:tcPr>
            <w:tcW w:w="1999" w:type="dxa"/>
          </w:tcPr>
          <w:p w14:paraId="42BEFE32" w14:textId="77777777" w:rsidR="00311CC2" w:rsidRDefault="00000000">
            <w:pPr>
              <w:spacing w:after="20"/>
            </w:pPr>
            <w:r>
              <w:rPr>
                <w:sz w:val="17"/>
              </w:rPr>
              <w:t>Governance &amp; coordination</w:t>
            </w:r>
          </w:p>
        </w:tc>
        <w:tc>
          <w:tcPr>
            <w:tcW w:w="1999" w:type="dxa"/>
          </w:tcPr>
          <w:p w14:paraId="342AA665" w14:textId="77777777" w:rsidR="00311CC2" w:rsidRDefault="00000000">
            <w:pPr>
              <w:spacing w:after="20"/>
            </w:pPr>
            <w:r>
              <w:rPr>
                <w:sz w:val="17"/>
              </w:rPr>
              <w:t>Institutionalised; recurring labour-market evidence</w:t>
            </w:r>
          </w:p>
        </w:tc>
        <w:tc>
          <w:tcPr>
            <w:tcW w:w="1999" w:type="dxa"/>
          </w:tcPr>
          <w:p w14:paraId="633E4F8C" w14:textId="77777777" w:rsidR="00311CC2" w:rsidRDefault="00000000">
            <w:pPr>
              <w:spacing w:after="20"/>
            </w:pPr>
            <w:r>
              <w:rPr>
                <w:sz w:val="17"/>
              </w:rPr>
              <w:t xml:space="preserve">Small-state system reinforced by EU structures; </w:t>
            </w:r>
            <w:r>
              <w:rPr>
                <w:sz w:val="17"/>
              </w:rPr>
              <w:lastRenderedPageBreak/>
              <w:t>fragmentation remains</w:t>
            </w:r>
          </w:p>
        </w:tc>
        <w:tc>
          <w:tcPr>
            <w:tcW w:w="1999" w:type="dxa"/>
          </w:tcPr>
          <w:p w14:paraId="687EAC69" w14:textId="77777777" w:rsidR="00311CC2" w:rsidRDefault="00000000">
            <w:pPr>
              <w:spacing w:after="20"/>
            </w:pPr>
            <w:r>
              <w:rPr>
                <w:sz w:val="17"/>
              </w:rPr>
              <w:lastRenderedPageBreak/>
              <w:t xml:space="preserve">Multi-jurisdictional; shared functions must coexist with national </w:t>
            </w:r>
            <w:r>
              <w:rPr>
                <w:sz w:val="17"/>
              </w:rPr>
              <w:lastRenderedPageBreak/>
              <w:t>authority</w:t>
            </w:r>
          </w:p>
        </w:tc>
        <w:tc>
          <w:tcPr>
            <w:tcW w:w="1999" w:type="dxa"/>
          </w:tcPr>
          <w:p w14:paraId="5EA93054" w14:textId="77777777" w:rsidR="00311CC2" w:rsidRDefault="00000000">
            <w:pPr>
              <w:spacing w:after="20"/>
            </w:pPr>
            <w:r>
              <w:rPr>
                <w:sz w:val="17"/>
              </w:rPr>
              <w:lastRenderedPageBreak/>
              <w:t xml:space="preserve">Durable ownership and evidence flows matter more than </w:t>
            </w:r>
            <w:r>
              <w:rPr>
                <w:sz w:val="17"/>
              </w:rPr>
              <w:lastRenderedPageBreak/>
              <w:t>organisational count</w:t>
            </w:r>
          </w:p>
        </w:tc>
      </w:tr>
      <w:tr w:rsidR="00311CC2" w14:paraId="6427FCEF" w14:textId="77777777">
        <w:trPr>
          <w:jc w:val="center"/>
        </w:trPr>
        <w:tc>
          <w:tcPr>
            <w:tcW w:w="1999" w:type="dxa"/>
          </w:tcPr>
          <w:p w14:paraId="47443D74" w14:textId="77777777" w:rsidR="00311CC2" w:rsidRDefault="00000000">
            <w:pPr>
              <w:spacing w:after="20"/>
            </w:pPr>
            <w:r>
              <w:rPr>
                <w:sz w:val="17"/>
              </w:rPr>
              <w:lastRenderedPageBreak/>
              <w:t>Education, training &amp; assurance</w:t>
            </w:r>
          </w:p>
        </w:tc>
        <w:tc>
          <w:tcPr>
            <w:tcW w:w="1999" w:type="dxa"/>
          </w:tcPr>
          <w:p w14:paraId="1FF657A5" w14:textId="77777777" w:rsidR="00311CC2" w:rsidRDefault="00000000">
            <w:pPr>
              <w:spacing w:after="20"/>
            </w:pPr>
            <w:r>
              <w:rPr>
                <w:sz w:val="17"/>
              </w:rPr>
              <w:t>Established pathways and signalling mechanisms</w:t>
            </w:r>
          </w:p>
        </w:tc>
        <w:tc>
          <w:tcPr>
            <w:tcW w:w="1999" w:type="dxa"/>
          </w:tcPr>
          <w:p w14:paraId="488D19E0" w14:textId="77777777" w:rsidR="00311CC2" w:rsidRDefault="00000000">
            <w:pPr>
              <w:spacing w:after="20"/>
            </w:pPr>
            <w:r>
              <w:rPr>
                <w:sz w:val="17"/>
              </w:rPr>
              <w:t>Growing provision; alignment and signalling gaps remain</w:t>
            </w:r>
          </w:p>
        </w:tc>
        <w:tc>
          <w:tcPr>
            <w:tcW w:w="1999" w:type="dxa"/>
          </w:tcPr>
          <w:p w14:paraId="68268468" w14:textId="77777777" w:rsidR="00311CC2" w:rsidRDefault="00000000">
            <w:pPr>
              <w:spacing w:after="20"/>
            </w:pPr>
            <w:r>
              <w:rPr>
                <w:sz w:val="17"/>
              </w:rPr>
              <w:t>Comparable regional provision evidence is incomplete</w:t>
            </w:r>
          </w:p>
        </w:tc>
        <w:tc>
          <w:tcPr>
            <w:tcW w:w="1999" w:type="dxa"/>
          </w:tcPr>
          <w:p w14:paraId="28B28869" w14:textId="77777777" w:rsidR="00311CC2" w:rsidRDefault="00000000">
            <w:pPr>
              <w:spacing w:after="20"/>
            </w:pPr>
            <w:r>
              <w:rPr>
                <w:sz w:val="17"/>
              </w:rPr>
              <w:t>Common standards may transfer more readily than national assurance institutions</w:t>
            </w:r>
          </w:p>
        </w:tc>
      </w:tr>
      <w:tr w:rsidR="00311CC2" w14:paraId="7E2D7AE5" w14:textId="77777777">
        <w:trPr>
          <w:jc w:val="center"/>
        </w:trPr>
        <w:tc>
          <w:tcPr>
            <w:tcW w:w="1999" w:type="dxa"/>
          </w:tcPr>
          <w:p w14:paraId="6D1F4007" w14:textId="77777777" w:rsidR="00311CC2" w:rsidRDefault="00000000">
            <w:pPr>
              <w:spacing w:after="20"/>
            </w:pPr>
            <w:r>
              <w:rPr>
                <w:sz w:val="17"/>
              </w:rPr>
              <w:t>Labour-market alignment</w:t>
            </w:r>
          </w:p>
        </w:tc>
        <w:tc>
          <w:tcPr>
            <w:tcW w:w="1999" w:type="dxa"/>
          </w:tcPr>
          <w:p w14:paraId="62E83943" w14:textId="77777777" w:rsidR="00311CC2" w:rsidRDefault="00000000">
            <w:pPr>
              <w:spacing w:after="20"/>
            </w:pPr>
            <w:r>
              <w:rPr>
                <w:sz w:val="17"/>
              </w:rPr>
              <w:t>Rich evidence; matching problems persist</w:t>
            </w:r>
          </w:p>
        </w:tc>
        <w:tc>
          <w:tcPr>
            <w:tcW w:w="1999" w:type="dxa"/>
          </w:tcPr>
          <w:p w14:paraId="01E9AEC3" w14:textId="77777777" w:rsidR="00311CC2" w:rsidRDefault="00000000">
            <w:pPr>
              <w:spacing w:after="20"/>
            </w:pPr>
            <w:r>
              <w:rPr>
                <w:sz w:val="17"/>
              </w:rPr>
              <w:t>Employer/education alignment remains important</w:t>
            </w:r>
          </w:p>
        </w:tc>
        <w:tc>
          <w:tcPr>
            <w:tcW w:w="1999" w:type="dxa"/>
          </w:tcPr>
          <w:p w14:paraId="7CE22622" w14:textId="77777777" w:rsidR="00311CC2" w:rsidRDefault="00000000">
            <w:pPr>
              <w:spacing w:after="20"/>
            </w:pPr>
            <w:r>
              <w:rPr>
                <w:sz w:val="17"/>
              </w:rPr>
              <w:t>Harmonised cyber labour-market evidence is weak</w:t>
            </w:r>
          </w:p>
        </w:tc>
        <w:tc>
          <w:tcPr>
            <w:tcW w:w="1999" w:type="dxa"/>
          </w:tcPr>
          <w:p w14:paraId="0ADDE882" w14:textId="77777777" w:rsidR="00311CC2" w:rsidRDefault="00000000">
            <w:pPr>
              <w:spacing w:after="20"/>
            </w:pPr>
            <w:r>
              <w:rPr>
                <w:sz w:val="17"/>
              </w:rPr>
              <w:t>Evidence and signalling may matter as much as training volume</w:t>
            </w:r>
          </w:p>
        </w:tc>
      </w:tr>
      <w:tr w:rsidR="00311CC2" w14:paraId="04059737" w14:textId="77777777">
        <w:trPr>
          <w:jc w:val="center"/>
        </w:trPr>
        <w:tc>
          <w:tcPr>
            <w:tcW w:w="1999" w:type="dxa"/>
          </w:tcPr>
          <w:p w14:paraId="31D0A1D2" w14:textId="77777777" w:rsidR="00311CC2" w:rsidRDefault="00000000">
            <w:pPr>
              <w:spacing w:after="20"/>
            </w:pPr>
            <w:r>
              <w:rPr>
                <w:sz w:val="17"/>
              </w:rPr>
              <w:t>Pipeline &amp; continuity</w:t>
            </w:r>
          </w:p>
        </w:tc>
        <w:tc>
          <w:tcPr>
            <w:tcW w:w="1999" w:type="dxa"/>
          </w:tcPr>
          <w:p w14:paraId="2BDCCE3B" w14:textId="77777777" w:rsidR="00311CC2" w:rsidRDefault="00000000">
            <w:pPr>
              <w:spacing w:after="20"/>
            </w:pPr>
            <w:r>
              <w:rPr>
                <w:sz w:val="17"/>
              </w:rPr>
              <w:t>Multiple entry/progression mechanisms</w:t>
            </w:r>
          </w:p>
        </w:tc>
        <w:tc>
          <w:tcPr>
            <w:tcW w:w="1999" w:type="dxa"/>
          </w:tcPr>
          <w:p w14:paraId="50E07836" w14:textId="77777777" w:rsidR="00311CC2" w:rsidRDefault="00000000">
            <w:pPr>
              <w:spacing w:after="20"/>
            </w:pPr>
            <w:r>
              <w:rPr>
                <w:sz w:val="17"/>
              </w:rPr>
              <w:t>Small-market continuity and retention constraints</w:t>
            </w:r>
          </w:p>
        </w:tc>
        <w:tc>
          <w:tcPr>
            <w:tcW w:w="1999" w:type="dxa"/>
          </w:tcPr>
          <w:p w14:paraId="4E709418" w14:textId="77777777" w:rsidR="00311CC2" w:rsidRDefault="00000000">
            <w:pPr>
              <w:spacing w:after="20"/>
            </w:pPr>
            <w:r>
              <w:rPr>
                <w:sz w:val="17"/>
              </w:rPr>
              <w:t>Mobility and geographic dispersion are structural moderators</w:t>
            </w:r>
          </w:p>
        </w:tc>
        <w:tc>
          <w:tcPr>
            <w:tcW w:w="1999" w:type="dxa"/>
          </w:tcPr>
          <w:p w14:paraId="4FEE4CD0" w14:textId="77777777" w:rsidR="00311CC2" w:rsidRDefault="00000000">
            <w:pPr>
              <w:spacing w:after="20"/>
            </w:pPr>
            <w:r>
              <w:rPr>
                <w:sz w:val="17"/>
              </w:rPr>
              <w:t>Policy should support continuity and capability circulation</w:t>
            </w:r>
          </w:p>
        </w:tc>
      </w:tr>
    </w:tbl>
    <w:p w14:paraId="6586CFAD" w14:textId="77777777" w:rsidR="00311CC2" w:rsidRDefault="00311CC2"/>
    <w:p w14:paraId="7FDA109C" w14:textId="77777777" w:rsidR="00311CC2" w:rsidRDefault="00000000">
      <w:pPr>
        <w:jc w:val="both"/>
      </w:pPr>
      <w:r>
        <w:t>Table 2 avoids a simple maturity ranking. Its purpose is to identify the institutional conditions under which equivalent functions operate. The strongest contrast is between UK national scale, Lithuania's small-state scale combined with EU embeddedness, and CARICOM's fragmented regional scale.</w:t>
      </w:r>
    </w:p>
    <w:p w14:paraId="6BBC3F09" w14:textId="77777777" w:rsidR="00311CC2" w:rsidRDefault="00000000">
      <w:pPr>
        <w:pStyle w:val="Heading1"/>
      </w:pPr>
      <w:r>
        <w:t>5. Transferability analysis</w:t>
      </w:r>
    </w:p>
    <w:p w14:paraId="2FCB1A9B" w14:textId="77777777" w:rsidR="00311CC2" w:rsidRDefault="00000000">
      <w:pPr>
        <w:jc w:val="both"/>
      </w:pPr>
      <w:r>
        <w:t>The transferability analysis asks which functions can plausibly be reproduced within CARICOM and under what conditions. The assessment does not infer transferability from policy attractiveness. Each candidate mechanism must pass the four contextual tests and is treated as conditional where institutional evidence is incomplete.</w:t>
      </w:r>
    </w:p>
    <w:p w14:paraId="1DC87A29" w14:textId="77777777" w:rsidR="00311CC2" w:rsidRDefault="00000000">
      <w:pPr>
        <w:jc w:val="center"/>
      </w:pPr>
      <w:r>
        <w:t>Table 3. Transferability assessment of candidate CARICOM mechanisms</w:t>
      </w:r>
    </w:p>
    <w:tbl>
      <w:tblPr>
        <w:tblStyle w:val="TableGrid"/>
        <w:tblW w:w="0" w:type="auto"/>
        <w:jc w:val="center"/>
        <w:tblLook w:val="04A0" w:firstRow="1" w:lastRow="0" w:firstColumn="1" w:lastColumn="0" w:noHBand="0" w:noVBand="1"/>
      </w:tblPr>
      <w:tblGrid>
        <w:gridCol w:w="1666"/>
        <w:gridCol w:w="1666"/>
        <w:gridCol w:w="1666"/>
        <w:gridCol w:w="1666"/>
        <w:gridCol w:w="1666"/>
        <w:gridCol w:w="1666"/>
      </w:tblGrid>
      <w:tr w:rsidR="00311CC2" w14:paraId="6BFCD4D3" w14:textId="77777777">
        <w:trPr>
          <w:jc w:val="center"/>
        </w:trPr>
        <w:tc>
          <w:tcPr>
            <w:tcW w:w="1666" w:type="dxa"/>
            <w:vAlign w:val="center"/>
          </w:tcPr>
          <w:p w14:paraId="2F03462C" w14:textId="77777777" w:rsidR="00311CC2" w:rsidRDefault="00000000">
            <w:r>
              <w:rPr>
                <w:b/>
                <w:sz w:val="17"/>
              </w:rPr>
              <w:t>Candidate mechanism</w:t>
            </w:r>
          </w:p>
        </w:tc>
        <w:tc>
          <w:tcPr>
            <w:tcW w:w="1666" w:type="dxa"/>
            <w:vAlign w:val="center"/>
          </w:tcPr>
          <w:p w14:paraId="2BA7C035" w14:textId="77777777" w:rsidR="00311CC2" w:rsidRDefault="00000000">
            <w:r>
              <w:rPr>
                <w:b/>
                <w:sz w:val="17"/>
              </w:rPr>
              <w:t>Institutional feasibility</w:t>
            </w:r>
          </w:p>
        </w:tc>
        <w:tc>
          <w:tcPr>
            <w:tcW w:w="1666" w:type="dxa"/>
            <w:vAlign w:val="center"/>
          </w:tcPr>
          <w:p w14:paraId="5D8569E6" w14:textId="77777777" w:rsidR="00311CC2" w:rsidRDefault="00000000">
            <w:r>
              <w:rPr>
                <w:b/>
                <w:sz w:val="17"/>
              </w:rPr>
              <w:t>Resource proportionality</w:t>
            </w:r>
          </w:p>
        </w:tc>
        <w:tc>
          <w:tcPr>
            <w:tcW w:w="1666" w:type="dxa"/>
            <w:vAlign w:val="center"/>
          </w:tcPr>
          <w:p w14:paraId="623C82AE" w14:textId="77777777" w:rsidR="00311CC2" w:rsidRDefault="00000000">
            <w:r>
              <w:rPr>
                <w:b/>
                <w:sz w:val="17"/>
              </w:rPr>
              <w:t>Structural compatibility</w:t>
            </w:r>
          </w:p>
        </w:tc>
        <w:tc>
          <w:tcPr>
            <w:tcW w:w="1666" w:type="dxa"/>
            <w:vAlign w:val="center"/>
          </w:tcPr>
          <w:p w14:paraId="466E3D27" w14:textId="77777777" w:rsidR="00311CC2" w:rsidRDefault="00000000">
            <w:r>
              <w:rPr>
                <w:b/>
                <w:sz w:val="17"/>
              </w:rPr>
              <w:t>Regional scalability</w:t>
            </w:r>
          </w:p>
        </w:tc>
        <w:tc>
          <w:tcPr>
            <w:tcW w:w="1666" w:type="dxa"/>
            <w:vAlign w:val="center"/>
          </w:tcPr>
          <w:p w14:paraId="0E2CE93F" w14:textId="77777777" w:rsidR="00311CC2" w:rsidRDefault="00000000">
            <w:r>
              <w:rPr>
                <w:b/>
                <w:sz w:val="17"/>
              </w:rPr>
              <w:t>Overall</w:t>
            </w:r>
          </w:p>
        </w:tc>
      </w:tr>
      <w:tr w:rsidR="00311CC2" w14:paraId="7015012C" w14:textId="77777777">
        <w:trPr>
          <w:jc w:val="center"/>
        </w:trPr>
        <w:tc>
          <w:tcPr>
            <w:tcW w:w="1666" w:type="dxa"/>
          </w:tcPr>
          <w:p w14:paraId="5D7D92AB" w14:textId="77777777" w:rsidR="00311CC2" w:rsidRDefault="00000000">
            <w:pPr>
              <w:spacing w:after="20"/>
            </w:pPr>
            <w:r>
              <w:rPr>
                <w:sz w:val="17"/>
              </w:rPr>
              <w:t>Common competency &amp; professional signalling</w:t>
            </w:r>
          </w:p>
        </w:tc>
        <w:tc>
          <w:tcPr>
            <w:tcW w:w="1666" w:type="dxa"/>
          </w:tcPr>
          <w:p w14:paraId="3570993E" w14:textId="77777777" w:rsidR="00311CC2" w:rsidRDefault="00000000">
            <w:pPr>
              <w:spacing w:after="20"/>
            </w:pPr>
            <w:r>
              <w:rPr>
                <w:sz w:val="17"/>
              </w:rPr>
              <w:t>Medium</w:t>
            </w:r>
          </w:p>
        </w:tc>
        <w:tc>
          <w:tcPr>
            <w:tcW w:w="1666" w:type="dxa"/>
          </w:tcPr>
          <w:p w14:paraId="3BB3A150" w14:textId="77777777" w:rsidR="00311CC2" w:rsidRDefault="00000000">
            <w:pPr>
              <w:spacing w:after="20"/>
            </w:pPr>
            <w:r>
              <w:rPr>
                <w:sz w:val="17"/>
              </w:rPr>
              <w:t>High</w:t>
            </w:r>
          </w:p>
        </w:tc>
        <w:tc>
          <w:tcPr>
            <w:tcW w:w="1666" w:type="dxa"/>
          </w:tcPr>
          <w:p w14:paraId="75403FF8" w14:textId="77777777" w:rsidR="00311CC2" w:rsidRDefault="00000000">
            <w:pPr>
              <w:spacing w:after="20"/>
            </w:pPr>
            <w:r>
              <w:rPr>
                <w:sz w:val="17"/>
              </w:rPr>
              <w:t>High</w:t>
            </w:r>
          </w:p>
        </w:tc>
        <w:tc>
          <w:tcPr>
            <w:tcW w:w="1666" w:type="dxa"/>
          </w:tcPr>
          <w:p w14:paraId="3CE2F8FE" w14:textId="77777777" w:rsidR="00311CC2" w:rsidRDefault="00000000">
            <w:pPr>
              <w:spacing w:after="20"/>
            </w:pPr>
            <w:r>
              <w:rPr>
                <w:sz w:val="17"/>
              </w:rPr>
              <w:t>High</w:t>
            </w:r>
          </w:p>
        </w:tc>
        <w:tc>
          <w:tcPr>
            <w:tcW w:w="1666" w:type="dxa"/>
          </w:tcPr>
          <w:p w14:paraId="6A76F154" w14:textId="77777777" w:rsidR="00311CC2" w:rsidRDefault="00000000">
            <w:pPr>
              <w:spacing w:after="20"/>
            </w:pPr>
            <w:r>
              <w:rPr>
                <w:sz w:val="17"/>
              </w:rPr>
              <w:t>Medium-High, conditional</w:t>
            </w:r>
          </w:p>
        </w:tc>
      </w:tr>
      <w:tr w:rsidR="00311CC2" w14:paraId="097E983A" w14:textId="77777777">
        <w:trPr>
          <w:jc w:val="center"/>
        </w:trPr>
        <w:tc>
          <w:tcPr>
            <w:tcW w:w="1666" w:type="dxa"/>
          </w:tcPr>
          <w:p w14:paraId="70DAF722" w14:textId="77777777" w:rsidR="00311CC2" w:rsidRDefault="00000000">
            <w:pPr>
              <w:spacing w:after="20"/>
            </w:pPr>
            <w:r>
              <w:rPr>
                <w:sz w:val="17"/>
              </w:rPr>
              <w:t>Regional cyber-skills coordination function</w:t>
            </w:r>
          </w:p>
        </w:tc>
        <w:tc>
          <w:tcPr>
            <w:tcW w:w="1666" w:type="dxa"/>
          </w:tcPr>
          <w:p w14:paraId="1B47C0D3" w14:textId="77777777" w:rsidR="00311CC2" w:rsidRDefault="00000000">
            <w:pPr>
              <w:spacing w:after="20"/>
            </w:pPr>
            <w:r>
              <w:rPr>
                <w:sz w:val="17"/>
              </w:rPr>
              <w:t>Medium</w:t>
            </w:r>
          </w:p>
        </w:tc>
        <w:tc>
          <w:tcPr>
            <w:tcW w:w="1666" w:type="dxa"/>
          </w:tcPr>
          <w:p w14:paraId="2ABD20AA" w14:textId="77777777" w:rsidR="00311CC2" w:rsidRDefault="00000000">
            <w:pPr>
              <w:spacing w:after="20"/>
            </w:pPr>
            <w:r>
              <w:rPr>
                <w:sz w:val="17"/>
              </w:rPr>
              <w:t>Medium</w:t>
            </w:r>
          </w:p>
        </w:tc>
        <w:tc>
          <w:tcPr>
            <w:tcW w:w="1666" w:type="dxa"/>
          </w:tcPr>
          <w:p w14:paraId="349AF492" w14:textId="77777777" w:rsidR="00311CC2" w:rsidRDefault="00000000">
            <w:pPr>
              <w:spacing w:after="20"/>
            </w:pPr>
            <w:r>
              <w:rPr>
                <w:sz w:val="17"/>
              </w:rPr>
              <w:t>High</w:t>
            </w:r>
          </w:p>
        </w:tc>
        <w:tc>
          <w:tcPr>
            <w:tcW w:w="1666" w:type="dxa"/>
          </w:tcPr>
          <w:p w14:paraId="37A56493" w14:textId="77777777" w:rsidR="00311CC2" w:rsidRDefault="00000000">
            <w:pPr>
              <w:spacing w:after="20"/>
            </w:pPr>
            <w:r>
              <w:rPr>
                <w:sz w:val="17"/>
              </w:rPr>
              <w:t>High</w:t>
            </w:r>
          </w:p>
        </w:tc>
        <w:tc>
          <w:tcPr>
            <w:tcW w:w="1666" w:type="dxa"/>
          </w:tcPr>
          <w:p w14:paraId="5F102594" w14:textId="77777777" w:rsidR="00311CC2" w:rsidRDefault="00000000">
            <w:pPr>
              <w:spacing w:after="20"/>
            </w:pPr>
            <w:r>
              <w:rPr>
                <w:sz w:val="17"/>
              </w:rPr>
              <w:t>Medium</w:t>
            </w:r>
          </w:p>
        </w:tc>
      </w:tr>
      <w:tr w:rsidR="00311CC2" w14:paraId="79BDFEF7" w14:textId="77777777">
        <w:trPr>
          <w:jc w:val="center"/>
        </w:trPr>
        <w:tc>
          <w:tcPr>
            <w:tcW w:w="1666" w:type="dxa"/>
          </w:tcPr>
          <w:p w14:paraId="58A2AD67" w14:textId="77777777" w:rsidR="00311CC2" w:rsidRDefault="00000000">
            <w:pPr>
              <w:spacing w:after="20"/>
            </w:pPr>
            <w:r>
              <w:rPr>
                <w:sz w:val="17"/>
              </w:rPr>
              <w:t>Voluntary training quality recognition</w:t>
            </w:r>
          </w:p>
        </w:tc>
        <w:tc>
          <w:tcPr>
            <w:tcW w:w="1666" w:type="dxa"/>
          </w:tcPr>
          <w:p w14:paraId="73E33B6E" w14:textId="77777777" w:rsidR="00311CC2" w:rsidRDefault="00000000">
            <w:pPr>
              <w:spacing w:after="20"/>
            </w:pPr>
            <w:r>
              <w:rPr>
                <w:sz w:val="17"/>
              </w:rPr>
              <w:t>Medium</w:t>
            </w:r>
          </w:p>
        </w:tc>
        <w:tc>
          <w:tcPr>
            <w:tcW w:w="1666" w:type="dxa"/>
          </w:tcPr>
          <w:p w14:paraId="6F6BE431" w14:textId="77777777" w:rsidR="00311CC2" w:rsidRDefault="00000000">
            <w:pPr>
              <w:spacing w:after="20"/>
            </w:pPr>
            <w:r>
              <w:rPr>
                <w:sz w:val="17"/>
              </w:rPr>
              <w:t>High</w:t>
            </w:r>
          </w:p>
        </w:tc>
        <w:tc>
          <w:tcPr>
            <w:tcW w:w="1666" w:type="dxa"/>
          </w:tcPr>
          <w:p w14:paraId="191E281C" w14:textId="77777777" w:rsidR="00311CC2" w:rsidRDefault="00000000">
            <w:pPr>
              <w:spacing w:after="20"/>
            </w:pPr>
            <w:r>
              <w:rPr>
                <w:sz w:val="17"/>
              </w:rPr>
              <w:t>High</w:t>
            </w:r>
          </w:p>
        </w:tc>
        <w:tc>
          <w:tcPr>
            <w:tcW w:w="1666" w:type="dxa"/>
          </w:tcPr>
          <w:p w14:paraId="34F57AD6" w14:textId="77777777" w:rsidR="00311CC2" w:rsidRDefault="00000000">
            <w:pPr>
              <w:spacing w:after="20"/>
            </w:pPr>
            <w:r>
              <w:rPr>
                <w:sz w:val="17"/>
              </w:rPr>
              <w:t>High</w:t>
            </w:r>
          </w:p>
        </w:tc>
        <w:tc>
          <w:tcPr>
            <w:tcW w:w="1666" w:type="dxa"/>
          </w:tcPr>
          <w:p w14:paraId="48763437" w14:textId="77777777" w:rsidR="00311CC2" w:rsidRDefault="00000000">
            <w:pPr>
              <w:spacing w:after="20"/>
            </w:pPr>
            <w:r>
              <w:rPr>
                <w:sz w:val="17"/>
              </w:rPr>
              <w:t>Medium-High</w:t>
            </w:r>
          </w:p>
        </w:tc>
      </w:tr>
      <w:tr w:rsidR="00311CC2" w14:paraId="52CE027A" w14:textId="77777777">
        <w:trPr>
          <w:jc w:val="center"/>
        </w:trPr>
        <w:tc>
          <w:tcPr>
            <w:tcW w:w="1666" w:type="dxa"/>
          </w:tcPr>
          <w:p w14:paraId="08EB3388" w14:textId="77777777" w:rsidR="00311CC2" w:rsidRDefault="00000000">
            <w:pPr>
              <w:spacing w:after="20"/>
            </w:pPr>
            <w:r>
              <w:rPr>
                <w:sz w:val="17"/>
              </w:rPr>
              <w:t>Work-based transition pathway</w:t>
            </w:r>
          </w:p>
        </w:tc>
        <w:tc>
          <w:tcPr>
            <w:tcW w:w="1666" w:type="dxa"/>
          </w:tcPr>
          <w:p w14:paraId="4224AE2A" w14:textId="77777777" w:rsidR="00311CC2" w:rsidRDefault="00000000">
            <w:pPr>
              <w:spacing w:after="20"/>
            </w:pPr>
            <w:r>
              <w:rPr>
                <w:sz w:val="17"/>
              </w:rPr>
              <w:t>Medium</w:t>
            </w:r>
          </w:p>
        </w:tc>
        <w:tc>
          <w:tcPr>
            <w:tcW w:w="1666" w:type="dxa"/>
          </w:tcPr>
          <w:p w14:paraId="143A5F39" w14:textId="77777777" w:rsidR="00311CC2" w:rsidRDefault="00000000">
            <w:pPr>
              <w:spacing w:after="20"/>
            </w:pPr>
            <w:r>
              <w:rPr>
                <w:sz w:val="17"/>
              </w:rPr>
              <w:t>Medium</w:t>
            </w:r>
          </w:p>
        </w:tc>
        <w:tc>
          <w:tcPr>
            <w:tcW w:w="1666" w:type="dxa"/>
          </w:tcPr>
          <w:p w14:paraId="1E63B8A5" w14:textId="77777777" w:rsidR="00311CC2" w:rsidRDefault="00000000">
            <w:pPr>
              <w:spacing w:after="20"/>
            </w:pPr>
            <w:r>
              <w:rPr>
                <w:sz w:val="17"/>
              </w:rPr>
              <w:t>High</w:t>
            </w:r>
          </w:p>
        </w:tc>
        <w:tc>
          <w:tcPr>
            <w:tcW w:w="1666" w:type="dxa"/>
          </w:tcPr>
          <w:p w14:paraId="72AF487D" w14:textId="77777777" w:rsidR="00311CC2" w:rsidRDefault="00000000">
            <w:pPr>
              <w:spacing w:after="20"/>
            </w:pPr>
            <w:r>
              <w:rPr>
                <w:sz w:val="17"/>
              </w:rPr>
              <w:t>High</w:t>
            </w:r>
          </w:p>
        </w:tc>
        <w:tc>
          <w:tcPr>
            <w:tcW w:w="1666" w:type="dxa"/>
          </w:tcPr>
          <w:p w14:paraId="497CC63E" w14:textId="77777777" w:rsidR="00311CC2" w:rsidRDefault="00000000">
            <w:pPr>
              <w:spacing w:after="20"/>
            </w:pPr>
            <w:r>
              <w:rPr>
                <w:sz w:val="17"/>
              </w:rPr>
              <w:t>Medium</w:t>
            </w:r>
          </w:p>
        </w:tc>
      </w:tr>
      <w:tr w:rsidR="00311CC2" w14:paraId="27072E6A" w14:textId="77777777">
        <w:trPr>
          <w:jc w:val="center"/>
        </w:trPr>
        <w:tc>
          <w:tcPr>
            <w:tcW w:w="1666" w:type="dxa"/>
          </w:tcPr>
          <w:p w14:paraId="4441E6E0" w14:textId="77777777" w:rsidR="00311CC2" w:rsidRDefault="00000000">
            <w:pPr>
              <w:spacing w:after="20"/>
            </w:pPr>
            <w:r>
              <w:rPr>
                <w:sz w:val="17"/>
              </w:rPr>
              <w:t>Common labour-market intelligence</w:t>
            </w:r>
          </w:p>
        </w:tc>
        <w:tc>
          <w:tcPr>
            <w:tcW w:w="1666" w:type="dxa"/>
          </w:tcPr>
          <w:p w14:paraId="2F42F013" w14:textId="77777777" w:rsidR="00311CC2" w:rsidRDefault="00000000">
            <w:pPr>
              <w:spacing w:after="20"/>
            </w:pPr>
            <w:r>
              <w:rPr>
                <w:sz w:val="17"/>
              </w:rPr>
              <w:t>Medium-High</w:t>
            </w:r>
          </w:p>
        </w:tc>
        <w:tc>
          <w:tcPr>
            <w:tcW w:w="1666" w:type="dxa"/>
          </w:tcPr>
          <w:p w14:paraId="3600D46E" w14:textId="77777777" w:rsidR="00311CC2" w:rsidRDefault="00000000">
            <w:pPr>
              <w:spacing w:after="20"/>
            </w:pPr>
            <w:r>
              <w:rPr>
                <w:sz w:val="17"/>
              </w:rPr>
              <w:t>High</w:t>
            </w:r>
          </w:p>
        </w:tc>
        <w:tc>
          <w:tcPr>
            <w:tcW w:w="1666" w:type="dxa"/>
          </w:tcPr>
          <w:p w14:paraId="58E25D65" w14:textId="77777777" w:rsidR="00311CC2" w:rsidRDefault="00000000">
            <w:pPr>
              <w:spacing w:after="20"/>
            </w:pPr>
            <w:r>
              <w:rPr>
                <w:sz w:val="17"/>
              </w:rPr>
              <w:t>High</w:t>
            </w:r>
          </w:p>
        </w:tc>
        <w:tc>
          <w:tcPr>
            <w:tcW w:w="1666" w:type="dxa"/>
          </w:tcPr>
          <w:p w14:paraId="7F25D8EF" w14:textId="77777777" w:rsidR="00311CC2" w:rsidRDefault="00000000">
            <w:pPr>
              <w:spacing w:after="20"/>
            </w:pPr>
            <w:r>
              <w:rPr>
                <w:sz w:val="17"/>
              </w:rPr>
              <w:t>High</w:t>
            </w:r>
          </w:p>
        </w:tc>
        <w:tc>
          <w:tcPr>
            <w:tcW w:w="1666" w:type="dxa"/>
          </w:tcPr>
          <w:p w14:paraId="6A004295" w14:textId="77777777" w:rsidR="00311CC2" w:rsidRDefault="00000000">
            <w:pPr>
              <w:spacing w:after="20"/>
            </w:pPr>
            <w:r>
              <w:rPr>
                <w:sz w:val="17"/>
              </w:rPr>
              <w:t>Medium-High; strongest candidate</w:t>
            </w:r>
          </w:p>
        </w:tc>
      </w:tr>
    </w:tbl>
    <w:p w14:paraId="598C5BA4" w14:textId="77777777" w:rsidR="00311CC2" w:rsidRDefault="00311CC2"/>
    <w:p w14:paraId="78A49930" w14:textId="77777777" w:rsidR="00311CC2" w:rsidRDefault="00000000">
      <w:pPr>
        <w:jc w:val="both"/>
      </w:pPr>
      <w:r>
        <w:t>Table 3 deliberately uses conservative ratings. A mechanism is not rated High merely because it is lightweight or desirable. Institutional ownership, participation, data governance and sustained implementation are substantive conditions.</w:t>
      </w:r>
    </w:p>
    <w:p w14:paraId="5D95B4E1" w14:textId="77777777" w:rsidR="00311CC2" w:rsidRDefault="00000000">
      <w:pPr>
        <w:pStyle w:val="Heading2"/>
      </w:pPr>
      <w:r>
        <w:t>5.1 Common competency and professional signalling</w:t>
      </w:r>
    </w:p>
    <w:p w14:paraId="5349120D" w14:textId="77777777" w:rsidR="00311CC2" w:rsidRDefault="00000000">
      <w:pPr>
        <w:jc w:val="both"/>
      </w:pPr>
      <w:r>
        <w:t>The strongest transferable element of mature professional systems is likely to be common occupational language rather than the institution that owns it. ECSF demonstrates how role profiles and competencies can create a shared reference point between employers, learners and education providers [7]. For CARICOM, the appropriate adaptation would be a regional reference layer that maps roles and competencies while allowing national qualifications, employer requirements and established certifications to remain intact.</w:t>
      </w:r>
    </w:p>
    <w:p w14:paraId="35464F4B" w14:textId="77777777" w:rsidR="00311CC2" w:rsidRDefault="00000000">
      <w:pPr>
        <w:jc w:val="both"/>
      </w:pPr>
      <w:r>
        <w:t xml:space="preserve">The mechanism is rated Medium-High rather than High because regional ownership has not been demonstrated. Its resource and structural requirements are relatively modest, and its value increases when </w:t>
      </w:r>
      <w:r>
        <w:lastRenderedPageBreak/>
        <w:t>employers and educators operate across borders. However, a common vocabulary has little policy value without credible participation and maintenance.</w:t>
      </w:r>
    </w:p>
    <w:p w14:paraId="655CD087" w14:textId="77777777" w:rsidR="00311CC2" w:rsidRDefault="00000000">
      <w:pPr>
        <w:pStyle w:val="Heading2"/>
      </w:pPr>
      <w:r>
        <w:t>5.2 Regional coordination function</w:t>
      </w:r>
    </w:p>
    <w:p w14:paraId="34B8B48B" w14:textId="77777777" w:rsidR="00311CC2" w:rsidRDefault="00000000">
      <w:pPr>
        <w:jc w:val="both"/>
      </w:pPr>
      <w:r>
        <w:t>A coordination function could connect evidence, education, employers and national policy actors, but it is the mechanism with the greatest risk of being over-institutionalised. The small-state literature warns that regional structures can incur negotiation and implementation costs and can be weakened by sovereignty concerns or uneven perceived benefits [11].</w:t>
      </w:r>
    </w:p>
    <w:p w14:paraId="2CF308BF" w14:textId="77777777" w:rsidR="00311CC2" w:rsidRDefault="00000000">
      <w:pPr>
        <w:jc w:val="both"/>
      </w:pPr>
      <w:r>
        <w:t>Accordingly, the study does not recommend a new permanent agency as an empirical necessity. The transferable function is coordination itself. Its institutional form should be determined only after mandate, political ownership, data-sharing arrangements, participation and funding are validated. The overall rating is Medium.</w:t>
      </w:r>
    </w:p>
    <w:p w14:paraId="02A34F79" w14:textId="77777777" w:rsidR="00311CC2" w:rsidRDefault="00000000">
      <w:pPr>
        <w:pStyle w:val="Heading2"/>
      </w:pPr>
      <w:r>
        <w:t>5.3 Voluntary quality recognition</w:t>
      </w:r>
    </w:p>
    <w:p w14:paraId="4E2C7E64" w14:textId="77777777" w:rsidR="00311CC2" w:rsidRDefault="00000000">
      <w:pPr>
        <w:jc w:val="both"/>
      </w:pPr>
      <w:r>
        <w:t>Shared recognition can reduce information costs where learners and employers operate across small national markets. The transferable function is not mandatory regional accreditation but a voluntary mechanism through which participating providers or programmes can demonstrate alignment with an agreed competency reference.</w:t>
      </w:r>
    </w:p>
    <w:p w14:paraId="1BF9AD55" w14:textId="77777777" w:rsidR="00311CC2" w:rsidRDefault="00000000">
      <w:pPr>
        <w:jc w:val="both"/>
      </w:pPr>
      <w:r>
        <w:t>This mechanism is rated Medium-High for a voluntary model. Mandatory accreditation would face substantially greater legal and institutional complexity and is not supported by the present evidence. The distinction between recognition and regulatory accreditation is therefore essential.</w:t>
      </w:r>
    </w:p>
    <w:p w14:paraId="547B48AE" w14:textId="77777777" w:rsidR="00311CC2" w:rsidRDefault="00000000">
      <w:pPr>
        <w:pStyle w:val="Heading2"/>
      </w:pPr>
      <w:r>
        <w:t>5.4 Work-based transition</w:t>
      </w:r>
    </w:p>
    <w:p w14:paraId="18A01AE6" w14:textId="77777777" w:rsidR="00311CC2" w:rsidRDefault="00000000">
      <w:pPr>
        <w:jc w:val="both"/>
      </w:pPr>
      <w:r>
        <w:t>The UK evidence shows that experience requirements can restrict entry even where training supply exists [9]. A transferable response is therefore not simply more training but structured transition into work: placements, supervised projects, apprenticeships or other employer-linked experiences appropriate to local labour markets.</w:t>
      </w:r>
    </w:p>
    <w:p w14:paraId="51349B4E" w14:textId="77777777" w:rsidR="00311CC2" w:rsidRDefault="00000000">
      <w:pPr>
        <w:jc w:val="both"/>
      </w:pPr>
      <w:r>
        <w:t>For CARICOM, regional scale could enlarge the pool of participating employers and projects, but the mechanism depends on employer capacity, funding and education integration. It is therefore rated Medium. Outreach competitions or programme branding may support participation, but they are not substitutes for the underlying work-transition function.</w:t>
      </w:r>
    </w:p>
    <w:p w14:paraId="6A36F08D" w14:textId="77777777" w:rsidR="00311CC2" w:rsidRDefault="00000000">
      <w:pPr>
        <w:pStyle w:val="Heading2"/>
      </w:pPr>
      <w:r>
        <w:t>5.5 Common labour-market intelligence</w:t>
      </w:r>
    </w:p>
    <w:p w14:paraId="58B73CAB" w14:textId="77777777" w:rsidR="00311CC2" w:rsidRDefault="00000000">
      <w:pPr>
        <w:jc w:val="both"/>
      </w:pPr>
      <w:r>
        <w:t>Labour-market intelligence is the strongest candidate because it addresses an evidence problem that affects every other mechanism. A common data specification could distinguish workforce size, vacancy demand, experience requirements, skill needs, education provision and transition outcomes without requiring every member state to build a large standalone survey apparatus.</w:t>
      </w:r>
    </w:p>
    <w:p w14:paraId="089F5819" w14:textId="77777777" w:rsidR="00311CC2" w:rsidRDefault="00000000">
      <w:pPr>
        <w:jc w:val="both"/>
      </w:pPr>
      <w:r>
        <w:t>The mechanism is rated Medium-High rather than High because common definitions, participation and data governance still require institutional agreement. Its regional value, however, is clear: a shared evidence base can reduce fragmentation and make later policy choices more testable.</w:t>
      </w:r>
    </w:p>
    <w:p w14:paraId="640360BE" w14:textId="77777777" w:rsidR="00311CC2" w:rsidRDefault="00311CC2"/>
    <w:p w14:paraId="70A3328F" w14:textId="77777777" w:rsidR="00311CC2" w:rsidRDefault="00000000">
      <w:pPr>
        <w:jc w:val="center"/>
      </w:pPr>
      <w:r>
        <w:t>Figure 3. Staged CARICOM policy pathway</w:t>
      </w:r>
    </w:p>
    <w:p w14:paraId="3FD79A7A" w14:textId="77777777" w:rsidR="00311CC2" w:rsidRDefault="00000000">
      <w:pPr>
        <w:jc w:val="both"/>
      </w:pPr>
      <w:r>
        <w:t>Figure 3 translates the transferability analysis into sequencing rather than a programme catalogue. Evidence infrastructure and common language precede pilots; durable coordination follows only when participation, mandate and funding are sufficiently established. Evaluation then feeds new evidence back into policy adaptation.</w:t>
      </w:r>
    </w:p>
    <w:p w14:paraId="4D4DFDFB" w14:textId="77777777" w:rsidR="00311CC2" w:rsidRDefault="00000000">
      <w:pPr>
        <w:pStyle w:val="Heading1"/>
      </w:pPr>
      <w:r>
        <w:lastRenderedPageBreak/>
        <w:t>6. Discussion</w:t>
      </w:r>
    </w:p>
    <w:p w14:paraId="441560D9" w14:textId="77777777" w:rsidR="00311CC2" w:rsidRDefault="00000000">
      <w:pPr>
        <w:pStyle w:val="Heading2"/>
      </w:pPr>
      <w:r>
        <w:t>6.1 Cybersecurity skills as ecosystem capability</w:t>
      </w:r>
    </w:p>
    <w:p w14:paraId="0331366F" w14:textId="77777777" w:rsidR="00311CC2" w:rsidRDefault="00000000">
      <w:pPr>
        <w:jc w:val="both"/>
      </w:pPr>
      <w:r>
        <w:t>The first contribution is to conceptualise cybersecurity workforce capability as an institutional ecosystem rather than a stock of human capital. Shortage measures remain useful, but they do not explain whether a system can identify demand, create credible pathways, signal competence, connect entrants to work and sustain capability. The comparative evidence demonstrates that failure can occur at any of these interfaces.</w:t>
      </w:r>
    </w:p>
    <w:p w14:paraId="1201EC63" w14:textId="77777777" w:rsidR="00311CC2" w:rsidRDefault="00000000">
      <w:pPr>
        <w:jc w:val="both"/>
      </w:pPr>
      <w:r>
        <w:t>This reframing also clarifies why mature systems can experience persistent shortages. The UK case shows that a comparatively developed ecosystem can still exhibit experience barriers and skills mismatch [9]. Lithuania shows that access to supranational frameworks does not automatically integrate domestic actors [3]. For CARICOM, the absence of harmonised evidence prevents confident diagnosis of whether particular gaps are primarily supply, signalling, transition or retention problems. Evidence generation is therefore part of capability infrastructure rather than a preliminary administrative exercise.</w:t>
      </w:r>
    </w:p>
    <w:p w14:paraId="6ED63DF3" w14:textId="77777777" w:rsidR="00311CC2" w:rsidRDefault="00000000">
      <w:pPr>
        <w:pStyle w:val="Heading2"/>
      </w:pPr>
      <w:r>
        <w:t>6.2 Functional equivalence and context-sensitive policy transfer</w:t>
      </w:r>
    </w:p>
    <w:p w14:paraId="2C1375A9" w14:textId="77777777" w:rsidR="00311CC2" w:rsidRDefault="00000000">
      <w:pPr>
        <w:jc w:val="both"/>
      </w:pPr>
      <w:r>
        <w:t>The second contribution is methodological. Policy-transfer theory establishes the importance of context and the risks of inappropriate transfer [1], [2], but workforce-policy comparison still risks moving too quickly from an observed programme to a recommendation. The four transferability tests make that intermediate judgement explicit.</w:t>
      </w:r>
    </w:p>
    <w:p w14:paraId="01959AE8" w14:textId="77777777" w:rsidR="00311CC2" w:rsidRDefault="00000000">
      <w:pPr>
        <w:jc w:val="both"/>
      </w:pPr>
      <w:r>
        <w:t>The framework distinguishes function from form. The function of professionalisation may be common occupational language and trusted signalling; it does not necessarily require reproducing a national professional body. The function of labour-market intelligence may be recurring comparable evidence; it does not necessarily require a large national survey. This distinction makes adaptation analytically visible and allows recommendations to be rejected when they fail institutional or proportionality tests.</w:t>
      </w:r>
    </w:p>
    <w:p w14:paraId="636466D5" w14:textId="77777777" w:rsidR="00311CC2" w:rsidRDefault="00000000">
      <w:pPr>
        <w:pStyle w:val="Heading2"/>
      </w:pPr>
      <w:r>
        <w:t>6.3 Regionalisation and functional scale in small-state systems</w:t>
      </w:r>
    </w:p>
    <w:p w14:paraId="1DC9EE32" w14:textId="77777777" w:rsidR="00311CC2" w:rsidRDefault="00000000">
      <w:pPr>
        <w:jc w:val="both"/>
      </w:pPr>
      <w:r>
        <w:t>The third contribution extends established small-state regionalisation logic to cybersecurity workforce policy. Regional cooperation has long been proposed as a response to limited institutional capacity, small markets and economies-of-scale constraints [10]. CARICOM experience also demonstrates that regionalism is not costless and that sovereignty, uneven benefits and implementation capacity matter [11].</w:t>
      </w:r>
    </w:p>
    <w:p w14:paraId="66C3B9EC" w14:textId="77777777" w:rsidR="00311CC2" w:rsidRDefault="00000000">
      <w:pPr>
        <w:jc w:val="both"/>
      </w:pPr>
      <w:r>
        <w:t>The paper therefore advances a conditional proposition rather than a general claim that regionalisation is superior: where national labour-market scale is insufficient to sustain selected cybersecurity workforce functions independently, regional arrangements may provide functional scale if sharing reduces duplication, increases interoperability or enlarges the evidence/opportunity base without imposing coordination costs or sovereignty constraints that outweigh those gains.</w:t>
      </w:r>
    </w:p>
    <w:p w14:paraId="7DC070B1" w14:textId="77777777" w:rsidR="00311CC2" w:rsidRDefault="00000000">
      <w:pPr>
        <w:jc w:val="both"/>
      </w:pPr>
      <w:r>
        <w:t>This proposition helps explain why the most promising mechanisms in the transferability analysis are connective rather than bureaucratic. Common evidence, competency language and voluntary recognition become more valuable when shared. By contrast, a new permanent institution is not automatically transferable simply because coordination is necessary.</w:t>
      </w:r>
    </w:p>
    <w:p w14:paraId="5AB02DF6" w14:textId="77777777" w:rsidR="00311CC2" w:rsidRDefault="00000000">
      <w:pPr>
        <w:pStyle w:val="Heading2"/>
      </w:pPr>
      <w:r>
        <w:t>6.4 Policy implications for CARICOM and the digital economy</w:t>
      </w:r>
    </w:p>
    <w:p w14:paraId="33E0135B" w14:textId="77777777" w:rsidR="00311CC2" w:rsidRDefault="00000000">
      <w:pPr>
        <w:jc w:val="both"/>
      </w:pPr>
      <w:r>
        <w:t xml:space="preserve">The policy implication is sequencing through existing regional scaffolding rather than institutional invention. CARICOM already has a Digital Skills Task Force, HRD 2030 commitments, the Single ICT Space agenda and a current regional cyber-resilience architecture [18]–[22]. The first priority is therefore to connect cybersecurity workforce evidence to these structures: a common evidence specification capable of producing a defensible regional baseline. The second is common occupational language that allows employers, education providers and learners to interpret cyber demand across jurisdictions. The third is limited piloting of voluntary </w:t>
      </w:r>
      <w:r>
        <w:lastRenderedPageBreak/>
        <w:t>recognition and work-based transition. Only after these functions demonstrate participation and value should a more durable cybersecurity-workforce coordination arrangement be formalised.</w:t>
      </w:r>
    </w:p>
    <w:p w14:paraId="36534D7F" w14:textId="77777777" w:rsidR="00311CC2" w:rsidRDefault="00000000">
      <w:pPr>
        <w:jc w:val="both"/>
      </w:pPr>
      <w:r>
        <w:t>This sequencing is relevant to telecommunications and digital-economy governance because resilience depends on institutions as well as infrastructure. Telecommunications Policy has recently framed cyberattacks and cross-border digital ecosystems as part of the resilience agenda [6]. Workforce capability enters that agenda as the human and institutional capacity required to implement security obligations, operate resilient systems and adapt to evolving threats.</w:t>
      </w:r>
    </w:p>
    <w:p w14:paraId="34D0C6E5" w14:textId="77777777" w:rsidR="00311CC2" w:rsidRDefault="00000000">
      <w:pPr>
        <w:jc w:val="both"/>
      </w:pPr>
      <w:r>
        <w:t>The analysis also suggests that mobility should not be treated only as a retention failure. Caribbean research on brain circulation and diaspora engagement indicates that skilled migration can have development costs while still creating channels for return, knowledge exchange and transnational expertise [12], [14]. Cybersecurity workforce policy can therefore explore portable recognition, remote participation and diaspora-linked expertise alongside domestic retention measures.</w:t>
      </w:r>
    </w:p>
    <w:p w14:paraId="486B1D27" w14:textId="77777777" w:rsidR="00311CC2" w:rsidRDefault="00000000">
      <w:pPr>
        <w:jc w:val="center"/>
      </w:pPr>
      <w:r>
        <w:t>Table 4. Staged policy implications and evidential conditions</w:t>
      </w:r>
    </w:p>
    <w:tbl>
      <w:tblPr>
        <w:tblStyle w:val="TableGrid"/>
        <w:tblW w:w="0" w:type="auto"/>
        <w:jc w:val="center"/>
        <w:tblLook w:val="04A0" w:firstRow="1" w:lastRow="0" w:firstColumn="1" w:lastColumn="0" w:noHBand="0" w:noVBand="1"/>
      </w:tblPr>
      <w:tblGrid>
        <w:gridCol w:w="2498"/>
        <w:gridCol w:w="2498"/>
        <w:gridCol w:w="2498"/>
        <w:gridCol w:w="2498"/>
      </w:tblGrid>
      <w:tr w:rsidR="00311CC2" w14:paraId="284C6144" w14:textId="77777777">
        <w:trPr>
          <w:jc w:val="center"/>
        </w:trPr>
        <w:tc>
          <w:tcPr>
            <w:tcW w:w="2498" w:type="dxa"/>
            <w:vAlign w:val="center"/>
          </w:tcPr>
          <w:p w14:paraId="504A3277" w14:textId="77777777" w:rsidR="00311CC2" w:rsidRDefault="00000000">
            <w:r>
              <w:rPr>
                <w:b/>
                <w:sz w:val="17"/>
              </w:rPr>
              <w:t>Stage</w:t>
            </w:r>
          </w:p>
        </w:tc>
        <w:tc>
          <w:tcPr>
            <w:tcW w:w="2498" w:type="dxa"/>
            <w:vAlign w:val="center"/>
          </w:tcPr>
          <w:p w14:paraId="497EDC24" w14:textId="77777777" w:rsidR="00311CC2" w:rsidRDefault="00000000">
            <w:r>
              <w:rPr>
                <w:b/>
                <w:sz w:val="17"/>
              </w:rPr>
              <w:t>Priority function</w:t>
            </w:r>
          </w:p>
        </w:tc>
        <w:tc>
          <w:tcPr>
            <w:tcW w:w="2498" w:type="dxa"/>
            <w:vAlign w:val="center"/>
          </w:tcPr>
          <w:p w14:paraId="22D033E9" w14:textId="77777777" w:rsidR="00311CC2" w:rsidRDefault="00000000">
            <w:r>
              <w:rPr>
                <w:b/>
                <w:sz w:val="17"/>
              </w:rPr>
              <w:t>What can be justified now</w:t>
            </w:r>
          </w:p>
        </w:tc>
        <w:tc>
          <w:tcPr>
            <w:tcW w:w="2498" w:type="dxa"/>
            <w:vAlign w:val="center"/>
          </w:tcPr>
          <w:p w14:paraId="28643B87" w14:textId="77777777" w:rsidR="00311CC2" w:rsidRDefault="00000000">
            <w:r>
              <w:rPr>
                <w:b/>
                <w:sz w:val="17"/>
              </w:rPr>
              <w:t>What requires validation</w:t>
            </w:r>
          </w:p>
        </w:tc>
      </w:tr>
      <w:tr w:rsidR="00311CC2" w14:paraId="3A1B4675" w14:textId="77777777">
        <w:trPr>
          <w:jc w:val="center"/>
        </w:trPr>
        <w:tc>
          <w:tcPr>
            <w:tcW w:w="2498" w:type="dxa"/>
          </w:tcPr>
          <w:p w14:paraId="153C4286" w14:textId="77777777" w:rsidR="00311CC2" w:rsidRDefault="00000000">
            <w:pPr>
              <w:spacing w:after="20"/>
            </w:pPr>
            <w:r>
              <w:rPr>
                <w:sz w:val="17"/>
              </w:rPr>
              <w:t>1</w:t>
            </w:r>
          </w:p>
        </w:tc>
        <w:tc>
          <w:tcPr>
            <w:tcW w:w="2498" w:type="dxa"/>
          </w:tcPr>
          <w:p w14:paraId="43D0D9D5" w14:textId="77777777" w:rsidR="00311CC2" w:rsidRDefault="00000000">
            <w:pPr>
              <w:spacing w:after="20"/>
            </w:pPr>
            <w:r>
              <w:rPr>
                <w:sz w:val="17"/>
              </w:rPr>
              <w:t>Evidence infrastructure</w:t>
            </w:r>
          </w:p>
        </w:tc>
        <w:tc>
          <w:tcPr>
            <w:tcW w:w="2498" w:type="dxa"/>
          </w:tcPr>
          <w:p w14:paraId="3E41A156" w14:textId="77777777" w:rsidR="00311CC2" w:rsidRDefault="00000000">
            <w:pPr>
              <w:spacing w:after="20"/>
            </w:pPr>
            <w:r>
              <w:rPr>
                <w:sz w:val="17"/>
              </w:rPr>
              <w:t>Common definitions and regional baseline design</w:t>
            </w:r>
          </w:p>
        </w:tc>
        <w:tc>
          <w:tcPr>
            <w:tcW w:w="2498" w:type="dxa"/>
          </w:tcPr>
          <w:p w14:paraId="76D73BBA" w14:textId="77777777" w:rsidR="00311CC2" w:rsidRDefault="00000000">
            <w:pPr>
              <w:spacing w:after="20"/>
            </w:pPr>
            <w:r>
              <w:rPr>
                <w:sz w:val="17"/>
              </w:rPr>
              <w:t>Data owners, participation, governance and collection burden</w:t>
            </w:r>
          </w:p>
        </w:tc>
      </w:tr>
      <w:tr w:rsidR="00311CC2" w14:paraId="22BD2791" w14:textId="77777777">
        <w:trPr>
          <w:jc w:val="center"/>
        </w:trPr>
        <w:tc>
          <w:tcPr>
            <w:tcW w:w="2498" w:type="dxa"/>
          </w:tcPr>
          <w:p w14:paraId="436AC1F5" w14:textId="77777777" w:rsidR="00311CC2" w:rsidRDefault="00000000">
            <w:pPr>
              <w:spacing w:after="20"/>
            </w:pPr>
            <w:r>
              <w:rPr>
                <w:sz w:val="17"/>
              </w:rPr>
              <w:t>2</w:t>
            </w:r>
          </w:p>
        </w:tc>
        <w:tc>
          <w:tcPr>
            <w:tcW w:w="2498" w:type="dxa"/>
          </w:tcPr>
          <w:p w14:paraId="719FAA78" w14:textId="77777777" w:rsidR="00311CC2" w:rsidRDefault="00000000">
            <w:pPr>
              <w:spacing w:after="20"/>
            </w:pPr>
            <w:r>
              <w:rPr>
                <w:sz w:val="17"/>
              </w:rPr>
              <w:t>Competency language</w:t>
            </w:r>
          </w:p>
        </w:tc>
        <w:tc>
          <w:tcPr>
            <w:tcW w:w="2498" w:type="dxa"/>
          </w:tcPr>
          <w:p w14:paraId="155BAEF7" w14:textId="77777777" w:rsidR="00311CC2" w:rsidRDefault="00000000">
            <w:pPr>
              <w:spacing w:after="20"/>
            </w:pPr>
            <w:r>
              <w:rPr>
                <w:sz w:val="17"/>
              </w:rPr>
              <w:t>Map needs to an established role/competency architecture</w:t>
            </w:r>
          </w:p>
        </w:tc>
        <w:tc>
          <w:tcPr>
            <w:tcW w:w="2498" w:type="dxa"/>
          </w:tcPr>
          <w:p w14:paraId="7953E676" w14:textId="77777777" w:rsidR="00311CC2" w:rsidRDefault="00000000">
            <w:pPr>
              <w:spacing w:after="20"/>
            </w:pPr>
            <w:r>
              <w:rPr>
                <w:sz w:val="17"/>
              </w:rPr>
              <w:t>Employer validation and regional maintenance ownership</w:t>
            </w:r>
          </w:p>
        </w:tc>
      </w:tr>
      <w:tr w:rsidR="00311CC2" w14:paraId="68FDB485" w14:textId="77777777">
        <w:trPr>
          <w:jc w:val="center"/>
        </w:trPr>
        <w:tc>
          <w:tcPr>
            <w:tcW w:w="2498" w:type="dxa"/>
          </w:tcPr>
          <w:p w14:paraId="4DA3B254" w14:textId="77777777" w:rsidR="00311CC2" w:rsidRDefault="00000000">
            <w:pPr>
              <w:spacing w:after="20"/>
            </w:pPr>
            <w:r>
              <w:rPr>
                <w:sz w:val="17"/>
              </w:rPr>
              <w:t>3</w:t>
            </w:r>
          </w:p>
        </w:tc>
        <w:tc>
          <w:tcPr>
            <w:tcW w:w="2498" w:type="dxa"/>
          </w:tcPr>
          <w:p w14:paraId="1BFD1364" w14:textId="77777777" w:rsidR="00311CC2" w:rsidRDefault="00000000">
            <w:pPr>
              <w:spacing w:after="20"/>
            </w:pPr>
            <w:r>
              <w:rPr>
                <w:sz w:val="17"/>
              </w:rPr>
              <w:t>Pilots</w:t>
            </w:r>
          </w:p>
        </w:tc>
        <w:tc>
          <w:tcPr>
            <w:tcW w:w="2498" w:type="dxa"/>
          </w:tcPr>
          <w:p w14:paraId="56DD92C2" w14:textId="77777777" w:rsidR="00311CC2" w:rsidRDefault="00000000">
            <w:pPr>
              <w:spacing w:after="20"/>
            </w:pPr>
            <w:r>
              <w:rPr>
                <w:sz w:val="17"/>
              </w:rPr>
              <w:t>Voluntary recognition and work-based transition in willing settings</w:t>
            </w:r>
          </w:p>
        </w:tc>
        <w:tc>
          <w:tcPr>
            <w:tcW w:w="2498" w:type="dxa"/>
          </w:tcPr>
          <w:p w14:paraId="0D53F57F" w14:textId="77777777" w:rsidR="00311CC2" w:rsidRDefault="00000000">
            <w:pPr>
              <w:spacing w:after="20"/>
            </w:pPr>
            <w:r>
              <w:rPr>
                <w:sz w:val="17"/>
              </w:rPr>
              <w:t>Provider/employer capacity, outcomes and cost</w:t>
            </w:r>
          </w:p>
        </w:tc>
      </w:tr>
      <w:tr w:rsidR="00311CC2" w14:paraId="6B58A474" w14:textId="77777777">
        <w:trPr>
          <w:jc w:val="center"/>
        </w:trPr>
        <w:tc>
          <w:tcPr>
            <w:tcW w:w="2498" w:type="dxa"/>
          </w:tcPr>
          <w:p w14:paraId="680332AC" w14:textId="77777777" w:rsidR="00311CC2" w:rsidRDefault="00000000">
            <w:pPr>
              <w:spacing w:after="20"/>
            </w:pPr>
            <w:r>
              <w:rPr>
                <w:sz w:val="17"/>
              </w:rPr>
              <w:t>4</w:t>
            </w:r>
          </w:p>
        </w:tc>
        <w:tc>
          <w:tcPr>
            <w:tcW w:w="2498" w:type="dxa"/>
          </w:tcPr>
          <w:p w14:paraId="5DBBE0F3" w14:textId="77777777" w:rsidR="00311CC2" w:rsidRDefault="00000000">
            <w:pPr>
              <w:spacing w:after="20"/>
            </w:pPr>
            <w:r>
              <w:rPr>
                <w:sz w:val="17"/>
              </w:rPr>
              <w:t>Coordination</w:t>
            </w:r>
          </w:p>
        </w:tc>
        <w:tc>
          <w:tcPr>
            <w:tcW w:w="2498" w:type="dxa"/>
          </w:tcPr>
          <w:p w14:paraId="0BB1BCC5" w14:textId="77777777" w:rsidR="00311CC2" w:rsidRDefault="00000000">
            <w:pPr>
              <w:spacing w:after="20"/>
            </w:pPr>
            <w:r>
              <w:rPr>
                <w:sz w:val="17"/>
              </w:rPr>
              <w:t>Formalise only after functions and participation mature</w:t>
            </w:r>
          </w:p>
        </w:tc>
        <w:tc>
          <w:tcPr>
            <w:tcW w:w="2498" w:type="dxa"/>
          </w:tcPr>
          <w:p w14:paraId="3CA39A06" w14:textId="77777777" w:rsidR="00311CC2" w:rsidRDefault="00000000">
            <w:pPr>
              <w:spacing w:after="20"/>
            </w:pPr>
            <w:r>
              <w:rPr>
                <w:sz w:val="17"/>
              </w:rPr>
              <w:t>Mandate, funding, sovereignty and accountability</w:t>
            </w:r>
          </w:p>
        </w:tc>
      </w:tr>
    </w:tbl>
    <w:p w14:paraId="42A9F2E5" w14:textId="77777777" w:rsidR="00311CC2" w:rsidRDefault="00311CC2"/>
    <w:p w14:paraId="0CD825AB" w14:textId="77777777" w:rsidR="00311CC2" w:rsidRDefault="00000000">
      <w:pPr>
        <w:jc w:val="both"/>
      </w:pPr>
      <w:r>
        <w:t>Table 4 separates what follows directly from the analysis from what still requires stakeholder validation. This prevents the paper from presenting an implementation blueprint unsupported by the documentary evidence.</w:t>
      </w:r>
    </w:p>
    <w:p w14:paraId="5B29C8DE" w14:textId="77777777" w:rsidR="00311CC2" w:rsidRDefault="00000000">
      <w:pPr>
        <w:pStyle w:val="Heading2"/>
      </w:pPr>
      <w:r>
        <w:t>6.5 Boundary conditions and limitations</w:t>
      </w:r>
    </w:p>
    <w:p w14:paraId="6D0BCBE1" w14:textId="77777777" w:rsidR="00311CC2" w:rsidRDefault="00000000">
      <w:pPr>
        <w:jc w:val="both"/>
      </w:pPr>
      <w:r>
        <w:t>The study has four principal limitations. First, documentary evidence is uneven across cases. The UK has recurring labour-market studies and extensive public documentation; comparable CARICOM evidence is more fragmented. The analysis therefore avoids numerical regional shortage estimates and does not infer absence of activity from absence of accessible documentation.</w:t>
      </w:r>
    </w:p>
    <w:p w14:paraId="789971C4" w14:textId="77777777" w:rsidR="00311CC2" w:rsidRDefault="00000000">
      <w:pPr>
        <w:jc w:val="both"/>
      </w:pPr>
      <w:r>
        <w:t>Second, transferability ratings are structured qualitative judgements rather than estimates of policy effect. They make assumptions explicit but require validation through stakeholder research and implementation evidence. Third, CARICOM is heterogeneous. Member states differ in population, economic structure, education capacity, institutional resources and external linkages; regional mechanisms will not produce identical value everywhere. Fourth, workforce policy operates within broader wage, procurement, organisational and migration conditions that cannot be solved by skills interventions alone.</w:t>
      </w:r>
    </w:p>
    <w:p w14:paraId="31AE764C" w14:textId="77777777" w:rsidR="00311CC2" w:rsidRDefault="00000000">
      <w:pPr>
        <w:jc w:val="both"/>
      </w:pPr>
      <w:r>
        <w:t>A further boundary concerns regionalism itself. Shared functions can reduce duplication, but coordination has transaction costs. Participation may be uneven, national priorities may diverge and institutions may resist arrangements perceived to constrain sovereignty [11]. The framework therefore treats regional scalability as a test, not as a presumption.</w:t>
      </w:r>
    </w:p>
    <w:p w14:paraId="0CFD1276" w14:textId="77777777" w:rsidR="00311CC2" w:rsidRDefault="00000000">
      <w:pPr>
        <w:pStyle w:val="Heading2"/>
      </w:pPr>
      <w:r>
        <w:t>6.6 Future research</w:t>
      </w:r>
    </w:p>
    <w:p w14:paraId="63B9EBF7" w14:textId="77777777" w:rsidR="00311CC2" w:rsidRDefault="00000000">
      <w:pPr>
        <w:jc w:val="both"/>
      </w:pPr>
      <w:r>
        <w:t>Future research should first construct a harmonised CARICOM cybersecurity workforce baseline using common definitions of roles, vacancies, experience requirements, education provision and transition outcomes. Second, stakeholder research should test the institutional ownership and perceived value of the five candidate mechanisms among governments, employers, education providers and professional communities. Third, pilot evaluation should examine whether common competency language, voluntary recognition or cross-border work transition improves matching and participation at proportionate cost. Finally, the four-test transferability framework should be applied beyond CARICOM to determine whether its distinction between functional equivalence and institutional copying is useful in other small-state and regional digital-policy settings.</w:t>
      </w:r>
    </w:p>
    <w:p w14:paraId="6E9E5E49" w14:textId="77777777" w:rsidR="00311CC2" w:rsidRDefault="00000000">
      <w:pPr>
        <w:pStyle w:val="Heading1"/>
      </w:pPr>
      <w:r>
        <w:t>7. Conclusion</w:t>
      </w:r>
    </w:p>
    <w:p w14:paraId="4C940484" w14:textId="77777777" w:rsidR="00311CC2" w:rsidRDefault="00000000">
      <w:pPr>
        <w:jc w:val="both"/>
      </w:pPr>
      <w:r>
        <w:t>This study examined how cybersecurity workforce-policy mechanisms observed in the United Kingdom and Lithuania can inform a sustainable cybersecurity skills ecosystem for CARICOM without assuming that institutions or programmes are directly portable. The comparison shows that workforce capability is produced through interdependent functions: governance and evidence, capability development, labour-market signalling and deployment, and the reproduction of talent over time.</w:t>
      </w:r>
    </w:p>
    <w:p w14:paraId="657E084E" w14:textId="77777777" w:rsidR="00311CC2" w:rsidRDefault="00000000">
      <w:pPr>
        <w:jc w:val="both"/>
      </w:pPr>
      <w:r>
        <w:t>The analysis also demonstrates why effectiveness in one jurisdiction cannot be equated with transferability to another. UK mechanisms operate within national scale and institutional density. Lithuania provides a more relevant small-state comparator but benefits from European regulatory and competency structures. CARICOM is a multi-jurisdictional regional system in which national authority, small labour markets, mobility and uneven institutional capacity change the conditions of implementation. At the same time, its Digital Skills Task Force, HRD strategy, Single ICT Space and current cyber-resilience architecture provide genuine institutional scaffolding on which cybersecurity-specific workforce functions could potentially build [18]–[22].</w:t>
      </w:r>
    </w:p>
    <w:p w14:paraId="2F1175B3" w14:textId="77777777" w:rsidR="00311CC2" w:rsidRDefault="00000000">
      <w:pPr>
        <w:jc w:val="both"/>
      </w:pPr>
      <w:r>
        <w:t>Five candidate mechanisms were identified for contextual adaptation, with differing levels of transferability and evidential confidence: common labour-market intelligence, competency and professional signalling, voluntary quality recognition, work-based transition and a durable coordination function. Their value lies in reproducing connective functions rather than replicating the institutional form of mature systems.</w:t>
      </w:r>
    </w:p>
    <w:p w14:paraId="4BDD13F1" w14:textId="77777777" w:rsidR="00311CC2" w:rsidRDefault="00000000">
      <w:pPr>
        <w:jc w:val="both"/>
      </w:pPr>
      <w:r>
        <w:t>The paper makes three contributions. It conceptualises cybersecurity workforce capability as an ecosystem of institutional functions; it operationalises context-sensitive policy transfer through four explicit qualitative tests; and it proposes that regionalisation may provide functional scale for selected workforce-policy functions where national critical mass is limited. That proposition is conditional: regional arrangements are justified only when the gains from interoperability, pooled evidence or enlarged opportunity exceed the coordination and sovereignty costs of sharing.</w:t>
      </w:r>
    </w:p>
    <w:p w14:paraId="7B52DC10" w14:textId="77777777" w:rsidR="00311CC2" w:rsidRDefault="00000000">
      <w:pPr>
        <w:jc w:val="both"/>
      </w:pPr>
      <w:r>
        <w:t>For CARICOM, the immediate implication is therefore disciplined sequencing rather than institutional expansion. Better evidence and common language should precede large-scale programmes. Pilots should precede mandatory arrangements. Coordination should become more durable only when ownership, participation and value are demonstrated. This approach turns policy transfer from an exercise in copying visible programmes into a testable process of functional adaptation.</w:t>
      </w:r>
    </w:p>
    <w:p w14:paraId="34D15803" w14:textId="77777777" w:rsidR="00311CC2" w:rsidRDefault="00000000">
      <w:pPr>
        <w:pStyle w:val="Heading1"/>
      </w:pPr>
      <w:r>
        <w:t>References</w:t>
      </w:r>
    </w:p>
    <w:p w14:paraId="5E2A2ADA" w14:textId="77777777" w:rsidR="00311CC2" w:rsidRDefault="00000000">
      <w:r>
        <w:rPr>
          <w:sz w:val="18"/>
        </w:rPr>
        <w:t>[1] Dolowitz, D. P., &amp; Marsh, D. (2000). Learning from abroad: The role of policy transfer in contemporary policy-making. Governance, 13(1), 5–23. https://doi.org/10.1111/0952-1895.00121</w:t>
      </w:r>
    </w:p>
    <w:p w14:paraId="12BADD24" w14:textId="77777777" w:rsidR="00311CC2" w:rsidRDefault="00000000">
      <w:r>
        <w:rPr>
          <w:sz w:val="18"/>
        </w:rPr>
        <w:t>[2] James, O., &amp; Lodge, M. (2003). The limitations of 'policy transfer' and 'lesson drawing' for public policy research. Political Studies Review, 1(2), 179–193. https://doi.org/10.1111/1478-9299.t01-1-00003</w:t>
      </w:r>
    </w:p>
    <w:p w14:paraId="25C26FCB" w14:textId="77777777" w:rsidR="00311CC2" w:rsidRDefault="00000000">
      <w:r>
        <w:rPr>
          <w:sz w:val="18"/>
        </w:rPr>
        <w:t>[3] Campbell, C., Jofre, S., Sabaliauskaite, G., Obonyo, C., &amp; Haughton, O. (2026). Addressing the cybersecurity skills shortage in Lithuania: Policy insights from the United Kingdom. Journal of Cybersecurity and Privacy, 6, Article 29. https://doi.org/10.3390/jcp6010029</w:t>
      </w:r>
    </w:p>
    <w:p w14:paraId="2F477DB0" w14:textId="77777777" w:rsidR="00311CC2" w:rsidRDefault="00000000">
      <w:r>
        <w:rPr>
          <w:sz w:val="18"/>
        </w:rPr>
        <w:t>[4] Bartlett, L., &amp; Vavrus, F. (2019). Comparative case study research. Oxford Research Encyclopedia of Education. https://doi.org/10.1093/acrefore/9780190264093.013.343</w:t>
      </w:r>
    </w:p>
    <w:p w14:paraId="64AD9297" w14:textId="77777777" w:rsidR="00311CC2" w:rsidRDefault="00000000">
      <w:r>
        <w:rPr>
          <w:sz w:val="18"/>
        </w:rPr>
        <w:t>[5] Szczepaniuk, E. K., &amp; Szczepaniuk, H. (2022). Analysis of cybersecurity competencies: Recommendations for telecommunications policy. Telecommunications Policy, 46(3), 102282. https://doi.org/10.1016/j.telpol.2021.102282</w:t>
      </w:r>
    </w:p>
    <w:p w14:paraId="71DD99E5" w14:textId="77777777" w:rsidR="00311CC2" w:rsidRDefault="00000000">
      <w:r>
        <w:rPr>
          <w:sz w:val="18"/>
        </w:rPr>
        <w:t>[6] Bohlin, E., &amp; Serentschy, G. (2025). Building resilience in telecommunications: Towards a research agenda. Telecommunications Policy, 49(9), 103056. https://doi.org/10.1016/j.telpol.2025.103056</w:t>
      </w:r>
    </w:p>
    <w:p w14:paraId="5D65EDBC" w14:textId="77777777" w:rsidR="00311CC2" w:rsidRDefault="00000000">
      <w:r>
        <w:rPr>
          <w:sz w:val="18"/>
        </w:rPr>
        <w:t>[7] European Union Agency for Cybersecurity (ENISA). European Cybersecurity Skills Framework (ECSF): Role profiles and user guidance. European Union Agency for Cybersecurity.</w:t>
      </w:r>
    </w:p>
    <w:p w14:paraId="2A5E35C4" w14:textId="77777777" w:rsidR="00311CC2" w:rsidRDefault="00000000">
      <w:r>
        <w:rPr>
          <w:sz w:val="18"/>
        </w:rPr>
        <w:t>[8] European Parliament and Council of the European Union. (2022). Directive (EU) 2022/2555 on measures for a high common level of cybersecurity across the Union (NIS2). Official Journal of the European Union.</w:t>
      </w:r>
    </w:p>
    <w:p w14:paraId="7B416C54" w14:textId="77777777" w:rsidR="00311CC2" w:rsidRDefault="00000000">
      <w:r>
        <w:rPr>
          <w:sz w:val="18"/>
        </w:rPr>
        <w:t>[9] UK Department for Science, Innovation and Technology. (2025). Cyber security skills in the UK labour market 2025: Findings report. UK Government.</w:t>
      </w:r>
    </w:p>
    <w:p w14:paraId="17E5C156" w14:textId="77777777" w:rsidR="00311CC2" w:rsidRDefault="00000000">
      <w:r>
        <w:rPr>
          <w:sz w:val="18"/>
        </w:rPr>
        <w:t>[10] Commonwealth Secretariat. (2012). Second Global Biennial Conference on Small States: Outcome document. Marlborough House, London, 17–18 September 2012.</w:t>
      </w:r>
    </w:p>
    <w:p w14:paraId="6436CC98" w14:textId="77777777" w:rsidR="00311CC2" w:rsidRDefault="00000000">
      <w:r>
        <w:rPr>
          <w:sz w:val="18"/>
        </w:rPr>
        <w:t>[11] Warner, R., &amp; Anatol, M. (2015). Caribbean integration—Lessons for the Pacific? Asia &amp; the Pacific Policy Studies, 2(1), 183–196. https://doi.org/10.1002/app5.65</w:t>
      </w:r>
    </w:p>
    <w:p w14:paraId="2553C095" w14:textId="77777777" w:rsidR="00311CC2" w:rsidRDefault="00000000">
      <w:r>
        <w:rPr>
          <w:sz w:val="18"/>
        </w:rPr>
        <w:t>[12] Dawson, L. R. (2007). Brain drain, brain circulation, remittances and development prospects for the Caribbean. Caribbean Paper No. 2. Centre for International Governance Innovation.</w:t>
      </w:r>
    </w:p>
    <w:p w14:paraId="190FD40C" w14:textId="77777777" w:rsidR="00311CC2" w:rsidRDefault="00000000">
      <w:pPr>
        <w:ind w:left="259" w:hanging="259"/>
      </w:pPr>
      <w:r>
        <w:rPr>
          <w:sz w:val="18"/>
        </w:rPr>
        <w:t>[13] Jackson, J. (2011). Promoting Caribbean science and technology-intensive development through brain circulation: The case of biotechnology in Jamaica. Canadian Foreign Policy Journal, 17(2), 115–128. https://doi.org/10.1080/11926422.2011.601617</w:t>
      </w:r>
    </w:p>
    <w:p w14:paraId="0F468184" w14:textId="77777777" w:rsidR="00311CC2" w:rsidRDefault="00000000">
      <w:pPr>
        <w:ind w:left="259" w:hanging="259"/>
      </w:pPr>
      <w:r>
        <w:rPr>
          <w:sz w:val="18"/>
        </w:rPr>
        <w:t>[14] Petersen, R., Santos, D., Wetzel, K., Smith, M., &amp; Witte, G. (2020). Workforce Framework for Cybersecurity (NICE Framework). NIST Special Publication 800-181 Rev. 1. https://doi.org/10.6028/NIST.SP.800-181r1</w:t>
      </w:r>
    </w:p>
    <w:p w14:paraId="1EE35E6D" w14:textId="77777777" w:rsidR="00311CC2" w:rsidRDefault="00000000">
      <w:pPr>
        <w:ind w:left="259" w:hanging="259"/>
      </w:pPr>
      <w:r>
        <w:rPr>
          <w:sz w:val="18"/>
        </w:rPr>
        <w:t>[15] Furnell, S. (2021). The cybersecurity workforce and skills. Computers &amp; Security, 100, 102080. https://doi.org/10.1016/j.cose.2020.102080</w:t>
      </w:r>
    </w:p>
    <w:p w14:paraId="13AA3B4A" w14:textId="77777777" w:rsidR="00311CC2" w:rsidRDefault="00000000">
      <w:pPr>
        <w:ind w:left="259" w:hanging="259"/>
      </w:pPr>
      <w:r>
        <w:rPr>
          <w:sz w:val="18"/>
        </w:rPr>
        <w:t>[16] Jerman Blažič, B. (2022). Changing the landscape of cybersecurity education in the EU: Will the new approach produce the required cybersecurity skills? Education and Information Technologies, 27, 3011–3036. https://doi.org/10.1007/s10639-021-10704-y</w:t>
      </w:r>
    </w:p>
    <w:p w14:paraId="04B1487F" w14:textId="77777777" w:rsidR="00311CC2" w:rsidRDefault="00000000">
      <w:pPr>
        <w:ind w:left="259" w:hanging="259"/>
      </w:pPr>
      <w:r>
        <w:rPr>
          <w:sz w:val="18"/>
        </w:rPr>
        <w:t>[17] Perrone, G., D'Ambrosio, N., D'Isanto, R., Rak, M., Russo, L., Romano, S. P., &amp; Varlese, M. (2026). Towards a unified European Cybersecurity Skills Framework: Structural insights from expert elicitation and international standards. Array, 30, 100728. https://doi.org/10.1016/j.array.2026.100728</w:t>
      </w:r>
    </w:p>
    <w:p w14:paraId="2036F5F9" w14:textId="77777777" w:rsidR="00311CC2" w:rsidRDefault="00000000">
      <w:pPr>
        <w:ind w:left="259" w:hanging="259"/>
      </w:pPr>
      <w:r>
        <w:rPr>
          <w:sz w:val="18"/>
        </w:rPr>
        <w:t>[18] CARICOM Secretariat. (2022). CARICOM Secretariat Strategic Plan 2022–2030. Georgetown, Guyana: Caribbean Community Secretariat.</w:t>
      </w:r>
    </w:p>
    <w:p w14:paraId="77871005" w14:textId="77777777" w:rsidR="00311CC2" w:rsidRDefault="00000000">
      <w:pPr>
        <w:ind w:left="259" w:hanging="259"/>
      </w:pPr>
      <w:r>
        <w:rPr>
          <w:sz w:val="18"/>
        </w:rPr>
        <w:t>[19] CARICOM Secretariat. (2021). CARICOM Digital Skills Task Force: Overview and Terms of Reference. Georgetown, Guyana: Caribbean Community Secretariat.</w:t>
      </w:r>
    </w:p>
    <w:p w14:paraId="137E835C" w14:textId="77777777" w:rsidR="00311CC2" w:rsidRDefault="00000000">
      <w:pPr>
        <w:ind w:left="259" w:hanging="259"/>
      </w:pPr>
      <w:r>
        <w:rPr>
          <w:sz w:val="18"/>
        </w:rPr>
        <w:t>[20] CARICOM Secretariat. (2017). CARICOM Human Resource Development 2030 Strategy. Georgetown, Guyana: Caribbean Community Secretariat.</w:t>
      </w:r>
    </w:p>
    <w:p w14:paraId="7782177E" w14:textId="77777777" w:rsidR="00311CC2" w:rsidRDefault="00000000">
      <w:pPr>
        <w:ind w:left="259" w:hanging="259"/>
      </w:pPr>
      <w:r>
        <w:rPr>
          <w:sz w:val="18"/>
        </w:rPr>
        <w:t>[21] CARICOM IMPACS. (2025). Updated CARICOM Cyber Security and Cybercrime Action Plan (CCSCAP) 2025. Port of Spain, Trinidad and Tobago: CARICOM Implementation Agency for Crime and Security.</w:t>
      </w:r>
    </w:p>
    <w:p w14:paraId="54CC2A05" w14:textId="77777777" w:rsidR="00311CC2" w:rsidRDefault="00000000">
      <w:pPr>
        <w:ind w:left="259" w:hanging="259"/>
      </w:pPr>
      <w:r>
        <w:rPr>
          <w:sz w:val="18"/>
        </w:rPr>
        <w:t>[22] CARICOM. (2025). Strategic Framework for Regional Digital Resilience 2025–2030. Caribbean Community.</w:t>
      </w:r>
    </w:p>
    <w:p w14:paraId="3774D55D" w14:textId="77777777" w:rsidR="00311CC2" w:rsidRDefault="00000000">
      <w:pPr>
        <w:pStyle w:val="Heading1"/>
      </w:pPr>
      <w:r>
        <w:t>Acronyms</w:t>
      </w:r>
    </w:p>
    <w:tbl>
      <w:tblPr>
        <w:tblStyle w:val="TableGrid"/>
        <w:tblW w:w="0" w:type="auto"/>
        <w:jc w:val="center"/>
        <w:tblLook w:val="04A0" w:firstRow="1" w:lastRow="0" w:firstColumn="1" w:lastColumn="0" w:noHBand="0" w:noVBand="1"/>
      </w:tblPr>
      <w:tblGrid>
        <w:gridCol w:w="4997"/>
        <w:gridCol w:w="4997"/>
      </w:tblGrid>
      <w:tr w:rsidR="00311CC2" w14:paraId="0D7E74DA" w14:textId="77777777">
        <w:trPr>
          <w:jc w:val="center"/>
        </w:trPr>
        <w:tc>
          <w:tcPr>
            <w:tcW w:w="4997" w:type="dxa"/>
            <w:vAlign w:val="center"/>
          </w:tcPr>
          <w:p w14:paraId="182A1892" w14:textId="77777777" w:rsidR="00311CC2" w:rsidRDefault="00000000">
            <w:r>
              <w:rPr>
                <w:b/>
                <w:sz w:val="17"/>
              </w:rPr>
              <w:t>Acronym</w:t>
            </w:r>
          </w:p>
        </w:tc>
        <w:tc>
          <w:tcPr>
            <w:tcW w:w="4997" w:type="dxa"/>
            <w:vAlign w:val="center"/>
          </w:tcPr>
          <w:p w14:paraId="21FD4CF7" w14:textId="77777777" w:rsidR="00311CC2" w:rsidRDefault="00000000">
            <w:r>
              <w:rPr>
                <w:b/>
                <w:sz w:val="17"/>
              </w:rPr>
              <w:t>Meaning</w:t>
            </w:r>
          </w:p>
        </w:tc>
      </w:tr>
      <w:tr w:rsidR="00311CC2" w14:paraId="242DEEAE" w14:textId="77777777">
        <w:trPr>
          <w:jc w:val="center"/>
        </w:trPr>
        <w:tc>
          <w:tcPr>
            <w:tcW w:w="4997" w:type="dxa"/>
          </w:tcPr>
          <w:p w14:paraId="47558FDC" w14:textId="77777777" w:rsidR="00311CC2" w:rsidRDefault="00000000">
            <w:pPr>
              <w:spacing w:after="20"/>
            </w:pPr>
            <w:r>
              <w:rPr>
                <w:sz w:val="17"/>
              </w:rPr>
              <w:t>CARICOM</w:t>
            </w:r>
          </w:p>
        </w:tc>
        <w:tc>
          <w:tcPr>
            <w:tcW w:w="4997" w:type="dxa"/>
          </w:tcPr>
          <w:p w14:paraId="387CBB65" w14:textId="77777777" w:rsidR="00311CC2" w:rsidRDefault="00000000">
            <w:pPr>
              <w:spacing w:after="20"/>
            </w:pPr>
            <w:r>
              <w:rPr>
                <w:sz w:val="17"/>
              </w:rPr>
              <w:t>Caribbean Community</w:t>
            </w:r>
          </w:p>
        </w:tc>
      </w:tr>
      <w:tr w:rsidR="00311CC2" w14:paraId="76B23DC5" w14:textId="77777777">
        <w:trPr>
          <w:jc w:val="center"/>
        </w:trPr>
        <w:tc>
          <w:tcPr>
            <w:tcW w:w="4997" w:type="dxa"/>
          </w:tcPr>
          <w:p w14:paraId="112A4CA6" w14:textId="77777777" w:rsidR="00311CC2" w:rsidRDefault="00000000">
            <w:pPr>
              <w:spacing w:after="20"/>
            </w:pPr>
            <w:r>
              <w:rPr>
                <w:sz w:val="17"/>
              </w:rPr>
              <w:t>ECSF</w:t>
            </w:r>
          </w:p>
        </w:tc>
        <w:tc>
          <w:tcPr>
            <w:tcW w:w="4997" w:type="dxa"/>
          </w:tcPr>
          <w:p w14:paraId="1ECB4211" w14:textId="77777777" w:rsidR="00311CC2" w:rsidRDefault="00000000">
            <w:pPr>
              <w:spacing w:after="20"/>
            </w:pPr>
            <w:r>
              <w:rPr>
                <w:sz w:val="17"/>
              </w:rPr>
              <w:t>European Cybersecurity Skills Framework</w:t>
            </w:r>
          </w:p>
        </w:tc>
      </w:tr>
      <w:tr w:rsidR="00311CC2" w14:paraId="72BFEEE2" w14:textId="77777777">
        <w:trPr>
          <w:jc w:val="center"/>
        </w:trPr>
        <w:tc>
          <w:tcPr>
            <w:tcW w:w="4997" w:type="dxa"/>
          </w:tcPr>
          <w:p w14:paraId="2EF8A63A" w14:textId="77777777" w:rsidR="00311CC2" w:rsidRDefault="00000000">
            <w:pPr>
              <w:spacing w:after="20"/>
            </w:pPr>
            <w:r>
              <w:rPr>
                <w:sz w:val="17"/>
              </w:rPr>
              <w:t>ENISA</w:t>
            </w:r>
          </w:p>
        </w:tc>
        <w:tc>
          <w:tcPr>
            <w:tcW w:w="4997" w:type="dxa"/>
          </w:tcPr>
          <w:p w14:paraId="140DDC0F" w14:textId="77777777" w:rsidR="00311CC2" w:rsidRDefault="00000000">
            <w:pPr>
              <w:spacing w:after="20"/>
            </w:pPr>
            <w:r>
              <w:rPr>
                <w:sz w:val="17"/>
              </w:rPr>
              <w:t>European Union Agency for Cybersecurity</w:t>
            </w:r>
          </w:p>
        </w:tc>
      </w:tr>
      <w:tr w:rsidR="00311CC2" w14:paraId="11EE594B" w14:textId="77777777">
        <w:trPr>
          <w:jc w:val="center"/>
        </w:trPr>
        <w:tc>
          <w:tcPr>
            <w:tcW w:w="4997" w:type="dxa"/>
          </w:tcPr>
          <w:p w14:paraId="483C4039" w14:textId="77777777" w:rsidR="00311CC2" w:rsidRDefault="00000000">
            <w:pPr>
              <w:spacing w:after="20"/>
            </w:pPr>
            <w:r>
              <w:rPr>
                <w:sz w:val="17"/>
              </w:rPr>
              <w:t>EU</w:t>
            </w:r>
          </w:p>
        </w:tc>
        <w:tc>
          <w:tcPr>
            <w:tcW w:w="4997" w:type="dxa"/>
          </w:tcPr>
          <w:p w14:paraId="4A78A8BE" w14:textId="77777777" w:rsidR="00311CC2" w:rsidRDefault="00000000">
            <w:pPr>
              <w:spacing w:after="20"/>
            </w:pPr>
            <w:r>
              <w:rPr>
                <w:sz w:val="17"/>
              </w:rPr>
              <w:t>European Union</w:t>
            </w:r>
          </w:p>
        </w:tc>
      </w:tr>
      <w:tr w:rsidR="00311CC2" w14:paraId="61B615A8" w14:textId="77777777">
        <w:trPr>
          <w:jc w:val="center"/>
        </w:trPr>
        <w:tc>
          <w:tcPr>
            <w:tcW w:w="4997" w:type="dxa"/>
          </w:tcPr>
          <w:p w14:paraId="7FE444AB" w14:textId="77777777" w:rsidR="00311CC2" w:rsidRDefault="00000000">
            <w:pPr>
              <w:spacing w:after="20"/>
            </w:pPr>
            <w:r>
              <w:rPr>
                <w:sz w:val="17"/>
              </w:rPr>
              <w:t>NIS2</w:t>
            </w:r>
          </w:p>
        </w:tc>
        <w:tc>
          <w:tcPr>
            <w:tcW w:w="4997" w:type="dxa"/>
          </w:tcPr>
          <w:p w14:paraId="732B5DB0" w14:textId="77777777" w:rsidR="00311CC2" w:rsidRDefault="00000000">
            <w:pPr>
              <w:spacing w:after="20"/>
            </w:pPr>
            <w:r>
              <w:rPr>
                <w:sz w:val="17"/>
              </w:rPr>
              <w:t>Network and Information Security Directive 2</w:t>
            </w:r>
          </w:p>
        </w:tc>
      </w:tr>
      <w:tr w:rsidR="00311CC2" w14:paraId="3C511E7A" w14:textId="77777777">
        <w:trPr>
          <w:jc w:val="center"/>
        </w:trPr>
        <w:tc>
          <w:tcPr>
            <w:tcW w:w="4997" w:type="dxa"/>
          </w:tcPr>
          <w:p w14:paraId="2169BD74" w14:textId="77777777" w:rsidR="00311CC2" w:rsidRDefault="00000000">
            <w:pPr>
              <w:spacing w:after="20"/>
            </w:pPr>
            <w:r>
              <w:rPr>
                <w:sz w:val="17"/>
              </w:rPr>
              <w:t>UK</w:t>
            </w:r>
          </w:p>
        </w:tc>
        <w:tc>
          <w:tcPr>
            <w:tcW w:w="4997" w:type="dxa"/>
          </w:tcPr>
          <w:p w14:paraId="7095C26F" w14:textId="77777777" w:rsidR="00311CC2" w:rsidRDefault="00000000">
            <w:pPr>
              <w:spacing w:after="20"/>
            </w:pPr>
            <w:r>
              <w:rPr>
                <w:sz w:val="17"/>
              </w:rPr>
              <w:t>United Kingdom</w:t>
            </w:r>
          </w:p>
        </w:tc>
      </w:tr>
    </w:tbl>
    <w:p w14:paraId="0F0AF56E" w14:textId="77777777" w:rsidR="00311CC2" w:rsidRDefault="00311CC2"/>
    <w:sectPr w:rsidR="00311CC2" w:rsidSect="00034616">
      <w:footerReference w:type="default" r:id="rId10"/>
      <w:pgSz w:w="12240" w:h="15840"/>
      <w:pgMar w:top="1037" w:right="1123" w:bottom="1037" w:left="112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9C2E7" w14:textId="77777777" w:rsidR="00444239" w:rsidRDefault="00444239">
      <w:pPr>
        <w:spacing w:after="0" w:line="240" w:lineRule="auto"/>
      </w:pPr>
      <w:r>
        <w:separator/>
      </w:r>
    </w:p>
  </w:endnote>
  <w:endnote w:type="continuationSeparator" w:id="0">
    <w:p w14:paraId="7CC8F8E8" w14:textId="77777777" w:rsidR="00444239" w:rsidRDefault="00444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5236D" w14:textId="6D533F84" w:rsidR="00311CC2" w:rsidRDefault="00000000">
    <w:pPr>
      <w:pStyle w:val="Footer"/>
      <w:jc w:val="center"/>
    </w:pPr>
    <w:r>
      <w:rPr>
        <w:sz w:val="16"/>
      </w:rPr>
      <w:t xml:space="preserve">Paper 1 – </w:t>
    </w:r>
    <w:r w:rsidR="00E52196">
      <w:rPr>
        <w:sz w:val="16"/>
      </w:rPr>
      <w:t>From Policy Transfer to Contextual Adaptation</w:t>
    </w:r>
    <w:r>
      <w:rPr>
        <w:sz w:val="16"/>
      </w:rPr>
      <w:t xml:space="preserve"> Manuscript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B0146" w14:textId="77777777" w:rsidR="00444239" w:rsidRDefault="00444239">
      <w:pPr>
        <w:spacing w:after="0" w:line="240" w:lineRule="auto"/>
      </w:pPr>
      <w:r>
        <w:separator/>
      </w:r>
    </w:p>
  </w:footnote>
  <w:footnote w:type="continuationSeparator" w:id="0">
    <w:p w14:paraId="501C7C2F" w14:textId="77777777" w:rsidR="00444239" w:rsidRDefault="00444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63636449">
    <w:abstractNumId w:val="8"/>
  </w:num>
  <w:num w:numId="2" w16cid:durableId="926577699">
    <w:abstractNumId w:val="6"/>
  </w:num>
  <w:num w:numId="3" w16cid:durableId="793409768">
    <w:abstractNumId w:val="5"/>
  </w:num>
  <w:num w:numId="4" w16cid:durableId="1448936399">
    <w:abstractNumId w:val="4"/>
  </w:num>
  <w:num w:numId="5" w16cid:durableId="696388513">
    <w:abstractNumId w:val="7"/>
  </w:num>
  <w:num w:numId="6" w16cid:durableId="638539715">
    <w:abstractNumId w:val="3"/>
  </w:num>
  <w:num w:numId="7" w16cid:durableId="1257322949">
    <w:abstractNumId w:val="2"/>
  </w:num>
  <w:num w:numId="8" w16cid:durableId="495461072">
    <w:abstractNumId w:val="1"/>
  </w:num>
  <w:num w:numId="9" w16cid:durableId="2398702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11CC2"/>
    <w:rsid w:val="0031295C"/>
    <w:rsid w:val="00326F90"/>
    <w:rsid w:val="00444239"/>
    <w:rsid w:val="007C657F"/>
    <w:rsid w:val="0081194C"/>
    <w:rsid w:val="00A76353"/>
    <w:rsid w:val="00AA1D8D"/>
    <w:rsid w:val="00AD67E6"/>
    <w:rsid w:val="00B47730"/>
    <w:rsid w:val="00B74B4C"/>
    <w:rsid w:val="00CB0664"/>
    <w:rsid w:val="00CB4988"/>
    <w:rsid w:val="00CF39C2"/>
    <w:rsid w:val="00DE3F59"/>
    <w:rsid w:val="00E52196"/>
    <w:rsid w:val="00EE39E3"/>
    <w:rsid w:val="00F0295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BFBDD06"/>
  <w14:defaultImageDpi w14:val="300"/>
  <w15:docId w15:val="{653EB8FE-CBB6-4C2C-BD4A-EBE84B39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line="259" w:lineRule="auto"/>
    </w:pPr>
    <w:rPr>
      <w:rFonts w:ascii="Aptos" w:hAnsi="Aptos"/>
      <w:sz w:val="21"/>
    </w:rPr>
  </w:style>
  <w:style w:type="paragraph" w:styleId="Heading1">
    <w:name w:val="heading 1"/>
    <w:basedOn w:val="Normal"/>
    <w:next w:val="Normal"/>
    <w:link w:val="Heading1Char"/>
    <w:uiPriority w:val="9"/>
    <w:qFormat/>
    <w:rsid w:val="00FC693F"/>
    <w:pPr>
      <w:keepNext/>
      <w:keepLines/>
      <w:spacing w:before="20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200" w:line="240" w:lineRule="auto"/>
      <w:contextualSpacing/>
    </w:pPr>
    <w:rPr>
      <w:rFonts w:asciiTheme="majorHAnsi" w:eastAsiaTheme="majorEastAsia" w:hAnsiTheme="majorHAnsi" w:cstheme="majorBidi"/>
      <w:b/>
      <w:color w:val="17365D" w:themeColor="text2" w:themeShade="BF"/>
      <w:spacing w:val="5"/>
      <w:kern w:val="28"/>
      <w:sz w:val="3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12</Pages>
  <Words>7415</Words>
  <Characters>42267</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49583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carlnjam@gmail.com</dc:creator>
  <cp:keywords/>
  <dc:description/>
  <cp:lastModifiedBy>Carlene Campbell</cp:lastModifiedBy>
  <cp:revision>1</cp:revision>
  <dcterms:created xsi:type="dcterms:W3CDTF">2026-08-20T23:42:00Z</dcterms:created>
  <dcterms:modified xsi:type="dcterms:W3CDTF">2026-08-22T21:08:00Z</dcterms:modified>
  <cp:category/>
</cp:coreProperties>
</file>