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779A33FF" wp14:paraId="56CEDAA6" wp14:textId="33F13BB8">
      <w:pPr>
        <w:pStyle w:val="Heading5"/>
        <w:spacing w:before="0" w:beforeAutospacing="off" w:after="0" w:afterAutospacing="off"/>
        <w:ind w:left="-20" w:right="-2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79A33FF" w:rsidR="267034F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BMBM4011 - Entrepreneurial Innovation</w:t>
      </w:r>
    </w:p>
    <w:p xmlns:wp14="http://schemas.microsoft.com/office/word/2010/wordml" w:rsidP="2F1540A1" wp14:paraId="2C078E63" wp14:textId="124555C9">
      <w:pPr>
        <w:pStyle w:val="Normal"/>
        <w:rPr>
          <w:rFonts w:ascii="Century Gothic" w:hAnsi="Century Gothic" w:eastAsia="Century Gothic" w:cs="Century Gothic"/>
          <w:color w:val="auto"/>
        </w:rPr>
      </w:pPr>
      <w:r w:rsidRPr="779A33FF" w:rsidR="267034F7">
        <w:rPr>
          <w:rFonts w:ascii="Century Gothic" w:hAnsi="Century Gothic" w:eastAsia="Century Gothic" w:cs="Century Gothic"/>
          <w:color w:val="auto"/>
        </w:rPr>
        <w:t>Chloe Evans- 2304519</w:t>
      </w:r>
    </w:p>
    <w:p w:rsidR="2F1540A1" w:rsidP="2F1540A1" w:rsidRDefault="2F1540A1" w14:paraId="2FFE68CD" w14:textId="43945B47">
      <w:pPr>
        <w:pStyle w:val="Normal"/>
        <w:rPr>
          <w:rFonts w:ascii="Century Gothic" w:hAnsi="Century Gothic" w:eastAsia="Century Gothic" w:cs="Century Gothic"/>
          <w:color w:val="auto"/>
        </w:rPr>
      </w:pPr>
    </w:p>
    <w:p w:rsidR="56E6CDFD" w:rsidP="2F1540A1" w:rsidRDefault="56E6CDFD" w14:paraId="647B2ABB" w14:textId="58E48174">
      <w:pPr>
        <w:pStyle w:val="Normal"/>
        <w:rPr>
          <w:rFonts w:ascii="Century Gothic" w:hAnsi="Century Gothic" w:eastAsia="Century Gothic" w:cs="Century Gothic"/>
          <w:color w:val="auto"/>
        </w:rPr>
      </w:pPr>
      <w:hyperlink r:id="R83baf916678746c6">
        <w:r w:rsidRPr="779A33FF" w:rsidR="56E6CDFD">
          <w:rPr>
            <w:rStyle w:val="Hyperlink"/>
            <w:rFonts w:ascii="Century Gothic" w:hAnsi="Century Gothic" w:eastAsia="Century Gothic" w:cs="Century Gothic"/>
          </w:rPr>
          <w:t>https://www.youtube.com/watch?si=Hb0xD9JBW7d1vcn1&amp;embeds_referring_euri=https%3A%2F%2Fmail.google.com%2F&amp;embeds_referring_origin=https%3A%2F%2Fmail.google.com&amp;source_ve_path=Mjg2NjQsMTY0NTA2&amp;feature=emb_share&amp;v=dISr-cWJbfU</w:t>
        </w:r>
      </w:hyperlink>
    </w:p>
    <w:p w:rsidR="2F1540A1" w:rsidRDefault="2F1540A1" w14:paraId="188DB201" w14:textId="4D2162EE">
      <w:pPr>
        <w:rPr/>
      </w:pPr>
      <w:r w:rsidR="2F1540A1">
        <w:drawing>
          <wp:anchor distT="0" distB="0" distL="114300" distR="114300" simplePos="0" relativeHeight="251658240" behindDoc="0" locked="0" layoutInCell="1" allowOverlap="1" wp14:editId="3770F7C3" wp14:anchorId="21F157E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2087388823" name="picture" title="Video titled: United Nations SDG presentation">
              <a:hlinkClick r:id="Rd7e9d2d92c834836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fdda6386d93c44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si=Hb0xD9JBW7d1vcn1&amp;embeds_referring_euri=https%3A%2F%2Fmail.google.com%2F&amp;embeds_referring_origin=https%3A%2F%2Fmail.google.com&amp;source_ve_path=Mjg2NjQsMTY0NTA2&amp;feature=emb_share&amp;v=dISr-cWJbfU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F1540A1" w:rsidP="2F1540A1" w:rsidRDefault="2F1540A1" w14:paraId="352B5A0D" w14:textId="06B7E3C2">
      <w:pPr>
        <w:pStyle w:val="Normal"/>
        <w:rPr>
          <w:rFonts w:ascii="Century Gothic" w:hAnsi="Century Gothic" w:eastAsia="Century Gothic" w:cs="Century Gothic"/>
        </w:rPr>
      </w:pPr>
    </w:p>
    <w:p w:rsidR="2F1540A1" w:rsidP="2F1540A1" w:rsidRDefault="2F1540A1" w14:paraId="6E57FDB8" w14:textId="263FD98F">
      <w:pPr>
        <w:pStyle w:val="Normal"/>
        <w:rPr>
          <w:rFonts w:ascii="Century Gothic" w:hAnsi="Century Gothic" w:eastAsia="Century Gothic" w:cs="Century Gothic"/>
          <w:color w:val="auto"/>
        </w:rPr>
      </w:pPr>
    </w:p>
    <w:p w:rsidR="267034F7" w:rsidP="2F1540A1" w:rsidRDefault="267034F7" w14:paraId="3433C3AD" w14:textId="389A2C51">
      <w:pPr>
        <w:pStyle w:val="Normal"/>
        <w:rPr>
          <w:rFonts w:ascii="Century Gothic" w:hAnsi="Century Gothic" w:eastAsia="Century Gothic" w:cs="Century Gothic"/>
          <w:color w:val="auto"/>
        </w:rPr>
      </w:pPr>
      <w:r w:rsidRPr="779A33FF" w:rsidR="267034F7">
        <w:rPr>
          <w:rFonts w:ascii="Century Gothic" w:hAnsi="Century Gothic" w:eastAsia="Century Gothic" w:cs="Century Gothic"/>
          <w:color w:val="auto"/>
        </w:rPr>
        <w:t>Statement of contribution:</w:t>
      </w:r>
    </w:p>
    <w:p w:rsidR="2F1540A1" w:rsidP="2F1540A1" w:rsidRDefault="2F1540A1" w14:paraId="165B2138" w14:textId="3923507E">
      <w:pPr>
        <w:rPr>
          <w:rFonts w:ascii="Century Gothic" w:hAnsi="Century Gothic" w:eastAsia="Century Gothic" w:cs="Century Gothic"/>
          <w:color w:val="auto"/>
        </w:rPr>
      </w:pPr>
    </w:p>
    <w:p w:rsidR="188EB005" w:rsidP="2F1540A1" w:rsidRDefault="188EB005" w14:paraId="605D6285" w14:textId="3EE63268">
      <w:pPr>
        <w:pStyle w:val="Normal"/>
        <w:rPr>
          <w:rFonts w:ascii="Century Gothic" w:hAnsi="Century Gothic" w:eastAsia="Century Gothic" w:cs="Century Gothic"/>
          <w:noProof w:val="0"/>
          <w:color w:val="auto"/>
          <w:lang w:val="en-US"/>
        </w:rPr>
      </w:pPr>
      <w:r w:rsidRPr="779A33FF" w:rsidR="188EB005">
        <w:rPr>
          <w:rFonts w:ascii="Century Gothic" w:hAnsi="Century Gothic" w:eastAsia="Century Gothic" w:cs="Century Gothic"/>
          <w:color w:val="auto"/>
          <w:sz w:val="24"/>
          <w:szCs w:val="24"/>
        </w:rPr>
        <w:t xml:space="preserve">I actively </w:t>
      </w:r>
      <w:r w:rsidRPr="779A33FF" w:rsidR="188EB005">
        <w:rPr>
          <w:rFonts w:ascii="Century Gothic" w:hAnsi="Century Gothic" w:eastAsia="Century Gothic" w:cs="Century Gothic"/>
          <w:color w:val="auto"/>
          <w:sz w:val="24"/>
          <w:szCs w:val="24"/>
        </w:rPr>
        <w:t>participated</w:t>
      </w:r>
      <w:r w:rsidRPr="779A33FF" w:rsidR="188EB005">
        <w:rPr>
          <w:rFonts w:ascii="Century Gothic" w:hAnsi="Century Gothic" w:eastAsia="Century Gothic" w:cs="Century Gothic"/>
          <w:color w:val="auto"/>
          <w:sz w:val="24"/>
          <w:szCs w:val="24"/>
        </w:rPr>
        <w:t xml:space="preserve"> in most group discussions, which involved selecting the company and Sustainable Development Goal (SDG) for our project and assigning roles for discussion points.</w:t>
      </w:r>
      <w:r w:rsidRPr="779A33FF" w:rsidR="188EB005">
        <w:rPr>
          <w:rFonts w:ascii="Century Gothic" w:hAnsi="Century Gothic" w:eastAsia="Century Gothic" w:cs="Century Gothic"/>
          <w:color w:val="auto"/>
          <w:sz w:val="24"/>
          <w:szCs w:val="24"/>
        </w:rPr>
        <w:t xml:space="preserve"> However, I later transitioned to a more subtle role, focusing on completing my assigned tasks effectively.</w:t>
      </w:r>
    </w:p>
    <w:p w:rsidR="2F1540A1" w:rsidP="2F1540A1" w:rsidRDefault="2F1540A1" w14:paraId="39F5016E" w14:textId="26B3B997">
      <w:pPr>
        <w:pStyle w:val="Normal"/>
        <w:rPr>
          <w:rFonts w:ascii="Century Gothic" w:hAnsi="Century Gothic" w:eastAsia="Century Gothic" w:cs="Century Gothic"/>
          <w:color w:val="auto"/>
          <w:sz w:val="24"/>
          <w:szCs w:val="24"/>
          <w:lang w:eastAsia="ja-JP" w:bidi="ar-SA"/>
        </w:rPr>
      </w:pPr>
    </w:p>
    <w:p w:rsidR="188EB005" w:rsidP="2F1540A1" w:rsidRDefault="188EB005" w14:paraId="55E8B55F" w14:textId="52864D67">
      <w:pPr>
        <w:pStyle w:val="Normal"/>
        <w:rPr>
          <w:rFonts w:ascii="Century Gothic" w:hAnsi="Century Gothic" w:eastAsia="Century Gothic" w:cs="Century Gothic"/>
          <w:noProof w:val="0"/>
          <w:sz w:val="24"/>
          <w:szCs w:val="24"/>
          <w:lang w:val="en-US"/>
        </w:rPr>
      </w:pPr>
      <w:r w:rsidRPr="779A33FF" w:rsidR="188EB005">
        <w:rPr>
          <w:rFonts w:ascii="Century Gothic" w:hAnsi="Century Gothic" w:eastAsia="Century Gothic" w:cs="Century Gothic"/>
          <w:color w:val="auto"/>
          <w:sz w:val="24"/>
          <w:szCs w:val="24"/>
        </w:rPr>
        <w:t xml:space="preserve">My assigned task involved providing a detailed description of the Chicago Amazon warehouse and </w:t>
      </w:r>
      <w:r w:rsidRPr="779A33FF" w:rsidR="1B6E1771">
        <w:rPr>
          <w:rFonts w:ascii="Century Gothic" w:hAnsi="Century Gothic" w:eastAsia="Century Gothic" w:cs="Century Gothic"/>
          <w:color w:val="auto"/>
          <w:sz w:val="24"/>
          <w:szCs w:val="24"/>
        </w:rPr>
        <w:t>analysing</w:t>
      </w:r>
      <w:r w:rsidRPr="779A33FF" w:rsidR="188EB005">
        <w:rPr>
          <w:rFonts w:ascii="Century Gothic" w:hAnsi="Century Gothic" w:eastAsia="Century Gothic" w:cs="Century Gothic"/>
          <w:color w:val="auto"/>
          <w:sz w:val="24"/>
          <w:szCs w:val="24"/>
        </w:rPr>
        <w:t xml:space="preserve"> infrastructure issues within the vicinity. To </w:t>
      </w:r>
      <w:r w:rsidRPr="779A33FF" w:rsidR="188EB005">
        <w:rPr>
          <w:rFonts w:ascii="Century Gothic" w:hAnsi="Century Gothic" w:eastAsia="Century Gothic" w:cs="Century Gothic"/>
          <w:color w:val="auto"/>
          <w:sz w:val="24"/>
          <w:szCs w:val="24"/>
        </w:rPr>
        <w:t>accomplish</w:t>
      </w:r>
      <w:r w:rsidRPr="779A33FF" w:rsidR="188EB005">
        <w:rPr>
          <w:rFonts w:ascii="Century Gothic" w:hAnsi="Century Gothic" w:eastAsia="Century Gothic" w:cs="Century Gothic"/>
          <w:color w:val="auto"/>
          <w:sz w:val="24"/>
          <w:szCs w:val="24"/>
        </w:rPr>
        <w:t xml:space="preserve"> this, I conducted independent research to gather public opinions on the location and devised a plan to enhance the infrastructure </w:t>
      </w:r>
      <w:r w:rsidRPr="779A33FF" w:rsidR="188EB005">
        <w:rPr>
          <w:rFonts w:ascii="Century Gothic" w:hAnsi="Century Gothic" w:eastAsia="Century Gothic" w:cs="Century Gothic"/>
          <w:color w:val="auto"/>
          <w:sz w:val="24"/>
          <w:szCs w:val="24"/>
        </w:rPr>
        <w:t>utilising</w:t>
      </w:r>
      <w:r w:rsidRPr="779A33FF" w:rsidR="188EB005">
        <w:rPr>
          <w:rFonts w:ascii="Century Gothic" w:hAnsi="Century Gothic" w:eastAsia="Century Gothic" w:cs="Century Gothic"/>
          <w:color w:val="auto"/>
          <w:sz w:val="24"/>
          <w:szCs w:val="24"/>
        </w:rPr>
        <w:t xml:space="preserve"> the resources accessible to the company. </w:t>
      </w:r>
      <w:r w:rsidRPr="779A33FF" w:rsidR="1C3F10CC">
        <w:rPr>
          <w:rFonts w:ascii="Century Gothic" w:hAnsi="Century Gothic" w:eastAsia="Century Gothic" w:cs="Century Gothic"/>
          <w:color w:val="auto"/>
          <w:sz w:val="24"/>
          <w:szCs w:val="24"/>
        </w:rPr>
        <w:t>The proposed plan encompasses prioritizing local employment opportunities to stimulate economic growth within the community. Additionally, a commitment to donating services aimed at enhancing infrastructure, including improvements to roads, water supply, sanitation facilities, and electricity, can significantly improve access to essential services for residents in underserved areas.</w:t>
      </w:r>
    </w:p>
    <w:p w:rsidR="2F1540A1" w:rsidP="2F1540A1" w:rsidRDefault="2F1540A1" w14:paraId="33F0363B" w14:textId="4FE694A3">
      <w:pPr>
        <w:pStyle w:val="Normal"/>
        <w:rPr>
          <w:rFonts w:ascii="Century Gothic" w:hAnsi="Century Gothic" w:eastAsia="Century Gothic" w:cs="Century Gothic"/>
          <w:noProof w:val="0"/>
          <w:color w:val="auto"/>
          <w:sz w:val="24"/>
          <w:szCs w:val="24"/>
          <w:lang w:val="en-US" w:eastAsia="ja-JP" w:bidi="ar-SA"/>
        </w:rPr>
      </w:pPr>
    </w:p>
    <w:p w:rsidR="1C3F10CC" w:rsidP="779A33FF" w:rsidRDefault="1C3F10CC" w14:paraId="7A3301F0" w14:textId="3FD51973">
      <w:pPr>
        <w:spacing w:after="160" w:line="259" w:lineRule="auto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References:</w:t>
      </w:r>
    </w:p>
    <w:p w:rsidR="2F1540A1" w:rsidP="779A33FF" w:rsidRDefault="2F1540A1" w14:paraId="51AF9DB7" w14:textId="6135FE78">
      <w:pPr>
        <w:spacing w:after="160" w:line="259" w:lineRule="auto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C3F10CC" w:rsidP="779A33FF" w:rsidRDefault="1C3F10CC" w14:paraId="5D0A6B18" w14:textId="1B44F9FE">
      <w:pPr>
        <w:spacing w:after="160" w:line="259" w:lineRule="auto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JGI (2023). 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Inspirational marketing quotes by Phillip Kotler. 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68f0eb7f4e304f41">
        <w:r w:rsidRPr="779A33FF" w:rsidR="1C3F10CC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https://onlinejain.com/blogs/inspirational-marketing-quotes-philip-kotler</w:t>
        </w:r>
      </w:hyperlink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15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March 2024)</w:t>
      </w:r>
    </w:p>
    <w:p w:rsidR="2F1540A1" w:rsidP="779A33FF" w:rsidRDefault="2F1540A1" w14:paraId="43FCB009" w14:textId="6BE434AA">
      <w:pPr>
        <w:spacing w:after="160" w:line="259" w:lineRule="auto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C3F10CC" w:rsidP="779A33FF" w:rsidRDefault="1C3F10CC" w14:paraId="49FD676C" w14:textId="7499E5EC">
      <w:pPr>
        <w:spacing w:after="160" w:line="259" w:lineRule="auto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K, Waddell and M, Singh (2021). 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‘Warehouses in their backyards’: when Amazon expands, these communities pay the price. 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61bc817f99e84cec">
        <w:r w:rsidRPr="779A33FF" w:rsidR="1C3F10CC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https://www.theguardian.com/us-news/2021/dec/09/when-amazon-expands-these-communities-pay-the-price</w:t>
        </w:r>
      </w:hyperlink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15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March 2024)</w:t>
      </w:r>
    </w:p>
    <w:p w:rsidR="2F1540A1" w:rsidP="779A33FF" w:rsidRDefault="2F1540A1" w14:paraId="1CE9287D" w14:textId="2D3CFCA7">
      <w:pPr>
        <w:spacing w:after="160" w:line="259" w:lineRule="auto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C3F10CC" w:rsidP="779A33FF" w:rsidRDefault="1C3F10CC" w14:paraId="3D86D762" w14:textId="42157A31">
      <w:pPr>
        <w:spacing w:after="160" w:line="259" w:lineRule="auto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M, Rivera (2023). 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Amazon facility on 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city’s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West side is preparing to begin operations next week. 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5aea88b9d0394e53">
        <w:r w:rsidRPr="779A33FF" w:rsidR="1C3F10CC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https://abc7chicago.com/chicago-amazon-warehouse-austin-west-humboldt-park-fulfillment-center/13864284/</w:t>
        </w:r>
      </w:hyperlink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15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79A33FF" w:rsidR="1C3F10CC"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March 2024)</w:t>
      </w:r>
    </w:p>
    <w:p w:rsidR="2F1540A1" w:rsidP="779A33FF" w:rsidRDefault="2F1540A1" w14:paraId="49EDB95F" w14:textId="37DAA015">
      <w:pPr>
        <w:spacing w:after="160" w:line="259" w:lineRule="auto"/>
        <w:rPr>
          <w:rFonts w:ascii="Century Gothic" w:hAnsi="Century Gothic" w:eastAsia="Century Gothic" w:cs="Century Goth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1540A1" w:rsidP="2F1540A1" w:rsidRDefault="2F1540A1" w14:paraId="7871D6DD" w14:textId="5D0035F0">
      <w:pPr>
        <w:pStyle w:val="Normal"/>
        <w:rPr>
          <w:rFonts w:ascii="Century Gothic" w:hAnsi="Century Gothic" w:eastAsia="Century Gothic" w:cs="Century Gothic"/>
          <w:noProof w:val="0"/>
          <w:color w:val="auto"/>
          <w:sz w:val="24"/>
          <w:szCs w:val="24"/>
          <w:lang w:val="en-US" w:eastAsia="ja-JP" w:bidi="ar-SA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498F92"/>
    <w:rsid w:val="0389EC43"/>
    <w:rsid w:val="06C18D05"/>
    <w:rsid w:val="188EB005"/>
    <w:rsid w:val="1B6E1771"/>
    <w:rsid w:val="1C3F10CC"/>
    <w:rsid w:val="267034F7"/>
    <w:rsid w:val="27BFD66E"/>
    <w:rsid w:val="2CA3CDD8"/>
    <w:rsid w:val="2E3D4059"/>
    <w:rsid w:val="2F1540A1"/>
    <w:rsid w:val="2FD910BA"/>
    <w:rsid w:val="2FDB6E9A"/>
    <w:rsid w:val="3FF7220A"/>
    <w:rsid w:val="4107D59D"/>
    <w:rsid w:val="4192F26B"/>
    <w:rsid w:val="473B6E7E"/>
    <w:rsid w:val="4C0C81C1"/>
    <w:rsid w:val="4DA85222"/>
    <w:rsid w:val="56E6CDFD"/>
    <w:rsid w:val="573869EB"/>
    <w:rsid w:val="57498F92"/>
    <w:rsid w:val="5D9A2B9A"/>
    <w:rsid w:val="5F6233D3"/>
    <w:rsid w:val="779A33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98F92"/>
  <w15:chartTrackingRefBased/>
  <w15:docId w15:val="{D4FE2973-4C89-4781-A3FE-A668498B89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79A33F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779A33FF"/>
    <w:rPr>
      <w:rFonts w:ascii="Aptos Display" w:hAnsi="Aptos Display" w:eastAsia="" w:cs="" w:asciiTheme="majorAscii" w:hAnsiTheme="majorAscii" w:eastAsiaTheme="majorEastAsia" w:cstheme="majorBidi"/>
      <w:noProof w:val="0"/>
      <w:color w:val="0F4761" w:themeColor="accent1" w:themeTint="FF" w:themeShade="BF"/>
      <w:sz w:val="40"/>
      <w:szCs w:val="4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779A33F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779A33FF"/>
    <w:rPr>
      <w:rFonts w:ascii="Aptos Display" w:hAnsi="Aptos Display" w:eastAsia="" w:cs="" w:asciiTheme="majorAscii" w:hAnsiTheme="majorAscii" w:eastAsiaTheme="majorEastAsia" w:cstheme="majorBidi"/>
      <w:noProof w:val="0"/>
      <w:color w:val="0F4761" w:themeColor="accent1" w:themeTint="FF" w:themeShade="BF"/>
      <w:sz w:val="32"/>
      <w:szCs w:val="32"/>
      <w:lang w:val="en-GB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79A33F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779A33FF"/>
    <w:rPr>
      <w:rFonts w:ascii="Aptos" w:hAnsi="Aptos" w:eastAsia="" w:cs="" w:asciiTheme="minorAscii" w:hAnsiTheme="minorAscii" w:eastAsiaTheme="majorEastAsia" w:cstheme="majorBidi"/>
      <w:noProof w:val="0"/>
      <w:color w:val="0F4761" w:themeColor="accent1" w:themeTint="FF" w:themeShade="BF"/>
      <w:sz w:val="28"/>
      <w:szCs w:val="28"/>
      <w:lang w:val="en-GB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79A33FF"/>
    <w:rPr>
      <w:rFonts w:ascii="Aptos" w:hAnsi="Aptos" w:eastAsia="" w:cs="" w:asciiTheme="minorAscii" w:hAnsiTheme="minorAscii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779A33FF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0F4761" w:themeColor="accent1" w:themeTint="FF" w:themeShade="BF"/>
      <w:lang w:val="en-GB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79A33FF"/>
    <w:rPr>
      <w:rFonts w:ascii="Aptos" w:hAnsi="Aptos" w:eastAsia="" w:cs="" w:asciiTheme="minorAscii" w:hAnsiTheme="minorAscii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779A33FF"/>
    <w:rPr>
      <w:rFonts w:ascii="Aptos" w:hAnsi="Aptos" w:eastAsia="" w:cs="" w:asciiTheme="minorAscii" w:hAnsiTheme="minorAscii" w:eastAsiaTheme="majorEastAsia" w:cstheme="majorBidi"/>
      <w:noProof w:val="0"/>
      <w:color w:val="0F4761" w:themeColor="accent1" w:themeTint="FF" w:themeShade="BF"/>
      <w:lang w:val="en-GB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79A33FF"/>
    <w:rPr>
      <w:rFonts w:ascii="Aptos" w:hAnsi="Aptos" w:eastAsia="" w:cs="" w:asciiTheme="minorAscii" w:hAnsiTheme="minorAscii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779A33FF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595959" w:themeColor="text1" w:themeTint="A6" w:themeShade="FF"/>
      <w:lang w:val="en-GB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79A33FF"/>
    <w:rPr>
      <w:rFonts w:ascii="Aptos" w:hAnsi="Aptos" w:eastAsia="" w:cs="" w:asciiTheme="minorAscii" w:hAnsiTheme="minorAscii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779A33FF"/>
    <w:rPr>
      <w:rFonts w:ascii="Aptos" w:hAnsi="Aptos" w:eastAsia="" w:cs="" w:asciiTheme="minorAscii" w:hAnsiTheme="minorAscii" w:eastAsiaTheme="majorEastAsia" w:cstheme="majorBidi"/>
      <w:noProof w:val="0"/>
      <w:color w:val="595959" w:themeColor="text1" w:themeTint="A6" w:themeShade="FF"/>
      <w:lang w:val="en-GB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79A33FF"/>
    <w:rPr>
      <w:rFonts w:ascii="Aptos" w:hAnsi="Aptos" w:eastAsia="" w:cs="" w:asciiTheme="minorAscii" w:hAnsiTheme="minorAscii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779A33FF"/>
    <w:rPr>
      <w:rFonts w:ascii="Aptos" w:hAnsi="Aptos" w:eastAsia="" w:cs="" w:asciiTheme="minorAscii" w:hAnsiTheme="minorAscii" w:eastAsiaTheme="majorEastAsia" w:cstheme="majorBidi"/>
      <w:i w:val="1"/>
      <w:iCs w:val="1"/>
      <w:noProof w:val="0"/>
      <w:color w:val="272727"/>
      <w:lang w:val="en-GB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79A33FF"/>
    <w:rPr>
      <w:rFonts w:ascii="Aptos" w:hAnsi="Aptos" w:eastAsia="" w:cs="" w:asciiTheme="minorAscii" w:hAnsiTheme="minorAscii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779A33FF"/>
    <w:rPr>
      <w:rFonts w:ascii="Aptos" w:hAnsi="Aptos" w:eastAsia="" w:cs="" w:asciiTheme="minorAscii" w:hAnsiTheme="minorAscii" w:eastAsiaTheme="majorEastAsia" w:cstheme="majorBidi"/>
      <w:noProof w:val="0"/>
      <w:color w:val="272727"/>
      <w:lang w:val="en-GB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79A33FF"/>
    <w:rPr>
      <w:rFonts w:ascii="Aptos" w:hAnsi="Aptos" w:eastAsia="" w:cs="" w:asciiTheme="minorAscii" w:hAnsiTheme="minorAscii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779A33FF"/>
    <w:rPr>
      <w:rFonts w:ascii="Aptos Display" w:hAnsi="Aptos Display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paragraph" w:styleId="Title">
    <w:uiPriority w:val="10"/>
    <w:name w:val="Title"/>
    <w:basedOn w:val="Normal"/>
    <w:next w:val="Normal"/>
    <w:link w:val="TitleChar"/>
    <w:qFormat/>
    <w:rsid w:val="779A33F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/>
      <w:contextualSpacing/>
    </w:pPr>
  </w:style>
  <w:style w:type="character" w:styleId="SubtitleChar" w:customStyle="true">
    <w:uiPriority w:val="11"/>
    <w:name w:val="Subtitle Char"/>
    <w:basedOn w:val="DefaultParagraphFont"/>
    <w:link w:val="Subtitle"/>
    <w:rsid w:val="779A33FF"/>
    <w:rPr>
      <w:rFonts w:ascii="Aptos" w:hAnsi="Aptos" w:eastAsia="" w:cs="" w:asciiTheme="minorAscii" w:hAnsiTheme="minorAscii" w:eastAsiaTheme="majorEastAsia" w:cstheme="majorBidi"/>
      <w:noProof w:val="0"/>
      <w:color w:val="595959" w:themeColor="text1" w:themeTint="A6" w:themeShade="FF"/>
      <w:sz w:val="28"/>
      <w:szCs w:val="28"/>
      <w:lang w:val="en-GB"/>
    </w:rPr>
  </w:style>
  <w:style w:type="paragraph" w:styleId="Subtitle">
    <w:uiPriority w:val="11"/>
    <w:name w:val="Subtitle"/>
    <w:basedOn w:val="Normal"/>
    <w:next w:val="Normal"/>
    <w:link w:val="SubtitleChar"/>
    <w:qFormat/>
    <w:rsid w:val="779A33FF"/>
    <w:rPr>
      <w:rFonts w:ascii="Aptos" w:hAnsi="Aptos" w:eastAsia="" w:cs="" w:asciiTheme="minorAscii" w:hAnsiTheme="minorAscii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true">
    <w:uiPriority w:val="29"/>
    <w:name w:val="Quote Char"/>
    <w:basedOn w:val="DefaultParagraphFont"/>
    <w:link w:val="Quote"/>
    <w:rsid w:val="779A33FF"/>
    <w:rPr>
      <w:i w:val="1"/>
      <w:iCs w:val="1"/>
      <w:noProof w:val="0"/>
      <w:color w:val="404040" w:themeColor="text1" w:themeTint="BF" w:themeShade="FF"/>
      <w:lang w:val="en-GB"/>
    </w:rPr>
  </w:style>
  <w:style w:type="paragraph" w:styleId="Quote">
    <w:uiPriority w:val="29"/>
    <w:name w:val="Quote"/>
    <w:basedOn w:val="Normal"/>
    <w:next w:val="Normal"/>
    <w:link w:val="QuoteChar"/>
    <w:qFormat/>
    <w:rsid w:val="779A33FF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true">
    <w:uiPriority w:val="30"/>
    <w:name w:val="Intense Quote Char"/>
    <w:basedOn w:val="DefaultParagraphFont"/>
    <w:link w:val="IntenseQuote"/>
    <w:rsid w:val="779A33FF"/>
    <w:rPr>
      <w:i w:val="1"/>
      <w:iCs w:val="1"/>
      <w:noProof w:val="0"/>
      <w:color w:val="0F4761" w:themeColor="accent1" w:themeTint="FF" w:themeShade="BF"/>
      <w:lang w:val="en-GB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79A33FF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779A33FF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779A33FF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79A33FF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79A33FF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79A33FF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79A33FF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79A33FF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79A33FF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79A33FF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79A33FF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79A33FF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79A33FF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779A33FF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79A33FF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79A33FF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79A33FF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779A33FF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79A33FF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fdda6386d93c44b2" /><Relationship Type="http://schemas.openxmlformats.org/officeDocument/2006/relationships/hyperlink" Target="https://www.youtube.com/watch?si=Hb0xD9JBW7d1vcn1&amp;embeds_referring_euri=https%3A%2F%2Fmail.google.com%2F&amp;embeds_referring_origin=https%3A%2F%2Fmail.google.com&amp;source_ve_path=Mjg2NjQsMTY0NTA2&amp;feature=emb_share&amp;v=dISr-cWJbfU" TargetMode="External" Id="Rd7e9d2d92c834836" /><Relationship Type="http://schemas.openxmlformats.org/officeDocument/2006/relationships/hyperlink" Target="https://www.youtube.com/watch?si=Hb0xD9JBW7d1vcn1&amp;embeds_referring_euri=https%3A%2F%2Fmail.google.com%2F&amp;embeds_referring_origin=https%3A%2F%2Fmail.google.com&amp;source_ve_path=Mjg2NjQsMTY0NTA2&amp;feature=emb_share&amp;v=dISr-cWJbfU" TargetMode="External" Id="R83baf916678746c6" /><Relationship Type="http://schemas.openxmlformats.org/officeDocument/2006/relationships/hyperlink" Target="https://onlinejain.com/blogs/inspirational-marketing-quotes-philip-kotler" TargetMode="External" Id="R68f0eb7f4e304f41" /><Relationship Type="http://schemas.openxmlformats.org/officeDocument/2006/relationships/hyperlink" Target="https://www.theguardian.com/us-news/2021/dec/09/when-amazon-expands-these-communities-pay-the-price" TargetMode="External" Id="R61bc817f99e84cec" /><Relationship Type="http://schemas.openxmlformats.org/officeDocument/2006/relationships/hyperlink" Target="https://abc7chicago.com/chicago-amazon-warehouse-austin-west-humboldt-park-fulfillment-center/13864284/" TargetMode="External" Id="R5aea88b9d0394e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2024-03-22T19:29:14.1354160Z</dcterms:created>
  <dcterms:modified xsi:type="dcterms:W3CDTF">2024-03-22T19:48:18.2769932Z</dcterms:modified>
  <dc:creator>Chloe Evans (2304519)</dc:creator>
  <lastModifiedBy>Chloe Evans (2304519)</lastModifiedBy>
</coreProperties>
</file>