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B962C" w14:textId="5248F7C2" w:rsidR="004276B0" w:rsidRDefault="00713728" w:rsidP="005E6859">
      <w:pPr>
        <w:spacing w:after="0" w:line="276" w:lineRule="auto"/>
        <w:rPr>
          <w:b/>
          <w:bCs/>
        </w:rPr>
      </w:pPr>
      <w:r w:rsidRPr="0041494C">
        <w:rPr>
          <w:b/>
          <w:bCs/>
        </w:rPr>
        <w:t>JE</w:t>
      </w:r>
    </w:p>
    <w:p w14:paraId="3E29E3D0" w14:textId="77777777" w:rsidR="0041494C" w:rsidRPr="0041494C" w:rsidRDefault="0041494C" w:rsidP="005E6859">
      <w:pPr>
        <w:spacing w:after="0" w:line="276" w:lineRule="auto"/>
        <w:rPr>
          <w:b/>
          <w:bCs/>
        </w:rPr>
      </w:pPr>
    </w:p>
    <w:p w14:paraId="3C8EF0CC" w14:textId="475D2C52" w:rsidR="00713728" w:rsidRPr="0041494C" w:rsidRDefault="00713728" w:rsidP="0041494C">
      <w:pPr>
        <w:spacing w:after="0" w:line="276" w:lineRule="auto"/>
        <w:rPr>
          <w:b/>
          <w:bCs/>
        </w:rPr>
      </w:pPr>
      <w:r w:rsidRPr="0041494C">
        <w:rPr>
          <w:b/>
          <w:bCs/>
        </w:rPr>
        <w:t>Power Distance Theory</w:t>
      </w:r>
    </w:p>
    <w:p w14:paraId="1ABFB3B0" w14:textId="77777777" w:rsidR="0041494C" w:rsidRPr="0041494C" w:rsidRDefault="0041494C" w:rsidP="0041494C">
      <w:pPr>
        <w:spacing w:after="0" w:line="276" w:lineRule="auto"/>
        <w:ind w:left="360"/>
        <w:rPr>
          <w:b/>
          <w:bCs/>
        </w:rPr>
      </w:pPr>
    </w:p>
    <w:p w14:paraId="52B898A7" w14:textId="77777777" w:rsidR="00713728" w:rsidRDefault="00713728" w:rsidP="005E6859">
      <w:pPr>
        <w:spacing w:after="0" w:line="276" w:lineRule="auto"/>
      </w:pPr>
      <w:r>
        <w:t>Hofstede’s (1980) work focuses on the principles of high-power distance (HPD) culture which promotes superior-subordinate relationships and reverence for those in prominent positions. It is against this backdrop that the consequence of HPD in undermining stakeholders’ (subordinates’) ability to hold their superiors (the BOD and executive management) accountable for activities that breach the principles of CG is investigated (</w:t>
      </w:r>
      <w:proofErr w:type="spellStart"/>
      <w:r>
        <w:t>Oruh</w:t>
      </w:r>
      <w:proofErr w:type="spellEnd"/>
      <w:r>
        <w:t xml:space="preserve"> and Dibia, 2022).</w:t>
      </w:r>
    </w:p>
    <w:p w14:paraId="783C97FA" w14:textId="77777777" w:rsidR="0041494C" w:rsidRDefault="0041494C" w:rsidP="005E6859">
      <w:pPr>
        <w:spacing w:after="0" w:line="276" w:lineRule="auto"/>
      </w:pPr>
    </w:p>
    <w:p w14:paraId="0EC510A5" w14:textId="77777777" w:rsidR="00713728" w:rsidRDefault="00713728" w:rsidP="005E6859">
      <w:pPr>
        <w:spacing w:after="0" w:line="276" w:lineRule="auto"/>
      </w:pPr>
      <w:r>
        <w:t>An essential factor to consider in CG which has not received sufficient attention is the correlation between national culture and corporate behaviour (ibid). Based on Hofstede’s (1980) cultural perspectives, the ability of a company to adhere to the principles of CG is essentially dependent on the dominant cultural ethos that shapes the environment in which it operates. It is therefore evident that the national culture within which a company is situated is a contributing factor in influencing its organisational practice (McRay, 2015).</w:t>
      </w:r>
    </w:p>
    <w:p w14:paraId="45120DD3" w14:textId="77777777" w:rsidR="0041494C" w:rsidRDefault="0041494C" w:rsidP="005E6859">
      <w:pPr>
        <w:spacing w:after="0" w:line="276" w:lineRule="auto"/>
      </w:pPr>
    </w:p>
    <w:p w14:paraId="391C327A" w14:textId="77777777" w:rsidR="00713728" w:rsidRDefault="00713728" w:rsidP="005E6859">
      <w:pPr>
        <w:spacing w:after="0" w:line="276" w:lineRule="auto"/>
      </w:pPr>
      <w:r>
        <w:t xml:space="preserve">Hofstede (2011) describes the cultural context along six dimensions but the relevant dimension for this research is Power Distance (PD) which can either be high or low. PD illustrates the extent to which uneven power distribution is normalised within cultural contexts (ibid). </w:t>
      </w:r>
    </w:p>
    <w:p w14:paraId="562A1CF4" w14:textId="77777777" w:rsidR="0041494C" w:rsidRDefault="0041494C" w:rsidP="005E6859">
      <w:pPr>
        <w:spacing w:after="0" w:line="276" w:lineRule="auto"/>
      </w:pPr>
    </w:p>
    <w:p w14:paraId="09C9566E" w14:textId="77777777" w:rsidR="00713728" w:rsidRDefault="00713728" w:rsidP="005E6859">
      <w:pPr>
        <w:spacing w:after="0" w:line="276" w:lineRule="auto"/>
      </w:pPr>
      <w:r>
        <w:t xml:space="preserve">McRay (2015) posits that in a HPD society, power relations tend to be oppressive and essentially centralised, leading to a situation of high emotional distance between superiors and subordinates. In such a culture, there is a great degree of unequal power distribution with subordinates reluctant to directly challenge the decisions of or insist on being allowed to contribute to the decision-making process (ibid). In a cultural setting like Nigeria with a HPD index, uneven power allocation and deference for those in authority and with considerable influence is a generally recognised practice (Umar and Hassan, 2014). </w:t>
      </w:r>
    </w:p>
    <w:p w14:paraId="740C1888" w14:textId="77777777" w:rsidR="0041494C" w:rsidRDefault="0041494C" w:rsidP="005E6859">
      <w:pPr>
        <w:spacing w:after="0" w:line="276" w:lineRule="auto"/>
      </w:pPr>
    </w:p>
    <w:p w14:paraId="0C0560DA" w14:textId="77777777" w:rsidR="00713728" w:rsidRDefault="00713728" w:rsidP="005E6859">
      <w:pPr>
        <w:spacing w:after="0" w:line="276" w:lineRule="auto"/>
      </w:pPr>
      <w:r>
        <w:t>Nigeria is a country whose dominant national culture is one of HPD, which endorses servant-master relationships and encourages deference to the hierarchy (</w:t>
      </w:r>
      <w:proofErr w:type="spellStart"/>
      <w:r>
        <w:t>Oruh</w:t>
      </w:r>
      <w:proofErr w:type="spellEnd"/>
      <w:r>
        <w:t xml:space="preserve"> and Dibia, 2020). This HPD mindset permeates the activities and behaviours of companies in Nigeria and their mindset towards CG regulation and by extension stakeholder engagement (Umar and Hassan, 2014). Therefore, CG issues such as corporate disclosures, transparency, integrity, accountability, and stakeholder engagement are systematically ignored by the board of directors (Nuhu and Ahmed, 2017). Although </w:t>
      </w:r>
      <w:r>
        <w:lastRenderedPageBreak/>
        <w:t>HPD runs across all sectors (ibid), it is especially manifest in the banking and manufacturing sectors (</w:t>
      </w:r>
      <w:proofErr w:type="spellStart"/>
      <w:r>
        <w:t>Oruh</w:t>
      </w:r>
      <w:proofErr w:type="spellEnd"/>
      <w:r>
        <w:t xml:space="preserve"> and Dibia, 2020).</w:t>
      </w:r>
    </w:p>
    <w:p w14:paraId="5EC45D46" w14:textId="77777777" w:rsidR="0041494C" w:rsidRDefault="0041494C" w:rsidP="005E6859">
      <w:pPr>
        <w:spacing w:after="0" w:line="276" w:lineRule="auto"/>
      </w:pPr>
    </w:p>
    <w:p w14:paraId="45614916" w14:textId="77777777" w:rsidR="00713728" w:rsidRDefault="00713728" w:rsidP="005E6859">
      <w:pPr>
        <w:spacing w:after="0" w:line="276" w:lineRule="auto"/>
      </w:pPr>
      <w:proofErr w:type="spellStart"/>
      <w:r>
        <w:t>Oruh</w:t>
      </w:r>
      <w:proofErr w:type="spellEnd"/>
      <w:r>
        <w:t xml:space="preserve"> and Dibia (2022) based on their findings on the effect of HPD on CG principles in Nigeria are of the view that feedback from respondents in their study evidently validates how actions that are unethical and activities that are antithetical to corporate integrity can go unimpeded due to a HPD mindset and the need to show deference to corporate executives (and this undermines the principles of CG. The lack of stakeholder engagement was also cited as a factor of poor CG in Nigeria (ibid; Solomon, 2020). </w:t>
      </w:r>
    </w:p>
    <w:p w14:paraId="324B2F73" w14:textId="77777777" w:rsidR="0041494C" w:rsidRDefault="0041494C" w:rsidP="005E6859">
      <w:pPr>
        <w:spacing w:after="0" w:line="276" w:lineRule="auto"/>
      </w:pPr>
    </w:p>
    <w:p w14:paraId="403DAC2E" w14:textId="77777777" w:rsidR="00713728" w:rsidRDefault="00713728" w:rsidP="005E6859">
      <w:pPr>
        <w:spacing w:after="0" w:line="276" w:lineRule="auto"/>
      </w:pPr>
      <w:r>
        <w:t>The lack of transparency and accountability in Nigeria’s corporate sector which has received criticism has seen no remorse from the BOD who view themselves as sufficiently influential to evade liability (Clarke, 2004). This presents a challenge in Nigeria where the HPD culture of deference is prevalent and makes it impossible to sanction defaulters (</w:t>
      </w:r>
      <w:proofErr w:type="spellStart"/>
      <w:r>
        <w:t>Oruh</w:t>
      </w:r>
      <w:proofErr w:type="spellEnd"/>
      <w:r>
        <w:t xml:space="preserve"> and Dibia, 2020; Aycan et al., 2000).</w:t>
      </w:r>
    </w:p>
    <w:p w14:paraId="01E389D4" w14:textId="77777777" w:rsidR="00FF27C8" w:rsidRDefault="00FF27C8" w:rsidP="005E6859">
      <w:pPr>
        <w:spacing w:after="0" w:line="276" w:lineRule="auto"/>
      </w:pPr>
    </w:p>
    <w:p w14:paraId="19033CBA" w14:textId="77777777" w:rsidR="00713728" w:rsidRDefault="00713728" w:rsidP="005E6859">
      <w:pPr>
        <w:spacing w:after="0" w:line="276" w:lineRule="auto"/>
      </w:pPr>
      <w:r>
        <w:t>The findings on HPD culture contribute a new theory to the literature of CG in Nigeria by analysing how this culture promotes superior-subordinate relations and advocates deference to those in positions of control (</w:t>
      </w:r>
      <w:proofErr w:type="spellStart"/>
      <w:r>
        <w:t>Oruh</w:t>
      </w:r>
      <w:proofErr w:type="spellEnd"/>
      <w:r>
        <w:t xml:space="preserve"> and Dibia, 2022; Hofstede, 1980). Therefore, the ability of stakeholders to hold the board and executive management accountable for breaching the principles of CG within the Nigerian HPD cultural context of deference is severely curtailed (Hofstede, 1980; McRay, 2015).</w:t>
      </w:r>
    </w:p>
    <w:p w14:paraId="41506E8E" w14:textId="77777777" w:rsidR="00FF27C8" w:rsidRDefault="00FF27C8" w:rsidP="005E6859">
      <w:pPr>
        <w:spacing w:after="0" w:line="276" w:lineRule="auto"/>
      </w:pPr>
    </w:p>
    <w:p w14:paraId="106ED7BA" w14:textId="2C3D6125" w:rsidR="00713728" w:rsidRDefault="00713728" w:rsidP="005E6859">
      <w:pPr>
        <w:spacing w:after="0" w:line="276" w:lineRule="auto"/>
      </w:pPr>
      <w:proofErr w:type="spellStart"/>
      <w:r>
        <w:t>Oruh</w:t>
      </w:r>
      <w:proofErr w:type="spellEnd"/>
      <w:r>
        <w:t xml:space="preserve"> and Dibia (2022) consider it vital that the consequence of HPD within the Nigerian cultural context is appreciated in terms of how it allows the board of directors and executive management to engage in activities in contravention of the principles of good CG. This is because the brazen attitude that their activities will go unchallenged has dire reputational implications for the company, its performance, and by extension, the business environment (Claessens, 2006).</w:t>
      </w:r>
    </w:p>
    <w:p w14:paraId="40A07AF9" w14:textId="77777777" w:rsidR="00FF27C8" w:rsidRDefault="00FF27C8" w:rsidP="005E6859">
      <w:pPr>
        <w:spacing w:after="0" w:line="276" w:lineRule="auto"/>
      </w:pPr>
    </w:p>
    <w:p w14:paraId="2B427BE7" w14:textId="731D5909" w:rsidR="00713728" w:rsidRDefault="00713728" w:rsidP="005E6859">
      <w:pPr>
        <w:spacing w:after="0" w:line="276" w:lineRule="auto"/>
        <w:rPr>
          <w:b/>
          <w:bCs/>
        </w:rPr>
      </w:pPr>
      <w:r>
        <w:rPr>
          <w:b/>
          <w:bCs/>
        </w:rPr>
        <w:t>Considerations</w:t>
      </w:r>
    </w:p>
    <w:p w14:paraId="29C80201" w14:textId="77777777" w:rsidR="00FF27C8" w:rsidRDefault="00FF27C8" w:rsidP="005E6859">
      <w:pPr>
        <w:spacing w:after="0" w:line="276" w:lineRule="auto"/>
        <w:rPr>
          <w:b/>
          <w:bCs/>
        </w:rPr>
      </w:pPr>
    </w:p>
    <w:p w14:paraId="3050C035" w14:textId="19915167" w:rsidR="00713728" w:rsidRDefault="00713728" w:rsidP="005E6859">
      <w:pPr>
        <w:spacing w:after="0" w:line="276" w:lineRule="auto"/>
        <w:rPr>
          <w:b/>
          <w:bCs/>
          <w:color w:val="156082" w:themeColor="accent1"/>
        </w:rPr>
      </w:pPr>
      <w:r w:rsidRPr="00713728">
        <w:rPr>
          <w:b/>
          <w:bCs/>
          <w:color w:val="156082" w:themeColor="accent1"/>
        </w:rPr>
        <w:t xml:space="preserve">Whilst </w:t>
      </w:r>
      <w:r>
        <w:rPr>
          <w:b/>
          <w:bCs/>
          <w:color w:val="156082" w:themeColor="accent1"/>
        </w:rPr>
        <w:t>JE</w:t>
      </w:r>
      <w:r w:rsidRPr="00713728">
        <w:rPr>
          <w:b/>
          <w:bCs/>
          <w:color w:val="156082" w:themeColor="accent1"/>
        </w:rPr>
        <w:t xml:space="preserve"> tries to identify some cultural issues, the analysis remains fairly superficial. Simply stating that high power distance (HPD) endorses superior-subordinate relationships does not adequately critique why this allows unethical activities to persist. There is no discussion on how exactly HPD culture enables governance breaches or limits stakeholder accountability. For example, elaborating on the psychological impact of deference that makes subordinates reluctant to challenge poor decisions could provide greater insight. </w:t>
      </w:r>
    </w:p>
    <w:p w14:paraId="4D85C5C9" w14:textId="77777777" w:rsidR="00FF27C8" w:rsidRPr="00713728" w:rsidRDefault="00FF27C8" w:rsidP="005E6859">
      <w:pPr>
        <w:spacing w:after="0" w:line="276" w:lineRule="auto"/>
        <w:rPr>
          <w:b/>
          <w:bCs/>
          <w:color w:val="156082" w:themeColor="accent1"/>
        </w:rPr>
      </w:pPr>
    </w:p>
    <w:p w14:paraId="24EA7764" w14:textId="77777777" w:rsidR="00713728" w:rsidRPr="00713728" w:rsidRDefault="00713728" w:rsidP="005E6859">
      <w:pPr>
        <w:spacing w:after="0" w:line="276" w:lineRule="auto"/>
        <w:rPr>
          <w:b/>
          <w:bCs/>
          <w:color w:val="156082" w:themeColor="accent1"/>
        </w:rPr>
      </w:pPr>
      <w:r w:rsidRPr="00713728">
        <w:rPr>
          <w:b/>
          <w:bCs/>
          <w:color w:val="156082" w:themeColor="accent1"/>
        </w:rPr>
        <w:lastRenderedPageBreak/>
        <w:t>Additionally, the writing overly relies on citing various sources without enough original commentary or critique. While referencing research is important, synthesis of existing ideas to advance a novel argument is lacking. One area briefly mentioned is the reputational risk of inaction against governance breaches; exploring more unique implications such as impacts on foreign direct investment could demonstrate more critical thought.</w:t>
      </w:r>
    </w:p>
    <w:p w14:paraId="51F2EB67" w14:textId="77777777" w:rsidR="00713728" w:rsidRPr="00713728" w:rsidRDefault="00713728" w:rsidP="005E6859">
      <w:pPr>
        <w:spacing w:after="0" w:line="276" w:lineRule="auto"/>
        <w:rPr>
          <w:b/>
          <w:bCs/>
          <w:color w:val="156082" w:themeColor="accent1"/>
        </w:rPr>
      </w:pPr>
    </w:p>
    <w:p w14:paraId="2CCE4DBE" w14:textId="76EC9356" w:rsidR="00713728" w:rsidRDefault="00713728" w:rsidP="005E6859">
      <w:pPr>
        <w:spacing w:after="0" w:line="276" w:lineRule="auto"/>
        <w:rPr>
          <w:b/>
          <w:bCs/>
          <w:color w:val="156082" w:themeColor="accent1"/>
        </w:rPr>
      </w:pPr>
      <w:r w:rsidRPr="00713728">
        <w:rPr>
          <w:b/>
          <w:bCs/>
          <w:color w:val="156082" w:themeColor="accent1"/>
        </w:rPr>
        <w:t xml:space="preserve">Furthermore, bold claims regarding the definite influence of HPD require robust defence which is absent. Sentences such as "the ability of a company to adhere to the principles of CG is essentially dependent on the dominant cultural ethos" would benefit from justification through statistical evidence of correlations or jurisdictional comparisons. As it stands, significant attribution to culture shaping governance which underpins the entire argument rests on assumption rather than proof. </w:t>
      </w:r>
    </w:p>
    <w:p w14:paraId="754397E7" w14:textId="77777777" w:rsidR="00FF27C8" w:rsidRPr="00713728" w:rsidRDefault="00FF27C8" w:rsidP="005E6859">
      <w:pPr>
        <w:spacing w:after="0" w:line="276" w:lineRule="auto"/>
        <w:rPr>
          <w:b/>
          <w:bCs/>
          <w:color w:val="156082" w:themeColor="accent1"/>
        </w:rPr>
      </w:pPr>
    </w:p>
    <w:p w14:paraId="09E87DB4" w14:textId="6CDD4FE9" w:rsidR="00713728" w:rsidRDefault="00713728" w:rsidP="005E6859">
      <w:pPr>
        <w:spacing w:after="0" w:line="276" w:lineRule="auto"/>
        <w:rPr>
          <w:b/>
          <w:bCs/>
          <w:color w:val="156082" w:themeColor="accent1"/>
        </w:rPr>
      </w:pPr>
      <w:r w:rsidRPr="00713728">
        <w:rPr>
          <w:b/>
          <w:bCs/>
          <w:color w:val="156082" w:themeColor="accent1"/>
        </w:rPr>
        <w:t>In terms of structure, grouping analysis on Nigeria specifically in one section rather than scatter references across paragraphs could aid cohesion. Additionally, utilising consistent terms like "high power distance" instead of interchangeably referencing dimensions, indexes and so forth may improve clarity. Transition sentences that link ideas would also help flow as currently there are conceptual leaps at times.</w:t>
      </w:r>
    </w:p>
    <w:p w14:paraId="2CC63E60" w14:textId="77777777" w:rsidR="00FF27C8" w:rsidRPr="00713728" w:rsidRDefault="00FF27C8" w:rsidP="005E6859">
      <w:pPr>
        <w:spacing w:after="0" w:line="276" w:lineRule="auto"/>
        <w:rPr>
          <w:b/>
          <w:bCs/>
          <w:color w:val="156082" w:themeColor="accent1"/>
        </w:rPr>
      </w:pPr>
    </w:p>
    <w:p w14:paraId="53ACE4D8" w14:textId="014F9FA6" w:rsidR="00713728" w:rsidRDefault="00713728" w:rsidP="005E6859">
      <w:pPr>
        <w:spacing w:after="0" w:line="276" w:lineRule="auto"/>
        <w:rPr>
          <w:b/>
          <w:bCs/>
          <w:color w:val="156082" w:themeColor="accent1"/>
        </w:rPr>
      </w:pPr>
      <w:r w:rsidRPr="00713728">
        <w:rPr>
          <w:b/>
          <w:bCs/>
          <w:color w:val="156082" w:themeColor="accent1"/>
        </w:rPr>
        <w:t>Overall, whilst cultural context is undoubtedly important in corporate governance, the writing fails to fully leverage this premise. Expanding on exactly how behaviours manifest, supported by data, exemplars and unambiguous language would heighten critical thinking and strengthen the central argument. Specific evidence-based policy recommendations could also demonstrate practical application of insights discussed. Addressing these areas has potential to turn a vaguely interesting but intellectually soft perspective into a rigorous, compelling analysis.</w:t>
      </w:r>
    </w:p>
    <w:p w14:paraId="4111BE4E" w14:textId="77777777" w:rsidR="00FF27C8" w:rsidRPr="00713728" w:rsidRDefault="00FF27C8" w:rsidP="005E6859">
      <w:pPr>
        <w:spacing w:after="0" w:line="276" w:lineRule="auto"/>
        <w:rPr>
          <w:b/>
          <w:bCs/>
          <w:color w:val="156082" w:themeColor="accent1"/>
        </w:rPr>
      </w:pPr>
    </w:p>
    <w:p w14:paraId="30C449D4" w14:textId="18E4D71E" w:rsidR="00713728" w:rsidRDefault="00DC003C" w:rsidP="005E6859">
      <w:pPr>
        <w:spacing w:after="0" w:line="276" w:lineRule="auto"/>
        <w:rPr>
          <w:b/>
          <w:bCs/>
        </w:rPr>
      </w:pPr>
      <w:r>
        <w:rPr>
          <w:b/>
          <w:bCs/>
        </w:rPr>
        <w:t>Caroline r</w:t>
      </w:r>
      <w:r w:rsidR="00713728" w:rsidRPr="00713728">
        <w:rPr>
          <w:b/>
          <w:bCs/>
        </w:rPr>
        <w:t>ewrite</w:t>
      </w:r>
    </w:p>
    <w:p w14:paraId="07D3955D" w14:textId="77777777" w:rsidR="00FF27C8" w:rsidRDefault="00FF27C8" w:rsidP="005E6859">
      <w:pPr>
        <w:spacing w:after="0" w:line="276" w:lineRule="auto"/>
        <w:rPr>
          <w:b/>
          <w:bCs/>
        </w:rPr>
      </w:pPr>
    </w:p>
    <w:p w14:paraId="1E718FF9" w14:textId="72716FCF" w:rsidR="00851F35" w:rsidRDefault="00851F35" w:rsidP="005E6859">
      <w:pPr>
        <w:spacing w:after="0" w:line="276" w:lineRule="auto"/>
        <w:rPr>
          <w:b/>
          <w:bCs/>
          <w:color w:val="77206D" w:themeColor="accent5" w:themeShade="BF"/>
        </w:rPr>
      </w:pPr>
      <w:r w:rsidRPr="00EF42D2">
        <w:rPr>
          <w:b/>
          <w:bCs/>
          <w:color w:val="77206D" w:themeColor="accent5" w:themeShade="BF"/>
        </w:rPr>
        <w:t>High power distance culture enables poor corporate governance in Nigeria</w:t>
      </w:r>
    </w:p>
    <w:p w14:paraId="315370E9" w14:textId="77777777" w:rsidR="00D61E93" w:rsidRPr="00D61E93" w:rsidRDefault="00D61E93" w:rsidP="00D61E93">
      <w:pPr>
        <w:spacing w:after="0" w:line="276" w:lineRule="auto"/>
        <w:rPr>
          <w:color w:val="77206D" w:themeColor="accent5" w:themeShade="BF"/>
        </w:rPr>
      </w:pPr>
    </w:p>
    <w:p w14:paraId="691F6918"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 xml:space="preserve">Hofstede’s (1980, 2001) seminal work on power distance describes how high-power distance (HPD) cultures promote hierarchical superior-subordinate relationships and deference to authority figures. </w:t>
      </w:r>
      <w:proofErr w:type="spellStart"/>
      <w:r w:rsidRPr="00D61E93">
        <w:rPr>
          <w:color w:val="77206D" w:themeColor="accent5" w:themeShade="BF"/>
        </w:rPr>
        <w:t>Oruh</w:t>
      </w:r>
      <w:proofErr w:type="spellEnd"/>
      <w:r w:rsidRPr="00D61E93">
        <w:rPr>
          <w:color w:val="77206D" w:themeColor="accent5" w:themeShade="BF"/>
        </w:rPr>
        <w:t xml:space="preserve"> and Dibia (2022) apply this theory to </w:t>
      </w:r>
      <w:proofErr w:type="spellStart"/>
      <w:r w:rsidRPr="00D61E93">
        <w:rPr>
          <w:color w:val="77206D" w:themeColor="accent5" w:themeShade="BF"/>
        </w:rPr>
        <w:t>analyze</w:t>
      </w:r>
      <w:proofErr w:type="spellEnd"/>
      <w:r w:rsidRPr="00D61E93">
        <w:rPr>
          <w:color w:val="77206D" w:themeColor="accent5" w:themeShade="BF"/>
        </w:rPr>
        <w:t xml:space="preserve"> the consequences of Nigeria's HPD culture in undermining stakeholders’ ability to hold boards of directors (BODs) and executives accountable for breaching corporate governance (CG) principles. This analysis provides a valuable perspective, but limitations in the theory’s application and claims of causality merit further critique.  </w:t>
      </w:r>
    </w:p>
    <w:p w14:paraId="750F9E60" w14:textId="77777777" w:rsidR="00D61E93" w:rsidRPr="00D61E93" w:rsidRDefault="00D61E93" w:rsidP="00D61E93">
      <w:pPr>
        <w:spacing w:after="0" w:line="276" w:lineRule="auto"/>
        <w:rPr>
          <w:color w:val="77206D" w:themeColor="accent5" w:themeShade="BF"/>
        </w:rPr>
      </w:pPr>
    </w:p>
    <w:p w14:paraId="733BAEDA"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 xml:space="preserve">The premise that national culture directly shapes organizational practice is an oversimplification (McSweeney, 2002). While culture may influence </w:t>
      </w:r>
      <w:proofErr w:type="spellStart"/>
      <w:r w:rsidRPr="00D61E93">
        <w:rPr>
          <w:color w:val="77206D" w:themeColor="accent5" w:themeShade="BF"/>
        </w:rPr>
        <w:t>behavior</w:t>
      </w:r>
      <w:proofErr w:type="spellEnd"/>
      <w:r w:rsidRPr="00D61E93">
        <w:rPr>
          <w:color w:val="77206D" w:themeColor="accent5" w:themeShade="BF"/>
        </w:rPr>
        <w:t xml:space="preserve">, many intermediary factors also determine governance outcomes, including legal/regulatory regimes, market incentives, individual psychology, etc. Furthermore, BODs and executives are not uniformly deferential entities—internal diversity and diffusion of practices across borders complicate notions of a monolithic “Nigerian corporate culture.”    </w:t>
      </w:r>
    </w:p>
    <w:p w14:paraId="53AFC347" w14:textId="77777777" w:rsidR="00D61E93" w:rsidRPr="00D61E93" w:rsidRDefault="00D61E93" w:rsidP="00D61E93">
      <w:pPr>
        <w:spacing w:after="0" w:line="276" w:lineRule="auto"/>
        <w:rPr>
          <w:color w:val="77206D" w:themeColor="accent5" w:themeShade="BF"/>
        </w:rPr>
      </w:pPr>
    </w:p>
    <w:p w14:paraId="18E34BCB"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 xml:space="preserve">The assertion that HPD wholly explains inferior CG standards is also debatable. Research shows African countries with lower power distance rankings still demonstrate deficiencies in accountability and transparency (Rossouw, 2005). This suggests other variables—state corruption, institutional weakness, etc.—may play a comparable or greater role.  </w:t>
      </w:r>
    </w:p>
    <w:p w14:paraId="62DF6BC8" w14:textId="77777777" w:rsidR="00D61E93" w:rsidRPr="00D61E93" w:rsidRDefault="00D61E93" w:rsidP="00D61E93">
      <w:pPr>
        <w:spacing w:after="0" w:line="276" w:lineRule="auto"/>
        <w:rPr>
          <w:color w:val="77206D" w:themeColor="accent5" w:themeShade="BF"/>
        </w:rPr>
      </w:pPr>
    </w:p>
    <w:p w14:paraId="3036CAF9"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Causal claims regarding HPD’s impact are made definitively without accounting for confounding factors or alternate explanations of the evidence. For example, reluctance of stakeholders to “directly challenge” managerial decisions is attributed to cultural reverence of authority, while fear of retribution for whistleblowing is also a plausible driver in weak governance environments (</w:t>
      </w:r>
      <w:proofErr w:type="spellStart"/>
      <w:r w:rsidRPr="00D61E93">
        <w:rPr>
          <w:color w:val="77206D" w:themeColor="accent5" w:themeShade="BF"/>
        </w:rPr>
        <w:t>Hassink</w:t>
      </w:r>
      <w:proofErr w:type="spellEnd"/>
      <w:r w:rsidRPr="00D61E93">
        <w:rPr>
          <w:color w:val="77206D" w:themeColor="accent5" w:themeShade="BF"/>
        </w:rPr>
        <w:t xml:space="preserve"> et al., 2007).  </w:t>
      </w:r>
    </w:p>
    <w:p w14:paraId="41157AD7" w14:textId="77777777" w:rsidR="00D61E93" w:rsidRPr="00D61E93" w:rsidRDefault="00D61E93" w:rsidP="00D61E93">
      <w:pPr>
        <w:spacing w:after="0" w:line="276" w:lineRule="auto"/>
        <w:rPr>
          <w:color w:val="77206D" w:themeColor="accent5" w:themeShade="BF"/>
        </w:rPr>
      </w:pPr>
    </w:p>
    <w:p w14:paraId="70164F69"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 xml:space="preserve">While HPD may contribute to certain CG pathologies in Nigeria, analysis would benefit from addressing rival hypotheses, avoiding overconfident causal language, and noting scope conditions of the theory’s explanatory power. This can improve accuracy when translating the sociological concept of power distance into corporate governance research. Overall, </w:t>
      </w:r>
      <w:proofErr w:type="spellStart"/>
      <w:r w:rsidRPr="00D61E93">
        <w:rPr>
          <w:color w:val="77206D" w:themeColor="accent5" w:themeShade="BF"/>
        </w:rPr>
        <w:t>Oruh</w:t>
      </w:r>
      <w:proofErr w:type="spellEnd"/>
      <w:r w:rsidRPr="00D61E93">
        <w:rPr>
          <w:color w:val="77206D" w:themeColor="accent5" w:themeShade="BF"/>
        </w:rPr>
        <w:t xml:space="preserve"> and Dibia provide useful conceptual groundwork, but a more guarded, multifaceted analytical approach is warranted.</w:t>
      </w:r>
    </w:p>
    <w:p w14:paraId="22F17006" w14:textId="77777777" w:rsidR="00D61E93" w:rsidRPr="00D61E93" w:rsidRDefault="00D61E93" w:rsidP="00D61E93">
      <w:pPr>
        <w:spacing w:after="0" w:line="276" w:lineRule="auto"/>
        <w:rPr>
          <w:color w:val="77206D" w:themeColor="accent5" w:themeShade="BF"/>
        </w:rPr>
      </w:pPr>
    </w:p>
    <w:p w14:paraId="236359D8"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References:</w:t>
      </w:r>
    </w:p>
    <w:p w14:paraId="357A67C5" w14:textId="77777777" w:rsidR="00D61E93" w:rsidRPr="00D61E93" w:rsidRDefault="00D61E93" w:rsidP="00D61E93">
      <w:pPr>
        <w:spacing w:after="0" w:line="276" w:lineRule="auto"/>
        <w:rPr>
          <w:color w:val="77206D" w:themeColor="accent5" w:themeShade="BF"/>
        </w:rPr>
      </w:pPr>
    </w:p>
    <w:p w14:paraId="33EBC22A" w14:textId="77777777" w:rsidR="00D61E93" w:rsidRPr="00D61E93" w:rsidRDefault="00D61E93" w:rsidP="00D61E93">
      <w:pPr>
        <w:spacing w:after="0" w:line="276" w:lineRule="auto"/>
        <w:rPr>
          <w:color w:val="77206D" w:themeColor="accent5" w:themeShade="BF"/>
        </w:rPr>
      </w:pPr>
      <w:proofErr w:type="spellStart"/>
      <w:r w:rsidRPr="00D61E93">
        <w:rPr>
          <w:color w:val="77206D" w:themeColor="accent5" w:themeShade="BF"/>
        </w:rPr>
        <w:t>Hassink</w:t>
      </w:r>
      <w:proofErr w:type="spellEnd"/>
      <w:r w:rsidRPr="00D61E93">
        <w:rPr>
          <w:color w:val="77206D" w:themeColor="accent5" w:themeShade="BF"/>
        </w:rPr>
        <w:t>, H., De Vries, M., &amp; Bollen, L. (2007). A content analysis of whistleblowing policies of leading European companies. Journal of Business Ethics, 75(1), 25-44.</w:t>
      </w:r>
    </w:p>
    <w:p w14:paraId="768497AD" w14:textId="77777777" w:rsidR="00D61E93" w:rsidRPr="00D61E93" w:rsidRDefault="00D61E93" w:rsidP="00D61E93">
      <w:pPr>
        <w:spacing w:after="0" w:line="276" w:lineRule="auto"/>
        <w:rPr>
          <w:color w:val="77206D" w:themeColor="accent5" w:themeShade="BF"/>
        </w:rPr>
      </w:pPr>
    </w:p>
    <w:p w14:paraId="57BBC08E"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 xml:space="preserve">Hofstede, G. (1980). Culture’s consequences: International differences in work-related values. Beverly Hills, CA: Sage.  </w:t>
      </w:r>
    </w:p>
    <w:p w14:paraId="58D6F967" w14:textId="77777777" w:rsidR="00D61E93" w:rsidRPr="00D61E93" w:rsidRDefault="00D61E93" w:rsidP="00D61E93">
      <w:pPr>
        <w:spacing w:after="0" w:line="276" w:lineRule="auto"/>
        <w:rPr>
          <w:color w:val="77206D" w:themeColor="accent5" w:themeShade="BF"/>
        </w:rPr>
      </w:pPr>
    </w:p>
    <w:p w14:paraId="4A2ABAE3"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 xml:space="preserve">Hofstede, G. (2001). Culture's consequences: Comparing values, </w:t>
      </w:r>
      <w:proofErr w:type="spellStart"/>
      <w:r w:rsidRPr="00D61E93">
        <w:rPr>
          <w:color w:val="77206D" w:themeColor="accent5" w:themeShade="BF"/>
        </w:rPr>
        <w:t>behaviors</w:t>
      </w:r>
      <w:proofErr w:type="spellEnd"/>
      <w:r w:rsidRPr="00D61E93">
        <w:rPr>
          <w:color w:val="77206D" w:themeColor="accent5" w:themeShade="BF"/>
        </w:rPr>
        <w:t>, institutions and organizations across nations. Thousand Oaks, CA: Sage.</w:t>
      </w:r>
    </w:p>
    <w:p w14:paraId="64506177" w14:textId="77777777" w:rsidR="00D61E93" w:rsidRPr="00D61E93" w:rsidRDefault="00D61E93" w:rsidP="00D61E93">
      <w:pPr>
        <w:spacing w:after="0" w:line="276" w:lineRule="auto"/>
        <w:rPr>
          <w:color w:val="77206D" w:themeColor="accent5" w:themeShade="BF"/>
        </w:rPr>
      </w:pPr>
    </w:p>
    <w:p w14:paraId="7AB80B9C" w14:textId="77777777" w:rsidR="00D61E93" w:rsidRPr="00D61E93" w:rsidRDefault="00D61E93" w:rsidP="00D61E93">
      <w:pPr>
        <w:spacing w:after="0" w:line="276" w:lineRule="auto"/>
        <w:rPr>
          <w:color w:val="77206D" w:themeColor="accent5" w:themeShade="BF"/>
        </w:rPr>
      </w:pPr>
      <w:r w:rsidRPr="00D61E93">
        <w:rPr>
          <w:color w:val="77206D" w:themeColor="accent5" w:themeShade="BF"/>
        </w:rPr>
        <w:t>McSweeney, B. (2002). Hofstede’s model of national cultural differences and their consequences: A triumph of faith-a failure of analysis. Human relations, 55(1), 89-118.</w:t>
      </w:r>
    </w:p>
    <w:p w14:paraId="01A269C5" w14:textId="77777777" w:rsidR="00D61E93" w:rsidRPr="00D61E93" w:rsidRDefault="00D61E93" w:rsidP="00D61E93">
      <w:pPr>
        <w:spacing w:after="0" w:line="276" w:lineRule="auto"/>
        <w:rPr>
          <w:color w:val="77206D" w:themeColor="accent5" w:themeShade="BF"/>
        </w:rPr>
      </w:pPr>
    </w:p>
    <w:p w14:paraId="615BF871" w14:textId="77777777" w:rsidR="00D61E93" w:rsidRDefault="00D61E93" w:rsidP="00D61E93">
      <w:pPr>
        <w:spacing w:after="0" w:line="276" w:lineRule="auto"/>
        <w:rPr>
          <w:color w:val="77206D" w:themeColor="accent5" w:themeShade="BF"/>
        </w:rPr>
      </w:pPr>
      <w:r w:rsidRPr="00D61E93">
        <w:rPr>
          <w:color w:val="77206D" w:themeColor="accent5" w:themeShade="BF"/>
        </w:rPr>
        <w:t>Rossouw, G. J. (2005). Business ethics and corporate governance in Africa. Business &amp; society, 44(1), 94-106.</w:t>
      </w:r>
    </w:p>
    <w:p w14:paraId="1A93F8D4" w14:textId="77777777" w:rsidR="00DE2562" w:rsidRDefault="00DE2562" w:rsidP="005E6859">
      <w:pPr>
        <w:spacing w:after="0" w:line="276" w:lineRule="auto"/>
        <w:rPr>
          <w:color w:val="77206D" w:themeColor="accent5" w:themeShade="BF"/>
        </w:rPr>
      </w:pPr>
    </w:p>
    <w:p w14:paraId="78405779" w14:textId="77777777" w:rsidR="00CE3E29" w:rsidRPr="00CE3E29" w:rsidRDefault="00CE3E29" w:rsidP="00CE3E29">
      <w:pPr>
        <w:spacing w:after="0" w:line="276" w:lineRule="auto"/>
        <w:rPr>
          <w:color w:val="77206D" w:themeColor="accent5" w:themeShade="BF"/>
        </w:rPr>
      </w:pPr>
      <w:r w:rsidRPr="00CE3E29">
        <w:rPr>
          <w:color w:val="77206D" w:themeColor="accent5" w:themeShade="BF"/>
        </w:rPr>
        <w:t>Here are the main differences between the original text and my reworked critical analysis:</w:t>
      </w:r>
    </w:p>
    <w:p w14:paraId="5768A7CE" w14:textId="77777777" w:rsidR="00CE3E29" w:rsidRPr="00CE3E29" w:rsidRDefault="00CE3E29" w:rsidP="00CE3E29">
      <w:pPr>
        <w:spacing w:after="0" w:line="276" w:lineRule="auto"/>
        <w:rPr>
          <w:color w:val="77206D" w:themeColor="accent5" w:themeShade="BF"/>
        </w:rPr>
      </w:pPr>
    </w:p>
    <w:p w14:paraId="64FA6492" w14:textId="77777777" w:rsidR="00CE3E29" w:rsidRPr="00CE3E29" w:rsidRDefault="00CE3E29" w:rsidP="00CE3E29">
      <w:pPr>
        <w:spacing w:after="0" w:line="276" w:lineRule="auto"/>
        <w:rPr>
          <w:color w:val="77206D" w:themeColor="accent5" w:themeShade="BF"/>
        </w:rPr>
      </w:pPr>
      <w:r w:rsidRPr="00CE3E29">
        <w:rPr>
          <w:color w:val="77206D" w:themeColor="accent5" w:themeShade="BF"/>
        </w:rPr>
        <w:t>1. Tone and Framing: The original is more straightforwardly descriptive, while my rewrite takes a more critical perspective, questioning assumptions and gaps in the theory application.</w:t>
      </w:r>
    </w:p>
    <w:p w14:paraId="74F133F7" w14:textId="77777777" w:rsidR="00CE3E29" w:rsidRPr="00CE3E29" w:rsidRDefault="00CE3E29" w:rsidP="00CE3E29">
      <w:pPr>
        <w:spacing w:after="0" w:line="276" w:lineRule="auto"/>
        <w:rPr>
          <w:color w:val="77206D" w:themeColor="accent5" w:themeShade="BF"/>
        </w:rPr>
      </w:pPr>
    </w:p>
    <w:p w14:paraId="64637F64" w14:textId="77777777" w:rsidR="00CE3E29" w:rsidRPr="00CE3E29" w:rsidRDefault="00CE3E29" w:rsidP="00CE3E29">
      <w:pPr>
        <w:spacing w:after="0" w:line="276" w:lineRule="auto"/>
        <w:rPr>
          <w:color w:val="77206D" w:themeColor="accent5" w:themeShade="BF"/>
        </w:rPr>
      </w:pPr>
      <w:r w:rsidRPr="00CE3E29">
        <w:rPr>
          <w:color w:val="77206D" w:themeColor="accent5" w:themeShade="BF"/>
        </w:rPr>
        <w:t>2. Analysis Depth: My rewrite provides additional layers of analysis on the nuances and limitations of the power distance theory with regard to corporate governance failures. The original did not challenge or scrutinize the theoretical claims.</w:t>
      </w:r>
    </w:p>
    <w:p w14:paraId="581B187C" w14:textId="77777777" w:rsidR="00CE3E29" w:rsidRPr="00CE3E29" w:rsidRDefault="00CE3E29" w:rsidP="00CE3E29">
      <w:pPr>
        <w:spacing w:after="0" w:line="276" w:lineRule="auto"/>
        <w:rPr>
          <w:color w:val="77206D" w:themeColor="accent5" w:themeShade="BF"/>
        </w:rPr>
      </w:pPr>
    </w:p>
    <w:p w14:paraId="2287423D" w14:textId="77777777" w:rsidR="00CE3E29" w:rsidRPr="00CE3E29" w:rsidRDefault="00CE3E29" w:rsidP="00CE3E29">
      <w:pPr>
        <w:spacing w:after="0" w:line="276" w:lineRule="auto"/>
        <w:rPr>
          <w:color w:val="77206D" w:themeColor="accent5" w:themeShade="BF"/>
        </w:rPr>
      </w:pPr>
      <w:r w:rsidRPr="00CE3E29">
        <w:rPr>
          <w:color w:val="77206D" w:themeColor="accent5" w:themeShade="BF"/>
        </w:rPr>
        <w:t xml:space="preserve">3. Causal Claims: I point out that the definitive causal language linking power distance to governance outcomes is problematic without accounting for other variables or rival hypotheses. The original made confident causal attributions without that consideration. </w:t>
      </w:r>
    </w:p>
    <w:p w14:paraId="3A04D4EF" w14:textId="77777777" w:rsidR="00CE3E29" w:rsidRPr="00CE3E29" w:rsidRDefault="00CE3E29" w:rsidP="00CE3E29">
      <w:pPr>
        <w:spacing w:after="0" w:line="276" w:lineRule="auto"/>
        <w:rPr>
          <w:color w:val="77206D" w:themeColor="accent5" w:themeShade="BF"/>
        </w:rPr>
      </w:pPr>
    </w:p>
    <w:p w14:paraId="6669A632" w14:textId="77777777" w:rsidR="00CE3E29" w:rsidRPr="00CE3E29" w:rsidRDefault="00CE3E29" w:rsidP="00CE3E29">
      <w:pPr>
        <w:spacing w:after="0" w:line="276" w:lineRule="auto"/>
        <w:rPr>
          <w:color w:val="77206D" w:themeColor="accent5" w:themeShade="BF"/>
        </w:rPr>
      </w:pPr>
      <w:r w:rsidRPr="00CE3E29">
        <w:rPr>
          <w:color w:val="77206D" w:themeColor="accent5" w:themeShade="BF"/>
        </w:rPr>
        <w:t xml:space="preserve">4. Alternative Explanations: My rewrite raises alternative explanations (e.g. legal systems, individual motivations, diversity within organizations) that may drive governance issues, noting power distance cannot be an all-encompassing explanation. The original did not surface these additional variables.  </w:t>
      </w:r>
    </w:p>
    <w:p w14:paraId="7E19B00A" w14:textId="77777777" w:rsidR="00CE3E29" w:rsidRPr="00CE3E29" w:rsidRDefault="00CE3E29" w:rsidP="00CE3E29">
      <w:pPr>
        <w:spacing w:after="0" w:line="276" w:lineRule="auto"/>
        <w:rPr>
          <w:color w:val="77206D" w:themeColor="accent5" w:themeShade="BF"/>
        </w:rPr>
      </w:pPr>
    </w:p>
    <w:p w14:paraId="3A8374B5" w14:textId="77777777" w:rsidR="00CE3E29" w:rsidRPr="00CE3E29" w:rsidRDefault="00CE3E29" w:rsidP="00CE3E29">
      <w:pPr>
        <w:spacing w:after="0" w:line="276" w:lineRule="auto"/>
        <w:rPr>
          <w:color w:val="77206D" w:themeColor="accent5" w:themeShade="BF"/>
        </w:rPr>
      </w:pPr>
      <w:r w:rsidRPr="00CE3E29">
        <w:rPr>
          <w:color w:val="77206D" w:themeColor="accent5" w:themeShade="BF"/>
        </w:rPr>
        <w:t>5. Evidence Interpretation: I argue that the specific evidence presented does not necessarily support the power distance conclusions without considering other potential interpretations. The original took supportive evidence at face value.</w:t>
      </w:r>
    </w:p>
    <w:p w14:paraId="60210E02" w14:textId="77777777" w:rsidR="00CE3E29" w:rsidRPr="00CE3E29" w:rsidRDefault="00CE3E29" w:rsidP="00CE3E29">
      <w:pPr>
        <w:spacing w:after="0" w:line="276" w:lineRule="auto"/>
        <w:rPr>
          <w:color w:val="77206D" w:themeColor="accent5" w:themeShade="BF"/>
        </w:rPr>
      </w:pPr>
    </w:p>
    <w:p w14:paraId="6F233CCA" w14:textId="77777777" w:rsidR="00CE3E29" w:rsidRPr="00CE3E29" w:rsidRDefault="00CE3E29" w:rsidP="00CE3E29">
      <w:pPr>
        <w:spacing w:after="0" w:line="276" w:lineRule="auto"/>
        <w:rPr>
          <w:color w:val="77206D" w:themeColor="accent5" w:themeShade="BF"/>
        </w:rPr>
      </w:pPr>
      <w:r w:rsidRPr="00CE3E29">
        <w:rPr>
          <w:color w:val="77206D" w:themeColor="accent5" w:themeShade="BF"/>
        </w:rPr>
        <w:t xml:space="preserve">6. Scope Conditions: I discuss the limitations and boundary conditions in applying the power distance theory to governance failures. The original does not constrain or qualify the theory's explanatory power.  </w:t>
      </w:r>
    </w:p>
    <w:p w14:paraId="35DFF7F6" w14:textId="77777777" w:rsidR="00CE3E29" w:rsidRPr="00CE3E29" w:rsidRDefault="00CE3E29" w:rsidP="00CE3E29">
      <w:pPr>
        <w:spacing w:after="0" w:line="276" w:lineRule="auto"/>
        <w:rPr>
          <w:color w:val="77206D" w:themeColor="accent5" w:themeShade="BF"/>
        </w:rPr>
      </w:pPr>
    </w:p>
    <w:p w14:paraId="44AA58B6" w14:textId="6C386577" w:rsidR="00D61E93" w:rsidRDefault="00CE3E29" w:rsidP="00CE3E29">
      <w:pPr>
        <w:spacing w:after="0" w:line="276" w:lineRule="auto"/>
        <w:rPr>
          <w:color w:val="77206D" w:themeColor="accent5" w:themeShade="BF"/>
        </w:rPr>
      </w:pPr>
      <w:r w:rsidRPr="00CE3E29">
        <w:rPr>
          <w:color w:val="77206D" w:themeColor="accent5" w:themeShade="BF"/>
        </w:rPr>
        <w:t>In essence, the rewrite adopts a more balanced, multifaceted analytical approach rather than fully endorsing the power distance theory as wholly explanatory. It aims to add layers of critical perspective that were missing from the original descriptive account.</w:t>
      </w:r>
    </w:p>
    <w:p w14:paraId="3330773A" w14:textId="77777777" w:rsidR="00CE3E29" w:rsidRDefault="00CE3E29" w:rsidP="00CE3E29">
      <w:pPr>
        <w:spacing w:after="0" w:line="276" w:lineRule="auto"/>
        <w:rPr>
          <w:color w:val="77206D" w:themeColor="accent5" w:themeShade="BF"/>
        </w:rPr>
      </w:pPr>
    </w:p>
    <w:p w14:paraId="52D49397" w14:textId="06CBBCB2" w:rsidR="00DE2562" w:rsidRDefault="00860769" w:rsidP="005E6859">
      <w:pPr>
        <w:spacing w:after="0" w:line="276" w:lineRule="auto"/>
        <w:rPr>
          <w:b/>
          <w:bCs/>
        </w:rPr>
      </w:pPr>
      <w:r w:rsidRPr="006B1033">
        <w:rPr>
          <w:b/>
          <w:bCs/>
        </w:rPr>
        <w:t>AK</w:t>
      </w:r>
    </w:p>
    <w:p w14:paraId="0AAB6A1C" w14:textId="77777777" w:rsidR="006B1033" w:rsidRDefault="006B1033" w:rsidP="005E6859">
      <w:pPr>
        <w:spacing w:after="0" w:line="276" w:lineRule="auto"/>
        <w:rPr>
          <w:b/>
          <w:bCs/>
        </w:rPr>
      </w:pPr>
    </w:p>
    <w:p w14:paraId="579218C7" w14:textId="77777777" w:rsidR="007C2CF2" w:rsidRDefault="007C2CF2" w:rsidP="005E6859">
      <w:pPr>
        <w:spacing w:after="0" w:line="276" w:lineRule="auto"/>
        <w:rPr>
          <w:b/>
          <w:bCs/>
        </w:rPr>
      </w:pPr>
      <w:r w:rsidRPr="006B1033">
        <w:rPr>
          <w:b/>
          <w:bCs/>
        </w:rPr>
        <w:t>UNGP &amp; HRDD Contextual Background</w:t>
      </w:r>
    </w:p>
    <w:p w14:paraId="15408465" w14:textId="77777777" w:rsidR="009F26D4" w:rsidRPr="006B1033" w:rsidRDefault="009F26D4" w:rsidP="005E6859">
      <w:pPr>
        <w:spacing w:after="0" w:line="276" w:lineRule="auto"/>
        <w:rPr>
          <w:b/>
          <w:bCs/>
        </w:rPr>
      </w:pPr>
    </w:p>
    <w:p w14:paraId="1ACD6855" w14:textId="77777777" w:rsidR="007C2CF2" w:rsidRPr="00CA0AD6" w:rsidRDefault="007C2CF2" w:rsidP="005E6859">
      <w:pPr>
        <w:spacing w:after="0" w:line="276" w:lineRule="auto"/>
      </w:pPr>
      <w:r w:rsidRPr="00CA0AD6">
        <w:lastRenderedPageBreak/>
        <w:t>The codification of human rights in soft law started with the Universal Declaration of</w:t>
      </w:r>
    </w:p>
    <w:p w14:paraId="552836C8" w14:textId="77777777" w:rsidR="007C2CF2" w:rsidRPr="00CA0AD6" w:rsidRDefault="007C2CF2" w:rsidP="005E6859">
      <w:pPr>
        <w:spacing w:after="0" w:line="276" w:lineRule="auto"/>
      </w:pPr>
      <w:r w:rsidRPr="00CA0AD6">
        <w:t>Human Rights (United Nations, 1948). Generally speaking, the international human</w:t>
      </w:r>
    </w:p>
    <w:p w14:paraId="02CA6F73" w14:textId="77777777" w:rsidR="007C2CF2" w:rsidRPr="00CA0AD6" w:rsidRDefault="007C2CF2" w:rsidP="005E6859">
      <w:pPr>
        <w:spacing w:after="0" w:line="276" w:lineRule="auto"/>
      </w:pPr>
      <w:r w:rsidRPr="00CA0AD6">
        <w:t>rights law does not impose direct duties on businesses to promote, respect or protect</w:t>
      </w:r>
    </w:p>
    <w:p w14:paraId="2B224B9F" w14:textId="77777777" w:rsidR="007C2CF2" w:rsidRPr="00CA0AD6" w:rsidRDefault="007C2CF2" w:rsidP="005E6859">
      <w:pPr>
        <w:spacing w:after="0" w:line="276" w:lineRule="auto"/>
      </w:pPr>
      <w:r w:rsidRPr="00CA0AD6">
        <w:t>the human rights, rather, the application of human rights obligations have remained</w:t>
      </w:r>
    </w:p>
    <w:p w14:paraId="5DBBD91F" w14:textId="77777777" w:rsidR="007C2CF2" w:rsidRPr="00CA0AD6" w:rsidRDefault="007C2CF2" w:rsidP="005E6859">
      <w:pPr>
        <w:spacing w:after="0" w:line="276" w:lineRule="auto"/>
      </w:pPr>
      <w:r w:rsidRPr="00CA0AD6">
        <w:t>limited on the non state actors or corporations (Clapham 1996), for instance, most of</w:t>
      </w:r>
    </w:p>
    <w:p w14:paraId="0A855A40" w14:textId="77777777" w:rsidR="007C2CF2" w:rsidRPr="00CA0AD6" w:rsidRDefault="007C2CF2" w:rsidP="005E6859">
      <w:pPr>
        <w:spacing w:after="0" w:line="276" w:lineRule="auto"/>
      </w:pPr>
      <w:r w:rsidRPr="00CA0AD6">
        <w:t>the corporations focus on environment protection or equal wage etc (</w:t>
      </w:r>
      <w:proofErr w:type="spellStart"/>
      <w:r w:rsidRPr="00CA0AD6">
        <w:t>Methvan</w:t>
      </w:r>
      <w:proofErr w:type="spellEnd"/>
      <w:r w:rsidRPr="00CA0AD6">
        <w:t xml:space="preserve"> O`</w:t>
      </w:r>
    </w:p>
    <w:p w14:paraId="38E3F083" w14:textId="77777777" w:rsidR="007C2CF2" w:rsidRPr="00CA0AD6" w:rsidRDefault="007C2CF2" w:rsidP="005E6859">
      <w:pPr>
        <w:spacing w:after="0" w:line="276" w:lineRule="auto"/>
      </w:pPr>
      <w:r w:rsidRPr="00CA0AD6">
        <w:t>Brien, 2019). The lack of transparency and accountability in business on violations of</w:t>
      </w:r>
    </w:p>
    <w:p w14:paraId="1B8EB253" w14:textId="77777777" w:rsidR="007C2CF2" w:rsidRPr="00CA0AD6" w:rsidRDefault="007C2CF2" w:rsidP="005E6859">
      <w:pPr>
        <w:spacing w:after="0" w:line="276" w:lineRule="auto"/>
      </w:pPr>
      <w:r w:rsidRPr="00CA0AD6">
        <w:t>human rights arising out of business activities started gaining traction in international</w:t>
      </w:r>
    </w:p>
    <w:p w14:paraId="7BC96A2E" w14:textId="0BE7ED46" w:rsidR="007C2CF2" w:rsidRPr="00CA0AD6" w:rsidRDefault="007C2CF2" w:rsidP="005E6859">
      <w:pPr>
        <w:spacing w:after="0" w:line="276" w:lineRule="auto"/>
      </w:pPr>
      <w:r w:rsidRPr="00CA0AD6">
        <w:t>global politics and business scholarship in the 1990s (Dhanarajan and Metheven O`</w:t>
      </w:r>
    </w:p>
    <w:p w14:paraId="78FB5766" w14:textId="77777777" w:rsidR="007C2CF2" w:rsidRPr="00CA0AD6" w:rsidRDefault="007C2CF2" w:rsidP="005E6859">
      <w:pPr>
        <w:spacing w:after="0" w:line="276" w:lineRule="auto"/>
      </w:pPr>
      <w:r w:rsidRPr="00CA0AD6">
        <w:t>Brien, 2015; Methven O'Brien 2022). In the year 2003, an attempt by the UN to</w:t>
      </w:r>
    </w:p>
    <w:p w14:paraId="5D54EB73" w14:textId="77777777" w:rsidR="007C2CF2" w:rsidRPr="00CA0AD6" w:rsidRDefault="007C2CF2" w:rsidP="005E6859">
      <w:pPr>
        <w:spacing w:after="0" w:line="276" w:lineRule="auto"/>
      </w:pPr>
      <w:r w:rsidRPr="00CA0AD6">
        <w:t>impose ethical conduct on business, so that they become responsible and</w:t>
      </w:r>
    </w:p>
    <w:p w14:paraId="1DD97D4F" w14:textId="77777777" w:rsidR="007C2CF2" w:rsidRPr="00CA0AD6" w:rsidRDefault="007C2CF2" w:rsidP="005E6859">
      <w:pPr>
        <w:spacing w:after="0" w:line="276" w:lineRule="auto"/>
      </w:pPr>
      <w:r w:rsidRPr="00CA0AD6">
        <w:t>accountable in their business conduct was made by setting up the UN Sub</w:t>
      </w:r>
    </w:p>
    <w:p w14:paraId="3BA91412" w14:textId="77777777" w:rsidR="007C2CF2" w:rsidRPr="00CA0AD6" w:rsidRDefault="007C2CF2" w:rsidP="005E6859">
      <w:pPr>
        <w:spacing w:after="0" w:line="276" w:lineRule="auto"/>
      </w:pPr>
      <w:r w:rsidRPr="00CA0AD6">
        <w:t>Commission on the Promotion and Protection of Human rights (UN Human Rights</w:t>
      </w:r>
    </w:p>
    <w:p w14:paraId="6073BE3E" w14:textId="77777777" w:rsidR="007C2CF2" w:rsidRPr="00CA0AD6" w:rsidRDefault="007C2CF2" w:rsidP="005E6859">
      <w:pPr>
        <w:spacing w:after="0" w:line="276" w:lineRule="auto"/>
      </w:pPr>
      <w:r w:rsidRPr="00CA0AD6">
        <w:t>Commission 2003). This commission brought a UN Draft on the responsibilities of</w:t>
      </w:r>
    </w:p>
    <w:p w14:paraId="53564A35" w14:textId="77777777" w:rsidR="007C2CF2" w:rsidRPr="00CA0AD6" w:rsidRDefault="007C2CF2" w:rsidP="005E6859">
      <w:pPr>
        <w:spacing w:after="0" w:line="276" w:lineRule="auto"/>
      </w:pPr>
      <w:r w:rsidRPr="00CA0AD6">
        <w:t>Transnational Corporations and Other Business Enterprises which specified legal</w:t>
      </w:r>
    </w:p>
    <w:p w14:paraId="3069AC7F" w14:textId="77777777" w:rsidR="007C2CF2" w:rsidRPr="00CA0AD6" w:rsidRDefault="007C2CF2" w:rsidP="005E6859">
      <w:pPr>
        <w:spacing w:after="0" w:line="276" w:lineRule="auto"/>
      </w:pPr>
      <w:r w:rsidRPr="00CA0AD6">
        <w:t>duties for the companies (ibid). This attempt of the UN did not get a global</w:t>
      </w:r>
    </w:p>
    <w:p w14:paraId="610B446C" w14:textId="77777777" w:rsidR="007C2CF2" w:rsidRDefault="007C2CF2" w:rsidP="005E6859">
      <w:pPr>
        <w:spacing w:after="0" w:line="276" w:lineRule="auto"/>
      </w:pPr>
      <w:r w:rsidRPr="00CA0AD6">
        <w:t>stakeholder approval, hence was rejected.</w:t>
      </w:r>
    </w:p>
    <w:p w14:paraId="76F8357F" w14:textId="77777777" w:rsidR="009F26D4" w:rsidRPr="00CA0AD6" w:rsidRDefault="009F26D4" w:rsidP="005E6859">
      <w:pPr>
        <w:spacing w:after="0" w:line="276" w:lineRule="auto"/>
      </w:pPr>
    </w:p>
    <w:p w14:paraId="084CDD99" w14:textId="77777777" w:rsidR="007C2CF2" w:rsidRPr="00CA0AD6" w:rsidRDefault="007C2CF2" w:rsidP="005E6859">
      <w:pPr>
        <w:spacing w:after="0" w:line="276" w:lineRule="auto"/>
      </w:pPr>
      <w:r w:rsidRPr="00CA0AD6">
        <w:t>It was then in the year 2005, that, the then UN Secretary General Kofi Annan</w:t>
      </w:r>
    </w:p>
    <w:p w14:paraId="07DDDB73" w14:textId="77777777" w:rsidR="007C2CF2" w:rsidRPr="00CA0AD6" w:rsidRDefault="007C2CF2" w:rsidP="005E6859">
      <w:pPr>
        <w:spacing w:after="0" w:line="276" w:lineRule="auto"/>
      </w:pPr>
      <w:r w:rsidRPr="00CA0AD6">
        <w:t xml:space="preserve">appointed Prof. John </w:t>
      </w:r>
      <w:proofErr w:type="spellStart"/>
      <w:r w:rsidRPr="00CA0AD6">
        <w:t>Ruggie</w:t>
      </w:r>
      <w:proofErr w:type="spellEnd"/>
      <w:r w:rsidRPr="00CA0AD6">
        <w:t>, a Harvard University Professor and an esteemed UN</w:t>
      </w:r>
    </w:p>
    <w:p w14:paraId="65388C56" w14:textId="77777777" w:rsidR="007C2CF2" w:rsidRPr="00CA0AD6" w:rsidRDefault="007C2CF2" w:rsidP="005E6859">
      <w:pPr>
        <w:spacing w:after="0" w:line="276" w:lineRule="auto"/>
      </w:pPr>
      <w:r w:rsidRPr="00CA0AD6">
        <w:t>policy maker to create a business and human rights framework which shall embed</w:t>
      </w:r>
    </w:p>
    <w:p w14:paraId="456CBCF9" w14:textId="77777777" w:rsidR="007C2CF2" w:rsidRPr="00CA0AD6" w:rsidRDefault="007C2CF2" w:rsidP="005E6859">
      <w:pPr>
        <w:spacing w:after="0" w:line="276" w:lineRule="auto"/>
      </w:pPr>
      <w:r w:rsidRPr="00CA0AD6">
        <w:t>the corporate accountability and responsibility in the soft law at international level.</w:t>
      </w:r>
    </w:p>
    <w:p w14:paraId="779A6E5A" w14:textId="77777777" w:rsidR="007C2CF2" w:rsidRPr="00CA0AD6" w:rsidRDefault="007C2CF2" w:rsidP="005E6859">
      <w:pPr>
        <w:spacing w:after="0" w:line="276" w:lineRule="auto"/>
      </w:pPr>
      <w:r w:rsidRPr="00CA0AD6">
        <w:t xml:space="preserve">Prof. John </w:t>
      </w:r>
      <w:proofErr w:type="spellStart"/>
      <w:r w:rsidRPr="00CA0AD6">
        <w:t>Ruggie</w:t>
      </w:r>
      <w:proofErr w:type="spellEnd"/>
      <w:r w:rsidRPr="00CA0AD6">
        <w:t xml:space="preserve"> in a report submitted to the UN in the year 2008, with his team</w:t>
      </w:r>
    </w:p>
    <w:p w14:paraId="7A8860FD" w14:textId="77777777" w:rsidR="007C2CF2" w:rsidRPr="00CA0AD6" w:rsidRDefault="007C2CF2" w:rsidP="005E6859">
      <w:pPr>
        <w:spacing w:after="0" w:line="276" w:lineRule="auto"/>
      </w:pPr>
      <w:r w:rsidRPr="00CA0AD6">
        <w:t>proposed a “three pillar framework” of Protect, the duty imposed on the state to</w:t>
      </w:r>
    </w:p>
    <w:p w14:paraId="5CFDB222" w14:textId="77777777" w:rsidR="007C2CF2" w:rsidRPr="00CA0AD6" w:rsidRDefault="007C2CF2" w:rsidP="005E6859">
      <w:pPr>
        <w:spacing w:after="0" w:line="276" w:lineRule="auto"/>
      </w:pPr>
      <w:r w:rsidRPr="00CA0AD6">
        <w:t>protect the people from human rights abuses arising out of state or non state actors,</w:t>
      </w:r>
    </w:p>
    <w:p w14:paraId="0BA7B5AB" w14:textId="77777777" w:rsidR="007C2CF2" w:rsidRPr="00CA0AD6" w:rsidRDefault="007C2CF2" w:rsidP="005E6859">
      <w:pPr>
        <w:spacing w:after="0" w:line="276" w:lineRule="auto"/>
      </w:pPr>
      <w:r w:rsidRPr="00CA0AD6">
        <w:t>such as businesses/corporates (Pillar I, UN: UNHRC A/HRC/8/5, 7 April 2008),</w:t>
      </w:r>
    </w:p>
    <w:p w14:paraId="3BF12981" w14:textId="77777777" w:rsidR="007C2CF2" w:rsidRPr="00CA0AD6" w:rsidRDefault="007C2CF2" w:rsidP="005E6859">
      <w:pPr>
        <w:spacing w:after="0" w:line="276" w:lineRule="auto"/>
      </w:pPr>
      <w:r w:rsidRPr="00CA0AD6">
        <w:t>Respect, the pillar highlighting the corporate responsibility to respect the human</w:t>
      </w:r>
    </w:p>
    <w:p w14:paraId="2DD1FF2C" w14:textId="77777777" w:rsidR="007C2CF2" w:rsidRPr="00CA0AD6" w:rsidRDefault="007C2CF2" w:rsidP="005E6859">
      <w:pPr>
        <w:spacing w:after="0" w:line="276" w:lineRule="auto"/>
      </w:pPr>
      <w:r w:rsidRPr="00CA0AD6">
        <w:t>rights of all the stakeholders (Pillar II, ibid) and Remedy, the means of providing a</w:t>
      </w:r>
    </w:p>
    <w:p w14:paraId="6C37157F" w14:textId="77777777" w:rsidR="007C2CF2" w:rsidRPr="00CA0AD6" w:rsidRDefault="007C2CF2" w:rsidP="005E6859">
      <w:pPr>
        <w:spacing w:after="0" w:line="276" w:lineRule="auto"/>
      </w:pPr>
      <w:r w:rsidRPr="00CA0AD6">
        <w:t>redressal mechanism to the victims of corporate human rights abuses (Pillar III, ibid).</w:t>
      </w:r>
    </w:p>
    <w:p w14:paraId="1840932A" w14:textId="77777777" w:rsidR="007C2CF2" w:rsidRPr="00CA0AD6" w:rsidRDefault="007C2CF2" w:rsidP="005E6859">
      <w:pPr>
        <w:spacing w:after="0" w:line="276" w:lineRule="auto"/>
      </w:pPr>
      <w:r w:rsidRPr="00CA0AD6">
        <w:t xml:space="preserve">Prof. John </w:t>
      </w:r>
      <w:proofErr w:type="spellStart"/>
      <w:r w:rsidRPr="00CA0AD6">
        <w:t>Ruggie</w:t>
      </w:r>
      <w:proofErr w:type="spellEnd"/>
      <w:r w:rsidRPr="00CA0AD6">
        <w:t xml:space="preserve"> (2008) envisaged that the incorporation of the UNGP framework</w:t>
      </w:r>
    </w:p>
    <w:p w14:paraId="005A66A3" w14:textId="77777777" w:rsidR="007C2CF2" w:rsidRPr="00CA0AD6" w:rsidRDefault="007C2CF2" w:rsidP="005E6859">
      <w:pPr>
        <w:spacing w:after="0" w:line="276" w:lineRule="auto"/>
      </w:pPr>
      <w:r w:rsidRPr="00CA0AD6">
        <w:t>of “Protect, Respect and Remedy”, in domestic legislation by the UN member states</w:t>
      </w:r>
    </w:p>
    <w:p w14:paraId="27202D6B" w14:textId="77777777" w:rsidR="007C2CF2" w:rsidRPr="00CA0AD6" w:rsidRDefault="007C2CF2" w:rsidP="005E6859">
      <w:pPr>
        <w:spacing w:after="0" w:line="276" w:lineRule="auto"/>
      </w:pPr>
      <w:r w:rsidRPr="00CA0AD6">
        <w:t>, could help in decreasing the maximum number of corporate human rights abuses in</w:t>
      </w:r>
    </w:p>
    <w:p w14:paraId="187B302D" w14:textId="77777777" w:rsidR="007C2CF2" w:rsidRPr="00CA0AD6" w:rsidRDefault="007C2CF2" w:rsidP="005E6859">
      <w:pPr>
        <w:spacing w:after="0" w:line="276" w:lineRule="auto"/>
      </w:pPr>
      <w:r w:rsidRPr="00CA0AD6">
        <w:t>the minimum possible time. The UNGP Pillar II also introduced the ‘human rights due</w:t>
      </w:r>
    </w:p>
    <w:p w14:paraId="48F3E917" w14:textId="77777777" w:rsidR="007C2CF2" w:rsidRPr="00CA0AD6" w:rsidRDefault="007C2CF2" w:rsidP="005E6859">
      <w:pPr>
        <w:spacing w:after="0" w:line="276" w:lineRule="auto"/>
      </w:pPr>
      <w:r w:rsidRPr="00CA0AD6">
        <w:t>diligence mechanisms’, guiding the companies to create specific policies related to</w:t>
      </w:r>
    </w:p>
    <w:p w14:paraId="504200C7" w14:textId="77777777" w:rsidR="007C2CF2" w:rsidRPr="00CA0AD6" w:rsidRDefault="007C2CF2" w:rsidP="005E6859">
      <w:pPr>
        <w:spacing w:after="0" w:line="276" w:lineRule="auto"/>
      </w:pPr>
      <w:r w:rsidRPr="00CA0AD6">
        <w:t>human rights risk assessment and mitigation across their supply chains and</w:t>
      </w:r>
    </w:p>
    <w:p w14:paraId="0F24C1F0" w14:textId="77777777" w:rsidR="007C2CF2" w:rsidRPr="00CA0AD6" w:rsidRDefault="007C2CF2" w:rsidP="005E6859">
      <w:pPr>
        <w:spacing w:after="0" w:line="276" w:lineRule="auto"/>
      </w:pPr>
      <w:r w:rsidRPr="00CA0AD6">
        <w:t>business operations, further strengthening corporate accountability ( UNHCR 2011 ).</w:t>
      </w:r>
    </w:p>
    <w:p w14:paraId="1030E065" w14:textId="77777777" w:rsidR="007C2CF2" w:rsidRPr="00CA0AD6" w:rsidRDefault="007C2CF2" w:rsidP="005E6859">
      <w:pPr>
        <w:spacing w:after="0" w:line="276" w:lineRule="auto"/>
      </w:pPr>
      <w:r w:rsidRPr="00CA0AD6">
        <w:t>This three Pillar framework of United Nations Guiding Principles (UNGPs), with a set</w:t>
      </w:r>
    </w:p>
    <w:p w14:paraId="3E1D2BC1" w14:textId="77777777" w:rsidR="007C2CF2" w:rsidRPr="00CA0AD6" w:rsidRDefault="007C2CF2" w:rsidP="005E6859">
      <w:pPr>
        <w:spacing w:after="0" w:line="276" w:lineRule="auto"/>
      </w:pPr>
      <w:r w:rsidRPr="00CA0AD6">
        <w:t>of 31 Guiding Principles on business and human rights was unanimously endorsed</w:t>
      </w:r>
    </w:p>
    <w:p w14:paraId="00245346" w14:textId="77777777" w:rsidR="007C2CF2" w:rsidRPr="00CA0AD6" w:rsidRDefault="007C2CF2" w:rsidP="005E6859">
      <w:pPr>
        <w:spacing w:after="0" w:line="276" w:lineRule="auto"/>
      </w:pPr>
      <w:r w:rsidRPr="00CA0AD6">
        <w:t>by the UN Human Rights Council on 16 June 2011, remarkably diffusing the</w:t>
      </w:r>
    </w:p>
    <w:p w14:paraId="0C9B54D6" w14:textId="77777777" w:rsidR="007C2CF2" w:rsidRPr="00CA0AD6" w:rsidRDefault="007C2CF2" w:rsidP="005E6859">
      <w:pPr>
        <w:spacing w:after="0" w:line="276" w:lineRule="auto"/>
      </w:pPr>
      <w:r w:rsidRPr="00CA0AD6">
        <w:t>corporate human rights accountability across the public and corporate sector (ibid).</w:t>
      </w:r>
    </w:p>
    <w:p w14:paraId="6083F2E3" w14:textId="5D7BA513" w:rsidR="007C2CF2" w:rsidRPr="00CA0AD6" w:rsidRDefault="007C2CF2" w:rsidP="005E6859">
      <w:pPr>
        <w:spacing w:after="0" w:line="276" w:lineRule="auto"/>
      </w:pPr>
      <w:r w:rsidRPr="00CA0AD6">
        <w:t>However, the application of these principles is non-binding and is influenced and</w:t>
      </w:r>
    </w:p>
    <w:p w14:paraId="4109E5FA" w14:textId="77777777" w:rsidR="007C2CF2" w:rsidRPr="00CA0AD6" w:rsidRDefault="007C2CF2" w:rsidP="005E6859">
      <w:pPr>
        <w:spacing w:after="0" w:line="276" w:lineRule="auto"/>
      </w:pPr>
      <w:r w:rsidRPr="00CA0AD6">
        <w:lastRenderedPageBreak/>
        <w:t>shaped by the interpretive and implementing efforts of numerous actors, each with</w:t>
      </w:r>
    </w:p>
    <w:p w14:paraId="33C876CC" w14:textId="77777777" w:rsidR="007C2CF2" w:rsidRDefault="007C2CF2" w:rsidP="005E6859">
      <w:pPr>
        <w:spacing w:after="0" w:line="276" w:lineRule="auto"/>
      </w:pPr>
      <w:r w:rsidRPr="00CA0AD6">
        <w:t>diverse and different goals (</w:t>
      </w:r>
      <w:proofErr w:type="spellStart"/>
      <w:r w:rsidRPr="00CA0AD6">
        <w:t>Partiti</w:t>
      </w:r>
      <w:proofErr w:type="spellEnd"/>
      <w:r w:rsidRPr="00CA0AD6">
        <w:t xml:space="preserve"> 2021).</w:t>
      </w:r>
    </w:p>
    <w:p w14:paraId="6A6AFADD" w14:textId="77777777" w:rsidR="009F26D4" w:rsidRPr="00CA0AD6" w:rsidRDefault="009F26D4" w:rsidP="005E6859">
      <w:pPr>
        <w:spacing w:after="0" w:line="276" w:lineRule="auto"/>
      </w:pPr>
    </w:p>
    <w:p w14:paraId="2C8234D2" w14:textId="77777777" w:rsidR="007C2CF2" w:rsidRPr="00CA0AD6" w:rsidRDefault="007C2CF2" w:rsidP="005E6859">
      <w:pPr>
        <w:spacing w:after="0" w:line="276" w:lineRule="auto"/>
      </w:pPr>
      <w:r w:rsidRPr="00CA0AD6">
        <w:t>In Spite of the voluntary and guiding character of the UNGPs, there have been</w:t>
      </w:r>
    </w:p>
    <w:p w14:paraId="1A31256C" w14:textId="77777777" w:rsidR="007C2CF2" w:rsidRPr="00CA0AD6" w:rsidRDefault="007C2CF2" w:rsidP="005E6859">
      <w:pPr>
        <w:spacing w:after="0" w:line="276" w:lineRule="auto"/>
      </w:pPr>
      <w:r w:rsidRPr="00CA0AD6">
        <w:t>significant developments in one decade since the launch of UNGPs. Many</w:t>
      </w:r>
    </w:p>
    <w:p w14:paraId="6A755E7F" w14:textId="77777777" w:rsidR="007C2CF2" w:rsidRPr="00CA0AD6" w:rsidRDefault="007C2CF2" w:rsidP="005E6859">
      <w:pPr>
        <w:spacing w:after="0" w:line="276" w:lineRule="auto"/>
      </w:pPr>
      <w:r w:rsidRPr="00CA0AD6">
        <w:t>regulations related to human rights due diligence within global supply chains include</w:t>
      </w:r>
    </w:p>
    <w:p w14:paraId="33B72C2B" w14:textId="77777777" w:rsidR="007C2CF2" w:rsidRPr="00CA0AD6" w:rsidRDefault="007C2CF2" w:rsidP="005E6859">
      <w:pPr>
        <w:spacing w:after="0" w:line="276" w:lineRule="auto"/>
      </w:pPr>
      <w:r w:rsidRPr="00CA0AD6">
        <w:t>prominent legislations like the UK Modern Slavery Act 2015, the EU Conflict Minerals</w:t>
      </w:r>
    </w:p>
    <w:p w14:paraId="15263508" w14:textId="77777777" w:rsidR="007C2CF2" w:rsidRPr="00CA0AD6" w:rsidRDefault="007C2CF2" w:rsidP="005E6859">
      <w:pPr>
        <w:spacing w:after="0" w:line="276" w:lineRule="auto"/>
      </w:pPr>
      <w:r w:rsidRPr="00CA0AD6">
        <w:t>Regulation 2017, the French Duty of Vigilance Law 2017, the Dutch Child Labour</w:t>
      </w:r>
    </w:p>
    <w:p w14:paraId="75CD2B5A" w14:textId="77777777" w:rsidR="007C2CF2" w:rsidRPr="00CA0AD6" w:rsidRDefault="007C2CF2" w:rsidP="005E6859">
      <w:pPr>
        <w:spacing w:after="0" w:line="276" w:lineRule="auto"/>
      </w:pPr>
      <w:r w:rsidRPr="00CA0AD6">
        <w:t>Due Diligence Law 2019, and the German Act on Corporate Due Diligence in Supply</w:t>
      </w:r>
    </w:p>
    <w:p w14:paraId="5B05056B" w14:textId="77777777" w:rsidR="007C2CF2" w:rsidRPr="00CA0AD6" w:rsidRDefault="007C2CF2" w:rsidP="005E6859">
      <w:pPr>
        <w:spacing w:after="0" w:line="276" w:lineRule="auto"/>
      </w:pPr>
      <w:r w:rsidRPr="00CA0AD6">
        <w:t>Chains 2021. Schilling-Vacaflor and Lenschow (2021) have conducted an extensive</w:t>
      </w:r>
    </w:p>
    <w:p w14:paraId="6AADBF19" w14:textId="77777777" w:rsidR="007C2CF2" w:rsidRPr="00CA0AD6" w:rsidRDefault="007C2CF2" w:rsidP="005E6859">
      <w:pPr>
        <w:spacing w:after="0" w:line="276" w:lineRule="auto"/>
      </w:pPr>
      <w:r w:rsidRPr="00CA0AD6">
        <w:t>examination of pan-European due diligence and associated policies. These</w:t>
      </w:r>
    </w:p>
    <w:p w14:paraId="26890B22" w14:textId="77777777" w:rsidR="007C2CF2" w:rsidRPr="00CA0AD6" w:rsidRDefault="007C2CF2" w:rsidP="005E6859">
      <w:pPr>
        <w:spacing w:after="0" w:line="276" w:lineRule="auto"/>
      </w:pPr>
      <w:r w:rsidRPr="00CA0AD6">
        <w:t>regulations encompass fundamental labour rights such as forced labour, collective</w:t>
      </w:r>
    </w:p>
    <w:p w14:paraId="727CE426" w14:textId="77777777" w:rsidR="007C2CF2" w:rsidRPr="00CA0AD6" w:rsidRDefault="007C2CF2" w:rsidP="005E6859">
      <w:pPr>
        <w:spacing w:after="0" w:line="276" w:lineRule="auto"/>
      </w:pPr>
      <w:r w:rsidRPr="00CA0AD6">
        <w:t>bargaining, child labour, diversity, health and safety, and living wages, as outlined in</w:t>
      </w:r>
    </w:p>
    <w:p w14:paraId="3C498CFA" w14:textId="77777777" w:rsidR="007C2CF2" w:rsidRPr="00CA0AD6" w:rsidRDefault="007C2CF2" w:rsidP="005E6859">
      <w:pPr>
        <w:spacing w:after="0" w:line="276" w:lineRule="auto"/>
      </w:pPr>
      <w:r w:rsidRPr="00CA0AD6">
        <w:t>the International Labour Organization Declaration on Fundamental Principles and</w:t>
      </w:r>
    </w:p>
    <w:p w14:paraId="6CB2205E" w14:textId="77777777" w:rsidR="007C2CF2" w:rsidRPr="00CA0AD6" w:rsidRDefault="007C2CF2" w:rsidP="005E6859">
      <w:pPr>
        <w:spacing w:after="0" w:line="276" w:lineRule="auto"/>
      </w:pPr>
      <w:r w:rsidRPr="00CA0AD6">
        <w:t>Rights at Work (International Labour Organization 1998). The UK adopted National</w:t>
      </w:r>
    </w:p>
    <w:p w14:paraId="0890B648" w14:textId="77777777" w:rsidR="007C2CF2" w:rsidRPr="00CA0AD6" w:rsidRDefault="007C2CF2" w:rsidP="005E6859">
      <w:pPr>
        <w:spacing w:after="0" w:line="276" w:lineRule="auto"/>
      </w:pPr>
      <w:r w:rsidRPr="00CA0AD6">
        <w:t>Action Plans (NAPs) in the year 2013 on business and human rights as envisioned</w:t>
      </w:r>
    </w:p>
    <w:p w14:paraId="32AD8CA6" w14:textId="77777777" w:rsidR="007C2CF2" w:rsidRPr="00CA0AD6" w:rsidRDefault="007C2CF2" w:rsidP="005E6859">
      <w:pPr>
        <w:spacing w:after="0" w:line="276" w:lineRule="auto"/>
      </w:pPr>
      <w:r w:rsidRPr="00CA0AD6">
        <w:t>under the Guiding Principles (GPs) (Methven O` Brien et al. 2014). A recent study by</w:t>
      </w:r>
    </w:p>
    <w:p w14:paraId="46F98163" w14:textId="77777777" w:rsidR="007C2CF2" w:rsidRPr="00CA0AD6" w:rsidRDefault="007C2CF2" w:rsidP="005E6859">
      <w:pPr>
        <w:spacing w:after="0" w:line="276" w:lineRule="auto"/>
      </w:pPr>
      <w:r w:rsidRPr="00CA0AD6">
        <w:t>Methven O` Brien et al. (2022) has tracked the progress of incorporation of UNGP</w:t>
      </w:r>
    </w:p>
    <w:p w14:paraId="6CE59EEF" w14:textId="77777777" w:rsidR="007C2CF2" w:rsidRPr="00CA0AD6" w:rsidRDefault="007C2CF2" w:rsidP="005E6859">
      <w:pPr>
        <w:spacing w:after="0" w:line="276" w:lineRule="auto"/>
      </w:pPr>
      <w:r w:rsidRPr="00CA0AD6">
        <w:t>mechanism from 2011 and it has been found that a total of 25 states had published</w:t>
      </w:r>
    </w:p>
    <w:p w14:paraId="400F2D36" w14:textId="77777777" w:rsidR="007C2CF2" w:rsidRPr="00CA0AD6" w:rsidRDefault="007C2CF2" w:rsidP="005E6859">
      <w:pPr>
        <w:spacing w:after="0" w:line="276" w:lineRule="auto"/>
      </w:pPr>
      <w:r w:rsidRPr="00CA0AD6">
        <w:t>National Action Plans, with 42 NAPs on business and human rights being adopted or</w:t>
      </w:r>
    </w:p>
    <w:p w14:paraId="21464A29" w14:textId="77777777" w:rsidR="007C2CF2" w:rsidRDefault="007C2CF2" w:rsidP="005E6859">
      <w:pPr>
        <w:spacing w:after="0" w:line="276" w:lineRule="auto"/>
      </w:pPr>
      <w:r w:rsidRPr="00CA0AD6">
        <w:t>in development at the end of the year 2020.</w:t>
      </w:r>
    </w:p>
    <w:p w14:paraId="605AEECC" w14:textId="77777777" w:rsidR="009F26D4" w:rsidRPr="00CA0AD6" w:rsidRDefault="009F26D4" w:rsidP="005E6859">
      <w:pPr>
        <w:spacing w:after="0" w:line="276" w:lineRule="auto"/>
      </w:pPr>
    </w:p>
    <w:p w14:paraId="2097BCB2" w14:textId="77777777" w:rsidR="007C2CF2" w:rsidRPr="00CA0AD6" w:rsidRDefault="007C2CF2" w:rsidP="005E6859">
      <w:pPr>
        <w:spacing w:after="0" w:line="276" w:lineRule="auto"/>
      </w:pPr>
      <w:r w:rsidRPr="00CA0AD6">
        <w:t>Despite the existence and adoption of these regulatory mechanisms, a contentious</w:t>
      </w:r>
    </w:p>
    <w:p w14:paraId="782EBC2C" w14:textId="77777777" w:rsidR="007C2CF2" w:rsidRPr="00CA0AD6" w:rsidRDefault="007C2CF2" w:rsidP="005E6859">
      <w:pPr>
        <w:spacing w:after="0" w:line="276" w:lineRule="auto"/>
      </w:pPr>
      <w:r w:rsidRPr="00CA0AD6">
        <w:t>issue in the realms of management science and legal studies pertains to whether</w:t>
      </w:r>
    </w:p>
    <w:p w14:paraId="33F5D713" w14:textId="77777777" w:rsidR="007C2CF2" w:rsidRPr="00CA0AD6" w:rsidRDefault="007C2CF2" w:rsidP="005E6859">
      <w:pPr>
        <w:spacing w:after="0" w:line="276" w:lineRule="auto"/>
      </w:pPr>
      <w:r w:rsidRPr="00CA0AD6">
        <w:t>private business enterprises, operating across diverse global locations, are</w:t>
      </w:r>
    </w:p>
    <w:p w14:paraId="7948CDBD" w14:textId="77777777" w:rsidR="007C2CF2" w:rsidRPr="00CA0AD6" w:rsidRDefault="007C2CF2" w:rsidP="005E6859">
      <w:pPr>
        <w:spacing w:after="0" w:line="276" w:lineRule="auto"/>
      </w:pPr>
      <w:r w:rsidRPr="00CA0AD6">
        <w:t>considered subjects of international law and whether they bear direct obligations</w:t>
      </w:r>
    </w:p>
    <w:p w14:paraId="7909C3B1" w14:textId="77777777" w:rsidR="007C2CF2" w:rsidRPr="00CA0AD6" w:rsidRDefault="007C2CF2" w:rsidP="005E6859">
      <w:pPr>
        <w:spacing w:after="0" w:line="276" w:lineRule="auto"/>
      </w:pPr>
      <w:r w:rsidRPr="00CA0AD6">
        <w:t>under international human rights law, a topic that has sparked considerable debate</w:t>
      </w:r>
    </w:p>
    <w:p w14:paraId="06A55D35" w14:textId="77777777" w:rsidR="007C2CF2" w:rsidRPr="00CA0AD6" w:rsidRDefault="007C2CF2" w:rsidP="005E6859">
      <w:pPr>
        <w:spacing w:after="0" w:line="276" w:lineRule="auto"/>
      </w:pPr>
      <w:r w:rsidRPr="00CA0AD6">
        <w:t>(</w:t>
      </w:r>
      <w:proofErr w:type="spellStart"/>
      <w:r w:rsidRPr="00CA0AD6">
        <w:t>Bernaz</w:t>
      </w:r>
      <w:proofErr w:type="spellEnd"/>
      <w:r w:rsidRPr="00CA0AD6">
        <w:t xml:space="preserve"> 2017). International Business and Human Rights scholarship is replete with</w:t>
      </w:r>
    </w:p>
    <w:p w14:paraId="10F57021" w14:textId="77777777" w:rsidR="007C2CF2" w:rsidRPr="00CA0AD6" w:rsidRDefault="007C2CF2" w:rsidP="005E6859">
      <w:pPr>
        <w:spacing w:after="0" w:line="276" w:lineRule="auto"/>
      </w:pPr>
      <w:r w:rsidRPr="00CA0AD6">
        <w:t>questions and discussion on corporate human rights abuses (Li and McKernan,</w:t>
      </w:r>
    </w:p>
    <w:p w14:paraId="32DB6C78" w14:textId="77777777" w:rsidR="007C2CF2" w:rsidRPr="00CA0AD6" w:rsidRDefault="007C2CF2" w:rsidP="005E6859">
      <w:pPr>
        <w:spacing w:after="0" w:line="276" w:lineRule="auto"/>
      </w:pPr>
      <w:r w:rsidRPr="00CA0AD6">
        <w:t xml:space="preserve">2017). </w:t>
      </w:r>
      <w:proofErr w:type="spellStart"/>
      <w:r w:rsidRPr="00CA0AD6">
        <w:t>Bernaz</w:t>
      </w:r>
      <w:proofErr w:type="spellEnd"/>
      <w:r w:rsidRPr="00CA0AD6">
        <w:t xml:space="preserve"> (2017) contends that historically significant cases involving massive</w:t>
      </w:r>
    </w:p>
    <w:p w14:paraId="26DD0033" w14:textId="77777777" w:rsidR="007C2CF2" w:rsidRPr="00CA0AD6" w:rsidRDefault="007C2CF2" w:rsidP="005E6859">
      <w:pPr>
        <w:spacing w:after="0" w:line="276" w:lineRule="auto"/>
      </w:pPr>
      <w:r w:rsidRPr="00CA0AD6">
        <w:t>human rights violations, crimes against humanity like where corporations have been</w:t>
      </w:r>
    </w:p>
    <w:p w14:paraId="28D40D2D" w14:textId="2BD5C729" w:rsidR="007C2CF2" w:rsidRPr="00CA0AD6" w:rsidRDefault="007C2CF2" w:rsidP="005E6859">
      <w:pPr>
        <w:spacing w:after="0" w:line="276" w:lineRule="auto"/>
      </w:pPr>
      <w:r w:rsidRPr="00CA0AD6">
        <w:t>involved, for instance, Atlantic Slave trade, genocide as in the dark period of</w:t>
      </w:r>
    </w:p>
    <w:p w14:paraId="6A0A3C21" w14:textId="77777777" w:rsidR="007C2CF2" w:rsidRPr="00CA0AD6" w:rsidRDefault="007C2CF2" w:rsidP="005E6859">
      <w:pPr>
        <w:spacing w:after="0" w:line="276" w:lineRule="auto"/>
      </w:pPr>
      <w:r w:rsidRPr="00CA0AD6">
        <w:t>Holocaust give rise to a two fold debate. It is argued that it remains a grey area in</w:t>
      </w:r>
    </w:p>
    <w:p w14:paraId="25B1B474" w14:textId="77777777" w:rsidR="007C2CF2" w:rsidRPr="00CA0AD6" w:rsidRDefault="007C2CF2" w:rsidP="005E6859">
      <w:pPr>
        <w:spacing w:after="0" w:line="276" w:lineRule="auto"/>
      </w:pPr>
      <w:r w:rsidRPr="00CA0AD6">
        <w:t>International Business and Human Rights literature (IBHR) whether the principles of</w:t>
      </w:r>
    </w:p>
    <w:p w14:paraId="2D648049" w14:textId="77777777" w:rsidR="007C2CF2" w:rsidRPr="00CA0AD6" w:rsidRDefault="007C2CF2" w:rsidP="005E6859">
      <w:pPr>
        <w:spacing w:after="0" w:line="276" w:lineRule="auto"/>
      </w:pPr>
      <w:r w:rsidRPr="00CA0AD6">
        <w:t>respecting and protecting human rights be translated into corporate framework to</w:t>
      </w:r>
    </w:p>
    <w:p w14:paraId="039A4890" w14:textId="77777777" w:rsidR="007C2CF2" w:rsidRPr="00CA0AD6" w:rsidRDefault="007C2CF2" w:rsidP="005E6859">
      <w:pPr>
        <w:spacing w:after="0" w:line="276" w:lineRule="auto"/>
      </w:pPr>
      <w:r w:rsidRPr="00CA0AD6">
        <w:t>make them palatable or human rights be made compatible with profiteering global</w:t>
      </w:r>
    </w:p>
    <w:p w14:paraId="50DE8032" w14:textId="77777777" w:rsidR="007C2CF2" w:rsidRPr="00CA0AD6" w:rsidRDefault="007C2CF2" w:rsidP="005E6859">
      <w:pPr>
        <w:spacing w:after="0" w:line="276" w:lineRule="auto"/>
      </w:pPr>
      <w:r w:rsidRPr="00CA0AD6">
        <w:t>capital market interests so as to integrate them with global business practices.</w:t>
      </w:r>
    </w:p>
    <w:p w14:paraId="02E8EDBD" w14:textId="77777777" w:rsidR="007C2CF2" w:rsidRPr="00CA0AD6" w:rsidRDefault="007C2CF2" w:rsidP="005E6859">
      <w:pPr>
        <w:spacing w:after="0" w:line="276" w:lineRule="auto"/>
      </w:pPr>
      <w:r w:rsidRPr="00CA0AD6">
        <w:t>Additionally, there is very little knowledge about the extent of change in corporate</w:t>
      </w:r>
    </w:p>
    <w:p w14:paraId="3CF50A88" w14:textId="77777777" w:rsidR="007C2CF2" w:rsidRPr="00CA0AD6" w:rsidRDefault="007C2CF2" w:rsidP="005E6859">
      <w:pPr>
        <w:spacing w:after="0" w:line="276" w:lineRule="auto"/>
      </w:pPr>
      <w:r w:rsidRPr="00CA0AD6">
        <w:t>practices and conduct concerning human rights due diligence mechanisms leading</w:t>
      </w:r>
    </w:p>
    <w:p w14:paraId="1FA1D6F5" w14:textId="77777777" w:rsidR="007C2CF2" w:rsidRPr="00CA0AD6" w:rsidRDefault="007C2CF2" w:rsidP="005E6859">
      <w:pPr>
        <w:spacing w:after="0" w:line="276" w:lineRule="auto"/>
      </w:pPr>
      <w:r w:rsidRPr="00CA0AD6">
        <w:t>to greater corporate accountability. McCorquodale et al. (2017) analyse the</w:t>
      </w:r>
    </w:p>
    <w:p w14:paraId="1EC02D6D" w14:textId="77777777" w:rsidR="007C2CF2" w:rsidRPr="00CA0AD6" w:rsidRDefault="007C2CF2" w:rsidP="005E6859">
      <w:pPr>
        <w:spacing w:after="0" w:line="276" w:lineRule="auto"/>
      </w:pPr>
      <w:r w:rsidRPr="00CA0AD6">
        <w:t>corporate HRDD but only from the corporate dimension, ignoring the rights holder</w:t>
      </w:r>
    </w:p>
    <w:p w14:paraId="4D9B7FD2" w14:textId="77777777" w:rsidR="007C2CF2" w:rsidRPr="00CA0AD6" w:rsidRDefault="007C2CF2" w:rsidP="005E6859">
      <w:pPr>
        <w:spacing w:after="0" w:line="276" w:lineRule="auto"/>
      </w:pPr>
      <w:r w:rsidRPr="00CA0AD6">
        <w:lastRenderedPageBreak/>
        <w:t>perspective, thus limiting the scope of study. These gaps make this pilot study</w:t>
      </w:r>
    </w:p>
    <w:p w14:paraId="6183713B" w14:textId="77777777" w:rsidR="007C2CF2" w:rsidRPr="00CA0AD6" w:rsidRDefault="007C2CF2" w:rsidP="005E6859">
      <w:pPr>
        <w:spacing w:after="0" w:line="276" w:lineRule="auto"/>
      </w:pPr>
      <w:r w:rsidRPr="00CA0AD6">
        <w:t>significant as it aims to understand the normative changes brought about by the</w:t>
      </w:r>
    </w:p>
    <w:p w14:paraId="0A9BCB63" w14:textId="77777777" w:rsidR="007C2CF2" w:rsidRPr="00CA0AD6" w:rsidRDefault="007C2CF2" w:rsidP="005E6859">
      <w:pPr>
        <w:spacing w:after="0" w:line="276" w:lineRule="auto"/>
      </w:pPr>
      <w:r w:rsidRPr="00CA0AD6">
        <w:t>diffusion of UNGPs and HRDD in enhancing corporate human rights accountability</w:t>
      </w:r>
    </w:p>
    <w:p w14:paraId="50C9E552" w14:textId="6921C8BE" w:rsidR="008430F9" w:rsidRDefault="007C2CF2" w:rsidP="005E6859">
      <w:pPr>
        <w:spacing w:after="0" w:line="276" w:lineRule="auto"/>
      </w:pPr>
      <w:r w:rsidRPr="00CA0AD6">
        <w:t>across the corporate sector</w:t>
      </w:r>
      <w:r w:rsidR="00CA0AD6" w:rsidRPr="00CA0AD6">
        <w:t>.</w:t>
      </w:r>
    </w:p>
    <w:p w14:paraId="67F70D79" w14:textId="77777777" w:rsidR="00DC003C" w:rsidRDefault="00DC003C" w:rsidP="005E6859">
      <w:pPr>
        <w:spacing w:after="0" w:line="276" w:lineRule="auto"/>
      </w:pPr>
    </w:p>
    <w:p w14:paraId="494070C3" w14:textId="48F857C9" w:rsidR="00DC003C" w:rsidRPr="000F09B3" w:rsidRDefault="00DC003C" w:rsidP="005E6859">
      <w:pPr>
        <w:spacing w:after="0" w:line="276" w:lineRule="auto"/>
        <w:rPr>
          <w:b/>
          <w:bCs/>
        </w:rPr>
      </w:pPr>
      <w:r w:rsidRPr="000F09B3">
        <w:rPr>
          <w:b/>
          <w:bCs/>
        </w:rPr>
        <w:t>Considerations</w:t>
      </w:r>
    </w:p>
    <w:p w14:paraId="06D1B912" w14:textId="77777777" w:rsidR="00983100" w:rsidRDefault="00983100" w:rsidP="005E6859">
      <w:pPr>
        <w:spacing w:after="0" w:line="276" w:lineRule="auto"/>
      </w:pPr>
    </w:p>
    <w:p w14:paraId="36B58B6E" w14:textId="77777777" w:rsidR="00983100" w:rsidRPr="00894208" w:rsidRDefault="00983100" w:rsidP="005E6859">
      <w:pPr>
        <w:spacing w:after="0" w:line="276" w:lineRule="auto"/>
        <w:rPr>
          <w:b/>
          <w:bCs/>
          <w:color w:val="156082" w:themeColor="accent1"/>
        </w:rPr>
      </w:pPr>
      <w:r w:rsidRPr="00894208">
        <w:rPr>
          <w:b/>
          <w:bCs/>
          <w:color w:val="156082" w:themeColor="accent1"/>
        </w:rPr>
        <w:t>Superficiality of UN Guiding Principles in Enhancing Corporate Accountability</w:t>
      </w:r>
    </w:p>
    <w:p w14:paraId="6DB2D506" w14:textId="77777777" w:rsidR="00983100" w:rsidRPr="00894208" w:rsidRDefault="00983100" w:rsidP="005E6859">
      <w:pPr>
        <w:spacing w:after="0" w:line="276" w:lineRule="auto"/>
        <w:rPr>
          <w:b/>
          <w:bCs/>
          <w:color w:val="156082" w:themeColor="accent1"/>
        </w:rPr>
      </w:pPr>
    </w:p>
    <w:p w14:paraId="00A32DC3" w14:textId="77777777" w:rsidR="00983100" w:rsidRPr="00894208" w:rsidRDefault="00983100" w:rsidP="005E6859">
      <w:pPr>
        <w:spacing w:after="0" w:line="276" w:lineRule="auto"/>
        <w:rPr>
          <w:color w:val="156082" w:themeColor="accent1"/>
        </w:rPr>
      </w:pPr>
      <w:r w:rsidRPr="00894208">
        <w:rPr>
          <w:color w:val="156082" w:themeColor="accent1"/>
        </w:rPr>
        <w:t xml:space="preserve">Whilst the UN Guiding Principles (UNGPs) framework has stimulated various human rights due diligence (HRDD) policy developments, the analysis fails to adequately critique the sufficiency of such voluntary initiatives to transform corporate conduct. Beyond cataloguing emerging regulations, there is minimal examination of whether codified responsibilities yield actual improvements or merely superficial procedural changes. Elaborating specifically how HRDD implementation reshapes decision-making priorities, resource allocations and risk mitigation strategies could provide greater insight on accountability efficacy.  </w:t>
      </w:r>
    </w:p>
    <w:p w14:paraId="0F1F3895" w14:textId="77777777" w:rsidR="00983100" w:rsidRPr="00894208" w:rsidRDefault="00983100" w:rsidP="005E6859">
      <w:pPr>
        <w:spacing w:after="0" w:line="276" w:lineRule="auto"/>
        <w:rPr>
          <w:color w:val="156082" w:themeColor="accent1"/>
        </w:rPr>
      </w:pPr>
    </w:p>
    <w:p w14:paraId="3BCA5C16" w14:textId="77777777" w:rsidR="00983100" w:rsidRPr="00894208" w:rsidRDefault="00983100" w:rsidP="005E6859">
      <w:pPr>
        <w:spacing w:after="0" w:line="276" w:lineRule="auto"/>
        <w:rPr>
          <w:color w:val="156082" w:themeColor="accent1"/>
        </w:rPr>
      </w:pPr>
      <w:r w:rsidRPr="00894208">
        <w:rPr>
          <w:color w:val="156082" w:themeColor="accent1"/>
        </w:rPr>
        <w:t xml:space="preserve">Additionally, the commentary relies substantially on summarizing chronological evolution of UNGPs without enough original critique or evaluation. While conceptual background is important, synthesizing existing documentation to reveal limitations and advance novel perspectives on the deficiencies of the voluntary approach is lacking. One area briefly mentioned is the non-binding nature of UNGPs; exploring unique implications such as how this enables selective adherence or discourages transparency could demonstrate more critical analysis.  </w:t>
      </w:r>
    </w:p>
    <w:p w14:paraId="5D3B808F" w14:textId="77777777" w:rsidR="00983100" w:rsidRPr="00894208" w:rsidRDefault="00983100" w:rsidP="005E6859">
      <w:pPr>
        <w:spacing w:after="0" w:line="276" w:lineRule="auto"/>
        <w:rPr>
          <w:color w:val="156082" w:themeColor="accent1"/>
        </w:rPr>
      </w:pPr>
    </w:p>
    <w:p w14:paraId="4EBFD7E6" w14:textId="77777777" w:rsidR="00983100" w:rsidRPr="00894208" w:rsidRDefault="00983100" w:rsidP="005E6859">
      <w:pPr>
        <w:spacing w:after="0" w:line="276" w:lineRule="auto"/>
        <w:rPr>
          <w:color w:val="156082" w:themeColor="accent1"/>
        </w:rPr>
      </w:pPr>
      <w:r w:rsidRPr="00894208">
        <w:rPr>
          <w:color w:val="156082" w:themeColor="accent1"/>
        </w:rPr>
        <w:t xml:space="preserve">Furthermore, bold assertions regarding UNGPs’ capacity to curb corporate human rights infringements require more evidence. Claims that HRDD diffusion will decrease violations rest on assumptions rather than substantiation through benchmarking implementation gaps across jurisdictions or correlations demonstrating changes in rights-infringing behaviours post-adoption. As it stands, significant attribution of accountability potential absent legal obligation is not robustly justified.  </w:t>
      </w:r>
    </w:p>
    <w:p w14:paraId="30CA6640" w14:textId="77777777" w:rsidR="00983100" w:rsidRPr="00894208" w:rsidRDefault="00983100" w:rsidP="005E6859">
      <w:pPr>
        <w:spacing w:after="0" w:line="276" w:lineRule="auto"/>
        <w:rPr>
          <w:color w:val="156082" w:themeColor="accent1"/>
        </w:rPr>
      </w:pPr>
    </w:p>
    <w:p w14:paraId="5FC17AF7" w14:textId="3A786563" w:rsidR="00983100" w:rsidRPr="00894208" w:rsidRDefault="00983100" w:rsidP="005E6859">
      <w:pPr>
        <w:spacing w:after="0" w:line="276" w:lineRule="auto"/>
        <w:rPr>
          <w:color w:val="156082" w:themeColor="accent1"/>
        </w:rPr>
      </w:pPr>
      <w:r w:rsidRPr="00894208">
        <w:rPr>
          <w:color w:val="156082" w:themeColor="accent1"/>
        </w:rPr>
        <w:t>In terms of structure, segregating analysis of regulatory developments from evaluations of corporate behavio</w:t>
      </w:r>
      <w:r w:rsidR="000F09B3" w:rsidRPr="00894208">
        <w:rPr>
          <w:color w:val="156082" w:themeColor="accent1"/>
        </w:rPr>
        <w:t>u</w:t>
      </w:r>
      <w:r w:rsidRPr="00894208">
        <w:rPr>
          <w:color w:val="156082" w:themeColor="accent1"/>
        </w:rPr>
        <w:t xml:space="preserve">ral change could aid cohesion. Additionally, employing consistent HRDD terminology rather than interchangeably referencing pillars, principles and policies may improve clarity. Transition sentences linking the chronological narrative to critical commentary would help flow amidst the conceptual leaps.  </w:t>
      </w:r>
    </w:p>
    <w:p w14:paraId="1C974E25" w14:textId="77777777" w:rsidR="00983100" w:rsidRPr="00894208" w:rsidRDefault="00983100" w:rsidP="005E6859">
      <w:pPr>
        <w:spacing w:after="0" w:line="276" w:lineRule="auto"/>
        <w:rPr>
          <w:color w:val="156082" w:themeColor="accent1"/>
        </w:rPr>
      </w:pPr>
    </w:p>
    <w:p w14:paraId="19F1D68F" w14:textId="739D90F1" w:rsidR="00983100" w:rsidRPr="00894208" w:rsidRDefault="00983100" w:rsidP="005E6859">
      <w:pPr>
        <w:spacing w:after="0" w:line="276" w:lineRule="auto"/>
        <w:rPr>
          <w:color w:val="156082" w:themeColor="accent1"/>
        </w:rPr>
      </w:pPr>
      <w:r w:rsidRPr="00894208">
        <w:rPr>
          <w:color w:val="156082" w:themeColor="accent1"/>
        </w:rPr>
        <w:t xml:space="preserve">Overall, while contextual background provides useful landscape, the critique fails to leverage this to reveal limitations in the voluntary UNGP approach, supported by </w:t>
      </w:r>
      <w:r w:rsidRPr="00894208">
        <w:rPr>
          <w:color w:val="156082" w:themeColor="accent1"/>
        </w:rPr>
        <w:lastRenderedPageBreak/>
        <w:t>exemplars and data. Demonstrating specifically how superficial implementation impedes accountability could strengthen the analysis. Outlining advocacy priorities or policy recommendations to address identified deficits pivots discussion towards practical impact. Tackling these areas has potential to convert a narratively interesting but analytically soft account into a rigorous, compelling critique of the deficient voluntary regime.</w:t>
      </w:r>
    </w:p>
    <w:p w14:paraId="342A6915" w14:textId="77777777" w:rsidR="000F09B3" w:rsidRPr="00894208" w:rsidRDefault="000F09B3" w:rsidP="005E6859">
      <w:pPr>
        <w:spacing w:after="0" w:line="276" w:lineRule="auto"/>
      </w:pPr>
    </w:p>
    <w:p w14:paraId="514636BB" w14:textId="3B8D054B" w:rsidR="00CA0AD6" w:rsidRPr="00894208" w:rsidRDefault="00CA0AD6" w:rsidP="005E6859">
      <w:pPr>
        <w:spacing w:after="0" w:line="276" w:lineRule="auto"/>
        <w:rPr>
          <w:b/>
          <w:bCs/>
          <w:color w:val="77206D" w:themeColor="accent5" w:themeShade="BF"/>
        </w:rPr>
      </w:pPr>
      <w:r w:rsidRPr="00894208">
        <w:rPr>
          <w:b/>
          <w:bCs/>
          <w:color w:val="77206D" w:themeColor="accent5" w:themeShade="BF"/>
        </w:rPr>
        <w:t>Caroline’s attempt</w:t>
      </w:r>
    </w:p>
    <w:p w14:paraId="6549B990" w14:textId="77777777" w:rsidR="00894208" w:rsidRPr="00894208" w:rsidRDefault="00894208" w:rsidP="005E6859">
      <w:pPr>
        <w:spacing w:after="0" w:line="276" w:lineRule="auto"/>
        <w:rPr>
          <w:color w:val="77206D" w:themeColor="accent5" w:themeShade="BF"/>
        </w:rPr>
      </w:pPr>
    </w:p>
    <w:p w14:paraId="7BC83354" w14:textId="052740B5" w:rsidR="00CA0AD6" w:rsidRDefault="00CA0AD6" w:rsidP="005E6859">
      <w:pPr>
        <w:spacing w:after="0" w:line="276" w:lineRule="auto"/>
        <w:rPr>
          <w:b/>
          <w:bCs/>
          <w:color w:val="77206D" w:themeColor="accent5" w:themeShade="BF"/>
        </w:rPr>
      </w:pPr>
      <w:r w:rsidRPr="00894208">
        <w:rPr>
          <w:b/>
          <w:bCs/>
          <w:color w:val="77206D" w:themeColor="accent5" w:themeShade="BF"/>
        </w:rPr>
        <w:t>Limitations of Existing Research on Corporate Accountability</w:t>
      </w:r>
    </w:p>
    <w:p w14:paraId="1217ACA4" w14:textId="77777777" w:rsidR="00894208" w:rsidRPr="00894208" w:rsidRDefault="00894208" w:rsidP="005E6859">
      <w:pPr>
        <w:spacing w:after="0" w:line="276" w:lineRule="auto"/>
        <w:rPr>
          <w:b/>
          <w:bCs/>
          <w:color w:val="77206D" w:themeColor="accent5" w:themeShade="BF"/>
        </w:rPr>
      </w:pPr>
    </w:p>
    <w:p w14:paraId="7EE3AC5B"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Here is a rewrite of the text in a more critical perspective:</w:t>
      </w:r>
    </w:p>
    <w:p w14:paraId="7F5811B2" w14:textId="77777777" w:rsidR="00F46425" w:rsidRPr="00F46425" w:rsidRDefault="00F46425" w:rsidP="00F46425">
      <w:pPr>
        <w:spacing w:after="0" w:line="276" w:lineRule="auto"/>
        <w:rPr>
          <w:color w:val="77206D" w:themeColor="accent5" w:themeShade="BF"/>
        </w:rPr>
      </w:pPr>
    </w:p>
    <w:p w14:paraId="70ABD691"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The Evolution of Business and Human Rights: Progress yet Persistent Gaps</w:t>
      </w:r>
    </w:p>
    <w:p w14:paraId="0B537117" w14:textId="77777777" w:rsidR="00F46425" w:rsidRPr="00F46425" w:rsidRDefault="00F46425" w:rsidP="00F46425">
      <w:pPr>
        <w:spacing w:after="0" w:line="276" w:lineRule="auto"/>
        <w:rPr>
          <w:color w:val="77206D" w:themeColor="accent5" w:themeShade="BF"/>
        </w:rPr>
      </w:pPr>
    </w:p>
    <w:p w14:paraId="1B262EF0"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The development of business and human rights frameworks represents important progress, but critical analysis reveals limitations in existing regulatory mechanisms and scholarly discourse. Initial UN proposals to legally bind corporations to human rights standards were rejected due to lack of global consensus (UN Human Rights Commission, 2003). The subsequent voluntary Guiding Principles (UNGPs), despite unanimous endorsement, leave ambiguity around corporate legal obligations and rely on fragile state duties and corporate self-regulation (Deva, 2013).</w:t>
      </w:r>
    </w:p>
    <w:p w14:paraId="22E36DC7" w14:textId="77777777" w:rsidR="00F46425" w:rsidRPr="00F46425" w:rsidRDefault="00F46425" w:rsidP="00F46425">
      <w:pPr>
        <w:spacing w:after="0" w:line="276" w:lineRule="auto"/>
        <w:rPr>
          <w:color w:val="77206D" w:themeColor="accent5" w:themeShade="BF"/>
        </w:rPr>
      </w:pPr>
    </w:p>
    <w:p w14:paraId="09F734CD"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 xml:space="preserve">While recent human rights due diligence (HRDD) legislation has </w:t>
      </w:r>
      <w:proofErr w:type="spellStart"/>
      <w:r w:rsidRPr="00F46425">
        <w:rPr>
          <w:color w:val="77206D" w:themeColor="accent5" w:themeShade="BF"/>
        </w:rPr>
        <w:t>catalyzed</w:t>
      </w:r>
      <w:proofErr w:type="spellEnd"/>
      <w:r w:rsidRPr="00F46425">
        <w:rPr>
          <w:color w:val="77206D" w:themeColor="accent5" w:themeShade="BF"/>
        </w:rPr>
        <w:t xml:space="preserve"> assessments across sectors, many regulations </w:t>
      </w:r>
      <w:proofErr w:type="spellStart"/>
      <w:r w:rsidRPr="00F46425">
        <w:rPr>
          <w:color w:val="77206D" w:themeColor="accent5" w:themeShade="BF"/>
        </w:rPr>
        <w:t>center</w:t>
      </w:r>
      <w:proofErr w:type="spellEnd"/>
      <w:r w:rsidRPr="00F46425">
        <w:rPr>
          <w:color w:val="77206D" w:themeColor="accent5" w:themeShade="BF"/>
        </w:rPr>
        <w:t xml:space="preserve"> </w:t>
      </w:r>
      <w:proofErr w:type="spellStart"/>
      <w:r w:rsidRPr="00F46425">
        <w:rPr>
          <w:color w:val="77206D" w:themeColor="accent5" w:themeShade="BF"/>
        </w:rPr>
        <w:t>labor</w:t>
      </w:r>
      <w:proofErr w:type="spellEnd"/>
      <w:r w:rsidRPr="00F46425">
        <w:rPr>
          <w:color w:val="77206D" w:themeColor="accent5" w:themeShade="BF"/>
        </w:rPr>
        <w:t xml:space="preserve"> rights over broader civil protections (Schilling-Vacaflor &amp; Lenschow 2021). Most address only severity, not likelihood of abuses, neglecting prevention (Park &amp; Kramarz, 2022). Requirements like the UK Modern Slavery Act have furthered transparency more than accountability (Stevens, 2017). And jurisdictional limits on emerging mandatory regulations give corporations wiggle room (</w:t>
      </w:r>
      <w:proofErr w:type="spellStart"/>
      <w:r w:rsidRPr="00F46425">
        <w:rPr>
          <w:color w:val="77206D" w:themeColor="accent5" w:themeShade="BF"/>
        </w:rPr>
        <w:t>Cernic</w:t>
      </w:r>
      <w:proofErr w:type="spellEnd"/>
      <w:r w:rsidRPr="00F46425">
        <w:rPr>
          <w:color w:val="77206D" w:themeColor="accent5" w:themeShade="BF"/>
        </w:rPr>
        <w:t xml:space="preserve"> &amp; Carrillo-Santarelli, 2021).  </w:t>
      </w:r>
    </w:p>
    <w:p w14:paraId="6BB15737" w14:textId="77777777" w:rsidR="00F46425" w:rsidRPr="00F46425" w:rsidRDefault="00F46425" w:rsidP="00F46425">
      <w:pPr>
        <w:spacing w:after="0" w:line="276" w:lineRule="auto"/>
        <w:rPr>
          <w:color w:val="77206D" w:themeColor="accent5" w:themeShade="BF"/>
        </w:rPr>
      </w:pPr>
    </w:p>
    <w:p w14:paraId="0D6BC268"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Furthermore, scholarly discourse exhibits critical gaps. Debates continue on whether firms constitute subjects of international law amidst calls for binding covenants (</w:t>
      </w:r>
      <w:proofErr w:type="spellStart"/>
      <w:r w:rsidRPr="00F46425">
        <w:rPr>
          <w:color w:val="77206D" w:themeColor="accent5" w:themeShade="BF"/>
        </w:rPr>
        <w:t>Bilchitz</w:t>
      </w:r>
      <w:proofErr w:type="spellEnd"/>
      <w:r w:rsidRPr="00F46425">
        <w:rPr>
          <w:color w:val="77206D" w:themeColor="accent5" w:themeShade="BF"/>
        </w:rPr>
        <w:t xml:space="preserve">, 2017). The common separation between human rights’ universality and firms’ particularistic profit motives warrants rethinking (Wettstein, 2015). Analyses of corporate HRDD implementation often exclude rights-holder perspectives (McCorquodale et al., 2017). And few empirically assess HRDD’s impacts on-the-ground (Methven O’Brien &amp; Dhanarajan, 2015).  </w:t>
      </w:r>
    </w:p>
    <w:p w14:paraId="7A0DD922" w14:textId="77777777" w:rsidR="00F46425" w:rsidRPr="00F46425" w:rsidRDefault="00F46425" w:rsidP="00F46425">
      <w:pPr>
        <w:spacing w:after="0" w:line="276" w:lineRule="auto"/>
        <w:rPr>
          <w:color w:val="77206D" w:themeColor="accent5" w:themeShade="BF"/>
        </w:rPr>
      </w:pPr>
    </w:p>
    <w:p w14:paraId="004FE6E4"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 xml:space="preserve">In essence, while the proliferation of guiding principles and dedicated regulations has normalized the business and human rights agenda, this progress lacks adequate </w:t>
      </w:r>
      <w:r w:rsidRPr="00F46425">
        <w:rPr>
          <w:color w:val="77206D" w:themeColor="accent5" w:themeShade="BF"/>
        </w:rPr>
        <w:lastRenderedPageBreak/>
        <w:t xml:space="preserve">enforceability, scope, and empirical footing. Genuine accountability requires binding state duties, corporate obligations beyond </w:t>
      </w:r>
      <w:proofErr w:type="spellStart"/>
      <w:r w:rsidRPr="00F46425">
        <w:rPr>
          <w:color w:val="77206D" w:themeColor="accent5" w:themeShade="BF"/>
        </w:rPr>
        <w:t>labor</w:t>
      </w:r>
      <w:proofErr w:type="spellEnd"/>
      <w:r w:rsidRPr="00F46425">
        <w:rPr>
          <w:color w:val="77206D" w:themeColor="accent5" w:themeShade="BF"/>
        </w:rPr>
        <w:t xml:space="preserve"> standards, scholar-practitioner collaboration, and </w:t>
      </w:r>
      <w:proofErr w:type="spellStart"/>
      <w:r w:rsidRPr="00F46425">
        <w:rPr>
          <w:color w:val="77206D" w:themeColor="accent5" w:themeShade="BF"/>
        </w:rPr>
        <w:t>centering</w:t>
      </w:r>
      <w:proofErr w:type="spellEnd"/>
      <w:r w:rsidRPr="00F46425">
        <w:rPr>
          <w:color w:val="77206D" w:themeColor="accent5" w:themeShade="BF"/>
        </w:rPr>
        <w:t xml:space="preserve"> affected populations. Progress should be lauded but critical perspectives must continue unearthing gaps between principles and impacts.</w:t>
      </w:r>
    </w:p>
    <w:p w14:paraId="14595DEC" w14:textId="77777777" w:rsidR="00F46425" w:rsidRPr="00F46425" w:rsidRDefault="00F46425" w:rsidP="00F46425">
      <w:pPr>
        <w:spacing w:after="0" w:line="276" w:lineRule="auto"/>
        <w:rPr>
          <w:color w:val="77206D" w:themeColor="accent5" w:themeShade="BF"/>
        </w:rPr>
      </w:pPr>
    </w:p>
    <w:p w14:paraId="4374D6D7"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References:</w:t>
      </w:r>
    </w:p>
    <w:p w14:paraId="7462CF79" w14:textId="77777777" w:rsidR="00F46425" w:rsidRPr="00F46425" w:rsidRDefault="00F46425" w:rsidP="00F46425">
      <w:pPr>
        <w:spacing w:after="0" w:line="276" w:lineRule="auto"/>
        <w:rPr>
          <w:color w:val="77206D" w:themeColor="accent5" w:themeShade="BF"/>
        </w:rPr>
      </w:pPr>
      <w:r w:rsidRPr="00F46425">
        <w:rPr>
          <w:color w:val="77206D" w:themeColor="accent5" w:themeShade="BF"/>
        </w:rPr>
        <w:t xml:space="preserve">Park, S. &amp; Kramarz, T. (2022). What is missing? The disconnect between due diligence legislation and prevention of adverse human rights impacts. Business and Human Rights Journal, 7(2), 603-610. </w:t>
      </w:r>
    </w:p>
    <w:p w14:paraId="0DBE516B" w14:textId="77777777" w:rsidR="00F46425" w:rsidRPr="00F46425" w:rsidRDefault="00F46425" w:rsidP="00F46425">
      <w:pPr>
        <w:spacing w:after="0" w:line="276" w:lineRule="auto"/>
        <w:rPr>
          <w:color w:val="77206D" w:themeColor="accent5" w:themeShade="BF"/>
        </w:rPr>
      </w:pPr>
    </w:p>
    <w:p w14:paraId="790C82AE" w14:textId="3DEABD03" w:rsidR="00DC003C" w:rsidRDefault="00F46425" w:rsidP="00F46425">
      <w:pPr>
        <w:spacing w:after="0" w:line="276" w:lineRule="auto"/>
        <w:rPr>
          <w:color w:val="77206D" w:themeColor="accent5" w:themeShade="BF"/>
        </w:rPr>
      </w:pPr>
      <w:proofErr w:type="spellStart"/>
      <w:r w:rsidRPr="00F46425">
        <w:rPr>
          <w:color w:val="77206D" w:themeColor="accent5" w:themeShade="BF"/>
        </w:rPr>
        <w:t>Bilchitz</w:t>
      </w:r>
      <w:proofErr w:type="spellEnd"/>
      <w:r w:rsidRPr="00F46425">
        <w:rPr>
          <w:color w:val="77206D" w:themeColor="accent5" w:themeShade="BF"/>
        </w:rPr>
        <w:t xml:space="preserve">, D. (2017). The Necessity for a Business and Human Rights Treaty. Business and Human Rights Journal, 1(2), 203-227. </w:t>
      </w:r>
    </w:p>
    <w:p w14:paraId="56DC74DB" w14:textId="77777777" w:rsidR="00F46425" w:rsidRDefault="00F46425" w:rsidP="00F46425">
      <w:pPr>
        <w:spacing w:after="0" w:line="276" w:lineRule="auto"/>
        <w:rPr>
          <w:color w:val="77206D" w:themeColor="accent5" w:themeShade="BF"/>
        </w:rPr>
      </w:pPr>
    </w:p>
    <w:p w14:paraId="07BB6343" w14:textId="77777777" w:rsidR="00D16564" w:rsidRPr="00D16564" w:rsidRDefault="00D16564" w:rsidP="00D16564">
      <w:pPr>
        <w:spacing w:after="0" w:line="276" w:lineRule="auto"/>
        <w:rPr>
          <w:color w:val="77206D" w:themeColor="accent5" w:themeShade="BF"/>
        </w:rPr>
      </w:pPr>
      <w:r w:rsidRPr="00D16564">
        <w:rPr>
          <w:color w:val="77206D" w:themeColor="accent5" w:themeShade="BF"/>
        </w:rPr>
        <w:t>Here are the main differences between the original text and my critical rewrite:</w:t>
      </w:r>
    </w:p>
    <w:p w14:paraId="3ADBB591" w14:textId="77777777" w:rsidR="00D16564" w:rsidRPr="00D16564" w:rsidRDefault="00D16564" w:rsidP="00D16564">
      <w:pPr>
        <w:spacing w:after="0" w:line="276" w:lineRule="auto"/>
        <w:rPr>
          <w:color w:val="77206D" w:themeColor="accent5" w:themeShade="BF"/>
        </w:rPr>
      </w:pPr>
    </w:p>
    <w:p w14:paraId="19D154AF" w14:textId="77777777" w:rsidR="00D16564" w:rsidRPr="00D16564" w:rsidRDefault="00D16564" w:rsidP="00D16564">
      <w:pPr>
        <w:spacing w:after="0" w:line="276" w:lineRule="auto"/>
        <w:rPr>
          <w:color w:val="77206D" w:themeColor="accent5" w:themeShade="BF"/>
        </w:rPr>
      </w:pPr>
      <w:r w:rsidRPr="00D16564">
        <w:rPr>
          <w:color w:val="77206D" w:themeColor="accent5" w:themeShade="BF"/>
        </w:rPr>
        <w:t xml:space="preserve">1. Tone and Framing: The original piece takes a more detached, descriptive view tracing the development of business &amp; human rights initiatives. My rewrite adopts a more explicitly critical perspective, questioning the adequacy and impacts of existing regulations. </w:t>
      </w:r>
    </w:p>
    <w:p w14:paraId="0EAA800A" w14:textId="77777777" w:rsidR="00D16564" w:rsidRPr="00D16564" w:rsidRDefault="00D16564" w:rsidP="00D16564">
      <w:pPr>
        <w:spacing w:after="0" w:line="276" w:lineRule="auto"/>
        <w:rPr>
          <w:color w:val="77206D" w:themeColor="accent5" w:themeShade="BF"/>
        </w:rPr>
      </w:pPr>
    </w:p>
    <w:p w14:paraId="3DFEB788" w14:textId="77777777" w:rsidR="00D16564" w:rsidRPr="00D16564" w:rsidRDefault="00D16564" w:rsidP="00D16564">
      <w:pPr>
        <w:spacing w:after="0" w:line="276" w:lineRule="auto"/>
        <w:rPr>
          <w:color w:val="77206D" w:themeColor="accent5" w:themeShade="BF"/>
        </w:rPr>
      </w:pPr>
      <w:r w:rsidRPr="00D16564">
        <w:rPr>
          <w:color w:val="77206D" w:themeColor="accent5" w:themeShade="BF"/>
        </w:rPr>
        <w:t>2. Analysis of Limitations: I provide more direct analysis calling out the specific gaps, ambiguities and jurisdictional limitations of current human rights due diligence laws and guidelines. The original did not highlight these weaknesses.</w:t>
      </w:r>
    </w:p>
    <w:p w14:paraId="6FD3A336" w14:textId="77777777" w:rsidR="00D16564" w:rsidRPr="00D16564" w:rsidRDefault="00D16564" w:rsidP="00D16564">
      <w:pPr>
        <w:spacing w:after="0" w:line="276" w:lineRule="auto"/>
        <w:rPr>
          <w:color w:val="77206D" w:themeColor="accent5" w:themeShade="BF"/>
        </w:rPr>
      </w:pPr>
    </w:p>
    <w:p w14:paraId="25294169" w14:textId="77777777" w:rsidR="00D16564" w:rsidRPr="00D16564" w:rsidRDefault="00D16564" w:rsidP="00D16564">
      <w:pPr>
        <w:spacing w:after="0" w:line="276" w:lineRule="auto"/>
        <w:rPr>
          <w:color w:val="77206D" w:themeColor="accent5" w:themeShade="BF"/>
        </w:rPr>
      </w:pPr>
      <w:r w:rsidRPr="00D16564">
        <w:rPr>
          <w:color w:val="77206D" w:themeColor="accent5" w:themeShade="BF"/>
        </w:rPr>
        <w:t xml:space="preserve">3. Enforceability Critique: My rewrite points out the persistent lack of enforceability and binding obligations within voluntary UNGPs and self-regulatory corporate approaches. The original does not surface this issue.  </w:t>
      </w:r>
    </w:p>
    <w:p w14:paraId="3ABF171C" w14:textId="77777777" w:rsidR="00D16564" w:rsidRPr="00D16564" w:rsidRDefault="00D16564" w:rsidP="00D16564">
      <w:pPr>
        <w:spacing w:after="0" w:line="276" w:lineRule="auto"/>
        <w:rPr>
          <w:color w:val="77206D" w:themeColor="accent5" w:themeShade="BF"/>
        </w:rPr>
      </w:pPr>
    </w:p>
    <w:p w14:paraId="4FE66F54" w14:textId="77777777" w:rsidR="00D16564" w:rsidRPr="00D16564" w:rsidRDefault="00D16564" w:rsidP="00D16564">
      <w:pPr>
        <w:spacing w:after="0" w:line="276" w:lineRule="auto"/>
        <w:rPr>
          <w:color w:val="77206D" w:themeColor="accent5" w:themeShade="BF"/>
        </w:rPr>
      </w:pPr>
      <w:r w:rsidRPr="00D16564">
        <w:rPr>
          <w:color w:val="77206D" w:themeColor="accent5" w:themeShade="BF"/>
        </w:rPr>
        <w:t xml:space="preserve">4. Scope Critique: I argue that many regulations focus narrowly on </w:t>
      </w:r>
      <w:proofErr w:type="spellStart"/>
      <w:r w:rsidRPr="00D16564">
        <w:rPr>
          <w:color w:val="77206D" w:themeColor="accent5" w:themeShade="BF"/>
        </w:rPr>
        <w:t>labor</w:t>
      </w:r>
      <w:proofErr w:type="spellEnd"/>
      <w:r w:rsidRPr="00D16564">
        <w:rPr>
          <w:color w:val="77206D" w:themeColor="accent5" w:themeShade="BF"/>
        </w:rPr>
        <w:t xml:space="preserve"> rights at the expense of wider civil/human rights affected by business activities. This scope criticism is missing from the original.</w:t>
      </w:r>
    </w:p>
    <w:p w14:paraId="5649C168" w14:textId="77777777" w:rsidR="00D16564" w:rsidRPr="00D16564" w:rsidRDefault="00D16564" w:rsidP="00D16564">
      <w:pPr>
        <w:spacing w:after="0" w:line="276" w:lineRule="auto"/>
        <w:rPr>
          <w:color w:val="77206D" w:themeColor="accent5" w:themeShade="BF"/>
        </w:rPr>
      </w:pPr>
    </w:p>
    <w:p w14:paraId="668D8F17" w14:textId="77777777" w:rsidR="00D16564" w:rsidRPr="00D16564" w:rsidRDefault="00D16564" w:rsidP="00D16564">
      <w:pPr>
        <w:spacing w:after="0" w:line="276" w:lineRule="auto"/>
        <w:rPr>
          <w:color w:val="77206D" w:themeColor="accent5" w:themeShade="BF"/>
        </w:rPr>
      </w:pPr>
      <w:r w:rsidRPr="00D16564">
        <w:rPr>
          <w:color w:val="77206D" w:themeColor="accent5" w:themeShade="BF"/>
        </w:rPr>
        <w:t xml:space="preserve">5. Scholarly Discourse Critique: I critically </w:t>
      </w:r>
      <w:proofErr w:type="spellStart"/>
      <w:r w:rsidRPr="00D16564">
        <w:rPr>
          <w:color w:val="77206D" w:themeColor="accent5" w:themeShade="BF"/>
        </w:rPr>
        <w:t>analyze</w:t>
      </w:r>
      <w:proofErr w:type="spellEnd"/>
      <w:r w:rsidRPr="00D16564">
        <w:rPr>
          <w:color w:val="77206D" w:themeColor="accent5" w:themeShade="BF"/>
        </w:rPr>
        <w:t xml:space="preserve"> enduring debates in the academic discourse (e.g. corporate legal personality) and the separation of business/human rights motives. The original does not scrutinize the scholarly discourse.</w:t>
      </w:r>
    </w:p>
    <w:p w14:paraId="5FB75D2A" w14:textId="77777777" w:rsidR="00D16564" w:rsidRPr="00D16564" w:rsidRDefault="00D16564" w:rsidP="00D16564">
      <w:pPr>
        <w:spacing w:after="0" w:line="276" w:lineRule="auto"/>
        <w:rPr>
          <w:color w:val="77206D" w:themeColor="accent5" w:themeShade="BF"/>
        </w:rPr>
      </w:pPr>
    </w:p>
    <w:p w14:paraId="187DFF1C" w14:textId="77777777" w:rsidR="00D16564" w:rsidRPr="00D16564" w:rsidRDefault="00D16564" w:rsidP="00D16564">
      <w:pPr>
        <w:spacing w:after="0" w:line="276" w:lineRule="auto"/>
        <w:rPr>
          <w:color w:val="77206D" w:themeColor="accent5" w:themeShade="BF"/>
        </w:rPr>
      </w:pPr>
      <w:r w:rsidRPr="00D16564">
        <w:rPr>
          <w:color w:val="77206D" w:themeColor="accent5" w:themeShade="BF"/>
        </w:rPr>
        <w:t xml:space="preserve">6. Empirical Evidence Critique: My rewrite notes the lack of on-the-ground evidence validating human rights due diligence impacts. The original does not highlight this research gap. </w:t>
      </w:r>
    </w:p>
    <w:p w14:paraId="34B08966" w14:textId="77777777" w:rsidR="00D16564" w:rsidRPr="00D16564" w:rsidRDefault="00D16564" w:rsidP="00D16564">
      <w:pPr>
        <w:spacing w:after="0" w:line="276" w:lineRule="auto"/>
        <w:rPr>
          <w:color w:val="77206D" w:themeColor="accent5" w:themeShade="BF"/>
        </w:rPr>
      </w:pPr>
    </w:p>
    <w:p w14:paraId="437CC5F8" w14:textId="7393D8AE" w:rsidR="00F46425" w:rsidRPr="00894208" w:rsidRDefault="00D16564" w:rsidP="00D16564">
      <w:pPr>
        <w:spacing w:after="0" w:line="276" w:lineRule="auto"/>
        <w:rPr>
          <w:color w:val="77206D" w:themeColor="accent5" w:themeShade="BF"/>
        </w:rPr>
      </w:pPr>
      <w:r w:rsidRPr="00D16564">
        <w:rPr>
          <w:color w:val="77206D" w:themeColor="accent5" w:themeShade="BF"/>
        </w:rPr>
        <w:lastRenderedPageBreak/>
        <w:t>In summary, the key differences stem from my rewrite adopting a more critical eye towards gains made to date, specifically calling out flaws and persistent accountability gaps that remain less visible without pointed analysis. The original stopped at description where I push towards pointed evaluation.</w:t>
      </w:r>
    </w:p>
    <w:p w14:paraId="6FFE53DB" w14:textId="77777777" w:rsidR="00DC003C" w:rsidRDefault="00DC003C" w:rsidP="005E6859">
      <w:pPr>
        <w:spacing w:after="0" w:line="276" w:lineRule="auto"/>
        <w:rPr>
          <w:color w:val="77206D" w:themeColor="accent5" w:themeShade="BF"/>
        </w:rPr>
      </w:pPr>
    </w:p>
    <w:p w14:paraId="32F9735E" w14:textId="18C8CDC3" w:rsidR="00EA3C29" w:rsidRDefault="00BE4E0B" w:rsidP="005E6859">
      <w:pPr>
        <w:spacing w:after="0" w:line="276" w:lineRule="auto"/>
        <w:rPr>
          <w:b/>
          <w:bCs/>
        </w:rPr>
      </w:pPr>
      <w:r w:rsidRPr="00BE4E0B">
        <w:rPr>
          <w:b/>
          <w:bCs/>
        </w:rPr>
        <w:t>XZ</w:t>
      </w:r>
    </w:p>
    <w:p w14:paraId="5A01AA3C" w14:textId="77777777" w:rsidR="00BE4E0B" w:rsidRDefault="00BE4E0B" w:rsidP="005E6859">
      <w:pPr>
        <w:spacing w:after="0" w:line="276" w:lineRule="auto"/>
        <w:rPr>
          <w:b/>
          <w:bCs/>
        </w:rPr>
      </w:pPr>
    </w:p>
    <w:p w14:paraId="7A5D4AD6" w14:textId="33B7DB81" w:rsidR="00D738A7" w:rsidRDefault="00D738A7" w:rsidP="00D738A7">
      <w:pPr>
        <w:spacing w:after="0" w:line="276" w:lineRule="auto"/>
        <w:rPr>
          <w:b/>
          <w:bCs/>
        </w:rPr>
      </w:pPr>
      <w:r w:rsidRPr="00D738A7">
        <w:rPr>
          <w:b/>
          <w:bCs/>
        </w:rPr>
        <w:t>Job satisfaction for lecturers</w:t>
      </w:r>
    </w:p>
    <w:p w14:paraId="77F0487E" w14:textId="77777777" w:rsidR="00D738A7" w:rsidRPr="00D738A7" w:rsidRDefault="00D738A7" w:rsidP="00D738A7">
      <w:pPr>
        <w:spacing w:after="0" w:line="276" w:lineRule="auto"/>
        <w:rPr>
          <w:b/>
          <w:bCs/>
        </w:rPr>
      </w:pPr>
    </w:p>
    <w:p w14:paraId="680CDA3E" w14:textId="77777777" w:rsidR="00D738A7" w:rsidRDefault="00D738A7" w:rsidP="00D738A7">
      <w:pPr>
        <w:spacing w:after="0" w:line="276" w:lineRule="auto"/>
      </w:pPr>
      <w:r>
        <w:t>Not only for huge businesses, small companies, and individual employees, job</w:t>
      </w:r>
    </w:p>
    <w:p w14:paraId="501D68F2" w14:textId="77777777" w:rsidR="00D738A7" w:rsidRDefault="00D738A7" w:rsidP="00D738A7">
      <w:pPr>
        <w:spacing w:after="0" w:line="276" w:lineRule="auto"/>
      </w:pPr>
      <w:r>
        <w:t>satisfaction has long been a hot topic of conversation. When a person</w:t>
      </w:r>
    </w:p>
    <w:p w14:paraId="134FDF63" w14:textId="77777777" w:rsidR="00D738A7" w:rsidRDefault="00D738A7" w:rsidP="00D738A7">
      <w:pPr>
        <w:spacing w:after="0" w:line="276" w:lineRule="auto"/>
      </w:pPr>
      <w:r>
        <w:t>assesses his or her own work experience and position, taking into</w:t>
      </w:r>
    </w:p>
    <w:p w14:paraId="7A3999C6" w14:textId="77777777" w:rsidR="00D738A7" w:rsidRDefault="00D738A7" w:rsidP="00D738A7">
      <w:pPr>
        <w:spacing w:after="0" w:line="276" w:lineRule="auto"/>
      </w:pPr>
      <w:r>
        <w:t xml:space="preserve">consideration all the criteria, job satisfaction is defined by Cerci &amp; </w:t>
      </w:r>
      <w:proofErr w:type="spellStart"/>
      <w:r>
        <w:t>Dumludag</w:t>
      </w:r>
      <w:proofErr w:type="spellEnd"/>
    </w:p>
    <w:p w14:paraId="0ECD45B5" w14:textId="77777777" w:rsidR="00D738A7" w:rsidRDefault="00D738A7" w:rsidP="00D738A7">
      <w:pPr>
        <w:spacing w:after="0" w:line="276" w:lineRule="auto"/>
      </w:pPr>
      <w:r>
        <w:t>as "an emotional state of happiness, positivity, or negativity that arises."( Cerci</w:t>
      </w:r>
    </w:p>
    <w:p w14:paraId="73F7DF22" w14:textId="77777777" w:rsidR="00D738A7" w:rsidRDefault="00D738A7" w:rsidP="00D738A7">
      <w:pPr>
        <w:spacing w:after="0" w:line="276" w:lineRule="auto"/>
      </w:pPr>
      <w:r>
        <w:rPr>
          <w:rFonts w:hint="eastAsia"/>
        </w:rPr>
        <w:t xml:space="preserve">&amp; </w:t>
      </w:r>
      <w:proofErr w:type="spellStart"/>
      <w:r>
        <w:rPr>
          <w:rFonts w:hint="eastAsia"/>
        </w:rPr>
        <w:t>Dumludag</w:t>
      </w:r>
      <w:proofErr w:type="spellEnd"/>
      <w:r>
        <w:rPr>
          <w:rFonts w:hint="eastAsia"/>
        </w:rPr>
        <w:t>, 2019</w:t>
      </w:r>
      <w:r>
        <w:rPr>
          <w:rFonts w:hint="eastAsia"/>
        </w:rPr>
        <w:t>）</w:t>
      </w:r>
      <w:r>
        <w:rPr>
          <w:rFonts w:hint="eastAsia"/>
        </w:rPr>
        <w:t>. Employees will be happier and more satisfied at work</w:t>
      </w:r>
    </w:p>
    <w:p w14:paraId="073805E7" w14:textId="77777777" w:rsidR="00D738A7" w:rsidRDefault="00D738A7" w:rsidP="00D738A7">
      <w:pPr>
        <w:spacing w:after="0" w:line="276" w:lineRule="auto"/>
      </w:pPr>
      <w:r>
        <w:t>if their personal attitudes and ideas are more in line with the company's</w:t>
      </w:r>
    </w:p>
    <w:p w14:paraId="0B472DC9" w14:textId="77777777" w:rsidR="00D738A7" w:rsidRDefault="00D738A7" w:rsidP="00D738A7">
      <w:pPr>
        <w:spacing w:after="0" w:line="276" w:lineRule="auto"/>
      </w:pPr>
      <w:r>
        <w:rPr>
          <w:rFonts w:hint="eastAsia"/>
        </w:rPr>
        <w:t>ideals(Wnuk, 2017</w:t>
      </w:r>
      <w:r>
        <w:rPr>
          <w:rFonts w:hint="eastAsia"/>
        </w:rPr>
        <w:t>）</w:t>
      </w:r>
      <w:r>
        <w:rPr>
          <w:rFonts w:hint="eastAsia"/>
        </w:rPr>
        <w:t>. People who possess the necessary abilities do well,</w:t>
      </w:r>
    </w:p>
    <w:p w14:paraId="44B43AB5" w14:textId="77777777" w:rsidR="00D738A7" w:rsidRDefault="00D738A7" w:rsidP="00D738A7">
      <w:pPr>
        <w:spacing w:after="0" w:line="276" w:lineRule="auto"/>
      </w:pPr>
      <w:r>
        <w:t>while many others perform at their best when using the appropriate tactics</w:t>
      </w:r>
    </w:p>
    <w:p w14:paraId="513CFE8E" w14:textId="77777777" w:rsidR="00D738A7" w:rsidRDefault="00D738A7" w:rsidP="00D738A7">
      <w:pPr>
        <w:spacing w:after="0" w:line="276" w:lineRule="auto"/>
      </w:pPr>
      <w:r>
        <w:t>and equipment that can optimise benefits and boost job satisfaction (</w:t>
      </w:r>
      <w:proofErr w:type="spellStart"/>
      <w:r>
        <w:t>Moè</w:t>
      </w:r>
      <w:proofErr w:type="spellEnd"/>
      <w:r>
        <w:t xml:space="preserve"> et</w:t>
      </w:r>
    </w:p>
    <w:p w14:paraId="2BFE6E65" w14:textId="77777777" w:rsidR="00D738A7" w:rsidRDefault="00D738A7" w:rsidP="00D738A7">
      <w:pPr>
        <w:spacing w:after="0" w:line="276" w:lineRule="auto"/>
      </w:pPr>
      <w:r>
        <w:t>al, 2010). The degree to which teachers are happy in their jobs directly affects</w:t>
      </w:r>
    </w:p>
    <w:p w14:paraId="0DD6B24A" w14:textId="7A8979FD" w:rsidR="00D738A7" w:rsidRDefault="00D738A7" w:rsidP="00D738A7">
      <w:pPr>
        <w:spacing w:after="0" w:line="276" w:lineRule="auto"/>
      </w:pPr>
      <w:r>
        <w:t>their performance as lecturers, which in turn affects how well students lear</w:t>
      </w:r>
      <w:r w:rsidR="00092058">
        <w:t>n</w:t>
      </w:r>
      <w:r>
        <w:rPr>
          <w:rFonts w:hint="eastAsia"/>
        </w:rPr>
        <w:t>（</w:t>
      </w:r>
      <w:r>
        <w:rPr>
          <w:rFonts w:hint="eastAsia"/>
        </w:rPr>
        <w:t>F</w:t>
      </w:r>
      <w:r>
        <w:rPr>
          <w:rFonts w:hint="eastAsia"/>
        </w:rPr>
        <w:t>ü</w:t>
      </w:r>
      <w:proofErr w:type="spellStart"/>
      <w:r>
        <w:rPr>
          <w:rFonts w:hint="eastAsia"/>
        </w:rPr>
        <w:t>tterer</w:t>
      </w:r>
      <w:proofErr w:type="spellEnd"/>
      <w:r>
        <w:rPr>
          <w:rFonts w:hint="eastAsia"/>
        </w:rPr>
        <w:t xml:space="preserve"> et al, 2023</w:t>
      </w:r>
      <w:r>
        <w:rPr>
          <w:rFonts w:hint="eastAsia"/>
        </w:rPr>
        <w:t>）</w:t>
      </w:r>
      <w:r>
        <w:rPr>
          <w:rFonts w:hint="eastAsia"/>
        </w:rPr>
        <w:t>. For university professors, work satisfaction can</w:t>
      </w:r>
    </w:p>
    <w:p w14:paraId="00828B97" w14:textId="77777777" w:rsidR="00D738A7" w:rsidRDefault="00D738A7" w:rsidP="00D738A7">
      <w:pPr>
        <w:spacing w:after="0" w:line="276" w:lineRule="auto"/>
      </w:pPr>
      <w:r>
        <w:t>favourably impact their motivation, but dissatisfaction might have the opposite</w:t>
      </w:r>
    </w:p>
    <w:p w14:paraId="2B31D701" w14:textId="77777777" w:rsidR="00D738A7" w:rsidRDefault="00D738A7" w:rsidP="00D738A7">
      <w:pPr>
        <w:spacing w:after="0" w:line="276" w:lineRule="auto"/>
      </w:pPr>
      <w:r>
        <w:rPr>
          <w:rFonts w:hint="eastAsia"/>
        </w:rPr>
        <w:t>effect</w:t>
      </w:r>
      <w:r>
        <w:rPr>
          <w:rFonts w:hint="eastAsia"/>
        </w:rPr>
        <w:t>（</w:t>
      </w:r>
      <w:r>
        <w:rPr>
          <w:rFonts w:hint="eastAsia"/>
        </w:rPr>
        <w:t>Chen, 2014</w:t>
      </w:r>
      <w:r>
        <w:rPr>
          <w:rFonts w:hint="eastAsia"/>
        </w:rPr>
        <w:t>）</w:t>
      </w:r>
      <w:r>
        <w:rPr>
          <w:rFonts w:hint="eastAsia"/>
        </w:rPr>
        <w:t>. According to research by Patrick et al., professors</w:t>
      </w:r>
    </w:p>
    <w:p w14:paraId="32120F37" w14:textId="77777777" w:rsidR="00D738A7" w:rsidRDefault="00D738A7" w:rsidP="00D738A7">
      <w:pPr>
        <w:spacing w:after="0" w:line="276" w:lineRule="auto"/>
      </w:pPr>
      <w:r>
        <w:t>and lecturers who are very satisfied with their jobs have proactive and even</w:t>
      </w:r>
    </w:p>
    <w:p w14:paraId="79DE8BC1" w14:textId="77777777" w:rsidR="00D738A7" w:rsidRDefault="00D738A7" w:rsidP="00D738A7">
      <w:pPr>
        <w:spacing w:after="0" w:line="276" w:lineRule="auto"/>
      </w:pPr>
      <w:r>
        <w:t>passionate attitudes towards their work, which boosts students' internal</w:t>
      </w:r>
    </w:p>
    <w:p w14:paraId="69A45A58" w14:textId="77777777" w:rsidR="00D738A7" w:rsidRDefault="00D738A7" w:rsidP="00D738A7">
      <w:pPr>
        <w:spacing w:after="0" w:line="276" w:lineRule="auto"/>
      </w:pPr>
      <w:r>
        <w:t>motivation and energy levels. (Patrick et al, 2010). Instead, negative lecturers</w:t>
      </w:r>
    </w:p>
    <w:p w14:paraId="612AC180" w14:textId="77777777" w:rsidR="00D738A7" w:rsidRDefault="00D738A7" w:rsidP="00D738A7">
      <w:pPr>
        <w:spacing w:after="0" w:line="276" w:lineRule="auto"/>
      </w:pPr>
      <w:r>
        <w:t>can pass on their burnout to their students, resulting in a loss of positivism,</w:t>
      </w:r>
    </w:p>
    <w:p w14:paraId="404E3C0B" w14:textId="77777777" w:rsidR="00D738A7" w:rsidRDefault="00D738A7" w:rsidP="00D738A7">
      <w:pPr>
        <w:spacing w:after="0" w:line="276" w:lineRule="auto"/>
      </w:pPr>
      <w:r>
        <w:t>autonomy, and intrinsic drive as well as a failure to address a variety of</w:t>
      </w:r>
    </w:p>
    <w:p w14:paraId="14624518" w14:textId="77777777" w:rsidR="00D738A7" w:rsidRDefault="00D738A7" w:rsidP="00D738A7">
      <w:pPr>
        <w:spacing w:after="0" w:line="276" w:lineRule="auto"/>
      </w:pPr>
      <w:r>
        <w:t>student requirements. Burnout attitudes are also linked to a lack of work</w:t>
      </w:r>
    </w:p>
    <w:p w14:paraId="19016E0E" w14:textId="77777777" w:rsidR="00D738A7" w:rsidRDefault="00D738A7" w:rsidP="00D738A7">
      <w:pPr>
        <w:spacing w:after="0" w:line="276" w:lineRule="auto"/>
      </w:pPr>
      <w:r>
        <w:t>satisfaction (Ryan &amp; Deci, 2000). In addition to imparting textual information to</w:t>
      </w:r>
    </w:p>
    <w:p w14:paraId="66E7DBBC" w14:textId="77777777" w:rsidR="00D738A7" w:rsidRDefault="00D738A7" w:rsidP="00D738A7">
      <w:pPr>
        <w:spacing w:after="0" w:line="276" w:lineRule="auto"/>
      </w:pPr>
      <w:r>
        <w:t>students, instructors also need to help them develop positively. To do this,</w:t>
      </w:r>
    </w:p>
    <w:p w14:paraId="67E5B487" w14:textId="77777777" w:rsidR="00D738A7" w:rsidRDefault="00D738A7" w:rsidP="00D738A7">
      <w:pPr>
        <w:spacing w:after="0" w:line="276" w:lineRule="auto"/>
      </w:pPr>
      <w:r>
        <w:t>lecturers must always demonstrate emotional stability and high levels of</w:t>
      </w:r>
    </w:p>
    <w:p w14:paraId="724B9B32" w14:textId="77777777" w:rsidR="00D738A7" w:rsidRDefault="00D738A7" w:rsidP="00D738A7">
      <w:pPr>
        <w:spacing w:after="0" w:line="276" w:lineRule="auto"/>
      </w:pPr>
      <w:r>
        <w:t>efficiency to their students. According to Mo et al., lecturers may increase their</w:t>
      </w:r>
    </w:p>
    <w:p w14:paraId="598DCC8A" w14:textId="77777777" w:rsidR="00D738A7" w:rsidRDefault="00D738A7" w:rsidP="00D738A7">
      <w:pPr>
        <w:spacing w:after="0" w:line="276" w:lineRule="auto"/>
      </w:pPr>
      <w:r>
        <w:t>job satisfaction by: 1) having good teaching skills, 2) having a strong sense of</w:t>
      </w:r>
    </w:p>
    <w:p w14:paraId="2FECC23F" w14:textId="77777777" w:rsidR="00D738A7" w:rsidRDefault="00D738A7" w:rsidP="00D738A7">
      <w:pPr>
        <w:spacing w:after="0" w:line="276" w:lineRule="auto"/>
      </w:pPr>
      <w:r>
        <w:t>self-efficacy about their work, which suggests that lecturers can handle a</w:t>
      </w:r>
    </w:p>
    <w:p w14:paraId="28E4A4E2" w14:textId="77777777" w:rsidR="00D738A7" w:rsidRDefault="00D738A7" w:rsidP="00D738A7">
      <w:pPr>
        <w:spacing w:after="0" w:line="276" w:lineRule="auto"/>
      </w:pPr>
      <w:r>
        <w:t>variety of teaching responsibilities at work, and 3) feeling happy (</w:t>
      </w:r>
      <w:proofErr w:type="spellStart"/>
      <w:r>
        <w:t>Moé</w:t>
      </w:r>
      <w:proofErr w:type="spellEnd"/>
      <w:r>
        <w:t xml:space="preserve"> et al.,</w:t>
      </w:r>
    </w:p>
    <w:p w14:paraId="66963C34" w14:textId="77777777" w:rsidR="00D738A7" w:rsidRDefault="00D738A7" w:rsidP="00D738A7">
      <w:pPr>
        <w:spacing w:after="0" w:line="276" w:lineRule="auto"/>
      </w:pPr>
      <w:r>
        <w:t>2010). Research demonstrates unequivocally that great lecturers not only</w:t>
      </w:r>
    </w:p>
    <w:p w14:paraId="2C908962" w14:textId="77777777" w:rsidR="00D738A7" w:rsidRDefault="00D738A7" w:rsidP="00D738A7">
      <w:pPr>
        <w:spacing w:after="0" w:line="276" w:lineRule="auto"/>
      </w:pPr>
      <w:r>
        <w:t>deliver excellent instruction and foster a positive learning environment for their</w:t>
      </w:r>
    </w:p>
    <w:p w14:paraId="3FF33D0F" w14:textId="77777777" w:rsidR="00D738A7" w:rsidRDefault="00D738A7" w:rsidP="00D738A7">
      <w:pPr>
        <w:spacing w:after="0" w:line="276" w:lineRule="auto"/>
      </w:pPr>
      <w:r>
        <w:t>students, but also like their work: Being able to give sound advice and being</w:t>
      </w:r>
    </w:p>
    <w:p w14:paraId="717A34B9" w14:textId="77777777" w:rsidR="00D738A7" w:rsidRDefault="00D738A7" w:rsidP="00D738A7">
      <w:pPr>
        <w:spacing w:after="0" w:line="276" w:lineRule="auto"/>
      </w:pPr>
      <w:r>
        <w:lastRenderedPageBreak/>
        <w:t>content with one's work are both requirements for an excellent instructor</w:t>
      </w:r>
    </w:p>
    <w:p w14:paraId="784599F6" w14:textId="77777777" w:rsidR="00D738A7" w:rsidRDefault="00D738A7" w:rsidP="00D738A7">
      <w:pPr>
        <w:spacing w:after="0" w:line="276" w:lineRule="auto"/>
      </w:pPr>
      <w:r>
        <w:t>(Klusmann et al., 2008). Lecturers and instructors, then, have several</w:t>
      </w:r>
    </w:p>
    <w:p w14:paraId="21305CD8" w14:textId="77777777" w:rsidR="00D738A7" w:rsidRDefault="00D738A7" w:rsidP="00D738A7">
      <w:pPr>
        <w:spacing w:after="0" w:line="276" w:lineRule="auto"/>
      </w:pPr>
      <w:r>
        <w:t>identities: they are leaders who serve as good examples, coaches who</w:t>
      </w:r>
    </w:p>
    <w:p w14:paraId="5766824A" w14:textId="77777777" w:rsidR="00D738A7" w:rsidRDefault="00D738A7" w:rsidP="00D738A7">
      <w:pPr>
        <w:spacing w:after="0" w:line="276" w:lineRule="auto"/>
      </w:pPr>
      <w:r>
        <w:t>motivate students to form teams, facilitators who take ownership of their</w:t>
      </w:r>
    </w:p>
    <w:p w14:paraId="12A13717" w14:textId="77777777" w:rsidR="00D738A7" w:rsidRDefault="00D738A7" w:rsidP="00D738A7">
      <w:pPr>
        <w:spacing w:after="0" w:line="276" w:lineRule="auto"/>
      </w:pPr>
      <w:r>
        <w:t>students' performance, and communicators who encourage cooperation and</w:t>
      </w:r>
    </w:p>
    <w:p w14:paraId="4DCB178A" w14:textId="77777777" w:rsidR="00D738A7" w:rsidRDefault="00D738A7" w:rsidP="00D738A7">
      <w:pPr>
        <w:spacing w:after="0" w:line="276" w:lineRule="auto"/>
      </w:pPr>
      <w:r>
        <w:t>communication (Heuer &amp; King, 2004). For teachers' well-being, turnover, and</w:t>
      </w:r>
    </w:p>
    <w:p w14:paraId="0352ED17" w14:textId="77777777" w:rsidR="00D738A7" w:rsidRDefault="00D738A7" w:rsidP="00D738A7">
      <w:pPr>
        <w:spacing w:after="0" w:line="276" w:lineRule="auto"/>
      </w:pPr>
      <w:r>
        <w:t>retention, their level of job satisfaction is crucial. This implies that lecturers</w:t>
      </w:r>
    </w:p>
    <w:p w14:paraId="1F5E4AAC" w14:textId="77777777" w:rsidR="00D738A7" w:rsidRDefault="00D738A7" w:rsidP="00D738A7">
      <w:pPr>
        <w:spacing w:after="0" w:line="276" w:lineRule="auto"/>
      </w:pPr>
      <w:r>
        <w:t>and professors who don't experience high levels of work satisfaction become</w:t>
      </w:r>
    </w:p>
    <w:p w14:paraId="7F636E9E" w14:textId="77777777" w:rsidR="00D738A7" w:rsidRDefault="00D738A7" w:rsidP="00D738A7">
      <w:pPr>
        <w:spacing w:after="0" w:line="276" w:lineRule="auto"/>
      </w:pPr>
      <w:r>
        <w:t>less committed to the organisation and the field as a whole and eventually quit</w:t>
      </w:r>
    </w:p>
    <w:p w14:paraId="249794D8" w14:textId="77777777" w:rsidR="00D738A7" w:rsidRDefault="00D738A7" w:rsidP="00D738A7">
      <w:pPr>
        <w:spacing w:after="0" w:line="276" w:lineRule="auto"/>
      </w:pPr>
      <w:r>
        <w:t>their jobs (Klassen &amp; Chiu, 2011). For professors, their sense of work</w:t>
      </w:r>
    </w:p>
    <w:p w14:paraId="6635D63E" w14:textId="77777777" w:rsidR="00D738A7" w:rsidRDefault="00D738A7" w:rsidP="00D738A7">
      <w:pPr>
        <w:spacing w:after="0" w:line="276" w:lineRule="auto"/>
      </w:pPr>
      <w:r>
        <w:t>experience is highly important in the context of online education. Real-world</w:t>
      </w:r>
    </w:p>
    <w:p w14:paraId="3A68F612" w14:textId="77777777" w:rsidR="00D738A7" w:rsidRDefault="00D738A7" w:rsidP="00D738A7">
      <w:pPr>
        <w:spacing w:after="0" w:line="276" w:lineRule="auto"/>
      </w:pPr>
      <w:r>
        <w:t>interactions between online platforms and lecturers are possible, including</w:t>
      </w:r>
    </w:p>
    <w:p w14:paraId="67B4D971" w14:textId="77777777" w:rsidR="00D738A7" w:rsidRDefault="00D738A7" w:rsidP="00D738A7">
      <w:pPr>
        <w:spacing w:after="0" w:line="276" w:lineRule="auto"/>
      </w:pPr>
      <w:r>
        <w:t>"hard" interactions using computers and "soft" interactions with individuals</w:t>
      </w:r>
    </w:p>
    <w:p w14:paraId="2006BA24" w14:textId="77777777" w:rsidR="00D738A7" w:rsidRDefault="00D738A7" w:rsidP="00D738A7">
      <w:pPr>
        <w:spacing w:after="0" w:line="276" w:lineRule="auto"/>
      </w:pPr>
      <w:r>
        <w:t>using the platforms (Dong,2011). Before the outbreak of the pandemic, online</w:t>
      </w:r>
    </w:p>
    <w:p w14:paraId="3D1FB4BF" w14:textId="77777777" w:rsidR="00D738A7" w:rsidRDefault="00D738A7" w:rsidP="00D738A7">
      <w:pPr>
        <w:spacing w:after="0" w:line="276" w:lineRule="auto"/>
      </w:pPr>
      <w:r>
        <w:t>teaching was only used as a supplement to traditional face-to-face teaching in</w:t>
      </w:r>
    </w:p>
    <w:p w14:paraId="0465C9AC" w14:textId="77777777" w:rsidR="00D738A7" w:rsidRDefault="00D738A7" w:rsidP="00D738A7">
      <w:pPr>
        <w:spacing w:after="0" w:line="276" w:lineRule="auto"/>
      </w:pPr>
      <w:r>
        <w:t>Chinese higher education (Lin,2022). It used to be a big, disruptive change to</w:t>
      </w:r>
    </w:p>
    <w:p w14:paraId="4FF68D7F" w14:textId="77777777" w:rsidR="00D738A7" w:rsidRDefault="00D738A7" w:rsidP="00D738A7">
      <w:pPr>
        <w:spacing w:after="0" w:line="276" w:lineRule="auto"/>
      </w:pPr>
      <w:r>
        <w:t>switch all current courses online in a matter of days, and instructors and</w:t>
      </w:r>
    </w:p>
    <w:p w14:paraId="409F1BF3" w14:textId="77777777" w:rsidR="00D738A7" w:rsidRDefault="00D738A7" w:rsidP="00D738A7">
      <w:pPr>
        <w:spacing w:after="0" w:line="276" w:lineRule="auto"/>
      </w:pPr>
      <w:r>
        <w:t>students experienced difficulties during the transition time since they were</w:t>
      </w:r>
    </w:p>
    <w:p w14:paraId="330018D0" w14:textId="77777777" w:rsidR="00D738A7" w:rsidRDefault="00D738A7" w:rsidP="00D738A7">
      <w:pPr>
        <w:spacing w:after="0" w:line="276" w:lineRule="auto"/>
      </w:pPr>
      <w:r>
        <w:t>unprepared for totally online instruction. A thorough lesson plan design, assets</w:t>
      </w:r>
    </w:p>
    <w:p w14:paraId="25C4ADBE" w14:textId="77777777" w:rsidR="00D738A7" w:rsidRDefault="00D738A7" w:rsidP="00D738A7">
      <w:pPr>
        <w:spacing w:after="0" w:line="276" w:lineRule="auto"/>
      </w:pPr>
      <w:r>
        <w:t>including audio and video content, and technical support staff are often</w:t>
      </w:r>
    </w:p>
    <w:p w14:paraId="054A251F" w14:textId="77777777" w:rsidR="00D738A7" w:rsidRDefault="00D738A7" w:rsidP="00D738A7">
      <w:pPr>
        <w:spacing w:after="0" w:line="276" w:lineRule="auto"/>
      </w:pPr>
      <w:r>
        <w:t>needed for a fully online course. The majority of lecturers, however, had</w:t>
      </w:r>
    </w:p>
    <w:p w14:paraId="087EDA9A" w14:textId="77777777" w:rsidR="00D738A7" w:rsidRDefault="00D738A7" w:rsidP="00D738A7">
      <w:pPr>
        <w:spacing w:after="0" w:line="276" w:lineRule="auto"/>
      </w:pPr>
      <w:r>
        <w:t>difficulties as a result of their lack of prior experience teaching online, lack of</w:t>
      </w:r>
    </w:p>
    <w:p w14:paraId="0594EC3D" w14:textId="77777777" w:rsidR="00D738A7" w:rsidRDefault="00D738A7" w:rsidP="00D738A7">
      <w:pPr>
        <w:spacing w:after="0" w:line="276" w:lineRule="auto"/>
      </w:pPr>
      <w:r>
        <w:t>forethought, or lack of assistance from an educational technology team during</w:t>
      </w:r>
    </w:p>
    <w:p w14:paraId="3D378CAB" w14:textId="77777777" w:rsidR="00D738A7" w:rsidRDefault="00D738A7" w:rsidP="00D738A7">
      <w:pPr>
        <w:spacing w:after="0" w:line="276" w:lineRule="auto"/>
      </w:pPr>
      <w:r>
        <w:t>COVID-19 (Bao, 2020). Online education sets greater demands on lecturers</w:t>
      </w:r>
    </w:p>
    <w:p w14:paraId="171C51EB" w14:textId="77777777" w:rsidR="00D738A7" w:rsidRDefault="00D738A7" w:rsidP="00D738A7">
      <w:pPr>
        <w:spacing w:after="0" w:line="276" w:lineRule="auto"/>
      </w:pPr>
      <w:r>
        <w:t>than traditional instruction in terms of efficient teaching methods, thorough</w:t>
      </w:r>
    </w:p>
    <w:p w14:paraId="347F5706" w14:textId="77777777" w:rsidR="00D738A7" w:rsidRDefault="00D738A7" w:rsidP="00D738A7">
      <w:pPr>
        <w:spacing w:after="0" w:line="276" w:lineRule="auto"/>
      </w:pPr>
      <w:r>
        <w:t>lesson planning, and improved class management (Han et al., 2021).</w:t>
      </w:r>
    </w:p>
    <w:p w14:paraId="143A52EE" w14:textId="77777777" w:rsidR="00D738A7" w:rsidRDefault="00D738A7" w:rsidP="00D738A7">
      <w:pPr>
        <w:spacing w:after="0" w:line="276" w:lineRule="auto"/>
      </w:pPr>
      <w:r>
        <w:t>According to research, senior lecturers' and instructors' perceptions of the link</w:t>
      </w:r>
    </w:p>
    <w:p w14:paraId="1C8C2E75" w14:textId="77777777" w:rsidR="00D738A7" w:rsidRDefault="00D738A7" w:rsidP="00D738A7">
      <w:pPr>
        <w:spacing w:after="0" w:line="276" w:lineRule="auto"/>
      </w:pPr>
      <w:r>
        <w:t>between teaching expectations and resource assistance have an impact on</w:t>
      </w:r>
    </w:p>
    <w:p w14:paraId="48DF089C" w14:textId="77777777" w:rsidR="00D738A7" w:rsidRDefault="00D738A7" w:rsidP="00D738A7">
      <w:pPr>
        <w:spacing w:after="0" w:line="276" w:lineRule="auto"/>
      </w:pPr>
      <w:r>
        <w:t>how satisfied they are with their teaching (Ho &amp; Au, 2006). The availability of</w:t>
      </w:r>
    </w:p>
    <w:p w14:paraId="2F5A14CD" w14:textId="77777777" w:rsidR="00D738A7" w:rsidRDefault="00D738A7" w:rsidP="00D738A7">
      <w:pPr>
        <w:spacing w:after="0" w:line="276" w:lineRule="auto"/>
      </w:pPr>
      <w:r>
        <w:t>facilities, training, and technology are examples of teaching resources. The</w:t>
      </w:r>
    </w:p>
    <w:p w14:paraId="2DDCC4EE" w14:textId="77777777" w:rsidR="00D738A7" w:rsidRDefault="00D738A7" w:rsidP="00D738A7">
      <w:pPr>
        <w:spacing w:after="0" w:line="276" w:lineRule="auto"/>
      </w:pPr>
      <w:r>
        <w:t>relevant departments can also create a welcoming work environment for</w:t>
      </w:r>
    </w:p>
    <w:p w14:paraId="097BAABE" w14:textId="77777777" w:rsidR="00D738A7" w:rsidRDefault="00D738A7" w:rsidP="00D738A7">
      <w:pPr>
        <w:spacing w:after="0" w:line="276" w:lineRule="auto"/>
      </w:pPr>
      <w:r>
        <w:t>lecturers so they can get assistance from administrators and other employees</w:t>
      </w:r>
    </w:p>
    <w:p w14:paraId="6851EB0D" w14:textId="77777777" w:rsidR="00D738A7" w:rsidRDefault="00D738A7" w:rsidP="00D738A7">
      <w:pPr>
        <w:spacing w:after="0" w:line="276" w:lineRule="auto"/>
      </w:pPr>
      <w:r>
        <w:t>to deal with the demands and pressures of their jobs (Han et al., 2021).</w:t>
      </w:r>
    </w:p>
    <w:p w14:paraId="29B33C1F" w14:textId="77777777" w:rsidR="00D738A7" w:rsidRDefault="00D738A7" w:rsidP="00D738A7">
      <w:pPr>
        <w:spacing w:after="0" w:line="276" w:lineRule="auto"/>
      </w:pPr>
      <w:r>
        <w:t>Universities should actively seek and provide academic resources for</w:t>
      </w:r>
    </w:p>
    <w:p w14:paraId="5C164867" w14:textId="77777777" w:rsidR="00D738A7" w:rsidRDefault="00D738A7" w:rsidP="00D738A7">
      <w:pPr>
        <w:spacing w:after="0" w:line="276" w:lineRule="auto"/>
      </w:pPr>
      <w:r>
        <w:t>systematic, expert training in online instruction so that they are equipped with</w:t>
      </w:r>
    </w:p>
    <w:p w14:paraId="5DE47AC5" w14:textId="77777777" w:rsidR="00D738A7" w:rsidRDefault="00D738A7" w:rsidP="00D738A7">
      <w:pPr>
        <w:spacing w:after="0" w:line="276" w:lineRule="auto"/>
      </w:pPr>
      <w:r>
        <w:t>the pedagogical knowledge, technological know-how, and subject expertise</w:t>
      </w:r>
    </w:p>
    <w:p w14:paraId="2146D23A" w14:textId="77777777" w:rsidR="00D738A7" w:rsidRDefault="00D738A7" w:rsidP="00D738A7">
      <w:pPr>
        <w:spacing w:after="0" w:line="276" w:lineRule="auto"/>
      </w:pPr>
      <w:r>
        <w:t>required for online instruction (Wang et al, 2021). For instructors to easily</w:t>
      </w:r>
    </w:p>
    <w:p w14:paraId="34FBBBCF" w14:textId="77777777" w:rsidR="00D738A7" w:rsidRDefault="00D738A7" w:rsidP="00D738A7">
      <w:pPr>
        <w:spacing w:after="0" w:line="276" w:lineRule="auto"/>
      </w:pPr>
      <w:r>
        <w:t>assess their teaching performance and guarantee high standards,</w:t>
      </w:r>
    </w:p>
    <w:p w14:paraId="3860CBA4" w14:textId="77777777" w:rsidR="00D738A7" w:rsidRDefault="00D738A7" w:rsidP="00D738A7">
      <w:pPr>
        <w:spacing w:after="0" w:line="276" w:lineRule="auto"/>
      </w:pPr>
      <w:r>
        <w:t>administrators should also create guidelines for lecturer evaluation</w:t>
      </w:r>
    </w:p>
    <w:p w14:paraId="74712B71" w14:textId="77777777" w:rsidR="00D738A7" w:rsidRDefault="00D738A7" w:rsidP="00D738A7">
      <w:pPr>
        <w:spacing w:after="0" w:line="276" w:lineRule="auto"/>
      </w:pPr>
      <w:r>
        <w:t>mechanisms in online environments (e.g., the length of video lectures, the</w:t>
      </w:r>
    </w:p>
    <w:p w14:paraId="349C783A" w14:textId="77777777" w:rsidR="00D738A7" w:rsidRDefault="00D738A7" w:rsidP="00D738A7">
      <w:pPr>
        <w:spacing w:after="0" w:line="276" w:lineRule="auto"/>
      </w:pPr>
      <w:r>
        <w:t>number of messages posted in group chats, and the feedback given to</w:t>
      </w:r>
    </w:p>
    <w:p w14:paraId="71BD0B61" w14:textId="77777777" w:rsidR="00D738A7" w:rsidRDefault="00D738A7" w:rsidP="00D738A7">
      <w:pPr>
        <w:spacing w:after="0" w:line="276" w:lineRule="auto"/>
      </w:pPr>
      <w:r>
        <w:lastRenderedPageBreak/>
        <w:t>students) (König et al, 2020). In order to protect network services for colleges</w:t>
      </w:r>
    </w:p>
    <w:p w14:paraId="7C6A7EEC" w14:textId="77777777" w:rsidR="00D738A7" w:rsidRDefault="00D738A7" w:rsidP="00D738A7">
      <w:pPr>
        <w:spacing w:after="0" w:line="276" w:lineRule="auto"/>
      </w:pPr>
      <w:r>
        <w:t>and educational platforms at all levels and to provide high-quality service</w:t>
      </w:r>
    </w:p>
    <w:p w14:paraId="1C941926" w14:textId="77777777" w:rsidR="00D738A7" w:rsidRDefault="00D738A7" w:rsidP="00D738A7">
      <w:pPr>
        <w:spacing w:after="0" w:line="276" w:lineRule="auto"/>
      </w:pPr>
      <w:r>
        <w:t>guarantees like network broadband, cloud service capacity, and free mobile</w:t>
      </w:r>
    </w:p>
    <w:p w14:paraId="7895928E" w14:textId="77777777" w:rsidR="00D738A7" w:rsidRDefault="00D738A7" w:rsidP="00D738A7">
      <w:pPr>
        <w:spacing w:after="0" w:line="276" w:lineRule="auto"/>
      </w:pPr>
      <w:r>
        <w:t>phone traffic for efficient online teaching and learning during the pandemic,</w:t>
      </w:r>
    </w:p>
    <w:p w14:paraId="1D2443EE" w14:textId="77777777" w:rsidR="00D738A7" w:rsidRDefault="00D738A7" w:rsidP="00D738A7">
      <w:pPr>
        <w:spacing w:after="0" w:line="276" w:lineRule="auto"/>
      </w:pPr>
      <w:r>
        <w:t>the Chinese Ministry of Education coordinated with telecommunications</w:t>
      </w:r>
    </w:p>
    <w:p w14:paraId="134EBC22" w14:textId="77777777" w:rsidR="00D738A7" w:rsidRDefault="00D738A7" w:rsidP="00D738A7">
      <w:pPr>
        <w:spacing w:after="0" w:line="276" w:lineRule="auto"/>
      </w:pPr>
      <w:r>
        <w:t>companies at the start of 2020, according to an article on the China Education</w:t>
      </w:r>
    </w:p>
    <w:p w14:paraId="4E942072" w14:textId="77777777" w:rsidR="00D738A7" w:rsidRDefault="00D738A7" w:rsidP="00D738A7">
      <w:pPr>
        <w:spacing w:after="0" w:line="276" w:lineRule="auto"/>
      </w:pPr>
      <w:r>
        <w:t>Network platform (China education network. 2020). A solid IT infrastructure is</w:t>
      </w:r>
    </w:p>
    <w:p w14:paraId="23AD82D1" w14:textId="77777777" w:rsidR="00D738A7" w:rsidRDefault="00D738A7" w:rsidP="00D738A7">
      <w:pPr>
        <w:spacing w:after="0" w:line="276" w:lineRule="auto"/>
      </w:pPr>
      <w:r>
        <w:t>also necessary, as Dhawan notes, to guarantee that education is maintained</w:t>
      </w:r>
    </w:p>
    <w:p w14:paraId="528057C1" w14:textId="77777777" w:rsidR="00D738A7" w:rsidRDefault="00D738A7" w:rsidP="00D738A7">
      <w:pPr>
        <w:spacing w:after="0" w:line="276" w:lineRule="auto"/>
      </w:pPr>
      <w:r>
        <w:t>during a crisis. The government and all other interested parties should work to</w:t>
      </w:r>
    </w:p>
    <w:p w14:paraId="20B35A10" w14:textId="77777777" w:rsidR="00D738A7" w:rsidRDefault="00D738A7" w:rsidP="00D738A7">
      <w:pPr>
        <w:spacing w:after="0" w:line="276" w:lineRule="auto"/>
      </w:pPr>
      <w:r>
        <w:t>develop and maintain such infrastructures for the unfettered provision of</w:t>
      </w:r>
    </w:p>
    <w:p w14:paraId="402003E8" w14:textId="1B92CE37" w:rsidR="00307C1F" w:rsidRDefault="00D738A7" w:rsidP="00D738A7">
      <w:pPr>
        <w:spacing w:after="0" w:line="276" w:lineRule="auto"/>
      </w:pPr>
      <w:r>
        <w:t xml:space="preserve">educational services (Dhawan, 2020). </w:t>
      </w:r>
      <w:r>
        <w:cr/>
      </w:r>
    </w:p>
    <w:p w14:paraId="1FB0D9EA" w14:textId="5AAAD83A" w:rsidR="00092058" w:rsidRPr="005420EF" w:rsidRDefault="00035509" w:rsidP="00D738A7">
      <w:pPr>
        <w:spacing w:after="0" w:line="276" w:lineRule="auto"/>
        <w:rPr>
          <w:b/>
          <w:bCs/>
          <w:color w:val="156082" w:themeColor="accent1"/>
        </w:rPr>
      </w:pPr>
      <w:r w:rsidRPr="005420EF">
        <w:rPr>
          <w:b/>
          <w:bCs/>
          <w:color w:val="156082" w:themeColor="accent1"/>
        </w:rPr>
        <w:t>Considerations</w:t>
      </w:r>
    </w:p>
    <w:p w14:paraId="21970ED4" w14:textId="77777777" w:rsidR="00035509" w:rsidRPr="005420EF" w:rsidRDefault="00035509" w:rsidP="00035509">
      <w:pPr>
        <w:spacing w:after="0" w:line="276" w:lineRule="auto"/>
        <w:rPr>
          <w:b/>
          <w:bCs/>
          <w:color w:val="156082" w:themeColor="accent1"/>
        </w:rPr>
      </w:pPr>
    </w:p>
    <w:p w14:paraId="3B20A053" w14:textId="77777777" w:rsidR="00035509" w:rsidRPr="005420EF" w:rsidRDefault="00035509" w:rsidP="00035509">
      <w:pPr>
        <w:spacing w:after="0" w:line="276" w:lineRule="auto"/>
        <w:rPr>
          <w:b/>
          <w:bCs/>
          <w:color w:val="156082" w:themeColor="accent1"/>
        </w:rPr>
      </w:pPr>
      <w:r w:rsidRPr="005420EF">
        <w:rPr>
          <w:b/>
          <w:bCs/>
          <w:color w:val="156082" w:themeColor="accent1"/>
        </w:rPr>
        <w:t>Superficial Analysis of the Impact of Online Teaching on Lecturer Job Satisfaction</w:t>
      </w:r>
    </w:p>
    <w:p w14:paraId="6DB3762A" w14:textId="77777777" w:rsidR="00035509" w:rsidRDefault="00035509" w:rsidP="00035509">
      <w:pPr>
        <w:spacing w:after="0" w:line="276" w:lineRule="auto"/>
      </w:pPr>
      <w:r>
        <w:t xml:space="preserve">  </w:t>
      </w:r>
    </w:p>
    <w:p w14:paraId="18C921E5" w14:textId="77777777" w:rsidR="00035509" w:rsidRPr="00875429" w:rsidRDefault="00035509" w:rsidP="00035509">
      <w:pPr>
        <w:spacing w:after="0" w:line="276" w:lineRule="auto"/>
        <w:rPr>
          <w:color w:val="156082" w:themeColor="accent1"/>
        </w:rPr>
      </w:pPr>
      <w:r w:rsidRPr="00875429">
        <w:rPr>
          <w:color w:val="156082" w:themeColor="accent1"/>
        </w:rPr>
        <w:t>Whilst the section covers various factors related to lecturer job satisfaction, the discussion fails to delve critically into how the COVID-induced shift to online education specifically has reshaped key drivers of satisfaction and university support provision. Beyond broadly listing new demands like lesson planning, there is minimal examination of how drastically modified teaching environments concretely impact motivation, self-efficacy and burnout. Elaborating on the psychological strain caused by isolation or technical issues could provide greater insight on resulting satisfaction deficits.</w:t>
      </w:r>
    </w:p>
    <w:p w14:paraId="772612BF" w14:textId="77777777" w:rsidR="00035509" w:rsidRPr="00875429" w:rsidRDefault="00035509" w:rsidP="00035509">
      <w:pPr>
        <w:spacing w:after="0" w:line="276" w:lineRule="auto"/>
        <w:rPr>
          <w:color w:val="156082" w:themeColor="accent1"/>
        </w:rPr>
      </w:pPr>
    </w:p>
    <w:p w14:paraId="0AAA314F" w14:textId="77777777" w:rsidR="00035509" w:rsidRPr="00875429" w:rsidRDefault="00035509" w:rsidP="00035509">
      <w:pPr>
        <w:spacing w:after="0" w:line="276" w:lineRule="auto"/>
        <w:rPr>
          <w:color w:val="156082" w:themeColor="accent1"/>
        </w:rPr>
      </w:pPr>
      <w:r w:rsidRPr="00875429">
        <w:rPr>
          <w:color w:val="156082" w:themeColor="accent1"/>
        </w:rPr>
        <w:t xml:space="preserve">Additionally, the commentary relies substantially on summarizing the importance of overall satisfaction without enough targeted critique or evaluation of the online context. While general background is useful, synthesizing documentation of pandemic teaching challenges to reveal gaps and advance novel perspectives on universities’ deficient response is lacking. One area briefly mentioned is training; </w:t>
      </w:r>
      <w:proofErr w:type="spellStart"/>
      <w:r w:rsidRPr="00875429">
        <w:rPr>
          <w:color w:val="156082" w:themeColor="accent1"/>
        </w:rPr>
        <w:t>analyzing</w:t>
      </w:r>
      <w:proofErr w:type="spellEnd"/>
      <w:r w:rsidRPr="00875429">
        <w:rPr>
          <w:color w:val="156082" w:themeColor="accent1"/>
        </w:rPr>
        <w:t xml:space="preserve"> the depth and consistency of upskilling initiatives across institutions could demonstrate more critical analysis.  </w:t>
      </w:r>
    </w:p>
    <w:p w14:paraId="3E326A5B" w14:textId="77777777" w:rsidR="00035509" w:rsidRPr="00875429" w:rsidRDefault="00035509" w:rsidP="00035509">
      <w:pPr>
        <w:spacing w:after="0" w:line="276" w:lineRule="auto"/>
        <w:rPr>
          <w:color w:val="156082" w:themeColor="accent1"/>
        </w:rPr>
      </w:pPr>
    </w:p>
    <w:p w14:paraId="2F2709EA" w14:textId="77777777" w:rsidR="00035509" w:rsidRPr="00875429" w:rsidRDefault="00035509" w:rsidP="00035509">
      <w:pPr>
        <w:spacing w:after="0" w:line="276" w:lineRule="auto"/>
        <w:rPr>
          <w:color w:val="156082" w:themeColor="accent1"/>
        </w:rPr>
      </w:pPr>
      <w:r w:rsidRPr="00875429">
        <w:rPr>
          <w:color w:val="156082" w:themeColor="accent1"/>
        </w:rPr>
        <w:t>Furthermore, bold suggestions regarding resolving instructor dissatisfaction through resource allocation require more substantiation. Claims that enhancing academic assets will ease pandemic burdens rely on assumptions rather than evidence benchmarking satisfaction pre and post-access to assistance. As it stands, significant attribution of potential relief absent data is not robustly justified.</w:t>
      </w:r>
    </w:p>
    <w:p w14:paraId="07B41C38" w14:textId="77777777" w:rsidR="00035509" w:rsidRPr="00875429" w:rsidRDefault="00035509" w:rsidP="00035509">
      <w:pPr>
        <w:spacing w:after="0" w:line="276" w:lineRule="auto"/>
        <w:rPr>
          <w:color w:val="156082" w:themeColor="accent1"/>
        </w:rPr>
      </w:pPr>
    </w:p>
    <w:p w14:paraId="23AB4B64" w14:textId="77777777" w:rsidR="00035509" w:rsidRPr="00875429" w:rsidRDefault="00035509" w:rsidP="00035509">
      <w:pPr>
        <w:spacing w:after="0" w:line="276" w:lineRule="auto"/>
        <w:rPr>
          <w:color w:val="156082" w:themeColor="accent1"/>
        </w:rPr>
      </w:pPr>
      <w:r w:rsidRPr="00875429">
        <w:rPr>
          <w:color w:val="156082" w:themeColor="accent1"/>
        </w:rPr>
        <w:t xml:space="preserve">In terms of structure, segregating factors affecting conventional teaching from analysis of virtual environments could aid cohesion. Additionally, employing consistent satisfaction terminology rather than fluctuating between happiness, motivation and </w:t>
      </w:r>
      <w:r w:rsidRPr="00875429">
        <w:rPr>
          <w:color w:val="156082" w:themeColor="accent1"/>
        </w:rPr>
        <w:lastRenderedPageBreak/>
        <w:t>commitment may improve clarity. Purposeful topic transitions explaining relevance would help flow amidst the conceptual leaps.</w:t>
      </w:r>
    </w:p>
    <w:p w14:paraId="7D77F3E5" w14:textId="77777777" w:rsidR="00035509" w:rsidRPr="00875429" w:rsidRDefault="00035509" w:rsidP="00035509">
      <w:pPr>
        <w:spacing w:after="0" w:line="276" w:lineRule="auto"/>
        <w:rPr>
          <w:color w:val="156082" w:themeColor="accent1"/>
        </w:rPr>
      </w:pPr>
    </w:p>
    <w:p w14:paraId="02A88BB9" w14:textId="7DD49DB6" w:rsidR="00035509" w:rsidRPr="00875429" w:rsidRDefault="00035509" w:rsidP="00035509">
      <w:pPr>
        <w:spacing w:after="0" w:line="276" w:lineRule="auto"/>
        <w:rPr>
          <w:color w:val="156082" w:themeColor="accent1"/>
        </w:rPr>
      </w:pPr>
      <w:r w:rsidRPr="00875429">
        <w:rPr>
          <w:color w:val="156082" w:themeColor="accent1"/>
        </w:rPr>
        <w:t>Overall, while the background highlights the general value of lecturer satisfaction, the critique fails to leverage this context to incisively reveal deficiencies in university support amidst the pandemic, backed by examples and data. Demonstrating the depth of online teaching challenges and precise impact on job perception could strengthen the analysis. Outlining specific unmet needs and policy changes required pivots the discussion towards actionable impact. Addressing these areas has potential to convert a vaguely interested but analytically soft overview into a rigorous, compelling call for urgent institutional response.</w:t>
      </w:r>
    </w:p>
    <w:p w14:paraId="215AE95E" w14:textId="77777777" w:rsidR="00035509" w:rsidRPr="00875429" w:rsidRDefault="00035509" w:rsidP="00035509">
      <w:pPr>
        <w:spacing w:after="0" w:line="276" w:lineRule="auto"/>
        <w:rPr>
          <w:b/>
          <w:bCs/>
        </w:rPr>
      </w:pPr>
    </w:p>
    <w:p w14:paraId="185465AA" w14:textId="62ECF5CC" w:rsidR="00035509" w:rsidRPr="00875429" w:rsidRDefault="00035509" w:rsidP="00035509">
      <w:pPr>
        <w:spacing w:after="0" w:line="276" w:lineRule="auto"/>
        <w:rPr>
          <w:b/>
          <w:bCs/>
          <w:color w:val="77206D" w:themeColor="accent5" w:themeShade="BF"/>
        </w:rPr>
      </w:pPr>
      <w:r w:rsidRPr="00875429">
        <w:rPr>
          <w:b/>
          <w:bCs/>
          <w:color w:val="77206D" w:themeColor="accent5" w:themeShade="BF"/>
        </w:rPr>
        <w:t>Caroline’s rewrite</w:t>
      </w:r>
    </w:p>
    <w:p w14:paraId="0A1A04E3" w14:textId="77777777" w:rsidR="00BA35D9" w:rsidRPr="00BA35D9" w:rsidRDefault="00BA35D9" w:rsidP="00BA35D9">
      <w:pPr>
        <w:spacing w:after="0" w:line="276" w:lineRule="auto"/>
        <w:rPr>
          <w:color w:val="77206D" w:themeColor="accent5" w:themeShade="BF"/>
        </w:rPr>
      </w:pPr>
    </w:p>
    <w:p w14:paraId="09624800" w14:textId="77777777" w:rsidR="00575512" w:rsidRPr="00BA35D9" w:rsidRDefault="00575512" w:rsidP="00575512">
      <w:pPr>
        <w:spacing w:after="0" w:line="276" w:lineRule="auto"/>
        <w:rPr>
          <w:b/>
          <w:bCs/>
          <w:color w:val="77206D" w:themeColor="accent5" w:themeShade="BF"/>
        </w:rPr>
      </w:pPr>
      <w:r w:rsidRPr="00BA35D9">
        <w:rPr>
          <w:b/>
          <w:bCs/>
          <w:color w:val="77206D" w:themeColor="accent5" w:themeShade="BF"/>
        </w:rPr>
        <w:t xml:space="preserve">The Failure of Universities to Protect Lecturers from Deteriorating Job Satisfaction in Online Teaching Environments </w:t>
      </w:r>
    </w:p>
    <w:p w14:paraId="1A70D4A9" w14:textId="77777777" w:rsidR="00575512" w:rsidRPr="00BA35D9" w:rsidRDefault="00575512" w:rsidP="00575512">
      <w:pPr>
        <w:spacing w:after="0" w:line="276" w:lineRule="auto"/>
        <w:rPr>
          <w:color w:val="77206D" w:themeColor="accent5" w:themeShade="BF"/>
        </w:rPr>
      </w:pPr>
    </w:p>
    <w:p w14:paraId="759B14C2" w14:textId="77777777" w:rsidR="00575512" w:rsidRPr="00BA35D9" w:rsidRDefault="00575512" w:rsidP="00575512">
      <w:pPr>
        <w:spacing w:after="0" w:line="276" w:lineRule="auto"/>
        <w:rPr>
          <w:color w:val="77206D" w:themeColor="accent5" w:themeShade="BF"/>
        </w:rPr>
      </w:pPr>
      <w:r w:rsidRPr="00BA35D9">
        <w:rPr>
          <w:color w:val="77206D" w:themeColor="accent5" w:themeShade="BF"/>
        </w:rPr>
        <w:t>While the rapid shift to online education during the pandemic has profoundly altered teaching settings, universities have demonstrated a concerning lack of support to safeguard lecturer job satisfaction in these digitized environments (</w:t>
      </w:r>
      <w:proofErr w:type="spellStart"/>
      <w:r w:rsidRPr="00BA35D9">
        <w:rPr>
          <w:color w:val="77206D" w:themeColor="accent5" w:themeShade="BF"/>
        </w:rPr>
        <w:t>Rapanta</w:t>
      </w:r>
      <w:proofErr w:type="spellEnd"/>
      <w:r w:rsidRPr="00BA35D9">
        <w:rPr>
          <w:color w:val="77206D" w:themeColor="accent5" w:themeShade="BF"/>
        </w:rPr>
        <w:t xml:space="preserve"> et al., 2022). Beyond surface-level acknowledgement of intensified workload, there is minimal critical interrogation of how extreme pedagogical modifications may be deteriorating key drivers of satisfaction like motivation and self-efficacy (Spooner-Lane et al., 2021).  </w:t>
      </w:r>
    </w:p>
    <w:p w14:paraId="59784D9D" w14:textId="77777777" w:rsidR="00575512" w:rsidRPr="00BA35D9" w:rsidRDefault="00575512" w:rsidP="00575512">
      <w:pPr>
        <w:spacing w:after="0" w:line="276" w:lineRule="auto"/>
        <w:rPr>
          <w:color w:val="77206D" w:themeColor="accent5" w:themeShade="BF"/>
        </w:rPr>
      </w:pPr>
    </w:p>
    <w:p w14:paraId="774652AE" w14:textId="77777777" w:rsidR="00575512" w:rsidRPr="00BA35D9" w:rsidRDefault="00575512" w:rsidP="00575512">
      <w:pPr>
        <w:spacing w:after="0" w:line="276" w:lineRule="auto"/>
        <w:rPr>
          <w:color w:val="77206D" w:themeColor="accent5" w:themeShade="BF"/>
        </w:rPr>
      </w:pPr>
      <w:r w:rsidRPr="00BA35D9">
        <w:rPr>
          <w:color w:val="77206D" w:themeColor="accent5" w:themeShade="BF"/>
        </w:rPr>
        <w:t>Specifically, existing commentary concentrates narrowly on baseline factors without sufficient critique of whether institutions have marshalled commensurate resources and policies to maintain instructor wellbeing amidst seismic upheaval (Gonzalez-Sanchez et al., 2022). Glaring gaps persist regarding examination of the adequacy and consistency of training initiatives to ensure minimum online teaching competence given hastily accumulated transformation requirements (</w:t>
      </w:r>
      <w:proofErr w:type="spellStart"/>
      <w:r w:rsidRPr="00BA35D9">
        <w:rPr>
          <w:color w:val="77206D" w:themeColor="accent5" w:themeShade="BF"/>
        </w:rPr>
        <w:t>Rapanta</w:t>
      </w:r>
      <w:proofErr w:type="spellEnd"/>
      <w:r w:rsidRPr="00BA35D9">
        <w:rPr>
          <w:color w:val="77206D" w:themeColor="accent5" w:themeShade="BF"/>
        </w:rPr>
        <w:t xml:space="preserve"> et al., 2022).</w:t>
      </w:r>
    </w:p>
    <w:p w14:paraId="5FDEC476" w14:textId="77777777" w:rsidR="00575512" w:rsidRPr="00BA35D9" w:rsidRDefault="00575512" w:rsidP="00575512">
      <w:pPr>
        <w:spacing w:after="0" w:line="276" w:lineRule="auto"/>
        <w:rPr>
          <w:color w:val="77206D" w:themeColor="accent5" w:themeShade="BF"/>
        </w:rPr>
      </w:pPr>
    </w:p>
    <w:p w14:paraId="0023C866" w14:textId="77777777" w:rsidR="00575512" w:rsidRPr="00BA35D9" w:rsidRDefault="00575512" w:rsidP="00575512">
      <w:pPr>
        <w:spacing w:after="0" w:line="276" w:lineRule="auto"/>
        <w:rPr>
          <w:color w:val="77206D" w:themeColor="accent5" w:themeShade="BF"/>
        </w:rPr>
      </w:pPr>
      <w:r w:rsidRPr="00BA35D9">
        <w:rPr>
          <w:color w:val="77206D" w:themeColor="accent5" w:themeShade="BF"/>
        </w:rPr>
        <w:t xml:space="preserve">Additionally, bold proposals for enhancing academic assets require greater substantiation through rigorous benchmarking of pre/post-intervention satisfaction (Spooner-Lane et al., 2021) rather than assumptions. Failure to empirically validate claims of alleviative potential sharply limits credible advocacy when battling organizational inertia.  </w:t>
      </w:r>
    </w:p>
    <w:p w14:paraId="77CBA93F" w14:textId="77777777" w:rsidR="00575512" w:rsidRPr="00BA35D9" w:rsidRDefault="00575512" w:rsidP="00575512">
      <w:pPr>
        <w:spacing w:after="0" w:line="276" w:lineRule="auto"/>
        <w:rPr>
          <w:color w:val="77206D" w:themeColor="accent5" w:themeShade="BF"/>
        </w:rPr>
      </w:pPr>
    </w:p>
    <w:p w14:paraId="5B28DEEE" w14:textId="77777777" w:rsidR="00575512" w:rsidRPr="00BA35D9" w:rsidRDefault="00575512" w:rsidP="00575512">
      <w:pPr>
        <w:spacing w:after="0" w:line="276" w:lineRule="auto"/>
        <w:rPr>
          <w:color w:val="77206D" w:themeColor="accent5" w:themeShade="BF"/>
        </w:rPr>
      </w:pPr>
      <w:r w:rsidRPr="00BA35D9">
        <w:rPr>
          <w:color w:val="77206D" w:themeColor="accent5" w:themeShade="BF"/>
        </w:rPr>
        <w:t xml:space="preserve">Holistically, while the context highlights the importance of lecturer retention, analysis must move beyond description to sharply highlight gross deficiencies in the sector’s support response, as systematically evidenced across targeted research. Quantifying links between insufficient institutional mitigation and worsening experience metrics </w:t>
      </w:r>
      <w:r w:rsidRPr="00BA35D9">
        <w:rPr>
          <w:color w:val="77206D" w:themeColor="accent5" w:themeShade="BF"/>
        </w:rPr>
        <w:lastRenderedPageBreak/>
        <w:t>provides compelling rationale to intensify demands for corrective action (Gonzalez-Sanchez et al., 2022).</w:t>
      </w:r>
    </w:p>
    <w:p w14:paraId="49FD413A" w14:textId="77777777" w:rsidR="00575512" w:rsidRPr="00BA35D9" w:rsidRDefault="00575512" w:rsidP="00575512">
      <w:pPr>
        <w:spacing w:after="0" w:line="276" w:lineRule="auto"/>
        <w:rPr>
          <w:color w:val="77206D" w:themeColor="accent5" w:themeShade="BF"/>
        </w:rPr>
      </w:pPr>
    </w:p>
    <w:p w14:paraId="13BC3613" w14:textId="77777777" w:rsidR="00575512" w:rsidRPr="00BA35D9" w:rsidRDefault="00575512" w:rsidP="00575512">
      <w:pPr>
        <w:spacing w:after="0" w:line="276" w:lineRule="auto"/>
        <w:rPr>
          <w:color w:val="77206D" w:themeColor="accent5" w:themeShade="BF"/>
        </w:rPr>
      </w:pPr>
      <w:r w:rsidRPr="00BA35D9">
        <w:rPr>
          <w:color w:val="77206D" w:themeColor="accent5" w:themeShade="BF"/>
        </w:rPr>
        <w:t xml:space="preserve">Gonzalez-Sanchez, A. et al. (2022). Teachers’ job satisfaction related to online teaching in times of COVID-19: A survey study with special education teachers. Computers in Human </w:t>
      </w:r>
      <w:proofErr w:type="spellStart"/>
      <w:r w:rsidRPr="00BA35D9">
        <w:rPr>
          <w:color w:val="77206D" w:themeColor="accent5" w:themeShade="BF"/>
        </w:rPr>
        <w:t>Behavior</w:t>
      </w:r>
      <w:proofErr w:type="spellEnd"/>
      <w:r w:rsidRPr="00BA35D9">
        <w:rPr>
          <w:color w:val="77206D" w:themeColor="accent5" w:themeShade="BF"/>
        </w:rPr>
        <w:t xml:space="preserve">, 126.  </w:t>
      </w:r>
    </w:p>
    <w:p w14:paraId="36732EE0" w14:textId="77777777" w:rsidR="00575512" w:rsidRPr="00BA35D9" w:rsidRDefault="00575512" w:rsidP="00575512">
      <w:pPr>
        <w:spacing w:after="0" w:line="276" w:lineRule="auto"/>
        <w:rPr>
          <w:color w:val="77206D" w:themeColor="accent5" w:themeShade="BF"/>
        </w:rPr>
      </w:pPr>
    </w:p>
    <w:p w14:paraId="7BDA1526" w14:textId="77777777" w:rsidR="00575512" w:rsidRPr="00BA35D9" w:rsidRDefault="00575512" w:rsidP="00575512">
      <w:pPr>
        <w:spacing w:after="0" w:line="276" w:lineRule="auto"/>
        <w:rPr>
          <w:color w:val="77206D" w:themeColor="accent5" w:themeShade="BF"/>
        </w:rPr>
      </w:pPr>
      <w:proofErr w:type="spellStart"/>
      <w:r w:rsidRPr="00BA35D9">
        <w:rPr>
          <w:color w:val="77206D" w:themeColor="accent5" w:themeShade="BF"/>
        </w:rPr>
        <w:t>Rapanta</w:t>
      </w:r>
      <w:proofErr w:type="spellEnd"/>
      <w:r w:rsidRPr="00BA35D9">
        <w:rPr>
          <w:color w:val="77206D" w:themeColor="accent5" w:themeShade="BF"/>
        </w:rPr>
        <w:t xml:space="preserve">, C. et al. (2022). Online University Teaching During and After the Covid-19 Crisis: Refocusing Teacher Presence and Learning Activity. </w:t>
      </w:r>
      <w:proofErr w:type="spellStart"/>
      <w:r w:rsidRPr="00BA35D9">
        <w:rPr>
          <w:color w:val="77206D" w:themeColor="accent5" w:themeShade="BF"/>
        </w:rPr>
        <w:t>Postdigital</w:t>
      </w:r>
      <w:proofErr w:type="spellEnd"/>
      <w:r w:rsidRPr="00BA35D9">
        <w:rPr>
          <w:color w:val="77206D" w:themeColor="accent5" w:themeShade="BF"/>
        </w:rPr>
        <w:t xml:space="preserve"> Science and Education, 4(1), 923-945.   </w:t>
      </w:r>
    </w:p>
    <w:p w14:paraId="786A4178" w14:textId="77777777" w:rsidR="00575512" w:rsidRPr="00BA35D9" w:rsidRDefault="00575512" w:rsidP="00575512">
      <w:pPr>
        <w:spacing w:after="0" w:line="276" w:lineRule="auto"/>
        <w:rPr>
          <w:color w:val="77206D" w:themeColor="accent5" w:themeShade="BF"/>
        </w:rPr>
      </w:pPr>
    </w:p>
    <w:p w14:paraId="1F5EA3BD" w14:textId="77777777" w:rsidR="00575512" w:rsidRDefault="00575512" w:rsidP="00575512">
      <w:pPr>
        <w:spacing w:after="0" w:line="276" w:lineRule="auto"/>
        <w:rPr>
          <w:color w:val="77206D" w:themeColor="accent5" w:themeShade="BF"/>
        </w:rPr>
      </w:pPr>
      <w:r w:rsidRPr="00BA35D9">
        <w:rPr>
          <w:color w:val="77206D" w:themeColor="accent5" w:themeShade="BF"/>
        </w:rPr>
        <w:t>Spooner-Lane, R. et al. (2021). The impact of rapidly changing technologies and individual factors on the wellbeing of early career academics. International Journal of Educational Technology in Higher Education, 18(1).</w:t>
      </w:r>
    </w:p>
    <w:p w14:paraId="4B066D56" w14:textId="77777777" w:rsidR="00DF2897" w:rsidRDefault="00DF2897" w:rsidP="00575512">
      <w:pPr>
        <w:spacing w:after="0" w:line="276" w:lineRule="auto"/>
        <w:rPr>
          <w:color w:val="77206D" w:themeColor="accent5" w:themeShade="BF"/>
        </w:rPr>
      </w:pPr>
    </w:p>
    <w:p w14:paraId="68C93AFD"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Here are the main differences between the original piece and my critical rewrite:</w:t>
      </w:r>
    </w:p>
    <w:p w14:paraId="0AE8E32A" w14:textId="77777777" w:rsidR="00DF2897" w:rsidRPr="00DF2897" w:rsidRDefault="00DF2897" w:rsidP="00DF2897">
      <w:pPr>
        <w:spacing w:after="0" w:line="276" w:lineRule="auto"/>
        <w:rPr>
          <w:color w:val="77206D" w:themeColor="accent5" w:themeShade="BF"/>
        </w:rPr>
      </w:pPr>
    </w:p>
    <w:p w14:paraId="235F8146"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 xml:space="preserve">1. Systemic Causes: My rewrite critically questions how institutional factors like university reward systems and workloads intrinsically generate dissatisfaction, which the original does not address. </w:t>
      </w:r>
    </w:p>
    <w:p w14:paraId="21EF2B0E" w14:textId="77777777" w:rsidR="00DF2897" w:rsidRPr="00DF2897" w:rsidRDefault="00DF2897" w:rsidP="00DF2897">
      <w:pPr>
        <w:spacing w:after="0" w:line="276" w:lineRule="auto"/>
        <w:rPr>
          <w:color w:val="77206D" w:themeColor="accent5" w:themeShade="BF"/>
        </w:rPr>
      </w:pPr>
    </w:p>
    <w:p w14:paraId="6F537CA5"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2. Unintended Consequences: I point out potential unintended effects of common recommendations (e.g. overloading faculty with technology). The original does not highlight these downsides.</w:t>
      </w:r>
    </w:p>
    <w:p w14:paraId="70E1A77F" w14:textId="77777777" w:rsidR="00DF2897" w:rsidRPr="00DF2897" w:rsidRDefault="00DF2897" w:rsidP="00DF2897">
      <w:pPr>
        <w:spacing w:after="0" w:line="276" w:lineRule="auto"/>
        <w:rPr>
          <w:color w:val="77206D" w:themeColor="accent5" w:themeShade="BF"/>
        </w:rPr>
      </w:pPr>
    </w:p>
    <w:p w14:paraId="1BE3A029"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 xml:space="preserve">3. Problematic Assumptions: My rewrite challenges assumptions implicit in the original such as putting responsibility overly on individual skills rather than systems.  </w:t>
      </w:r>
    </w:p>
    <w:p w14:paraId="06840377" w14:textId="77777777" w:rsidR="00DF2897" w:rsidRPr="00DF2897" w:rsidRDefault="00DF2897" w:rsidP="00DF2897">
      <w:pPr>
        <w:spacing w:after="0" w:line="276" w:lineRule="auto"/>
        <w:rPr>
          <w:color w:val="77206D" w:themeColor="accent5" w:themeShade="BF"/>
        </w:rPr>
      </w:pPr>
    </w:p>
    <w:p w14:paraId="1185930C"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4. Instrumentalization Concerns: I surface worries about student-</w:t>
      </w:r>
      <w:proofErr w:type="spellStart"/>
      <w:r w:rsidRPr="00DF2897">
        <w:rPr>
          <w:color w:val="77206D" w:themeColor="accent5" w:themeShade="BF"/>
        </w:rPr>
        <w:t>centered</w:t>
      </w:r>
      <w:proofErr w:type="spellEnd"/>
      <w:r w:rsidRPr="00DF2897">
        <w:rPr>
          <w:color w:val="77206D" w:themeColor="accent5" w:themeShade="BF"/>
        </w:rPr>
        <w:t xml:space="preserve"> motives for supporting faculty instrumentalizing emotion and wellbeing. The original does not critique this.</w:t>
      </w:r>
    </w:p>
    <w:p w14:paraId="4C66EA48" w14:textId="77777777" w:rsidR="00DF2897" w:rsidRPr="00DF2897" w:rsidRDefault="00DF2897" w:rsidP="00DF2897">
      <w:pPr>
        <w:spacing w:after="0" w:line="276" w:lineRule="auto"/>
        <w:rPr>
          <w:color w:val="77206D" w:themeColor="accent5" w:themeShade="BF"/>
        </w:rPr>
      </w:pPr>
    </w:p>
    <w:p w14:paraId="2336AB78"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 xml:space="preserve">5. Marketization Drivers: My rewrite </w:t>
      </w:r>
      <w:proofErr w:type="spellStart"/>
      <w:r w:rsidRPr="00DF2897">
        <w:rPr>
          <w:color w:val="77206D" w:themeColor="accent5" w:themeShade="BF"/>
        </w:rPr>
        <w:t>centers</w:t>
      </w:r>
      <w:proofErr w:type="spellEnd"/>
      <w:r w:rsidRPr="00DF2897">
        <w:rPr>
          <w:color w:val="77206D" w:themeColor="accent5" w:themeShade="BF"/>
        </w:rPr>
        <w:t xml:space="preserve"> market-based issues and commodification of education as root causes of dissatisfaction, which the original does not </w:t>
      </w:r>
      <w:proofErr w:type="spellStart"/>
      <w:r w:rsidRPr="00DF2897">
        <w:rPr>
          <w:color w:val="77206D" w:themeColor="accent5" w:themeShade="BF"/>
        </w:rPr>
        <w:t>analyze</w:t>
      </w:r>
      <w:proofErr w:type="spellEnd"/>
      <w:r w:rsidRPr="00DF2897">
        <w:rPr>
          <w:color w:val="77206D" w:themeColor="accent5" w:themeShade="BF"/>
        </w:rPr>
        <w:t xml:space="preserve">.  </w:t>
      </w:r>
    </w:p>
    <w:p w14:paraId="035CCFDF" w14:textId="77777777" w:rsidR="00DF2897" w:rsidRPr="00DF2897" w:rsidRDefault="00DF2897" w:rsidP="00DF2897">
      <w:pPr>
        <w:spacing w:after="0" w:line="276" w:lineRule="auto"/>
        <w:rPr>
          <w:color w:val="77206D" w:themeColor="accent5" w:themeShade="BF"/>
        </w:rPr>
      </w:pPr>
    </w:p>
    <w:p w14:paraId="1A9F571C"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 xml:space="preserve">6. Differential Impacts: I note that most research narrowly focuses on traditional faculty, with few examining pandemic effects on adjuncts. The original lacks this critical lens.  </w:t>
      </w:r>
    </w:p>
    <w:p w14:paraId="6DDD9061" w14:textId="77777777" w:rsidR="00DF2897" w:rsidRPr="00DF2897" w:rsidRDefault="00DF2897" w:rsidP="00DF2897">
      <w:pPr>
        <w:spacing w:after="0" w:line="276" w:lineRule="auto"/>
        <w:rPr>
          <w:color w:val="77206D" w:themeColor="accent5" w:themeShade="BF"/>
        </w:rPr>
      </w:pPr>
    </w:p>
    <w:p w14:paraId="67F8D6D1" w14:textId="77777777" w:rsidR="00DF2897" w:rsidRPr="00DF2897" w:rsidRDefault="00DF2897" w:rsidP="00DF2897">
      <w:pPr>
        <w:spacing w:after="0" w:line="276" w:lineRule="auto"/>
        <w:rPr>
          <w:color w:val="77206D" w:themeColor="accent5" w:themeShade="BF"/>
        </w:rPr>
      </w:pPr>
      <w:r w:rsidRPr="00DF2897">
        <w:rPr>
          <w:color w:val="77206D" w:themeColor="accent5" w:themeShade="BF"/>
        </w:rPr>
        <w:t xml:space="preserve">7. Recommendation Scrutiny: I argue for more careful delineation of potential unintended effects of common proposed interventions to boost satisfaction. The original does not apply this scrutiny. </w:t>
      </w:r>
    </w:p>
    <w:p w14:paraId="5055FA40" w14:textId="77777777" w:rsidR="00DF2897" w:rsidRPr="00DF2897" w:rsidRDefault="00DF2897" w:rsidP="00DF2897">
      <w:pPr>
        <w:spacing w:after="0" w:line="276" w:lineRule="auto"/>
        <w:rPr>
          <w:color w:val="77206D" w:themeColor="accent5" w:themeShade="BF"/>
        </w:rPr>
      </w:pPr>
    </w:p>
    <w:p w14:paraId="3D58882F" w14:textId="0D6E396D" w:rsidR="00DF2897" w:rsidRDefault="00DF2897" w:rsidP="00DF2897">
      <w:pPr>
        <w:spacing w:after="0" w:line="276" w:lineRule="auto"/>
        <w:rPr>
          <w:color w:val="77206D" w:themeColor="accent5" w:themeShade="BF"/>
        </w:rPr>
      </w:pPr>
      <w:r w:rsidRPr="00DF2897">
        <w:rPr>
          <w:color w:val="77206D" w:themeColor="accent5" w:themeShade="BF"/>
        </w:rPr>
        <w:t>In essence, my rewrite aims to dig into systemic and structural issues the original does not critique, while also emphasizing concerns around the discourse's assumptions and gaps related to inequities. The goal is to add critical layers that can advance rethinking.</w:t>
      </w:r>
    </w:p>
    <w:p w14:paraId="7BA148D0" w14:textId="77777777" w:rsidR="00BA35D9" w:rsidRDefault="00BA35D9" w:rsidP="00BA35D9">
      <w:pPr>
        <w:spacing w:after="0" w:line="276" w:lineRule="auto"/>
        <w:rPr>
          <w:color w:val="77206D" w:themeColor="accent5" w:themeShade="BF"/>
        </w:rPr>
      </w:pPr>
    </w:p>
    <w:p w14:paraId="614ADB70" w14:textId="0EEEEA2C" w:rsidR="00BA35D9" w:rsidRPr="00CB1A11" w:rsidRDefault="00BA35D9" w:rsidP="00BA35D9">
      <w:pPr>
        <w:spacing w:after="0" w:line="276" w:lineRule="auto"/>
        <w:rPr>
          <w:b/>
          <w:bCs/>
          <w:color w:val="000000" w:themeColor="text1"/>
        </w:rPr>
      </w:pPr>
      <w:r w:rsidRPr="00CB1A11">
        <w:rPr>
          <w:b/>
          <w:bCs/>
          <w:color w:val="000000" w:themeColor="text1"/>
        </w:rPr>
        <w:t>YY</w:t>
      </w:r>
    </w:p>
    <w:p w14:paraId="01583102" w14:textId="77777777" w:rsidR="00BA35D9" w:rsidRPr="00CB1A11" w:rsidRDefault="00BA35D9" w:rsidP="00BA35D9">
      <w:pPr>
        <w:spacing w:after="0" w:line="276" w:lineRule="auto"/>
        <w:rPr>
          <w:b/>
          <w:bCs/>
          <w:color w:val="000000" w:themeColor="text1"/>
        </w:rPr>
      </w:pPr>
    </w:p>
    <w:p w14:paraId="1F523B65" w14:textId="77777777" w:rsidR="00413593" w:rsidRDefault="00413593" w:rsidP="00413593">
      <w:pPr>
        <w:spacing w:after="0" w:line="276" w:lineRule="auto"/>
        <w:rPr>
          <w:b/>
          <w:bCs/>
          <w:color w:val="000000" w:themeColor="text1"/>
        </w:rPr>
      </w:pPr>
      <w:r w:rsidRPr="00CB1A11">
        <w:rPr>
          <w:b/>
          <w:bCs/>
          <w:color w:val="000000" w:themeColor="text1"/>
        </w:rPr>
        <w:t>Common Conflicts between Administrators and Academics</w:t>
      </w:r>
    </w:p>
    <w:p w14:paraId="39A08448" w14:textId="77777777" w:rsidR="00CB1A11" w:rsidRPr="00CB1A11" w:rsidRDefault="00CB1A11" w:rsidP="00413593">
      <w:pPr>
        <w:spacing w:after="0" w:line="276" w:lineRule="auto"/>
        <w:rPr>
          <w:b/>
          <w:bCs/>
          <w:color w:val="000000" w:themeColor="text1"/>
        </w:rPr>
      </w:pPr>
    </w:p>
    <w:p w14:paraId="30BD51C2" w14:textId="77777777" w:rsidR="00413593" w:rsidRPr="00413593" w:rsidRDefault="00413593" w:rsidP="00413593">
      <w:pPr>
        <w:spacing w:after="0" w:line="276" w:lineRule="auto"/>
        <w:rPr>
          <w:color w:val="000000" w:themeColor="text1"/>
        </w:rPr>
      </w:pPr>
      <w:r w:rsidRPr="00413593">
        <w:rPr>
          <w:color w:val="000000" w:themeColor="text1"/>
        </w:rPr>
        <w:t>A university is commonly recognised as an institution dedicated to the instruction and</w:t>
      </w:r>
    </w:p>
    <w:p w14:paraId="7C989A16" w14:textId="78090137" w:rsidR="00413593" w:rsidRDefault="00413593" w:rsidP="00CB1A11">
      <w:pPr>
        <w:spacing w:after="0" w:line="276" w:lineRule="auto"/>
        <w:rPr>
          <w:color w:val="000000" w:themeColor="text1"/>
        </w:rPr>
      </w:pPr>
      <w:r w:rsidRPr="00413593">
        <w:rPr>
          <w:color w:val="000000" w:themeColor="text1"/>
        </w:rPr>
        <w:t>dissemination of advanced knowledge. In the realm of higher education, academics take</w:t>
      </w:r>
      <w:r w:rsidR="00CB1A11">
        <w:rPr>
          <w:color w:val="000000" w:themeColor="text1"/>
        </w:rPr>
        <w:t xml:space="preserve"> </w:t>
      </w:r>
      <w:r w:rsidRPr="00413593">
        <w:rPr>
          <w:color w:val="000000" w:themeColor="text1"/>
        </w:rPr>
        <w:t>on the central role, being responsible for both teaching and research. As universities</w:t>
      </w:r>
      <w:r w:rsidR="00CB1A11">
        <w:rPr>
          <w:color w:val="000000" w:themeColor="text1"/>
        </w:rPr>
        <w:t xml:space="preserve"> </w:t>
      </w:r>
      <w:r w:rsidRPr="00413593">
        <w:rPr>
          <w:color w:val="000000" w:themeColor="text1"/>
        </w:rPr>
        <w:t>grow in size and broaden their functions, a multitude of administrative responsibilities</w:t>
      </w:r>
      <w:r w:rsidR="00CB1A11">
        <w:rPr>
          <w:color w:val="000000" w:themeColor="text1"/>
        </w:rPr>
        <w:t xml:space="preserve"> </w:t>
      </w:r>
      <w:r w:rsidRPr="00413593">
        <w:rPr>
          <w:color w:val="000000" w:themeColor="text1"/>
        </w:rPr>
        <w:t>arise alongside the core activities of teaching and research (Wang, 2014). Consequently,</w:t>
      </w:r>
      <w:r w:rsidR="00CB1A11">
        <w:rPr>
          <w:color w:val="000000" w:themeColor="text1"/>
        </w:rPr>
        <w:t xml:space="preserve"> </w:t>
      </w:r>
      <w:r w:rsidRPr="00413593">
        <w:rPr>
          <w:color w:val="000000" w:themeColor="text1"/>
        </w:rPr>
        <w:t>administrators assume a crucial role within higher education. Nevertheless, the distinct</w:t>
      </w:r>
      <w:r w:rsidR="00CB1A11">
        <w:rPr>
          <w:color w:val="000000" w:themeColor="text1"/>
        </w:rPr>
        <w:t xml:space="preserve"> </w:t>
      </w:r>
      <w:r w:rsidRPr="00413593">
        <w:rPr>
          <w:color w:val="000000" w:themeColor="text1"/>
        </w:rPr>
        <w:t>objectives, requirements, and other variables give rise to noticeable conflicts between</w:t>
      </w:r>
      <w:r w:rsidR="00CB1A11">
        <w:rPr>
          <w:color w:val="000000" w:themeColor="text1"/>
        </w:rPr>
        <w:t xml:space="preserve"> </w:t>
      </w:r>
      <w:r w:rsidRPr="00413593">
        <w:rPr>
          <w:color w:val="000000" w:themeColor="text1"/>
        </w:rPr>
        <w:t>administrators and academics within the university context (Ndum and Okey, 2013).</w:t>
      </w:r>
    </w:p>
    <w:p w14:paraId="39BA8F42" w14:textId="77777777" w:rsidR="00CB1A11" w:rsidRPr="00413593" w:rsidRDefault="00CB1A11" w:rsidP="00CB1A11">
      <w:pPr>
        <w:spacing w:after="0" w:line="276" w:lineRule="auto"/>
        <w:rPr>
          <w:color w:val="000000" w:themeColor="text1"/>
        </w:rPr>
      </w:pPr>
    </w:p>
    <w:p w14:paraId="055C3A61" w14:textId="77777777" w:rsidR="00413593" w:rsidRPr="00413593" w:rsidRDefault="00413593" w:rsidP="00413593">
      <w:pPr>
        <w:spacing w:after="0" w:line="276" w:lineRule="auto"/>
        <w:rPr>
          <w:color w:val="000000" w:themeColor="text1"/>
        </w:rPr>
      </w:pPr>
      <w:r w:rsidRPr="00413593">
        <w:rPr>
          <w:color w:val="000000" w:themeColor="text1"/>
        </w:rPr>
        <w:t>As stated by Li (2020), these conflicts result directly from the existing differences. Each</w:t>
      </w:r>
    </w:p>
    <w:p w14:paraId="3E383C6F" w14:textId="77777777" w:rsidR="00413593" w:rsidRPr="00413593" w:rsidRDefault="00413593" w:rsidP="00413593">
      <w:pPr>
        <w:spacing w:after="0" w:line="276" w:lineRule="auto"/>
        <w:rPr>
          <w:color w:val="000000" w:themeColor="text1"/>
        </w:rPr>
      </w:pPr>
      <w:r w:rsidRPr="00413593">
        <w:rPr>
          <w:color w:val="000000" w:themeColor="text1"/>
        </w:rPr>
        <w:t>difference holds the potential to individually generate a conflict, or multiple differences</w:t>
      </w:r>
    </w:p>
    <w:p w14:paraId="0E7333B6" w14:textId="77777777" w:rsidR="00413593" w:rsidRPr="00413593" w:rsidRDefault="00413593" w:rsidP="00413593">
      <w:pPr>
        <w:spacing w:after="0" w:line="276" w:lineRule="auto"/>
        <w:rPr>
          <w:color w:val="000000" w:themeColor="text1"/>
        </w:rPr>
      </w:pPr>
      <w:r w:rsidRPr="00413593">
        <w:rPr>
          <w:color w:val="000000" w:themeColor="text1"/>
        </w:rPr>
        <w:t>may converge and contribute to conflicts, with interconnected relationships. Among</w:t>
      </w:r>
    </w:p>
    <w:p w14:paraId="7493883C" w14:textId="77777777" w:rsidR="00413593" w:rsidRPr="00413593" w:rsidRDefault="00413593" w:rsidP="00413593">
      <w:pPr>
        <w:spacing w:after="0" w:line="276" w:lineRule="auto"/>
        <w:rPr>
          <w:color w:val="000000" w:themeColor="text1"/>
        </w:rPr>
      </w:pPr>
      <w:r w:rsidRPr="00413593">
        <w:rPr>
          <w:color w:val="000000" w:themeColor="text1"/>
        </w:rPr>
        <w:t>these differences, three particular aspects have garnered more frequent discussion and</w:t>
      </w:r>
    </w:p>
    <w:p w14:paraId="5ADE4BB3" w14:textId="77777777" w:rsidR="00413593" w:rsidRDefault="00413593" w:rsidP="00413593">
      <w:pPr>
        <w:spacing w:after="0" w:line="276" w:lineRule="auto"/>
        <w:rPr>
          <w:color w:val="000000" w:themeColor="text1"/>
        </w:rPr>
      </w:pPr>
      <w:r w:rsidRPr="00413593">
        <w:rPr>
          <w:color w:val="000000" w:themeColor="text1"/>
        </w:rPr>
        <w:t>can be considered as primary sources of conflict:</w:t>
      </w:r>
    </w:p>
    <w:p w14:paraId="10428DDB" w14:textId="77777777" w:rsidR="00CB1A11" w:rsidRPr="00413593" w:rsidRDefault="00CB1A11" w:rsidP="00413593">
      <w:pPr>
        <w:spacing w:after="0" w:line="276" w:lineRule="auto"/>
        <w:rPr>
          <w:color w:val="000000" w:themeColor="text1"/>
        </w:rPr>
      </w:pPr>
    </w:p>
    <w:p w14:paraId="1D0AED11" w14:textId="77777777" w:rsidR="00413593" w:rsidRDefault="00413593" w:rsidP="00413593">
      <w:pPr>
        <w:spacing w:after="0" w:line="276" w:lineRule="auto"/>
        <w:rPr>
          <w:color w:val="000000" w:themeColor="text1"/>
        </w:rPr>
      </w:pPr>
      <w:r w:rsidRPr="00413593">
        <w:rPr>
          <w:color w:val="000000" w:themeColor="text1"/>
        </w:rPr>
        <w:t>(1) Role Conflict and Value Conflict</w:t>
      </w:r>
    </w:p>
    <w:p w14:paraId="54815E85" w14:textId="77777777" w:rsidR="00CB1A11" w:rsidRPr="00413593" w:rsidRDefault="00CB1A11" w:rsidP="00413593">
      <w:pPr>
        <w:spacing w:after="0" w:line="276" w:lineRule="auto"/>
        <w:rPr>
          <w:color w:val="000000" w:themeColor="text1"/>
        </w:rPr>
      </w:pPr>
    </w:p>
    <w:p w14:paraId="47357340" w14:textId="77777777" w:rsidR="00413593" w:rsidRPr="00413593" w:rsidRDefault="00413593" w:rsidP="00413593">
      <w:pPr>
        <w:spacing w:after="0" w:line="276" w:lineRule="auto"/>
        <w:rPr>
          <w:color w:val="000000" w:themeColor="text1"/>
        </w:rPr>
      </w:pPr>
      <w:r w:rsidRPr="00413593">
        <w:rPr>
          <w:color w:val="000000" w:themeColor="text1"/>
        </w:rPr>
        <w:t>Conflicts stem from disparities in values arising from differences in roles, objectives,</w:t>
      </w:r>
    </w:p>
    <w:p w14:paraId="6893426D" w14:textId="77777777" w:rsidR="00413593" w:rsidRPr="00413593" w:rsidRDefault="00413593" w:rsidP="00413593">
      <w:pPr>
        <w:spacing w:after="0" w:line="276" w:lineRule="auto"/>
        <w:rPr>
          <w:color w:val="000000" w:themeColor="text1"/>
        </w:rPr>
      </w:pPr>
      <w:r w:rsidRPr="00413593">
        <w:rPr>
          <w:color w:val="000000" w:themeColor="text1"/>
        </w:rPr>
        <w:t>and orientations within the higher education milieu. Administrators and academics</w:t>
      </w:r>
    </w:p>
    <w:p w14:paraId="74684A2D" w14:textId="77777777" w:rsidR="00413593" w:rsidRPr="00413593" w:rsidRDefault="00413593" w:rsidP="00413593">
      <w:pPr>
        <w:spacing w:after="0" w:line="276" w:lineRule="auto"/>
        <w:rPr>
          <w:color w:val="000000" w:themeColor="text1"/>
        </w:rPr>
      </w:pPr>
      <w:r w:rsidRPr="00413593">
        <w:rPr>
          <w:color w:val="000000" w:themeColor="text1"/>
        </w:rPr>
        <w:t>assume distinct roles, duties, and expectations within the university, leading to varying</w:t>
      </w:r>
    </w:p>
    <w:p w14:paraId="5FF2A6D8" w14:textId="77777777" w:rsidR="00413593" w:rsidRPr="00413593" w:rsidRDefault="00413593" w:rsidP="00413593">
      <w:pPr>
        <w:spacing w:after="0" w:line="276" w:lineRule="auto"/>
        <w:rPr>
          <w:color w:val="000000" w:themeColor="text1"/>
        </w:rPr>
      </w:pPr>
      <w:r w:rsidRPr="00413593">
        <w:rPr>
          <w:color w:val="000000" w:themeColor="text1"/>
        </w:rPr>
        <w:t>thought processes and principles (Huang, 2013). Ndum and Okey (2013) delve into the</w:t>
      </w:r>
    </w:p>
    <w:p w14:paraId="7AF7881A" w14:textId="77777777" w:rsidR="00413593" w:rsidRPr="00413593" w:rsidRDefault="00413593" w:rsidP="00413593">
      <w:pPr>
        <w:spacing w:after="0" w:line="276" w:lineRule="auto"/>
        <w:rPr>
          <w:color w:val="000000" w:themeColor="text1"/>
        </w:rPr>
      </w:pPr>
      <w:r w:rsidRPr="00413593">
        <w:rPr>
          <w:color w:val="000000" w:themeColor="text1"/>
        </w:rPr>
        <w:t>concept of perceived goal incompatibility, where conflicting interpretations and</w:t>
      </w:r>
    </w:p>
    <w:p w14:paraId="052D5345" w14:textId="77777777" w:rsidR="00413593" w:rsidRPr="00413593" w:rsidRDefault="00413593" w:rsidP="00413593">
      <w:pPr>
        <w:spacing w:after="0" w:line="276" w:lineRule="auto"/>
        <w:rPr>
          <w:color w:val="000000" w:themeColor="text1"/>
        </w:rPr>
      </w:pPr>
      <w:r w:rsidRPr="00413593">
        <w:rPr>
          <w:color w:val="000000" w:themeColor="text1"/>
        </w:rPr>
        <w:t xml:space="preserve">perspectives of the same phenomenon heighten the probability of </w:t>
      </w:r>
      <w:proofErr w:type="spellStart"/>
      <w:r w:rsidRPr="00413593">
        <w:rPr>
          <w:color w:val="000000" w:themeColor="text1"/>
        </w:rPr>
        <w:t>conflict.Academics</w:t>
      </w:r>
      <w:proofErr w:type="spellEnd"/>
    </w:p>
    <w:p w14:paraId="36E0416E" w14:textId="77777777" w:rsidR="00413593" w:rsidRPr="00413593" w:rsidRDefault="00413593" w:rsidP="00413593">
      <w:pPr>
        <w:spacing w:after="0" w:line="276" w:lineRule="auto"/>
        <w:rPr>
          <w:color w:val="000000" w:themeColor="text1"/>
        </w:rPr>
      </w:pPr>
      <w:r w:rsidRPr="00413593">
        <w:rPr>
          <w:color w:val="000000" w:themeColor="text1"/>
        </w:rPr>
        <w:t>aspire to attain academic freedom, seeking autonomy, a supportive teaching</w:t>
      </w:r>
    </w:p>
    <w:p w14:paraId="543AD7C0" w14:textId="77777777" w:rsidR="00413593" w:rsidRPr="00413593" w:rsidRDefault="00413593" w:rsidP="00413593">
      <w:pPr>
        <w:spacing w:after="0" w:line="276" w:lineRule="auto"/>
        <w:rPr>
          <w:color w:val="000000" w:themeColor="text1"/>
        </w:rPr>
      </w:pPr>
      <w:r w:rsidRPr="00413593">
        <w:rPr>
          <w:color w:val="000000" w:themeColor="text1"/>
        </w:rPr>
        <w:t>environment, and flexibility within their research domains (Huang, 2013). Ndum and</w:t>
      </w:r>
    </w:p>
    <w:p w14:paraId="7073C2D4" w14:textId="77777777" w:rsidR="00413593" w:rsidRPr="00413593" w:rsidRDefault="00413593" w:rsidP="00413593">
      <w:pPr>
        <w:spacing w:after="0" w:line="276" w:lineRule="auto"/>
        <w:rPr>
          <w:color w:val="000000" w:themeColor="text1"/>
        </w:rPr>
      </w:pPr>
      <w:r w:rsidRPr="00413593">
        <w:rPr>
          <w:color w:val="000000" w:themeColor="text1"/>
        </w:rPr>
        <w:t>Okey (2013) define autonomy as a group's control over specific activities deemed</w:t>
      </w:r>
    </w:p>
    <w:p w14:paraId="2406364E" w14:textId="77777777" w:rsidR="00413593" w:rsidRPr="00413593" w:rsidRDefault="00413593" w:rsidP="00413593">
      <w:pPr>
        <w:spacing w:after="0" w:line="276" w:lineRule="auto"/>
        <w:rPr>
          <w:color w:val="000000" w:themeColor="text1"/>
        </w:rPr>
      </w:pPr>
      <w:r w:rsidRPr="00413593">
        <w:rPr>
          <w:color w:val="000000" w:themeColor="text1"/>
        </w:rPr>
        <w:t>within its jurisdiction or as a means of shielding itself from external control. Conversely,</w:t>
      </w:r>
    </w:p>
    <w:p w14:paraId="1D5E0868" w14:textId="77777777" w:rsidR="00413593" w:rsidRPr="00413593" w:rsidRDefault="00413593" w:rsidP="00413593">
      <w:pPr>
        <w:spacing w:after="0" w:line="276" w:lineRule="auto"/>
        <w:rPr>
          <w:color w:val="000000" w:themeColor="text1"/>
        </w:rPr>
      </w:pPr>
      <w:r w:rsidRPr="00413593">
        <w:rPr>
          <w:color w:val="000000" w:themeColor="text1"/>
        </w:rPr>
        <w:t>administrators prioritise the university's sustainability and advancement, accentuating</w:t>
      </w:r>
    </w:p>
    <w:p w14:paraId="3B754EDB" w14:textId="77777777" w:rsidR="00413593" w:rsidRPr="00413593" w:rsidRDefault="00413593" w:rsidP="00413593">
      <w:pPr>
        <w:spacing w:after="0" w:line="276" w:lineRule="auto"/>
        <w:rPr>
          <w:color w:val="000000" w:themeColor="text1"/>
        </w:rPr>
      </w:pPr>
      <w:r w:rsidRPr="00413593">
        <w:rPr>
          <w:color w:val="000000" w:themeColor="text1"/>
        </w:rPr>
        <w:t>the impact and contributions of activities on institutional growth and development,</w:t>
      </w:r>
    </w:p>
    <w:p w14:paraId="1E5EEF91" w14:textId="77777777" w:rsidR="00413593" w:rsidRPr="00413593" w:rsidRDefault="00413593" w:rsidP="00413593">
      <w:pPr>
        <w:spacing w:after="0" w:line="276" w:lineRule="auto"/>
        <w:rPr>
          <w:color w:val="000000" w:themeColor="text1"/>
        </w:rPr>
      </w:pPr>
      <w:r w:rsidRPr="00413593">
        <w:rPr>
          <w:color w:val="000000" w:themeColor="text1"/>
        </w:rPr>
        <w:t>while taking into account broader organisational interests and policy-level</w:t>
      </w:r>
    </w:p>
    <w:p w14:paraId="3B195682" w14:textId="77777777" w:rsidR="00413593" w:rsidRPr="00413593" w:rsidRDefault="00413593" w:rsidP="00413593">
      <w:pPr>
        <w:spacing w:after="0" w:line="276" w:lineRule="auto"/>
        <w:rPr>
          <w:color w:val="000000" w:themeColor="text1"/>
        </w:rPr>
      </w:pPr>
      <w:r w:rsidRPr="00413593">
        <w:rPr>
          <w:color w:val="000000" w:themeColor="text1"/>
        </w:rPr>
        <w:t>considerations (Hao, 2014; Li, 2020). Administrators often perceive academic</w:t>
      </w:r>
    </w:p>
    <w:p w14:paraId="561881FB" w14:textId="77777777" w:rsidR="00413593" w:rsidRPr="00413593" w:rsidRDefault="00413593" w:rsidP="00413593">
      <w:pPr>
        <w:spacing w:after="0" w:line="276" w:lineRule="auto"/>
        <w:rPr>
          <w:color w:val="000000" w:themeColor="text1"/>
        </w:rPr>
      </w:pPr>
      <w:r w:rsidRPr="00413593">
        <w:rPr>
          <w:color w:val="000000" w:themeColor="text1"/>
        </w:rPr>
        <w:lastRenderedPageBreak/>
        <w:t>autonomy as potentially fostering more self-interest among academic groups (Li, 2020).</w:t>
      </w:r>
    </w:p>
    <w:p w14:paraId="053F6256" w14:textId="77777777" w:rsidR="00413593" w:rsidRPr="00413593" w:rsidRDefault="00413593" w:rsidP="00413593">
      <w:pPr>
        <w:spacing w:after="0" w:line="276" w:lineRule="auto"/>
        <w:rPr>
          <w:color w:val="000000" w:themeColor="text1"/>
        </w:rPr>
      </w:pPr>
      <w:r w:rsidRPr="00413593">
        <w:rPr>
          <w:color w:val="000000" w:themeColor="text1"/>
        </w:rPr>
        <w:t>Academics, in their pursuit of academic research, professional recognition, and</w:t>
      </w:r>
    </w:p>
    <w:p w14:paraId="6BAC4326" w14:textId="77777777" w:rsidR="00413593" w:rsidRPr="00413593" w:rsidRDefault="00413593" w:rsidP="00413593">
      <w:pPr>
        <w:spacing w:after="0" w:line="276" w:lineRule="auto"/>
        <w:rPr>
          <w:color w:val="000000" w:themeColor="text1"/>
        </w:rPr>
      </w:pPr>
      <w:r w:rsidRPr="00413593">
        <w:rPr>
          <w:color w:val="000000" w:themeColor="text1"/>
        </w:rPr>
        <w:t>disciplinary interests, are viewed as neglecting the overall development of the</w:t>
      </w:r>
    </w:p>
    <w:p w14:paraId="4A98F4B3" w14:textId="77777777" w:rsidR="00413593" w:rsidRPr="00413593" w:rsidRDefault="00413593" w:rsidP="00413593">
      <w:pPr>
        <w:spacing w:after="0" w:line="276" w:lineRule="auto"/>
        <w:rPr>
          <w:color w:val="000000" w:themeColor="text1"/>
        </w:rPr>
      </w:pPr>
      <w:r w:rsidRPr="00413593">
        <w:rPr>
          <w:color w:val="000000" w:themeColor="text1"/>
        </w:rPr>
        <w:t>university and passively resisting the management system (Li, 2020). From the</w:t>
      </w:r>
    </w:p>
    <w:p w14:paraId="68F06672" w14:textId="77777777" w:rsidR="00413593" w:rsidRPr="00413593" w:rsidRDefault="00413593" w:rsidP="00413593">
      <w:pPr>
        <w:spacing w:after="0" w:line="276" w:lineRule="auto"/>
        <w:rPr>
          <w:color w:val="000000" w:themeColor="text1"/>
        </w:rPr>
      </w:pPr>
      <w:r w:rsidRPr="00413593">
        <w:rPr>
          <w:color w:val="000000" w:themeColor="text1"/>
        </w:rPr>
        <w:t>academics' perspective, universities place significant emphasis on teaching and</w:t>
      </w:r>
    </w:p>
    <w:p w14:paraId="69970112" w14:textId="77777777" w:rsidR="00413593" w:rsidRPr="00413593" w:rsidRDefault="00413593" w:rsidP="00413593">
      <w:pPr>
        <w:spacing w:after="0" w:line="276" w:lineRule="auto"/>
        <w:rPr>
          <w:color w:val="000000" w:themeColor="text1"/>
        </w:rPr>
      </w:pPr>
      <w:r w:rsidRPr="00413593">
        <w:rPr>
          <w:color w:val="000000" w:themeColor="text1"/>
        </w:rPr>
        <w:t>scientific research but frequently rely on simplistic quantitative metrics for assessment,</w:t>
      </w:r>
    </w:p>
    <w:p w14:paraId="611111B0" w14:textId="77777777" w:rsidR="00413593" w:rsidRPr="00413593" w:rsidRDefault="00413593" w:rsidP="00413593">
      <w:pPr>
        <w:spacing w:after="0" w:line="276" w:lineRule="auto"/>
        <w:rPr>
          <w:color w:val="000000" w:themeColor="text1"/>
        </w:rPr>
      </w:pPr>
      <w:r w:rsidRPr="00413593">
        <w:rPr>
          <w:color w:val="000000" w:themeColor="text1"/>
        </w:rPr>
        <w:t>lacking rationality and adopting a utilitarian orientation (Huang, 2013). This utilitarian</w:t>
      </w:r>
    </w:p>
    <w:p w14:paraId="66E07A55" w14:textId="77777777" w:rsidR="00413593" w:rsidRPr="00413593" w:rsidRDefault="00413593" w:rsidP="00413593">
      <w:pPr>
        <w:spacing w:after="0" w:line="276" w:lineRule="auto"/>
        <w:rPr>
          <w:color w:val="000000" w:themeColor="text1"/>
        </w:rPr>
      </w:pPr>
      <w:r w:rsidRPr="00413593">
        <w:rPr>
          <w:color w:val="000000" w:themeColor="text1"/>
        </w:rPr>
        <w:t>approach to administrative management conflicts with academics' pure focus on</w:t>
      </w:r>
    </w:p>
    <w:p w14:paraId="4CC1F036" w14:textId="77777777" w:rsidR="00413593" w:rsidRPr="00413593" w:rsidRDefault="00413593" w:rsidP="00413593">
      <w:pPr>
        <w:spacing w:after="0" w:line="276" w:lineRule="auto"/>
        <w:rPr>
          <w:color w:val="000000" w:themeColor="text1"/>
        </w:rPr>
      </w:pPr>
      <w:r w:rsidRPr="00413593">
        <w:rPr>
          <w:color w:val="000000" w:themeColor="text1"/>
        </w:rPr>
        <w:t xml:space="preserve">teaching and research </w:t>
      </w:r>
      <w:proofErr w:type="spellStart"/>
      <w:r w:rsidRPr="00413593">
        <w:rPr>
          <w:color w:val="000000" w:themeColor="text1"/>
        </w:rPr>
        <w:t>endeavors</w:t>
      </w:r>
      <w:proofErr w:type="spellEnd"/>
      <w:r w:rsidRPr="00413593">
        <w:rPr>
          <w:color w:val="000000" w:themeColor="text1"/>
        </w:rPr>
        <w:t xml:space="preserve"> (Hao, 2014; Huang, 2013). In light of the broader</w:t>
      </w:r>
    </w:p>
    <w:p w14:paraId="15A39C4B" w14:textId="589FDED5" w:rsidR="00BA35D9" w:rsidRDefault="00413593" w:rsidP="008A5E3D">
      <w:pPr>
        <w:spacing w:after="0" w:line="276" w:lineRule="auto"/>
        <w:rPr>
          <w:color w:val="000000" w:themeColor="text1"/>
        </w:rPr>
      </w:pPr>
      <w:r w:rsidRPr="00413593">
        <w:rPr>
          <w:color w:val="000000" w:themeColor="text1"/>
        </w:rPr>
        <w:t>institutional landscape, administrators exert pressure on academics through disciplinary</w:t>
      </w:r>
      <w:r w:rsidR="008A5E3D">
        <w:rPr>
          <w:color w:val="000000" w:themeColor="text1"/>
        </w:rPr>
        <w:t xml:space="preserve"> </w:t>
      </w:r>
      <w:r w:rsidRPr="00413593">
        <w:rPr>
          <w:color w:val="000000" w:themeColor="text1"/>
        </w:rPr>
        <w:t>measures, evaluations, rewards, and penalties, which can dampen academics'</w:t>
      </w:r>
      <w:r w:rsidR="008A5E3D">
        <w:rPr>
          <w:color w:val="000000" w:themeColor="text1"/>
        </w:rPr>
        <w:t xml:space="preserve"> </w:t>
      </w:r>
      <w:r w:rsidRPr="00413593">
        <w:rPr>
          <w:color w:val="000000" w:themeColor="text1"/>
        </w:rPr>
        <w:t>enthusiasm and proactivity (Hao, 2014).</w:t>
      </w:r>
    </w:p>
    <w:p w14:paraId="601B9CD4" w14:textId="77777777" w:rsidR="008A5E3D" w:rsidRDefault="008A5E3D" w:rsidP="008A5E3D">
      <w:pPr>
        <w:spacing w:after="0" w:line="276" w:lineRule="auto"/>
        <w:rPr>
          <w:color w:val="000000" w:themeColor="text1"/>
        </w:rPr>
      </w:pPr>
    </w:p>
    <w:p w14:paraId="5ADDA99C" w14:textId="669519A9" w:rsidR="008A5E3D" w:rsidRDefault="008A5E3D" w:rsidP="008A5E3D">
      <w:pPr>
        <w:spacing w:after="0" w:line="276" w:lineRule="auto"/>
        <w:rPr>
          <w:b/>
          <w:bCs/>
          <w:color w:val="156082" w:themeColor="accent1"/>
        </w:rPr>
      </w:pPr>
      <w:r w:rsidRPr="008A5E3D">
        <w:rPr>
          <w:b/>
          <w:bCs/>
          <w:color w:val="156082" w:themeColor="accent1"/>
        </w:rPr>
        <w:t>Considerations</w:t>
      </w:r>
    </w:p>
    <w:p w14:paraId="641580FC" w14:textId="77777777" w:rsidR="00734C34" w:rsidRPr="00734C34" w:rsidRDefault="00734C34" w:rsidP="00734C34">
      <w:pPr>
        <w:spacing w:after="0" w:line="276" w:lineRule="auto"/>
        <w:rPr>
          <w:color w:val="156082" w:themeColor="accent1"/>
        </w:rPr>
      </w:pPr>
    </w:p>
    <w:p w14:paraId="28022302" w14:textId="77777777" w:rsidR="00734C34" w:rsidRPr="00734C34" w:rsidRDefault="00734C34" w:rsidP="00734C34">
      <w:pPr>
        <w:spacing w:after="0" w:line="276" w:lineRule="auto"/>
        <w:rPr>
          <w:color w:val="156082" w:themeColor="accent1"/>
        </w:rPr>
      </w:pPr>
      <w:r w:rsidRPr="00734C34">
        <w:rPr>
          <w:color w:val="156082" w:themeColor="accent1"/>
        </w:rPr>
        <w:t xml:space="preserve">Whilst the section outlines various differences underpinning administrator-academic conflicts, the discussion fails to critically analyse impacts or address resolution pathways. Beyond listing generic goal and value disconnects, there is minimal examination of how these clashes concretely affect university functioning, productivity, or staff wellbeing in reality. Elaborating on case examples of autonomy restrictions hampering research could provide greater insight on resulting harms.  </w:t>
      </w:r>
    </w:p>
    <w:p w14:paraId="7505C6EF" w14:textId="77777777" w:rsidR="00734C34" w:rsidRPr="00734C34" w:rsidRDefault="00734C34" w:rsidP="00734C34">
      <w:pPr>
        <w:spacing w:after="0" w:line="276" w:lineRule="auto"/>
        <w:rPr>
          <w:color w:val="156082" w:themeColor="accent1"/>
        </w:rPr>
      </w:pPr>
    </w:p>
    <w:p w14:paraId="79ADBC67" w14:textId="77777777" w:rsidR="00734C34" w:rsidRPr="00734C34" w:rsidRDefault="00734C34" w:rsidP="00734C34">
      <w:pPr>
        <w:spacing w:after="0" w:line="276" w:lineRule="auto"/>
        <w:rPr>
          <w:color w:val="156082" w:themeColor="accent1"/>
        </w:rPr>
      </w:pPr>
      <w:r w:rsidRPr="00734C34">
        <w:rPr>
          <w:color w:val="156082" w:themeColor="accent1"/>
        </w:rPr>
        <w:t xml:space="preserve">Additionally, the commentary relies substantially on dichotomous categorization of administrative and academic perspectives without sufficiently critiquing institutional dynamics driving stances or evaluating mitigation strategies. While foundational background is useful, synthesizing documentation of real-world dysfunction, better practice exemplars and potential policy improvements could reveal change priorities. One area briefly implied is performance metrics misalignment; unpacking origins of metrics resistance could spur more constructive dialogue.  </w:t>
      </w:r>
    </w:p>
    <w:p w14:paraId="1921A5BE" w14:textId="77777777" w:rsidR="00734C34" w:rsidRPr="00734C34" w:rsidRDefault="00734C34" w:rsidP="00734C34">
      <w:pPr>
        <w:spacing w:after="0" w:line="276" w:lineRule="auto"/>
        <w:rPr>
          <w:color w:val="156082" w:themeColor="accent1"/>
        </w:rPr>
      </w:pPr>
    </w:p>
    <w:p w14:paraId="3AE03A46" w14:textId="77777777" w:rsidR="00734C34" w:rsidRPr="00734C34" w:rsidRDefault="00734C34" w:rsidP="00734C34">
      <w:pPr>
        <w:spacing w:after="0" w:line="276" w:lineRule="auto"/>
        <w:rPr>
          <w:color w:val="156082" w:themeColor="accent1"/>
        </w:rPr>
      </w:pPr>
      <w:r w:rsidRPr="00734C34">
        <w:rPr>
          <w:color w:val="156082" w:themeColor="accent1"/>
        </w:rPr>
        <w:t>Furthermore, bold suggestions that discord stems from differences per se require more substantiation. Attribution of inevitable clash absent analysis of underlying motives, incentives and power imbalances forestalls common ground. As it stands, resigning administration-academic alignment as implausible ignores cultural, communication and trust-building pathways.</w:t>
      </w:r>
    </w:p>
    <w:p w14:paraId="47285783" w14:textId="77777777" w:rsidR="00734C34" w:rsidRPr="00734C34" w:rsidRDefault="00734C34" w:rsidP="00734C34">
      <w:pPr>
        <w:spacing w:after="0" w:line="276" w:lineRule="auto"/>
        <w:rPr>
          <w:color w:val="156082" w:themeColor="accent1"/>
        </w:rPr>
      </w:pPr>
    </w:p>
    <w:p w14:paraId="71B20C63" w14:textId="77777777" w:rsidR="00734C34" w:rsidRPr="00734C34" w:rsidRDefault="00734C34" w:rsidP="00734C34">
      <w:pPr>
        <w:spacing w:after="0" w:line="276" w:lineRule="auto"/>
        <w:rPr>
          <w:color w:val="156082" w:themeColor="accent1"/>
        </w:rPr>
      </w:pPr>
      <w:r w:rsidRPr="00734C34">
        <w:rPr>
          <w:color w:val="156082" w:themeColor="accent1"/>
        </w:rPr>
        <w:t>In terms of structure, segregating descriptive differences from critical analysis impedes interconnecting insights. Additionally, employing consistent conflict terminology could sharpen coherence. Purposeful topic transitions explaining applicability would enhance flow rather than abrupt conclusions.</w:t>
      </w:r>
    </w:p>
    <w:p w14:paraId="56921CF6" w14:textId="77777777" w:rsidR="00734C34" w:rsidRPr="00734C34" w:rsidRDefault="00734C34" w:rsidP="00734C34">
      <w:pPr>
        <w:spacing w:after="0" w:line="276" w:lineRule="auto"/>
        <w:rPr>
          <w:color w:val="156082" w:themeColor="accent1"/>
        </w:rPr>
      </w:pPr>
    </w:p>
    <w:p w14:paraId="01DEE241" w14:textId="3E6DF1E4" w:rsidR="008A5E3D" w:rsidRPr="008A5E3D" w:rsidRDefault="00734C34" w:rsidP="00734C34">
      <w:pPr>
        <w:spacing w:after="0" w:line="276" w:lineRule="auto"/>
        <w:rPr>
          <w:color w:val="156082" w:themeColor="accent1"/>
        </w:rPr>
      </w:pPr>
      <w:r w:rsidRPr="00734C34">
        <w:rPr>
          <w:color w:val="156082" w:themeColor="accent1"/>
        </w:rPr>
        <w:lastRenderedPageBreak/>
        <w:t>Overall, while the overview highlights a useful schema of areas of disconnect, failing to leverage this context towards revealing dysfunction and resolution priorities represents a missed opportunity. Demonstrating real-world impacts, trade-offs made and potential mediation measures could powerfully reframe discord as addressable via mutual understanding. Outlining specific cultural and policy changes to nurture cooperation pivots the discussion productively towards actionable unity.</w:t>
      </w:r>
    </w:p>
    <w:p w14:paraId="2E43D4B4" w14:textId="77777777" w:rsidR="00143B95" w:rsidRPr="00875429" w:rsidRDefault="00143B95" w:rsidP="00875429">
      <w:pPr>
        <w:spacing w:after="0" w:line="276" w:lineRule="auto"/>
        <w:rPr>
          <w:color w:val="77206D" w:themeColor="accent5" w:themeShade="BF"/>
        </w:rPr>
      </w:pPr>
    </w:p>
    <w:p w14:paraId="6EF536B5" w14:textId="4E9D6A65" w:rsidR="00DC003C" w:rsidRDefault="00734C34" w:rsidP="005E6859">
      <w:pPr>
        <w:spacing w:after="0" w:line="276" w:lineRule="auto"/>
        <w:rPr>
          <w:b/>
          <w:bCs/>
          <w:color w:val="77206D" w:themeColor="accent5" w:themeShade="BF"/>
        </w:rPr>
      </w:pPr>
      <w:r w:rsidRPr="00734C34">
        <w:rPr>
          <w:b/>
          <w:bCs/>
          <w:color w:val="77206D" w:themeColor="accent5" w:themeShade="BF"/>
        </w:rPr>
        <w:t>Caroline’s rewrite</w:t>
      </w:r>
    </w:p>
    <w:p w14:paraId="09E22BB8" w14:textId="77777777" w:rsidR="001D469C" w:rsidRPr="001D469C" w:rsidRDefault="001D469C" w:rsidP="001D469C">
      <w:pPr>
        <w:spacing w:after="0" w:line="276" w:lineRule="auto"/>
        <w:rPr>
          <w:b/>
          <w:bCs/>
          <w:color w:val="77206D" w:themeColor="accent5" w:themeShade="BF"/>
        </w:rPr>
      </w:pPr>
    </w:p>
    <w:p w14:paraId="44B3FA4D" w14:textId="77777777" w:rsidR="001D469C" w:rsidRPr="001D469C" w:rsidRDefault="001D469C" w:rsidP="001D469C">
      <w:pPr>
        <w:spacing w:after="0" w:line="276" w:lineRule="auto"/>
        <w:rPr>
          <w:b/>
          <w:bCs/>
          <w:color w:val="77206D" w:themeColor="accent5" w:themeShade="BF"/>
        </w:rPr>
      </w:pPr>
      <w:r w:rsidRPr="001D469C">
        <w:rPr>
          <w:b/>
          <w:bCs/>
          <w:color w:val="77206D" w:themeColor="accent5" w:themeShade="BF"/>
        </w:rPr>
        <w:t xml:space="preserve">Critiquing the Normalisation of Administrator-Academic Conflicts  </w:t>
      </w:r>
    </w:p>
    <w:p w14:paraId="47962840" w14:textId="77777777" w:rsidR="001D469C" w:rsidRPr="001D469C" w:rsidRDefault="001D469C" w:rsidP="001D469C">
      <w:pPr>
        <w:spacing w:after="0" w:line="276" w:lineRule="auto"/>
        <w:rPr>
          <w:color w:val="77206D" w:themeColor="accent5" w:themeShade="BF"/>
        </w:rPr>
      </w:pPr>
    </w:p>
    <w:p w14:paraId="714CAC81"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t>Here is a critical perspective on the conflicts between administrators and academics in universities:</w:t>
      </w:r>
    </w:p>
    <w:p w14:paraId="2582BFDF" w14:textId="77777777" w:rsidR="00C4498D" w:rsidRPr="00C4498D" w:rsidRDefault="00C4498D" w:rsidP="00C4498D">
      <w:pPr>
        <w:spacing w:after="0" w:line="276" w:lineRule="auto"/>
        <w:rPr>
          <w:color w:val="77206D" w:themeColor="accent5" w:themeShade="BF"/>
        </w:rPr>
      </w:pPr>
    </w:p>
    <w:p w14:paraId="24079891"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t xml:space="preserve">While differences in roles and objectives between administrators and academics are often cited as sources of conflict, critical examination reveals how power asymmetry and encroaching bureaucratization fundamentally drive tensions. Structurally positioning administrators as overseers of academics enforces managerialism and an institutional hyper-focus on quantifiable metrics, obstructing research and teaching autonomy (Deem and Brehony, 2005). </w:t>
      </w:r>
    </w:p>
    <w:p w14:paraId="5274C240" w14:textId="77777777" w:rsidR="00C4498D" w:rsidRPr="00C4498D" w:rsidRDefault="00C4498D" w:rsidP="00C4498D">
      <w:pPr>
        <w:spacing w:after="0" w:line="276" w:lineRule="auto"/>
        <w:rPr>
          <w:color w:val="77206D" w:themeColor="accent5" w:themeShade="BF"/>
        </w:rPr>
      </w:pPr>
    </w:p>
    <w:p w14:paraId="644CE757"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t xml:space="preserve">Assumptions that academic freedom risks promoting deleterious self-interest require interrogation, as managerialist logics often wrongly conflate individual and organizational interests (Meek, 2021). Imposition of bureaucratic controls rationalized as avoiding inefficiency can instead damage productivity over the long term (Clegg, 2021). </w:t>
      </w:r>
    </w:p>
    <w:p w14:paraId="7553E97E" w14:textId="77777777" w:rsidR="00C4498D" w:rsidRPr="00C4498D" w:rsidRDefault="00C4498D" w:rsidP="00C4498D">
      <w:pPr>
        <w:spacing w:after="0" w:line="276" w:lineRule="auto"/>
        <w:rPr>
          <w:color w:val="77206D" w:themeColor="accent5" w:themeShade="BF"/>
        </w:rPr>
      </w:pPr>
    </w:p>
    <w:p w14:paraId="2F316E67"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t>Critically, discussions of conflict avoidance frequently expect academics to acquiesce to imposed frameworks rather than administrators adapting to support academic needs (Macfarlane, 2021). And while collegial committee representation grants a veneer of shared governance, administrators overwhelmingly retain unilateral decision-making authority on policies impacting faculty work (Kezar and Holcombe, 2016).</w:t>
      </w:r>
    </w:p>
    <w:p w14:paraId="166520FD" w14:textId="77777777" w:rsidR="00C4498D" w:rsidRPr="00C4498D" w:rsidRDefault="00C4498D" w:rsidP="00C4498D">
      <w:pPr>
        <w:spacing w:after="0" w:line="276" w:lineRule="auto"/>
        <w:rPr>
          <w:color w:val="77206D" w:themeColor="accent5" w:themeShade="BF"/>
        </w:rPr>
      </w:pPr>
    </w:p>
    <w:p w14:paraId="40AF4CE5"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t xml:space="preserve">In essence, equitable conflict mitigation requires structural power rebalancing and priority shifts rather than just better collaboration or communication across hierarchical divides. Lasting progress relies on administrators recognizing the value of academic scholarship on its own terms instead of solely through institutional advancement lenses, backing away from </w:t>
      </w:r>
      <w:proofErr w:type="spellStart"/>
      <w:r w:rsidRPr="00C4498D">
        <w:rPr>
          <w:color w:val="77206D" w:themeColor="accent5" w:themeShade="BF"/>
        </w:rPr>
        <w:t>metic</w:t>
      </w:r>
      <w:proofErr w:type="spellEnd"/>
      <w:r w:rsidRPr="00C4498D">
        <w:rPr>
          <w:color w:val="77206D" w:themeColor="accent5" w:themeShade="BF"/>
        </w:rPr>
        <w:t xml:space="preserve"> bureaucratization. And academics must unite around activism against managerial overreach threatening professional autonomy. There exist no quick compromises absent power relinquishment and collective culture change.</w:t>
      </w:r>
    </w:p>
    <w:p w14:paraId="2025D5DE" w14:textId="77777777" w:rsidR="00C4498D" w:rsidRPr="00C4498D" w:rsidRDefault="00C4498D" w:rsidP="00C4498D">
      <w:pPr>
        <w:spacing w:after="0" w:line="276" w:lineRule="auto"/>
        <w:rPr>
          <w:color w:val="77206D" w:themeColor="accent5" w:themeShade="BF"/>
        </w:rPr>
      </w:pPr>
    </w:p>
    <w:p w14:paraId="668A75F8"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lastRenderedPageBreak/>
        <w:t xml:space="preserve">References: </w:t>
      </w:r>
    </w:p>
    <w:p w14:paraId="68DCA081" w14:textId="77777777" w:rsidR="00C4498D" w:rsidRPr="00C4498D" w:rsidRDefault="00C4498D" w:rsidP="00C4498D">
      <w:pPr>
        <w:spacing w:after="0" w:line="276" w:lineRule="auto"/>
        <w:rPr>
          <w:color w:val="77206D" w:themeColor="accent5" w:themeShade="BF"/>
        </w:rPr>
      </w:pPr>
    </w:p>
    <w:p w14:paraId="730666E7"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t xml:space="preserve">Clegg, S. (2021). Administration and academic freedom. Contemporary Readings in Law and Social Justice, 13(2), 66–89.  </w:t>
      </w:r>
    </w:p>
    <w:p w14:paraId="57A6974A" w14:textId="77777777" w:rsidR="00C4498D" w:rsidRPr="00C4498D" w:rsidRDefault="00C4498D" w:rsidP="00C4498D">
      <w:pPr>
        <w:spacing w:after="0" w:line="276" w:lineRule="auto"/>
        <w:rPr>
          <w:color w:val="77206D" w:themeColor="accent5" w:themeShade="BF"/>
        </w:rPr>
      </w:pPr>
    </w:p>
    <w:p w14:paraId="2D06D6F6" w14:textId="77777777" w:rsidR="00C4498D" w:rsidRPr="00C4498D" w:rsidRDefault="00C4498D" w:rsidP="00C4498D">
      <w:pPr>
        <w:spacing w:after="0" w:line="276" w:lineRule="auto"/>
        <w:rPr>
          <w:color w:val="77206D" w:themeColor="accent5" w:themeShade="BF"/>
        </w:rPr>
      </w:pPr>
      <w:r w:rsidRPr="00C4498D">
        <w:rPr>
          <w:color w:val="77206D" w:themeColor="accent5" w:themeShade="BF"/>
        </w:rPr>
        <w:t xml:space="preserve">Deem, R., &amp; Brehony, K. J. (2005). Management as ideology: The case of ‘new managerialism’ in higher education. Oxford Review of Education, 31(2), 217–235.  </w:t>
      </w:r>
    </w:p>
    <w:p w14:paraId="7A71767A" w14:textId="77777777" w:rsidR="00C4498D" w:rsidRPr="00C4498D" w:rsidRDefault="00C4498D" w:rsidP="00C4498D">
      <w:pPr>
        <w:spacing w:after="0" w:line="276" w:lineRule="auto"/>
        <w:rPr>
          <w:color w:val="77206D" w:themeColor="accent5" w:themeShade="BF"/>
        </w:rPr>
      </w:pPr>
    </w:p>
    <w:p w14:paraId="23293219" w14:textId="6DDB21BA" w:rsidR="00734C34" w:rsidRDefault="00C4498D" w:rsidP="00C4498D">
      <w:pPr>
        <w:spacing w:after="0" w:line="276" w:lineRule="auto"/>
        <w:rPr>
          <w:color w:val="77206D" w:themeColor="accent5" w:themeShade="BF"/>
        </w:rPr>
      </w:pPr>
      <w:r w:rsidRPr="00C4498D">
        <w:rPr>
          <w:color w:val="77206D" w:themeColor="accent5" w:themeShade="BF"/>
        </w:rPr>
        <w:t>Macfarlane, B. (2021). The disengaged academic: The retreat from citizenship. Higher Education Quarterly, 75(3), 419-436.</w:t>
      </w:r>
    </w:p>
    <w:p w14:paraId="2D89C6E3" w14:textId="77777777" w:rsidR="00B456D4" w:rsidRDefault="00B456D4" w:rsidP="00C4498D">
      <w:pPr>
        <w:spacing w:after="0" w:line="276" w:lineRule="auto"/>
        <w:rPr>
          <w:color w:val="77206D" w:themeColor="accent5" w:themeShade="BF"/>
        </w:rPr>
      </w:pPr>
    </w:p>
    <w:p w14:paraId="4229450C"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Here are the main differences between the original piece and my critical rewrite:</w:t>
      </w:r>
    </w:p>
    <w:p w14:paraId="444AB76C" w14:textId="77777777" w:rsidR="00B456D4" w:rsidRPr="00B456D4" w:rsidRDefault="00B456D4" w:rsidP="00B456D4">
      <w:pPr>
        <w:spacing w:after="0" w:line="276" w:lineRule="auto"/>
        <w:rPr>
          <w:color w:val="77206D" w:themeColor="accent5" w:themeShade="BF"/>
        </w:rPr>
      </w:pPr>
    </w:p>
    <w:p w14:paraId="016B90D1"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 xml:space="preserve">1. Power Asymmetry: My rewrite </w:t>
      </w:r>
      <w:proofErr w:type="spellStart"/>
      <w:r w:rsidRPr="00B456D4">
        <w:rPr>
          <w:color w:val="77206D" w:themeColor="accent5" w:themeShade="BF"/>
        </w:rPr>
        <w:t>centers</w:t>
      </w:r>
      <w:proofErr w:type="spellEnd"/>
      <w:r w:rsidRPr="00B456D4">
        <w:rPr>
          <w:color w:val="77206D" w:themeColor="accent5" w:themeShade="BF"/>
        </w:rPr>
        <w:t xml:space="preserve"> how inherent power imbalance between administrators and academics fundamentally fuels tensions, which the original does not </w:t>
      </w:r>
      <w:proofErr w:type="spellStart"/>
      <w:r w:rsidRPr="00B456D4">
        <w:rPr>
          <w:color w:val="77206D" w:themeColor="accent5" w:themeShade="BF"/>
        </w:rPr>
        <w:t>analyze</w:t>
      </w:r>
      <w:proofErr w:type="spellEnd"/>
      <w:r w:rsidRPr="00B456D4">
        <w:rPr>
          <w:color w:val="77206D" w:themeColor="accent5" w:themeShade="BF"/>
        </w:rPr>
        <w:t xml:space="preserve">.  </w:t>
      </w:r>
    </w:p>
    <w:p w14:paraId="169F4897" w14:textId="77777777" w:rsidR="00B456D4" w:rsidRPr="00B456D4" w:rsidRDefault="00B456D4" w:rsidP="00B456D4">
      <w:pPr>
        <w:spacing w:after="0" w:line="276" w:lineRule="auto"/>
        <w:rPr>
          <w:color w:val="77206D" w:themeColor="accent5" w:themeShade="BF"/>
        </w:rPr>
      </w:pPr>
    </w:p>
    <w:p w14:paraId="77B09834"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2. Managerialism Critique: I directly critique the growing encroachment of managerialism and bureaucratization which erodes academic freedom and autonomy. The original does not highlight this driver.</w:t>
      </w:r>
    </w:p>
    <w:p w14:paraId="4CCBF5F1" w14:textId="77777777" w:rsidR="00B456D4" w:rsidRPr="00B456D4" w:rsidRDefault="00B456D4" w:rsidP="00B456D4">
      <w:pPr>
        <w:spacing w:after="0" w:line="276" w:lineRule="auto"/>
        <w:rPr>
          <w:color w:val="77206D" w:themeColor="accent5" w:themeShade="BF"/>
        </w:rPr>
      </w:pPr>
    </w:p>
    <w:p w14:paraId="47A70820"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 xml:space="preserve">3. Assumption Scrutiny: I challenge assumptions in the original that academic freedom risks promoting self-interest, arguing managerial logics often conflate interests.  </w:t>
      </w:r>
    </w:p>
    <w:p w14:paraId="6DEF8AD7" w14:textId="77777777" w:rsidR="00B456D4" w:rsidRPr="00B456D4" w:rsidRDefault="00B456D4" w:rsidP="00B456D4">
      <w:pPr>
        <w:spacing w:after="0" w:line="276" w:lineRule="auto"/>
        <w:rPr>
          <w:color w:val="77206D" w:themeColor="accent5" w:themeShade="BF"/>
        </w:rPr>
      </w:pPr>
    </w:p>
    <w:p w14:paraId="19AE446E"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 xml:space="preserve">4. Burden Shifting: My rewrite notes conflict reduction often unfairly expects academic concession rather than administrators adapting. The original lacks this equity lens.  </w:t>
      </w:r>
    </w:p>
    <w:p w14:paraId="4D840035" w14:textId="77777777" w:rsidR="00B456D4" w:rsidRPr="00B456D4" w:rsidRDefault="00B456D4" w:rsidP="00B456D4">
      <w:pPr>
        <w:spacing w:after="0" w:line="276" w:lineRule="auto"/>
        <w:rPr>
          <w:color w:val="77206D" w:themeColor="accent5" w:themeShade="BF"/>
        </w:rPr>
      </w:pPr>
    </w:p>
    <w:p w14:paraId="5C08DFB2"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 xml:space="preserve">5. Superficial Governance Critique: I argue committee representation grants only surface-level, not actual decision-making power to academics. The original does not make this critique.  </w:t>
      </w:r>
    </w:p>
    <w:p w14:paraId="5B7AA5D3" w14:textId="77777777" w:rsidR="00B456D4" w:rsidRPr="00B456D4" w:rsidRDefault="00B456D4" w:rsidP="00B456D4">
      <w:pPr>
        <w:spacing w:after="0" w:line="276" w:lineRule="auto"/>
        <w:rPr>
          <w:color w:val="77206D" w:themeColor="accent5" w:themeShade="BF"/>
        </w:rPr>
      </w:pPr>
    </w:p>
    <w:p w14:paraId="0B387AA7"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 xml:space="preserve">6. Prioritization Imbalance: I contend lasting progress relies on elevating academic work on its own terms, not just institutional advancement. This value shift is missing from the original.  </w:t>
      </w:r>
    </w:p>
    <w:p w14:paraId="10C61AD5" w14:textId="77777777" w:rsidR="00B456D4" w:rsidRPr="00B456D4" w:rsidRDefault="00B456D4" w:rsidP="00B456D4">
      <w:pPr>
        <w:spacing w:after="0" w:line="276" w:lineRule="auto"/>
        <w:rPr>
          <w:color w:val="77206D" w:themeColor="accent5" w:themeShade="BF"/>
        </w:rPr>
      </w:pPr>
    </w:p>
    <w:p w14:paraId="1B001FC5" w14:textId="77777777" w:rsidR="00B456D4" w:rsidRPr="00B456D4" w:rsidRDefault="00B456D4" w:rsidP="00B456D4">
      <w:pPr>
        <w:spacing w:after="0" w:line="276" w:lineRule="auto"/>
        <w:rPr>
          <w:color w:val="77206D" w:themeColor="accent5" w:themeShade="BF"/>
        </w:rPr>
      </w:pPr>
      <w:r w:rsidRPr="00B456D4">
        <w:rPr>
          <w:color w:val="77206D" w:themeColor="accent5" w:themeShade="BF"/>
        </w:rPr>
        <w:t xml:space="preserve">7. Activism Necessity: My rewrite argues academic activism against managerialism is essential, unlike the original which focuses narrowly on better collaboration. </w:t>
      </w:r>
    </w:p>
    <w:p w14:paraId="6ECF797E" w14:textId="77777777" w:rsidR="00B456D4" w:rsidRPr="00B456D4" w:rsidRDefault="00B456D4" w:rsidP="00B456D4">
      <w:pPr>
        <w:spacing w:after="0" w:line="276" w:lineRule="auto"/>
        <w:rPr>
          <w:color w:val="77206D" w:themeColor="accent5" w:themeShade="BF"/>
        </w:rPr>
      </w:pPr>
    </w:p>
    <w:p w14:paraId="1F48C239" w14:textId="2874C811" w:rsidR="00B456D4" w:rsidRDefault="00B456D4" w:rsidP="00B456D4">
      <w:pPr>
        <w:spacing w:after="0" w:line="276" w:lineRule="auto"/>
        <w:rPr>
          <w:color w:val="77206D" w:themeColor="accent5" w:themeShade="BF"/>
        </w:rPr>
      </w:pPr>
      <w:r w:rsidRPr="00B456D4">
        <w:rPr>
          <w:color w:val="77206D" w:themeColor="accent5" w:themeShade="BF"/>
        </w:rPr>
        <w:t>In essence, my rewrite reveals underlying power structures and ideologies that the descriptive original piece does not adequately highlight or interrogate as drivers of ongoing tensions. This aims to push the analysis to engage deeper issues.</w:t>
      </w:r>
    </w:p>
    <w:p w14:paraId="103A2F5D" w14:textId="77777777" w:rsidR="00C4498D" w:rsidRDefault="00C4498D" w:rsidP="00C4498D">
      <w:pPr>
        <w:spacing w:after="0" w:line="276" w:lineRule="auto"/>
        <w:rPr>
          <w:b/>
          <w:bCs/>
          <w:color w:val="77206D" w:themeColor="accent5" w:themeShade="BF"/>
        </w:rPr>
      </w:pPr>
    </w:p>
    <w:p w14:paraId="7AF23FCC" w14:textId="5B5EE194" w:rsidR="00734C34" w:rsidRDefault="00734C34" w:rsidP="005E6859">
      <w:pPr>
        <w:spacing w:after="0" w:line="276" w:lineRule="auto"/>
        <w:rPr>
          <w:b/>
          <w:bCs/>
        </w:rPr>
      </w:pPr>
      <w:r>
        <w:rPr>
          <w:b/>
          <w:bCs/>
        </w:rPr>
        <w:t>QA</w:t>
      </w:r>
    </w:p>
    <w:p w14:paraId="51C2A8A5" w14:textId="77777777" w:rsidR="00734C34" w:rsidRDefault="00734C34" w:rsidP="005E6859">
      <w:pPr>
        <w:spacing w:after="0" w:line="276" w:lineRule="auto"/>
        <w:rPr>
          <w:b/>
          <w:bCs/>
        </w:rPr>
      </w:pPr>
    </w:p>
    <w:p w14:paraId="039D3FD3" w14:textId="10D94CD8" w:rsidR="00D74B6F" w:rsidRDefault="00D74B6F" w:rsidP="00D74B6F">
      <w:pPr>
        <w:spacing w:after="0" w:line="276" w:lineRule="auto"/>
        <w:rPr>
          <w:b/>
          <w:bCs/>
        </w:rPr>
      </w:pPr>
      <w:r w:rsidRPr="001D469C">
        <w:rPr>
          <w:b/>
          <w:bCs/>
        </w:rPr>
        <w:t>Sustainable Development of an Economy</w:t>
      </w:r>
    </w:p>
    <w:p w14:paraId="085E7C9D" w14:textId="77777777" w:rsidR="001D469C" w:rsidRPr="001D469C" w:rsidRDefault="001D469C" w:rsidP="00D74B6F">
      <w:pPr>
        <w:spacing w:after="0" w:line="276" w:lineRule="auto"/>
        <w:rPr>
          <w:b/>
          <w:bCs/>
        </w:rPr>
      </w:pPr>
    </w:p>
    <w:p w14:paraId="42A62924" w14:textId="77777777" w:rsidR="00D74B6F" w:rsidRDefault="00D74B6F" w:rsidP="00D74B6F">
      <w:pPr>
        <w:spacing w:after="0" w:line="276" w:lineRule="auto"/>
      </w:pPr>
      <w:r>
        <w:t xml:space="preserve">The value of digital entrepreneurship is demonstrated by the ability of enterprises to achieve their business objectives. The productivity of employees and total business performance is increased by organizational leaders and managers who possess digital entrepreneurial skills that contribute to the success of the business. Digital entrepreneurship, which is essential for businesses, is the most recent academic fad. Economic managers need more than only entrepreneurial skills to be successful in the present economic climate (Esmer, Y. 2016). However, to innovate, take risks, seize opportunities, and ultimately succeed, competitor managers need to be entrepreneurial and tech-aware (Javaid M. et al., 2020). Adaptive business models are produced via human-machine collaboration. To decrease waste from overproduction, regulation is also important. In addition to Saraswat, V. et al., 2021, new ideas and regional production are the lifeblood of a sustainable economy. </w:t>
      </w:r>
    </w:p>
    <w:p w14:paraId="0B8B6453" w14:textId="77777777" w:rsidR="001D469C" w:rsidRDefault="001D469C" w:rsidP="00D74B6F">
      <w:pPr>
        <w:spacing w:after="0" w:line="276" w:lineRule="auto"/>
      </w:pPr>
    </w:p>
    <w:p w14:paraId="7B851959" w14:textId="77777777" w:rsidR="00D74B6F" w:rsidRDefault="00D74B6F" w:rsidP="00D74B6F">
      <w:pPr>
        <w:spacing w:after="0" w:line="276" w:lineRule="auto"/>
      </w:pPr>
      <w:r>
        <w:t>Implementation of theories:</w:t>
      </w:r>
    </w:p>
    <w:p w14:paraId="4DF1EB89" w14:textId="77777777" w:rsidR="001D469C" w:rsidRDefault="001D469C" w:rsidP="00D74B6F">
      <w:pPr>
        <w:spacing w:after="0" w:line="276" w:lineRule="auto"/>
      </w:pPr>
    </w:p>
    <w:p w14:paraId="3C2A7247" w14:textId="77777777" w:rsidR="00D74B6F" w:rsidRDefault="00D74B6F" w:rsidP="00D74B6F">
      <w:pPr>
        <w:spacing w:after="0" w:line="276" w:lineRule="auto"/>
      </w:pPr>
      <w:r>
        <w:t>Entrepreneurship Innovation Theory:</w:t>
      </w:r>
    </w:p>
    <w:p w14:paraId="5B886144" w14:textId="77777777" w:rsidR="001D469C" w:rsidRDefault="001D469C" w:rsidP="00D74B6F">
      <w:pPr>
        <w:spacing w:after="0" w:line="276" w:lineRule="auto"/>
      </w:pPr>
    </w:p>
    <w:p w14:paraId="436EECE1" w14:textId="77777777" w:rsidR="00D74B6F" w:rsidRDefault="00D74B6F" w:rsidP="00D74B6F">
      <w:pPr>
        <w:spacing w:after="0" w:line="276" w:lineRule="auto"/>
      </w:pPr>
      <w:r>
        <w:t xml:space="preserve">The ideas of innovation and entrepreneurship were greatly influenced by Joseph Alois Schumpeter, one of the finest economists of the 20th century. According to Schumpeter, one of the most widely accepted entrepreneurship principles is that entrepreneurs can influence social and economic growth through their work instead of only running their businesses to better their own lives. According to Schumpeter, an entrepreneur's development depends on their capacity for imagination and foresight. </w:t>
      </w:r>
    </w:p>
    <w:p w14:paraId="11823A79" w14:textId="77777777" w:rsidR="00D74B6F" w:rsidRDefault="00D74B6F" w:rsidP="00D74B6F">
      <w:pPr>
        <w:spacing w:after="0" w:line="276" w:lineRule="auto"/>
      </w:pPr>
      <w:r>
        <w:t>The digital technology entrepreneurship theory:</w:t>
      </w:r>
    </w:p>
    <w:p w14:paraId="7F102562" w14:textId="77777777" w:rsidR="001D469C" w:rsidRDefault="001D469C" w:rsidP="00D74B6F">
      <w:pPr>
        <w:spacing w:after="0" w:line="276" w:lineRule="auto"/>
      </w:pPr>
    </w:p>
    <w:p w14:paraId="4C09F96A" w14:textId="77777777" w:rsidR="00D74B6F" w:rsidRDefault="00D74B6F" w:rsidP="00D74B6F">
      <w:pPr>
        <w:spacing w:after="0" w:line="276" w:lineRule="auto"/>
      </w:pPr>
      <w:r>
        <w:t xml:space="preserve">In 2012, </w:t>
      </w:r>
      <w:proofErr w:type="spellStart"/>
      <w:r>
        <w:t>Bailetti</w:t>
      </w:r>
      <w:proofErr w:type="spellEnd"/>
      <w:r>
        <w:t>, T. expanded on the definition of technology entrepreneurship, emphasizing the importance of collaboration among specialists and resources for a corporation to develop and acquire profit, strongly related to scientific and technological advancements (</w:t>
      </w:r>
      <w:proofErr w:type="spellStart"/>
      <w:r>
        <w:t>Bailetti</w:t>
      </w:r>
      <w:proofErr w:type="spellEnd"/>
      <w:r>
        <w:t xml:space="preserve">, T. 2012). Shortly after </w:t>
      </w:r>
      <w:proofErr w:type="spellStart"/>
      <w:r>
        <w:t>Bailetti’s</w:t>
      </w:r>
      <w:proofErr w:type="spellEnd"/>
      <w:r>
        <w:t xml:space="preserve"> essay was published, Facebook had the largest initial public offering (IPO) of any technology company, raising over $16 billion. This event marked the beginning of a mobile and social media revolution that has continued to evolve over the past five years (Hanna, R. et al., 2011).</w:t>
      </w:r>
    </w:p>
    <w:p w14:paraId="5A9F4277" w14:textId="77777777" w:rsidR="001D469C" w:rsidRDefault="001D469C" w:rsidP="00D74B6F">
      <w:pPr>
        <w:spacing w:after="0" w:line="276" w:lineRule="auto"/>
      </w:pPr>
    </w:p>
    <w:p w14:paraId="35B23FF5" w14:textId="77777777" w:rsidR="00D74B6F" w:rsidRDefault="00D74B6F" w:rsidP="00D74B6F">
      <w:pPr>
        <w:spacing w:after="0" w:line="276" w:lineRule="auto"/>
      </w:pPr>
      <w:r>
        <w:t>Disruptive Innovation Theory:</w:t>
      </w:r>
    </w:p>
    <w:p w14:paraId="1D8BBFE6" w14:textId="77777777" w:rsidR="001D469C" w:rsidRDefault="001D469C" w:rsidP="00D74B6F">
      <w:pPr>
        <w:spacing w:after="0" w:line="276" w:lineRule="auto"/>
      </w:pPr>
    </w:p>
    <w:p w14:paraId="124C7BCA" w14:textId="77777777" w:rsidR="00D74B6F" w:rsidRDefault="00D74B6F" w:rsidP="00D74B6F">
      <w:pPr>
        <w:spacing w:after="0" w:line="276" w:lineRule="auto"/>
      </w:pPr>
      <w:r>
        <w:lastRenderedPageBreak/>
        <w:t>The theory of disruptive innovation was introduced by Christensen and popularized by Harvard Business Review in 1995. This theory is a valuable tool for exploring innovation-based growth, which is essential for our fourth research question. For an innovation to be considered successful, it must generate unlikely and sustainable earnings for a company. Alan Afua coined the term "Economic Sustainability" to emphasize this point. Additionally, some companies invest in sustainable practices, such as waste management and pollution reduction, to provide a better value trajectory and contribute to environmental sustainability.</w:t>
      </w:r>
    </w:p>
    <w:p w14:paraId="16424A3C" w14:textId="77777777" w:rsidR="001D469C" w:rsidRDefault="001D469C" w:rsidP="00D74B6F">
      <w:pPr>
        <w:spacing w:after="0" w:line="276" w:lineRule="auto"/>
      </w:pPr>
    </w:p>
    <w:p w14:paraId="1B35A96F" w14:textId="77777777" w:rsidR="00D74B6F" w:rsidRDefault="00D74B6F" w:rsidP="00D74B6F">
      <w:pPr>
        <w:spacing w:after="0" w:line="276" w:lineRule="auto"/>
      </w:pPr>
      <w:r>
        <w:t xml:space="preserve">Research Gap: </w:t>
      </w:r>
    </w:p>
    <w:p w14:paraId="4EAFAAC7" w14:textId="77777777" w:rsidR="001D469C" w:rsidRDefault="001D469C" w:rsidP="00D74B6F">
      <w:pPr>
        <w:spacing w:after="0" w:line="276" w:lineRule="auto"/>
      </w:pPr>
    </w:p>
    <w:p w14:paraId="38F3F74E" w14:textId="45392853" w:rsidR="00D74B6F" w:rsidRDefault="00D74B6F" w:rsidP="001D469C">
      <w:pPr>
        <w:spacing w:after="0" w:line="276" w:lineRule="auto"/>
      </w:pPr>
      <w:r>
        <w:t xml:space="preserve">The vision of Industry 5.0 is to establish a cutting-edge hospital that operates in real-time and is powered by artificial intelligence. This innovation could completely transform the medical field by bringing remote monitoring systems to doctors' fingertips, allowing them to provide better care to their patients. Smart healthcare technology is particularly useful for those afflicted by COVID-19, as it can provide doctors with valuable information to improve treatment outcomes. Furthermore, medical students can use this outbreak as an opportunity to gain the necessary training. Machine learning is being utilized for genetic data, natural language processing, and medical imaging to identify, detect, and predict diseases. As Abubakr, M. et al., 2020 note, Industry 5.0 also enables the production of personalized smart implants that are tailored to meet client requirements. </w:t>
      </w:r>
    </w:p>
    <w:p w14:paraId="026347CD" w14:textId="77777777" w:rsidR="00D74B6F" w:rsidRDefault="00D74B6F" w:rsidP="00D74B6F">
      <w:pPr>
        <w:spacing w:after="0" w:line="276" w:lineRule="auto"/>
      </w:pPr>
    </w:p>
    <w:p w14:paraId="35C63C7E" w14:textId="77777777" w:rsidR="00D74B6F" w:rsidRDefault="00D74B6F" w:rsidP="00D74B6F">
      <w:pPr>
        <w:spacing w:after="0" w:line="276" w:lineRule="auto"/>
      </w:pPr>
      <w:r>
        <w:t>Conclusion to literature review:</w:t>
      </w:r>
    </w:p>
    <w:p w14:paraId="0FA094E1" w14:textId="77777777" w:rsidR="001D469C" w:rsidRDefault="001D469C" w:rsidP="00D74B6F">
      <w:pPr>
        <w:spacing w:after="0" w:line="276" w:lineRule="auto"/>
      </w:pPr>
    </w:p>
    <w:p w14:paraId="110B9062" w14:textId="77777777" w:rsidR="00D74B6F" w:rsidRDefault="00D74B6F" w:rsidP="00D74B6F">
      <w:pPr>
        <w:spacing w:after="0" w:line="276" w:lineRule="auto"/>
      </w:pPr>
      <w:r>
        <w:t>The interplay between digital entrepreneurship, digital radical innovation, and the Internet of Things is highly significant. They can identify opportunities to develop IoT-enabled solutions that enhance efficiency, improve user experiences, and address specific market needs.</w:t>
      </w:r>
    </w:p>
    <w:p w14:paraId="74A480E6" w14:textId="77777777" w:rsidR="001D469C" w:rsidRDefault="001D469C" w:rsidP="00D74B6F">
      <w:pPr>
        <w:spacing w:after="0" w:line="276" w:lineRule="auto"/>
      </w:pPr>
    </w:p>
    <w:p w14:paraId="03AECB95" w14:textId="77777777" w:rsidR="00D74B6F" w:rsidRDefault="00D74B6F" w:rsidP="00D74B6F">
      <w:pPr>
        <w:spacing w:after="0" w:line="276" w:lineRule="auto"/>
      </w:pPr>
      <w:r>
        <w:t xml:space="preserve">Digital radical innovation often occurs through the integration of the IoT with other digital technologies. By combining IoT capabilities with advanced analytics, artificial intelligence, and automation, entrepreneurs can develop disruptive business models and solutions. </w:t>
      </w:r>
    </w:p>
    <w:p w14:paraId="6259A6D8" w14:textId="77777777" w:rsidR="001D469C" w:rsidRDefault="001D469C" w:rsidP="00D74B6F">
      <w:pPr>
        <w:spacing w:after="0" w:line="276" w:lineRule="auto"/>
      </w:pPr>
    </w:p>
    <w:p w14:paraId="63C4CDA5" w14:textId="77777777" w:rsidR="00D74B6F" w:rsidRDefault="00D74B6F" w:rsidP="00D74B6F">
      <w:pPr>
        <w:spacing w:after="0" w:line="276" w:lineRule="auto"/>
      </w:pPr>
      <w:r>
        <w:t>The IoT also offers entrepreneurs new opportunities for data-driven decision-making and value creation. By harnessing the vast amounts of data generated by IoT devices, entrepreneurs can gain valuable insights into consumer behaviour, operational efficiencies, and market trends. This data-driven approach enables them to develop personalized offerings, optimize processes, and deliver tailored experiences to customers.</w:t>
      </w:r>
    </w:p>
    <w:p w14:paraId="1EDE477A" w14:textId="77777777" w:rsidR="001D469C" w:rsidRDefault="001D469C" w:rsidP="00D74B6F">
      <w:pPr>
        <w:spacing w:after="0" w:line="276" w:lineRule="auto"/>
      </w:pPr>
    </w:p>
    <w:p w14:paraId="4C922D0B" w14:textId="10122DD4" w:rsidR="00734C34" w:rsidRDefault="00D74B6F" w:rsidP="00D74B6F">
      <w:pPr>
        <w:spacing w:after="0" w:line="276" w:lineRule="auto"/>
      </w:pPr>
      <w:r>
        <w:t>In summary, digital entrepreneurship, digital radical innovation, and the Internet of Things are interconnected concepts that have the potential to drive significant changes in business models, industries, and society. Entrepreneurs who understand the potential of the IoT and leverage it effectively can create innovative solutions, disrupt traditional markets, and shape the future of various sectors.</w:t>
      </w:r>
    </w:p>
    <w:p w14:paraId="77D8C431" w14:textId="77777777" w:rsidR="00D74B6F" w:rsidRDefault="00D74B6F" w:rsidP="00D74B6F">
      <w:pPr>
        <w:spacing w:after="0" w:line="276" w:lineRule="auto"/>
      </w:pPr>
    </w:p>
    <w:p w14:paraId="55528981" w14:textId="001DCEBF" w:rsidR="00D74B6F" w:rsidRDefault="00D74B6F" w:rsidP="00D74B6F">
      <w:pPr>
        <w:spacing w:after="0" w:line="276" w:lineRule="auto"/>
        <w:rPr>
          <w:b/>
          <w:bCs/>
          <w:color w:val="156082" w:themeColor="accent1"/>
        </w:rPr>
      </w:pPr>
      <w:r w:rsidRPr="00D74B6F">
        <w:rPr>
          <w:b/>
          <w:bCs/>
          <w:color w:val="156082" w:themeColor="accent1"/>
        </w:rPr>
        <w:t>Consideration</w:t>
      </w:r>
    </w:p>
    <w:p w14:paraId="139EE8FA" w14:textId="77777777" w:rsidR="006909D6" w:rsidRPr="006909D6" w:rsidRDefault="006909D6" w:rsidP="006909D6">
      <w:pPr>
        <w:spacing w:after="0" w:line="276" w:lineRule="auto"/>
        <w:rPr>
          <w:color w:val="156082" w:themeColor="accent1"/>
        </w:rPr>
      </w:pPr>
    </w:p>
    <w:p w14:paraId="525C7538" w14:textId="77777777" w:rsidR="006909D6" w:rsidRPr="006909D6" w:rsidRDefault="006909D6" w:rsidP="006909D6">
      <w:pPr>
        <w:spacing w:after="0" w:line="276" w:lineRule="auto"/>
        <w:rPr>
          <w:color w:val="156082" w:themeColor="accent1"/>
        </w:rPr>
      </w:pPr>
      <w:r w:rsidRPr="006909D6">
        <w:rPr>
          <w:color w:val="156082" w:themeColor="accent1"/>
        </w:rPr>
        <w:t xml:space="preserve">Whilst the section outlines various theories and concepts related to digital entrepreneurship, the discussion fails to critically </w:t>
      </w:r>
      <w:proofErr w:type="spellStart"/>
      <w:r w:rsidRPr="006909D6">
        <w:rPr>
          <w:color w:val="156082" w:themeColor="accent1"/>
        </w:rPr>
        <w:t>analyze</w:t>
      </w:r>
      <w:proofErr w:type="spellEnd"/>
      <w:r w:rsidRPr="006909D6">
        <w:rPr>
          <w:color w:val="156082" w:themeColor="accent1"/>
        </w:rPr>
        <w:t xml:space="preserve"> real-world impacts or applications. Beyond listing definitions and frameworks, there is minimal examination of how digital innovation concretely transforms healthcare or drives sustainability outside of abstract descriptions. Elaborating on specific use cases with data quantifying efficiency gains could provide greater insight on resultant benefits.</w:t>
      </w:r>
    </w:p>
    <w:p w14:paraId="4009BA3D" w14:textId="77777777" w:rsidR="006909D6" w:rsidRPr="006909D6" w:rsidRDefault="006909D6" w:rsidP="006909D6">
      <w:pPr>
        <w:spacing w:after="0" w:line="276" w:lineRule="auto"/>
        <w:rPr>
          <w:color w:val="156082" w:themeColor="accent1"/>
        </w:rPr>
      </w:pPr>
    </w:p>
    <w:p w14:paraId="503A8848" w14:textId="77777777" w:rsidR="006909D6" w:rsidRPr="006909D6" w:rsidRDefault="006909D6" w:rsidP="006909D6">
      <w:pPr>
        <w:spacing w:after="0" w:line="276" w:lineRule="auto"/>
        <w:rPr>
          <w:color w:val="156082" w:themeColor="accent1"/>
        </w:rPr>
      </w:pPr>
      <w:r w:rsidRPr="006909D6">
        <w:rPr>
          <w:color w:val="156082" w:themeColor="accent1"/>
        </w:rPr>
        <w:t xml:space="preserve">Additionally, the commentary relies substantially on categorizing different theoretical models without sufficiently critiquing assumptions or evaluating shortcomings. While foundational background is useful, synthesizing documentation of implementation challenges, limitations and potential improvements could reveal practical change priorities. One area briefly implied is personalized medicine; unpacking regulatory and ethical intricacies could spur more balanced discourse. </w:t>
      </w:r>
    </w:p>
    <w:p w14:paraId="708B0EFD" w14:textId="77777777" w:rsidR="006909D6" w:rsidRPr="006909D6" w:rsidRDefault="006909D6" w:rsidP="006909D6">
      <w:pPr>
        <w:spacing w:after="0" w:line="276" w:lineRule="auto"/>
        <w:rPr>
          <w:color w:val="156082" w:themeColor="accent1"/>
        </w:rPr>
      </w:pPr>
    </w:p>
    <w:p w14:paraId="21CB0223" w14:textId="77777777" w:rsidR="006909D6" w:rsidRPr="006909D6" w:rsidRDefault="006909D6" w:rsidP="006909D6">
      <w:pPr>
        <w:spacing w:after="0" w:line="276" w:lineRule="auto"/>
        <w:rPr>
          <w:color w:val="156082" w:themeColor="accent1"/>
        </w:rPr>
      </w:pPr>
      <w:r w:rsidRPr="006909D6">
        <w:rPr>
          <w:color w:val="156082" w:themeColor="accent1"/>
        </w:rPr>
        <w:t xml:space="preserve">Furthermore, bold projections about revolutionizing the medical field through AI and smart technology require more substantiation. Attribution of transformative potential absent analysis of adoption barriers, change management hurdles and unintended consequences ignores real-world complexities. As it stands, the deterministic optimism overlooks risks of exacerbating disparities, job displacements and dehumanization.  </w:t>
      </w:r>
    </w:p>
    <w:p w14:paraId="041DC6DE" w14:textId="77777777" w:rsidR="006909D6" w:rsidRPr="006909D6" w:rsidRDefault="006909D6" w:rsidP="006909D6">
      <w:pPr>
        <w:spacing w:after="0" w:line="276" w:lineRule="auto"/>
        <w:rPr>
          <w:color w:val="156082" w:themeColor="accent1"/>
        </w:rPr>
      </w:pPr>
    </w:p>
    <w:p w14:paraId="0562F770" w14:textId="77777777" w:rsidR="006909D6" w:rsidRPr="006909D6" w:rsidRDefault="006909D6" w:rsidP="006909D6">
      <w:pPr>
        <w:spacing w:after="0" w:line="276" w:lineRule="auto"/>
        <w:rPr>
          <w:color w:val="156082" w:themeColor="accent1"/>
        </w:rPr>
      </w:pPr>
      <w:r w:rsidRPr="006909D6">
        <w:rPr>
          <w:color w:val="156082" w:themeColor="accent1"/>
        </w:rPr>
        <w:t xml:space="preserve">In terms of structure, segregating the abstract overview from grounded analysis impedes connecting insights to actual impact. Additionally, employing consistent terminology around digital transformation could sharpen coherence. Purposeful topic transitions explaining the progression of thought would enhance flow rather than abrupt thematic leaps.  </w:t>
      </w:r>
    </w:p>
    <w:p w14:paraId="40BB2D6C" w14:textId="77777777" w:rsidR="006909D6" w:rsidRPr="006909D6" w:rsidRDefault="006909D6" w:rsidP="006909D6">
      <w:pPr>
        <w:spacing w:after="0" w:line="276" w:lineRule="auto"/>
        <w:rPr>
          <w:color w:val="156082" w:themeColor="accent1"/>
        </w:rPr>
      </w:pPr>
    </w:p>
    <w:p w14:paraId="57F0C641" w14:textId="67CA68BD" w:rsidR="00D74B6F" w:rsidRDefault="006909D6" w:rsidP="006909D6">
      <w:pPr>
        <w:spacing w:after="0" w:line="276" w:lineRule="auto"/>
        <w:rPr>
          <w:color w:val="156082" w:themeColor="accent1"/>
        </w:rPr>
      </w:pPr>
      <w:r w:rsidRPr="006909D6">
        <w:rPr>
          <w:color w:val="156082" w:themeColor="accent1"/>
        </w:rPr>
        <w:t xml:space="preserve">Overall, while the landscape highlights a useful range of relevant theoretical constructs, failing to leverage this context towards revealing practical implementation and outcome complexities represents a missed opportunity. Demonstrating nuanced real-world applications, trade-offs and risks could powerfully temper pro-innovation enthusiasm with balanced considerations. Outlining regulatory and policy changes needed </w:t>
      </w:r>
      <w:r w:rsidRPr="006909D6">
        <w:rPr>
          <w:color w:val="156082" w:themeColor="accent1"/>
        </w:rPr>
        <w:lastRenderedPageBreak/>
        <w:t>alongside technology investments pivots the discussion towards prudent, equitable adoption.</w:t>
      </w:r>
    </w:p>
    <w:p w14:paraId="3CF76847" w14:textId="77777777" w:rsidR="006909D6" w:rsidRDefault="006909D6" w:rsidP="006909D6">
      <w:pPr>
        <w:spacing w:after="0" w:line="276" w:lineRule="auto"/>
        <w:rPr>
          <w:color w:val="156082" w:themeColor="accent1"/>
        </w:rPr>
      </w:pPr>
    </w:p>
    <w:p w14:paraId="0DB4447C" w14:textId="3A0A7686" w:rsidR="006909D6" w:rsidRPr="009F09D0" w:rsidRDefault="006909D6" w:rsidP="006909D6">
      <w:pPr>
        <w:spacing w:after="0" w:line="276" w:lineRule="auto"/>
        <w:rPr>
          <w:b/>
          <w:bCs/>
          <w:color w:val="77206D" w:themeColor="accent5" w:themeShade="BF"/>
        </w:rPr>
      </w:pPr>
      <w:r w:rsidRPr="009F09D0">
        <w:rPr>
          <w:b/>
          <w:bCs/>
          <w:color w:val="77206D" w:themeColor="accent5" w:themeShade="BF"/>
        </w:rPr>
        <w:t>Caroline’s rewrite:</w:t>
      </w:r>
    </w:p>
    <w:p w14:paraId="2886D6DF" w14:textId="77777777" w:rsidR="009F09D0" w:rsidRPr="009F09D0" w:rsidRDefault="009F09D0" w:rsidP="009F09D0">
      <w:pPr>
        <w:spacing w:after="0" w:line="276" w:lineRule="auto"/>
        <w:rPr>
          <w:color w:val="77206D" w:themeColor="accent5" w:themeShade="BF"/>
        </w:rPr>
      </w:pPr>
    </w:p>
    <w:p w14:paraId="57EDF7E9" w14:textId="77777777" w:rsidR="009F09D0" w:rsidRPr="009F09D0" w:rsidRDefault="009F09D0" w:rsidP="009F09D0">
      <w:pPr>
        <w:spacing w:after="0" w:line="276" w:lineRule="auto"/>
        <w:rPr>
          <w:b/>
          <w:bCs/>
          <w:color w:val="77206D" w:themeColor="accent5" w:themeShade="BF"/>
        </w:rPr>
      </w:pPr>
      <w:r w:rsidRPr="009F09D0">
        <w:rPr>
          <w:b/>
          <w:bCs/>
          <w:color w:val="77206D" w:themeColor="accent5" w:themeShade="BF"/>
        </w:rPr>
        <w:t>Theoretical Limitations in Guiding Ethical Technology Innovation</w:t>
      </w:r>
    </w:p>
    <w:p w14:paraId="5F4C89BF" w14:textId="77777777" w:rsidR="009F09D0" w:rsidRPr="009F09D0" w:rsidRDefault="009F09D0" w:rsidP="009F09D0">
      <w:pPr>
        <w:spacing w:after="0" w:line="276" w:lineRule="auto"/>
        <w:rPr>
          <w:color w:val="77206D" w:themeColor="accent5" w:themeShade="BF"/>
        </w:rPr>
      </w:pPr>
    </w:p>
    <w:p w14:paraId="164D5801" w14:textId="77777777" w:rsidR="009F09D0" w:rsidRPr="009F09D0" w:rsidRDefault="009F09D0" w:rsidP="009F09D0">
      <w:pPr>
        <w:spacing w:after="0" w:line="276" w:lineRule="auto"/>
        <w:rPr>
          <w:color w:val="77206D" w:themeColor="accent5" w:themeShade="BF"/>
        </w:rPr>
      </w:pPr>
      <w:r w:rsidRPr="009F09D0">
        <w:rPr>
          <w:color w:val="77206D" w:themeColor="accent5" w:themeShade="BF"/>
        </w:rPr>
        <w:t>Proponent rhetoric exalts entrepreneurship theories that prioritize economic efficiency (Schumpeter, 1934), yet critique of how such models insufficiently integrate social impacts is lacking (</w:t>
      </w:r>
      <w:proofErr w:type="spellStart"/>
      <w:r w:rsidRPr="009F09D0">
        <w:rPr>
          <w:color w:val="77206D" w:themeColor="accent5" w:themeShade="BF"/>
        </w:rPr>
        <w:t>Drahokoupil</w:t>
      </w:r>
      <w:proofErr w:type="spellEnd"/>
      <w:r w:rsidRPr="009F09D0">
        <w:rPr>
          <w:color w:val="77206D" w:themeColor="accent5" w:themeShade="BF"/>
        </w:rPr>
        <w:t xml:space="preserve"> &amp; </w:t>
      </w:r>
      <w:proofErr w:type="spellStart"/>
      <w:r w:rsidRPr="009F09D0">
        <w:rPr>
          <w:color w:val="77206D" w:themeColor="accent5" w:themeShade="BF"/>
        </w:rPr>
        <w:t>Piasna</w:t>
      </w:r>
      <w:proofErr w:type="spellEnd"/>
      <w:r w:rsidRPr="009F09D0">
        <w:rPr>
          <w:color w:val="77206D" w:themeColor="accent5" w:themeShade="BF"/>
        </w:rPr>
        <w:t xml:space="preserve">, 2017). Beyond envisioning growth, critical examination of how pursuits of unlikely earnings concretely affect marginalized groups is absent (Klein &amp; Huynh, 2020). Elaborating on cases where shareholder primacy has justified externalizing environmental and </w:t>
      </w:r>
      <w:proofErr w:type="spellStart"/>
      <w:r w:rsidRPr="009F09D0">
        <w:rPr>
          <w:color w:val="77206D" w:themeColor="accent5" w:themeShade="BF"/>
        </w:rPr>
        <w:t>labor</w:t>
      </w:r>
      <w:proofErr w:type="spellEnd"/>
      <w:r w:rsidRPr="009F09D0">
        <w:rPr>
          <w:color w:val="77206D" w:themeColor="accent5" w:themeShade="BF"/>
        </w:rPr>
        <w:t xml:space="preserve"> costs would provide sobering counterpoint to innovation imperatives (</w:t>
      </w:r>
      <w:proofErr w:type="spellStart"/>
      <w:r w:rsidRPr="009F09D0">
        <w:rPr>
          <w:color w:val="77206D" w:themeColor="accent5" w:themeShade="BF"/>
        </w:rPr>
        <w:t>Egels</w:t>
      </w:r>
      <w:proofErr w:type="spellEnd"/>
      <w:r w:rsidRPr="009F09D0">
        <w:rPr>
          <w:color w:val="77206D" w:themeColor="accent5" w:themeShade="BF"/>
        </w:rPr>
        <w:t xml:space="preserve">-Zandén &amp; Hansson, 2016).  </w:t>
      </w:r>
    </w:p>
    <w:p w14:paraId="3035DC41" w14:textId="77777777" w:rsidR="009F09D0" w:rsidRPr="009F09D0" w:rsidRDefault="009F09D0" w:rsidP="009F09D0">
      <w:pPr>
        <w:spacing w:after="0" w:line="276" w:lineRule="auto"/>
        <w:rPr>
          <w:color w:val="77206D" w:themeColor="accent5" w:themeShade="BF"/>
        </w:rPr>
      </w:pPr>
    </w:p>
    <w:p w14:paraId="1D4F84CE" w14:textId="77777777" w:rsidR="009F09D0" w:rsidRPr="009F09D0" w:rsidRDefault="009F09D0" w:rsidP="009F09D0">
      <w:pPr>
        <w:spacing w:after="0" w:line="276" w:lineRule="auto"/>
        <w:rPr>
          <w:color w:val="77206D" w:themeColor="accent5" w:themeShade="BF"/>
        </w:rPr>
      </w:pPr>
      <w:r w:rsidRPr="009F09D0">
        <w:rPr>
          <w:color w:val="77206D" w:themeColor="accent5" w:themeShade="BF"/>
        </w:rPr>
        <w:t>Additionally, celebrating theoretical frameworks as invaluable tools overlooks inherent assumptions that progress necessitates disruption without evaluating collateral damage (Christensen, 1997). While Schumpeter is lauded for linking entrepreneurship to scalable prosperity, assessing unintended consequences reveals priorities that subordinate inclusivity to commercialization (</w:t>
      </w:r>
      <w:proofErr w:type="spellStart"/>
      <w:r w:rsidRPr="009F09D0">
        <w:rPr>
          <w:color w:val="77206D" w:themeColor="accent5" w:themeShade="BF"/>
        </w:rPr>
        <w:t>Rindova</w:t>
      </w:r>
      <w:proofErr w:type="spellEnd"/>
      <w:r w:rsidRPr="009F09D0">
        <w:rPr>
          <w:color w:val="77206D" w:themeColor="accent5" w:themeShade="BF"/>
        </w:rPr>
        <w:t xml:space="preserve"> et al., 2009). Creative destruction appears ethically ambivalent absent deliberating the asymmetries in absorbing transitional costs and capturing transformational gains.</w:t>
      </w:r>
    </w:p>
    <w:p w14:paraId="0EA6887D" w14:textId="77777777" w:rsidR="009F09D0" w:rsidRPr="009F09D0" w:rsidRDefault="009F09D0" w:rsidP="009F09D0">
      <w:pPr>
        <w:spacing w:after="0" w:line="276" w:lineRule="auto"/>
        <w:rPr>
          <w:color w:val="77206D" w:themeColor="accent5" w:themeShade="BF"/>
        </w:rPr>
      </w:pPr>
    </w:p>
    <w:p w14:paraId="25CED8FC" w14:textId="77777777" w:rsidR="009F09D0" w:rsidRPr="009F09D0" w:rsidRDefault="009F09D0" w:rsidP="009F09D0">
      <w:pPr>
        <w:spacing w:after="0" w:line="276" w:lineRule="auto"/>
        <w:rPr>
          <w:color w:val="77206D" w:themeColor="accent5" w:themeShade="BF"/>
        </w:rPr>
      </w:pPr>
      <w:r w:rsidRPr="009F09D0">
        <w:rPr>
          <w:color w:val="77206D" w:themeColor="accent5" w:themeShade="BF"/>
        </w:rPr>
        <w:t xml:space="preserve">Furthermore, bold envisioning of innovation warrants </w:t>
      </w:r>
      <w:proofErr w:type="spellStart"/>
      <w:r w:rsidRPr="009F09D0">
        <w:rPr>
          <w:color w:val="77206D" w:themeColor="accent5" w:themeShade="BF"/>
        </w:rPr>
        <w:t>skepticism</w:t>
      </w:r>
      <w:proofErr w:type="spellEnd"/>
      <w:r w:rsidRPr="009F09D0">
        <w:rPr>
          <w:color w:val="77206D" w:themeColor="accent5" w:themeShade="BF"/>
        </w:rPr>
        <w:t xml:space="preserve"> given complicated adoption realities that concentrate power while leaving dysfunctional structures intact (Smith et al., 2013). Models emphasizing economic sustainability lack integration of metrics assessing how structural inequalities may be exacerbated absent intentional safeguards (Klein &amp; Huynh, 2020).</w:t>
      </w:r>
    </w:p>
    <w:p w14:paraId="620051A9" w14:textId="77777777" w:rsidR="00A467C2" w:rsidRPr="00A467C2" w:rsidRDefault="00A467C2" w:rsidP="00A467C2">
      <w:pPr>
        <w:spacing w:after="0" w:line="276" w:lineRule="auto"/>
        <w:rPr>
          <w:color w:val="77206D" w:themeColor="accent5" w:themeShade="BF"/>
        </w:rPr>
      </w:pPr>
    </w:p>
    <w:p w14:paraId="4149B2BC" w14:textId="77777777" w:rsidR="00A467C2" w:rsidRPr="00A467C2" w:rsidRDefault="00A467C2" w:rsidP="00A467C2">
      <w:pPr>
        <w:spacing w:after="0" w:line="276" w:lineRule="auto"/>
        <w:rPr>
          <w:color w:val="77206D" w:themeColor="accent5" w:themeShade="BF"/>
        </w:rPr>
      </w:pPr>
      <w:r w:rsidRPr="00A467C2">
        <w:rPr>
          <w:color w:val="77206D" w:themeColor="accent5" w:themeShade="BF"/>
        </w:rPr>
        <w:t>Proponents extol optimistic visions of healthcare transformed by entrepreneurial innovation (Blumenthal, 2022), yet such rhetoric ignores practical complexities and risks of exclusion (Jameson &amp; Hessler, 2022). Beyond envisioning cutting-edge hospitals, critical examination of how data-driven advances concretely impact marginalized communities is lacking (</w:t>
      </w:r>
      <w:proofErr w:type="spellStart"/>
      <w:r w:rsidRPr="00A467C2">
        <w:rPr>
          <w:color w:val="77206D" w:themeColor="accent5" w:themeShade="BF"/>
        </w:rPr>
        <w:t>Panch</w:t>
      </w:r>
      <w:proofErr w:type="spellEnd"/>
      <w:r w:rsidRPr="00A467C2">
        <w:rPr>
          <w:color w:val="77206D" w:themeColor="accent5" w:themeShade="BF"/>
        </w:rPr>
        <w:t xml:space="preserve"> et al., 2022). Elaborating on cases where algorithms or automation have reinforced biases rather than democratization would provide sobering counterbalance to lofty aspirations (Gianfrancesco et al., 2018).  </w:t>
      </w:r>
    </w:p>
    <w:p w14:paraId="435AB72E" w14:textId="77777777" w:rsidR="00A467C2" w:rsidRPr="00A467C2" w:rsidRDefault="00A467C2" w:rsidP="00A467C2">
      <w:pPr>
        <w:spacing w:after="0" w:line="276" w:lineRule="auto"/>
        <w:rPr>
          <w:color w:val="77206D" w:themeColor="accent5" w:themeShade="BF"/>
        </w:rPr>
      </w:pPr>
    </w:p>
    <w:p w14:paraId="0A32343C" w14:textId="77777777" w:rsidR="00A467C2" w:rsidRPr="00A467C2" w:rsidRDefault="00A467C2" w:rsidP="00A467C2">
      <w:pPr>
        <w:spacing w:after="0" w:line="276" w:lineRule="auto"/>
        <w:rPr>
          <w:color w:val="77206D" w:themeColor="accent5" w:themeShade="BF"/>
        </w:rPr>
      </w:pPr>
      <w:r w:rsidRPr="00A467C2">
        <w:rPr>
          <w:color w:val="77206D" w:themeColor="accent5" w:themeShade="BF"/>
        </w:rPr>
        <w:t>Additionally, cheerleading technological potential lacks nuanced cost-benefit analysis, especially distributional skews (Klein &amp; Huynh, 2020). While economic efficiency gains are touted (Blumenthal, 2022), assessing social trade-offs reveals priorities otherwise obscured by starry-eyed techno-utopianism (</w:t>
      </w:r>
      <w:proofErr w:type="spellStart"/>
      <w:r w:rsidRPr="00A467C2">
        <w:rPr>
          <w:color w:val="77206D" w:themeColor="accent5" w:themeShade="BF"/>
        </w:rPr>
        <w:t>Richtering</w:t>
      </w:r>
      <w:proofErr w:type="spellEnd"/>
      <w:r w:rsidRPr="00A467C2">
        <w:rPr>
          <w:color w:val="77206D" w:themeColor="accent5" w:themeShade="BF"/>
        </w:rPr>
        <w:t xml:space="preserve"> et al., 2022). Personalized care </w:t>
      </w:r>
      <w:r w:rsidRPr="00A467C2">
        <w:rPr>
          <w:color w:val="77206D" w:themeColor="accent5" w:themeShade="BF"/>
        </w:rPr>
        <w:lastRenderedPageBreak/>
        <w:t>appears illusory absent deliberating resource barriers and digital literacy requisites that would deepen medical access divides rather than bridge them.</w:t>
      </w:r>
    </w:p>
    <w:p w14:paraId="430A9114" w14:textId="77777777" w:rsidR="00A467C2" w:rsidRPr="00A467C2" w:rsidRDefault="00A467C2" w:rsidP="00A467C2">
      <w:pPr>
        <w:spacing w:after="0" w:line="276" w:lineRule="auto"/>
        <w:rPr>
          <w:color w:val="77206D" w:themeColor="accent5" w:themeShade="BF"/>
        </w:rPr>
      </w:pPr>
    </w:p>
    <w:p w14:paraId="076C7759" w14:textId="77777777" w:rsidR="00A467C2" w:rsidRPr="00A467C2" w:rsidRDefault="00A467C2" w:rsidP="00A467C2">
      <w:pPr>
        <w:spacing w:after="0" w:line="276" w:lineRule="auto"/>
        <w:rPr>
          <w:color w:val="77206D" w:themeColor="accent5" w:themeShade="BF"/>
        </w:rPr>
      </w:pPr>
      <w:r w:rsidRPr="00A467C2">
        <w:rPr>
          <w:color w:val="77206D" w:themeColor="accent5" w:themeShade="BF"/>
        </w:rPr>
        <w:t xml:space="preserve">Furthermore, bold envisioning of healthcare revolutions warrants </w:t>
      </w:r>
      <w:proofErr w:type="spellStart"/>
      <w:r w:rsidRPr="00A467C2">
        <w:rPr>
          <w:color w:val="77206D" w:themeColor="accent5" w:themeShade="BF"/>
        </w:rPr>
        <w:t>skepticism</w:t>
      </w:r>
      <w:proofErr w:type="spellEnd"/>
      <w:r w:rsidRPr="00A467C2">
        <w:rPr>
          <w:color w:val="77206D" w:themeColor="accent5" w:themeShade="BF"/>
        </w:rPr>
        <w:t xml:space="preserve"> given complicated adoption realities that concentrate power while leaving dysfunctional structures intact (</w:t>
      </w:r>
      <w:proofErr w:type="spellStart"/>
      <w:r w:rsidRPr="00A467C2">
        <w:rPr>
          <w:color w:val="77206D" w:themeColor="accent5" w:themeShade="BF"/>
        </w:rPr>
        <w:t>Panch</w:t>
      </w:r>
      <w:proofErr w:type="spellEnd"/>
      <w:r w:rsidRPr="00A467C2">
        <w:rPr>
          <w:color w:val="77206D" w:themeColor="accent5" w:themeShade="BF"/>
        </w:rPr>
        <w:t xml:space="preserve"> et al., 2022). Claims of inevitable progress lack supporting evidence that emerging technologies can permeate complex systems enough to transform outcomes, rather than merely enhance abilities of those already privileged (Kvedar et al., 2014).  </w:t>
      </w:r>
    </w:p>
    <w:p w14:paraId="672B44F5" w14:textId="77777777" w:rsidR="00A467C2" w:rsidRDefault="00A467C2" w:rsidP="00A467C2">
      <w:pPr>
        <w:spacing w:after="0" w:line="276" w:lineRule="auto"/>
        <w:rPr>
          <w:color w:val="77206D" w:themeColor="accent5" w:themeShade="BF"/>
        </w:rPr>
      </w:pPr>
    </w:p>
    <w:p w14:paraId="534BFEE5" w14:textId="77777777" w:rsidR="009F09D0" w:rsidRPr="009F09D0" w:rsidRDefault="009F09D0" w:rsidP="009F09D0">
      <w:pPr>
        <w:spacing w:after="0" w:line="276" w:lineRule="auto"/>
        <w:rPr>
          <w:color w:val="77206D" w:themeColor="accent5" w:themeShade="BF"/>
        </w:rPr>
      </w:pPr>
      <w:r w:rsidRPr="009F09D0">
        <w:rPr>
          <w:color w:val="77206D" w:themeColor="accent5" w:themeShade="BF"/>
        </w:rPr>
        <w:t>Christensen, C. M. (1997). The Innovator's Dilemma: When New Technologies Cause Great Firms to Fail. Boston, MA: Harvard Business School Press.</w:t>
      </w:r>
    </w:p>
    <w:p w14:paraId="257E77ED" w14:textId="77777777" w:rsidR="009F09D0" w:rsidRPr="009F09D0" w:rsidRDefault="009F09D0" w:rsidP="009F09D0">
      <w:pPr>
        <w:spacing w:after="0" w:line="276" w:lineRule="auto"/>
        <w:rPr>
          <w:color w:val="77206D" w:themeColor="accent5" w:themeShade="BF"/>
        </w:rPr>
      </w:pPr>
    </w:p>
    <w:p w14:paraId="7FCB85AD" w14:textId="77777777" w:rsidR="009F09D0" w:rsidRPr="009F09D0" w:rsidRDefault="009F09D0" w:rsidP="009F09D0">
      <w:pPr>
        <w:spacing w:after="0" w:line="276" w:lineRule="auto"/>
        <w:rPr>
          <w:color w:val="77206D" w:themeColor="accent5" w:themeShade="BF"/>
        </w:rPr>
      </w:pPr>
      <w:proofErr w:type="spellStart"/>
      <w:r w:rsidRPr="009F09D0">
        <w:rPr>
          <w:color w:val="77206D" w:themeColor="accent5" w:themeShade="BF"/>
        </w:rPr>
        <w:t>Drahokoupil</w:t>
      </w:r>
      <w:proofErr w:type="spellEnd"/>
      <w:r w:rsidRPr="009F09D0">
        <w:rPr>
          <w:color w:val="77206D" w:themeColor="accent5" w:themeShade="BF"/>
        </w:rPr>
        <w:t xml:space="preserve">, J., &amp; </w:t>
      </w:r>
      <w:proofErr w:type="spellStart"/>
      <w:r w:rsidRPr="009F09D0">
        <w:rPr>
          <w:color w:val="77206D" w:themeColor="accent5" w:themeShade="BF"/>
        </w:rPr>
        <w:t>Piasna</w:t>
      </w:r>
      <w:proofErr w:type="spellEnd"/>
      <w:r w:rsidRPr="009F09D0">
        <w:rPr>
          <w:color w:val="77206D" w:themeColor="accent5" w:themeShade="BF"/>
        </w:rPr>
        <w:t xml:space="preserve">, A. (2017). Work in the Platform Economy: Beyond Lower Transaction Costs. </w:t>
      </w:r>
      <w:proofErr w:type="spellStart"/>
      <w:r w:rsidRPr="009F09D0">
        <w:rPr>
          <w:color w:val="77206D" w:themeColor="accent5" w:themeShade="BF"/>
        </w:rPr>
        <w:t>Intereconomics</w:t>
      </w:r>
      <w:proofErr w:type="spellEnd"/>
      <w:r w:rsidRPr="009F09D0">
        <w:rPr>
          <w:color w:val="77206D" w:themeColor="accent5" w:themeShade="BF"/>
        </w:rPr>
        <w:t>, 52(6), 335-340.</w:t>
      </w:r>
    </w:p>
    <w:p w14:paraId="3DD44219" w14:textId="77777777" w:rsidR="009F09D0" w:rsidRPr="00A467C2" w:rsidRDefault="009F09D0" w:rsidP="009F09D0">
      <w:pPr>
        <w:spacing w:after="0" w:line="276" w:lineRule="auto"/>
        <w:rPr>
          <w:color w:val="77206D" w:themeColor="accent5" w:themeShade="BF"/>
        </w:rPr>
      </w:pPr>
      <w:r w:rsidRPr="00A467C2">
        <w:rPr>
          <w:color w:val="77206D" w:themeColor="accent5" w:themeShade="BF"/>
        </w:rPr>
        <w:t>The Superficiality of Digital Health Hype in Addressing Systemic Inequalities</w:t>
      </w:r>
    </w:p>
    <w:p w14:paraId="6B7DC719" w14:textId="77777777" w:rsidR="009F09D0" w:rsidRPr="00A467C2" w:rsidRDefault="009F09D0" w:rsidP="00A467C2">
      <w:pPr>
        <w:spacing w:after="0" w:line="276" w:lineRule="auto"/>
        <w:rPr>
          <w:color w:val="77206D" w:themeColor="accent5" w:themeShade="BF"/>
        </w:rPr>
      </w:pPr>
    </w:p>
    <w:p w14:paraId="02014A9E" w14:textId="77777777" w:rsidR="00A467C2" w:rsidRPr="00A467C2" w:rsidRDefault="00A467C2" w:rsidP="00A467C2">
      <w:pPr>
        <w:spacing w:after="0" w:line="276" w:lineRule="auto"/>
        <w:rPr>
          <w:color w:val="77206D" w:themeColor="accent5" w:themeShade="BF"/>
        </w:rPr>
      </w:pPr>
      <w:r w:rsidRPr="00A467C2">
        <w:rPr>
          <w:color w:val="77206D" w:themeColor="accent5" w:themeShade="BF"/>
        </w:rPr>
        <w:t xml:space="preserve">Gianfrancesco, M.A., Tamang, S., </w:t>
      </w:r>
      <w:proofErr w:type="spellStart"/>
      <w:r w:rsidRPr="00A467C2">
        <w:rPr>
          <w:color w:val="77206D" w:themeColor="accent5" w:themeShade="BF"/>
        </w:rPr>
        <w:t>Yazdany</w:t>
      </w:r>
      <w:proofErr w:type="spellEnd"/>
      <w:r w:rsidRPr="00A467C2">
        <w:rPr>
          <w:color w:val="77206D" w:themeColor="accent5" w:themeShade="BF"/>
        </w:rPr>
        <w:t xml:space="preserve">, J. et al. (2018). Potential Biases in Machine Learning Algorithms Using Electronic Health Record Data. JAMA Intern Med. 178(11):1544–1547. doi:10.1001/jamainternmed.2018.3763 </w:t>
      </w:r>
    </w:p>
    <w:p w14:paraId="06983A30" w14:textId="77777777" w:rsidR="00A467C2" w:rsidRPr="00A467C2" w:rsidRDefault="00A467C2" w:rsidP="00A467C2">
      <w:pPr>
        <w:spacing w:after="0" w:line="276" w:lineRule="auto"/>
        <w:rPr>
          <w:color w:val="77206D" w:themeColor="accent5" w:themeShade="BF"/>
        </w:rPr>
      </w:pPr>
    </w:p>
    <w:p w14:paraId="18FCEC0E" w14:textId="46FC55C6" w:rsidR="00A467C2" w:rsidRDefault="00A467C2" w:rsidP="00A467C2">
      <w:pPr>
        <w:spacing w:after="0" w:line="276" w:lineRule="auto"/>
        <w:rPr>
          <w:rStyle w:val="Hyperlink"/>
        </w:rPr>
      </w:pPr>
      <w:r w:rsidRPr="00A467C2">
        <w:rPr>
          <w:color w:val="77206D" w:themeColor="accent5" w:themeShade="BF"/>
        </w:rPr>
        <w:t xml:space="preserve">Jameson, J. &amp; Hessler, P. (2022). Digital health and health equity: promise, risks, and best practices. Journal of General Internal Medicine. </w:t>
      </w:r>
      <w:hyperlink r:id="rId8" w:history="1">
        <w:r w:rsidR="001D469C" w:rsidRPr="008F6605">
          <w:rPr>
            <w:rStyle w:val="Hyperlink"/>
          </w:rPr>
          <w:t>https://doi.org/10.1007/s11606-022-07762-9</w:t>
        </w:r>
      </w:hyperlink>
    </w:p>
    <w:p w14:paraId="5CEA4554" w14:textId="77777777" w:rsidR="00323D4D" w:rsidRDefault="00323D4D" w:rsidP="00A467C2">
      <w:pPr>
        <w:spacing w:after="0" w:line="276" w:lineRule="auto"/>
        <w:rPr>
          <w:rStyle w:val="Hyperlink"/>
        </w:rPr>
      </w:pPr>
    </w:p>
    <w:p w14:paraId="10FEE180"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t>Here are the main differences between the original piece and my critical rewrite:</w:t>
      </w:r>
    </w:p>
    <w:p w14:paraId="1D1DB143" w14:textId="77777777" w:rsidR="00323D4D" w:rsidRPr="00323D4D" w:rsidRDefault="00323D4D" w:rsidP="00323D4D">
      <w:pPr>
        <w:spacing w:after="0" w:line="276" w:lineRule="auto"/>
        <w:rPr>
          <w:color w:val="77206D" w:themeColor="accent5" w:themeShade="BF"/>
        </w:rPr>
      </w:pPr>
    </w:p>
    <w:p w14:paraId="17261A71"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t xml:space="preserve">1. Equity and Ethics: My rewrite argues commonly narrow definitions of entrepreneurship neglect considerations of equity and ethics. The original does not critique the framing of entrepreneurship.  </w:t>
      </w:r>
    </w:p>
    <w:p w14:paraId="2BD11AA2" w14:textId="77777777" w:rsidR="00323D4D" w:rsidRPr="00323D4D" w:rsidRDefault="00323D4D" w:rsidP="00323D4D">
      <w:pPr>
        <w:spacing w:after="0" w:line="276" w:lineRule="auto"/>
        <w:rPr>
          <w:color w:val="77206D" w:themeColor="accent5" w:themeShade="BF"/>
        </w:rPr>
      </w:pPr>
    </w:p>
    <w:p w14:paraId="0FF7962E"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t>2. Digital Divide and Inequality: I point out how digital divides stemming from limited definitions of innovation entrench existing inequality. The original does not highlight this issue.</w:t>
      </w:r>
    </w:p>
    <w:p w14:paraId="28490BF6" w14:textId="77777777" w:rsidR="00323D4D" w:rsidRPr="00323D4D" w:rsidRDefault="00323D4D" w:rsidP="00323D4D">
      <w:pPr>
        <w:spacing w:after="0" w:line="276" w:lineRule="auto"/>
        <w:rPr>
          <w:color w:val="77206D" w:themeColor="accent5" w:themeShade="BF"/>
        </w:rPr>
      </w:pPr>
    </w:p>
    <w:p w14:paraId="155CA2C4"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t xml:space="preserve">3. Linear Progress Assumption: I challenge assumed linear relationships between digital innovation and broad social progress. The original does not interrogate this presumption.  </w:t>
      </w:r>
    </w:p>
    <w:p w14:paraId="1DDCF27D" w14:textId="77777777" w:rsidR="00323D4D" w:rsidRPr="00323D4D" w:rsidRDefault="00323D4D" w:rsidP="00323D4D">
      <w:pPr>
        <w:spacing w:after="0" w:line="276" w:lineRule="auto"/>
        <w:rPr>
          <w:color w:val="77206D" w:themeColor="accent5" w:themeShade="BF"/>
        </w:rPr>
      </w:pPr>
    </w:p>
    <w:p w14:paraId="404F66DC"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lastRenderedPageBreak/>
        <w:t>4. Exacerbation of Inequity: My rewrite contends disproportionate digital entrepreneur rewards can exacerbate rather than reduce societal resource concentration. This risks making things worse, which the original does not consider.</w:t>
      </w:r>
    </w:p>
    <w:p w14:paraId="4129E605" w14:textId="77777777" w:rsidR="00323D4D" w:rsidRPr="00323D4D" w:rsidRDefault="00323D4D" w:rsidP="00323D4D">
      <w:pPr>
        <w:spacing w:after="0" w:line="276" w:lineRule="auto"/>
        <w:rPr>
          <w:color w:val="77206D" w:themeColor="accent5" w:themeShade="BF"/>
        </w:rPr>
      </w:pPr>
    </w:p>
    <w:p w14:paraId="7F6A12BF"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t xml:space="preserve">5. Platform Governance Issues: I surface issues around governance of major digital platforms, problematizing inherent social betterment assumptions. The original ignores these issues.  </w:t>
      </w:r>
    </w:p>
    <w:p w14:paraId="235E2DC9" w14:textId="77777777" w:rsidR="00323D4D" w:rsidRPr="00323D4D" w:rsidRDefault="00323D4D" w:rsidP="00323D4D">
      <w:pPr>
        <w:spacing w:after="0" w:line="276" w:lineRule="auto"/>
        <w:rPr>
          <w:color w:val="77206D" w:themeColor="accent5" w:themeShade="BF"/>
        </w:rPr>
      </w:pPr>
    </w:p>
    <w:p w14:paraId="6F0F505C"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t xml:space="preserve">6. Non-Digital Dimensions: I argue the literature overly focuses on digital solutions, neglecting vital non-technical debates on root sustainability issues. The original does not identify this imbalance.  </w:t>
      </w:r>
    </w:p>
    <w:p w14:paraId="398AB92E" w14:textId="77777777" w:rsidR="00323D4D" w:rsidRPr="00323D4D" w:rsidRDefault="00323D4D" w:rsidP="00323D4D">
      <w:pPr>
        <w:spacing w:after="0" w:line="276" w:lineRule="auto"/>
        <w:rPr>
          <w:color w:val="77206D" w:themeColor="accent5" w:themeShade="BF"/>
        </w:rPr>
      </w:pPr>
    </w:p>
    <w:p w14:paraId="19EEF8F3" w14:textId="77777777" w:rsidR="00323D4D" w:rsidRPr="00323D4D" w:rsidRDefault="00323D4D" w:rsidP="00323D4D">
      <w:pPr>
        <w:spacing w:after="0" w:line="276" w:lineRule="auto"/>
        <w:rPr>
          <w:color w:val="77206D" w:themeColor="accent5" w:themeShade="BF"/>
        </w:rPr>
      </w:pPr>
      <w:r w:rsidRPr="00323D4D">
        <w:rPr>
          <w:color w:val="77206D" w:themeColor="accent5" w:themeShade="BF"/>
        </w:rPr>
        <w:t xml:space="preserve">7. Technological Solutionism: My rewrite names and cautions against overpromising on technological solutionism to avoid exacerbating existing disparities. This moderated stance is missing from the original.  </w:t>
      </w:r>
    </w:p>
    <w:p w14:paraId="7FD13094" w14:textId="77777777" w:rsidR="00323D4D" w:rsidRPr="00323D4D" w:rsidRDefault="00323D4D" w:rsidP="00323D4D">
      <w:pPr>
        <w:spacing w:after="0" w:line="276" w:lineRule="auto"/>
        <w:rPr>
          <w:color w:val="77206D" w:themeColor="accent5" w:themeShade="BF"/>
        </w:rPr>
      </w:pPr>
    </w:p>
    <w:p w14:paraId="1DAE33AC" w14:textId="1741A7B6" w:rsidR="00323D4D" w:rsidRDefault="00323D4D" w:rsidP="00323D4D">
      <w:pPr>
        <w:spacing w:after="0" w:line="276" w:lineRule="auto"/>
        <w:rPr>
          <w:color w:val="77206D" w:themeColor="accent5" w:themeShade="BF"/>
        </w:rPr>
      </w:pPr>
      <w:r w:rsidRPr="00323D4D">
        <w:rPr>
          <w:color w:val="77206D" w:themeColor="accent5" w:themeShade="BF"/>
        </w:rPr>
        <w:t>In essence, my rewrite critically questions several of the original piece's premises and gaps, including around framing, inequity, progress assumptions, platform governance, and overemphasis on digital solutions. The goal is to advance a more balanced analytical perspective.</w:t>
      </w:r>
    </w:p>
    <w:p w14:paraId="43485276" w14:textId="77777777" w:rsidR="001D469C" w:rsidRDefault="001D469C" w:rsidP="00A467C2">
      <w:pPr>
        <w:spacing w:after="0" w:line="276" w:lineRule="auto"/>
        <w:rPr>
          <w:color w:val="77206D" w:themeColor="accent5" w:themeShade="BF"/>
        </w:rPr>
      </w:pPr>
    </w:p>
    <w:p w14:paraId="378716D0" w14:textId="3FB0A8E7" w:rsidR="001D469C" w:rsidRPr="00D90AE3" w:rsidRDefault="001D469C" w:rsidP="00A467C2">
      <w:pPr>
        <w:spacing w:after="0" w:line="276" w:lineRule="auto"/>
        <w:rPr>
          <w:b/>
          <w:bCs/>
        </w:rPr>
      </w:pPr>
      <w:r w:rsidRPr="00D90AE3">
        <w:rPr>
          <w:b/>
          <w:bCs/>
        </w:rPr>
        <w:t>PL</w:t>
      </w:r>
    </w:p>
    <w:p w14:paraId="7006E594" w14:textId="77777777" w:rsidR="000C2C82" w:rsidRPr="00D90AE3" w:rsidRDefault="000C2C82" w:rsidP="00A467C2">
      <w:pPr>
        <w:spacing w:after="0" w:line="276" w:lineRule="auto"/>
        <w:rPr>
          <w:b/>
          <w:bCs/>
        </w:rPr>
      </w:pPr>
    </w:p>
    <w:p w14:paraId="30C769C3" w14:textId="332610F9" w:rsidR="00D90AE3" w:rsidRPr="00D90AE3" w:rsidRDefault="00D90AE3" w:rsidP="00D90AE3">
      <w:pPr>
        <w:spacing w:after="0" w:line="276" w:lineRule="auto"/>
        <w:rPr>
          <w:b/>
          <w:bCs/>
        </w:rPr>
      </w:pPr>
      <w:r w:rsidRPr="00D90AE3">
        <w:rPr>
          <w:b/>
          <w:bCs/>
        </w:rPr>
        <w:t>The origin and development of digital currencies</w:t>
      </w:r>
    </w:p>
    <w:p w14:paraId="486B44D0" w14:textId="77777777" w:rsidR="00D90AE3" w:rsidRDefault="00D90AE3" w:rsidP="00D90AE3">
      <w:pPr>
        <w:spacing w:after="0" w:line="276" w:lineRule="auto"/>
      </w:pPr>
    </w:p>
    <w:p w14:paraId="6D312817" w14:textId="77777777" w:rsidR="00D90AE3" w:rsidRDefault="00D90AE3" w:rsidP="00D90AE3">
      <w:pPr>
        <w:spacing w:after="0" w:line="276" w:lineRule="auto"/>
      </w:pPr>
      <w:r>
        <w:t>In the past, electronic money first appeared in the United States. In the early 1980s, a number of United States economists developed a concept known as "electronic cash", which they argued could be used in the same way as actual banknotes. The origins of the concept can be traced back to 1998, when Dai published a paper entitled B-money, an anonymous, distributed electronic cash system. This paper was the first to delve into the concept of "digital money" and what it meant. Based on this research, a new, anonymous, distributed, electronic, non-public, unrevealed, and unknown electronic cryptosystem was developed, represented by B-money (Dai, 1998). Based on blockchain technology and using technical tools such as distributed ledgers, cryptographic algorithms, and smart contracts, digital currencies are able to be decentralised in terms of their issuance, circulation, payment, clearing, and management, thus presenting a programmable monetary nature (Ba, S. S., Zhang, D. C., and Zhu, Y. Q., 2020). In recent years, with the rapid development of information technology and cryptography, the development of digital currencies has attracted great attention from researchers around the world.</w:t>
      </w:r>
    </w:p>
    <w:p w14:paraId="1F12605F" w14:textId="77777777" w:rsidR="00D90AE3" w:rsidRDefault="00D90AE3" w:rsidP="00D90AE3">
      <w:pPr>
        <w:spacing w:after="0" w:line="276" w:lineRule="auto"/>
      </w:pPr>
    </w:p>
    <w:p w14:paraId="11DBFAC9" w14:textId="77777777" w:rsidR="00D90AE3" w:rsidRDefault="00D90AE3" w:rsidP="00D90AE3">
      <w:pPr>
        <w:spacing w:after="0" w:line="276" w:lineRule="auto"/>
      </w:pPr>
      <w:r>
        <w:lastRenderedPageBreak/>
        <w:t>Digital currencies can be classified into two categories, official state-issued and unofficial state-issued, based on the subject of their issuance. Although unofficial digital currencies have been extensively studied by the international research community, the essential characteristics of these unofficial digital currencies dictate that there are certain limitations to their application in the international arena. David Yermack made a similar point in 2013 (Yermack, D., 2013). Furthermore, Smith Jacob noted in 2004 that the rise and value of Bitcoin were largely due to the loopholes in the traditional currency market, which also led to a lack of functionality in terms of the flow of value between standard currencies and Bitcoin (Smith, J., 2014). Nakamoto first introduced the concept of Bitcoin in 2008 in his book Bitcoin: A Peer-to-Peer Electronic Cash System as a cryptography-based virtual reality technology designed to create a peer-to-peer system without third-party intervention in order to better meet the needs of the seller (Nakamoto, S., 2008).</w:t>
      </w:r>
    </w:p>
    <w:p w14:paraId="6FCF49B6" w14:textId="77777777" w:rsidR="00147499" w:rsidRDefault="00147499" w:rsidP="00D90AE3">
      <w:pPr>
        <w:spacing w:after="0" w:line="276" w:lineRule="auto"/>
      </w:pPr>
    </w:p>
    <w:p w14:paraId="3F30B162" w14:textId="77777777" w:rsidR="00D90AE3" w:rsidRDefault="00D90AE3" w:rsidP="00D90AE3">
      <w:pPr>
        <w:spacing w:after="0" w:line="276" w:lineRule="auto"/>
      </w:pPr>
      <w:r>
        <w:t xml:space="preserve">International research on unofficial digital currencies has focused on their issuance mechanisms and uses. An important and critical research question is whether unofficial digital currencies have the potential to replace fiat currencies and whether they have the ability to compete with traditional currencies. Given the nature of unofficial digital currencies, they may be able to compete with, replace, or even outperform traditional currencies in practical use. For example, </w:t>
      </w:r>
      <w:proofErr w:type="spellStart"/>
      <w:r>
        <w:t>Schinckus</w:t>
      </w:r>
      <w:proofErr w:type="spellEnd"/>
      <w:r>
        <w:t xml:space="preserve"> et al. note that Bitcoin and Ether possess an anonymous nature, while Ether does not (</w:t>
      </w:r>
      <w:proofErr w:type="spellStart"/>
      <w:r>
        <w:t>Schinckus</w:t>
      </w:r>
      <w:proofErr w:type="spellEnd"/>
      <w:r>
        <w:t>, C., Nguyen, C.P., &amp; Chong, F.H.L., 2021).</w:t>
      </w:r>
    </w:p>
    <w:p w14:paraId="3AE6B001" w14:textId="77777777" w:rsidR="00147499" w:rsidRDefault="00147499" w:rsidP="00D90AE3">
      <w:pPr>
        <w:spacing w:after="0" w:line="276" w:lineRule="auto"/>
      </w:pPr>
    </w:p>
    <w:p w14:paraId="4A11D790" w14:textId="77777777" w:rsidR="00D90AE3" w:rsidRDefault="00D90AE3" w:rsidP="00D90AE3">
      <w:pPr>
        <w:spacing w:after="0" w:line="276" w:lineRule="auto"/>
      </w:pPr>
      <w:r>
        <w:t>Unofficial digital currencies face multiple credit problems, including challenges related to the lack of "state power", unclear legal status, cross-border characteristics, and "anarchy". This combination of issues affects the trust and viability of such digital currencies on a global scale. In contrast, "official e-money" issued by central banks is widely recognised in Chinese academia for its advantages of control and government support.</w:t>
      </w:r>
    </w:p>
    <w:p w14:paraId="3BE38C4E" w14:textId="77777777" w:rsidR="00147499" w:rsidRDefault="00147499" w:rsidP="00D90AE3">
      <w:pPr>
        <w:spacing w:after="0" w:line="276" w:lineRule="auto"/>
      </w:pPr>
    </w:p>
    <w:p w14:paraId="29879CC9" w14:textId="77777777" w:rsidR="00D90AE3" w:rsidRDefault="00D90AE3" w:rsidP="00D90AE3">
      <w:pPr>
        <w:spacing w:after="0" w:line="276" w:lineRule="auto"/>
      </w:pPr>
      <w:r>
        <w:t xml:space="preserve">Scholars Zhang </w:t>
      </w:r>
      <w:proofErr w:type="spellStart"/>
      <w:r>
        <w:t>Zhengxin</w:t>
      </w:r>
      <w:proofErr w:type="spellEnd"/>
      <w:r>
        <w:t xml:space="preserve">, Zhao Yue, and others point out in their research that "central bank digital currencies have a certain degree of controllability and a high credit rating, and their features, including being oriented to a specific group, non-profit nature, and easy to regulate, make them highly favoured" (Zhang, Z., &amp; Zhao, Y., 2016). On the other hand, scholars such as Sheng </w:t>
      </w:r>
      <w:proofErr w:type="spellStart"/>
      <w:r>
        <w:t>Songcheng</w:t>
      </w:r>
      <w:proofErr w:type="spellEnd"/>
      <w:r>
        <w:t xml:space="preserve"> and Jiang </w:t>
      </w:r>
      <w:proofErr w:type="spellStart"/>
      <w:r>
        <w:t>Yile</w:t>
      </w:r>
      <w:proofErr w:type="spellEnd"/>
      <w:r>
        <w:t xml:space="preserve"> believe that "the regulation of economic operation by the central bank is necessary, and only the intervention of the central bank can ensure the normal operation of the entire economic system and monetary system" (Sheng, S., &amp; Jiang, Y., 2016). In this context, Liu </w:t>
      </w:r>
      <w:proofErr w:type="spellStart"/>
      <w:r>
        <w:t>Jinhan</w:t>
      </w:r>
      <w:proofErr w:type="spellEnd"/>
      <w:r>
        <w:t xml:space="preserve"> predicted the future trend that "e-money" may become a brand new form that complements or even replaces the official currency and develops into an international currency (Liu, J., &amp; Chen, J., 2018). Fang, X., &amp; Huang, S., emphasise that digital currencies issued in the </w:t>
      </w:r>
      <w:r>
        <w:lastRenderedPageBreak/>
        <w:t>name of the official government will greatly enhance their credibility and provide greater stability than digital currencies operated by some banks and corporations (Fang, X., &amp; Huang, S., 2020).</w:t>
      </w:r>
    </w:p>
    <w:p w14:paraId="0E312D06" w14:textId="77777777" w:rsidR="00147499" w:rsidRDefault="00147499" w:rsidP="00D90AE3">
      <w:pPr>
        <w:spacing w:after="0" w:line="276" w:lineRule="auto"/>
      </w:pPr>
    </w:p>
    <w:p w14:paraId="52968CF5" w14:textId="77777777" w:rsidR="00D90AE3" w:rsidRDefault="00D90AE3" w:rsidP="00D90AE3">
      <w:pPr>
        <w:spacing w:after="0" w:line="276" w:lineRule="auto"/>
      </w:pPr>
      <w:r>
        <w:t>Further comparing the two development paths of Libra and the central bank's digital currency, Yang and Zhang argue that the central bank's digital currency is more robust, although there are some potential conflicts in the long-term development direction (Yang, X., &amp; Zhang, M., 2019). Based on the Dynamic Stochastic General Equilibrium (DSGE) theory, Yao Qian suggests that the People's Bank of China (PBOC) can effectively curb the development of "marketization" through "digital currency" (DSGE) and thus reduce the potential impact of "marketization” and thus reduce the fiscal risks that may be brought about by "marketization" (Yao, Q., 2019).</w:t>
      </w:r>
    </w:p>
    <w:p w14:paraId="7C370AF4" w14:textId="77777777" w:rsidR="00147499" w:rsidRDefault="00147499" w:rsidP="00D90AE3">
      <w:pPr>
        <w:spacing w:after="0" w:line="276" w:lineRule="auto"/>
      </w:pPr>
    </w:p>
    <w:p w14:paraId="74AA66D9" w14:textId="77777777" w:rsidR="00D90AE3" w:rsidRDefault="00D90AE3" w:rsidP="00D90AE3">
      <w:pPr>
        <w:spacing w:after="0" w:line="276" w:lineRule="auto"/>
      </w:pPr>
      <w:r>
        <w:t>Finally, relative to traditional currencies, digital currencies based on blockchain and cryptography have demonstrated low costs and high efficiency in settlement and payment. This new form of currency can, to a certain extent, reduce the information asymmetry in the transaction process and provide a more flexible and effective financial tool for the healthy operation of the economic system.</w:t>
      </w:r>
    </w:p>
    <w:p w14:paraId="78C54797" w14:textId="77777777" w:rsidR="00147499" w:rsidRDefault="00147499" w:rsidP="00D90AE3">
      <w:pPr>
        <w:spacing w:after="0" w:line="276" w:lineRule="auto"/>
      </w:pPr>
    </w:p>
    <w:p w14:paraId="4838767D" w14:textId="77777777" w:rsidR="00D90AE3" w:rsidRDefault="00D90AE3" w:rsidP="00D90AE3">
      <w:pPr>
        <w:spacing w:after="0" w:line="276" w:lineRule="auto"/>
      </w:pPr>
      <w:r>
        <w:t xml:space="preserve">In addition, international researchers </w:t>
      </w:r>
      <w:proofErr w:type="spellStart"/>
      <w:r>
        <w:t>Barrdear</w:t>
      </w:r>
      <w:proofErr w:type="spellEnd"/>
      <w:r>
        <w:t xml:space="preserve"> and Kumhof observed in their study that digital currency can be considered a liability of the central bank, whose liabilities have certain interest rate characteristics and can be viewed as a medium of trade (</w:t>
      </w:r>
      <w:proofErr w:type="spellStart"/>
      <w:r>
        <w:t>Barrdear</w:t>
      </w:r>
      <w:proofErr w:type="spellEnd"/>
      <w:r>
        <w:t xml:space="preserve">, J., &amp; Kumhof, M., 2016). </w:t>
      </w:r>
      <w:proofErr w:type="spellStart"/>
      <w:r>
        <w:t>Andolfatto</w:t>
      </w:r>
      <w:proofErr w:type="spellEnd"/>
      <w:r>
        <w:t xml:space="preserve"> David, on the other hand, assessed the extent to which the issuance of central bank digital currencies affects commercial banks from their perspective (</w:t>
      </w:r>
      <w:proofErr w:type="spellStart"/>
      <w:r>
        <w:t>Andolfatto</w:t>
      </w:r>
      <w:proofErr w:type="spellEnd"/>
      <w:r>
        <w:t xml:space="preserve"> D., 2018). In addition, Raskin and other researchers believe that central bank digital currencies will have far-reaching changes in the types of currencies, transaction methods, and scope of circulation (Raskin, M., &amp; Yermack, D., 2018).</w:t>
      </w:r>
    </w:p>
    <w:p w14:paraId="3926635D" w14:textId="77777777" w:rsidR="00D90AE3" w:rsidRDefault="00D90AE3" w:rsidP="00D90AE3">
      <w:pPr>
        <w:spacing w:after="0" w:line="276" w:lineRule="auto"/>
      </w:pPr>
    </w:p>
    <w:p w14:paraId="10BECB58" w14:textId="77777777" w:rsidR="00D90AE3" w:rsidRDefault="00D90AE3" w:rsidP="00D90AE3">
      <w:pPr>
        <w:spacing w:after="0" w:line="276" w:lineRule="auto"/>
      </w:pPr>
      <w:r>
        <w:t>3.2 Central Bank of China Digital Currency - Digital Chinese Yuan (e-CNY)</w:t>
      </w:r>
    </w:p>
    <w:p w14:paraId="307E810F" w14:textId="77777777" w:rsidR="00147499" w:rsidRDefault="00147499" w:rsidP="00D90AE3">
      <w:pPr>
        <w:spacing w:after="0" w:line="276" w:lineRule="auto"/>
      </w:pPr>
    </w:p>
    <w:p w14:paraId="028B994F" w14:textId="77777777" w:rsidR="00D90AE3" w:rsidRDefault="00D90AE3" w:rsidP="00D90AE3">
      <w:pPr>
        <w:spacing w:after="0" w:line="276" w:lineRule="auto"/>
      </w:pPr>
      <w:r>
        <w:t>3.2.1 The background of e-CNY</w:t>
      </w:r>
    </w:p>
    <w:p w14:paraId="408510DD" w14:textId="77777777" w:rsidR="00D90AE3" w:rsidRDefault="00D90AE3" w:rsidP="00D90AE3">
      <w:pPr>
        <w:spacing w:after="0" w:line="276" w:lineRule="auto"/>
      </w:pPr>
      <w:r>
        <w:t xml:space="preserve">The background to the creation of the Chinese Digital Yuan (e-CNY) can be summarised in five key areas. From an economic perspective, the rise of the digital economy is closely related to the digitization of money. With data capital gradually becoming an important part of social capital, e-CNY, as the monetary foundation of the digital economy, helps reduce transaction costs. From a technical perspective, traditional banknotes involve a large amount of human and material resources, with cumbersome procedures from production, issuance, recycling, and destruction. e-CNY's introduction is an inevitable result of the spread of information technology and is expected to improve efficiency and convenience. Politically, countries are now generally exploring </w:t>
      </w:r>
      <w:r>
        <w:lastRenderedPageBreak/>
        <w:t>the development of legal tender digital currencies, and the issuance of e-CNY will not only help consolidate China's sovereign currency status and protect the stability of the financial system, but also mitigate the potential risk impact of virtual digital currencies on the financial market. In addition, the promotion of e-CNY is also expected to facilitate China's payment and settlement in the "Belt and Road" region and enhance its international status. On a social level, the issuance of e-CNY can reduce the public's reliance on online payments and ensure the security of public payments through e-CNY based on national credit. Finally, from a regulatory perspective, a lack of information transparency has been an obstacle to the implementation of various policies. e-CNY issuance enables the Chinese central bank to better grasp the direction of currency circulation, strengthens the fight against money laundering, black money, and other illegal activities, and provides the central bank with more detailed data to support the implementation of monetary policy (Ding, X. W., 2021).</w:t>
      </w:r>
    </w:p>
    <w:p w14:paraId="63A0F4A6" w14:textId="77777777" w:rsidR="00147499" w:rsidRDefault="00147499" w:rsidP="00D90AE3">
      <w:pPr>
        <w:spacing w:after="0" w:line="276" w:lineRule="auto"/>
      </w:pPr>
    </w:p>
    <w:p w14:paraId="4BE4CBB9" w14:textId="77777777" w:rsidR="00D90AE3" w:rsidRDefault="00D90AE3" w:rsidP="00D90AE3">
      <w:pPr>
        <w:spacing w:after="0" w:line="276" w:lineRule="auto"/>
      </w:pPr>
      <w:r>
        <w:t>The e-CNY is a legal tender introduced by China's central bank and is consistent in its basic features with legal tender currencies issued by other countries (Xu, J., 2022). However, the difference lies in the issuance and recovery mechanism of e-CNY, which involves a complex relationship between the central bank, commercial banks, and the public.</w:t>
      </w:r>
    </w:p>
    <w:p w14:paraId="2EE8C355" w14:textId="77777777" w:rsidR="00147499" w:rsidRDefault="00147499" w:rsidP="00D90AE3">
      <w:pPr>
        <w:spacing w:after="0" w:line="276" w:lineRule="auto"/>
      </w:pPr>
    </w:p>
    <w:p w14:paraId="23685618" w14:textId="77777777" w:rsidR="00D90AE3" w:rsidRDefault="00D90AE3" w:rsidP="00D90AE3">
      <w:pPr>
        <w:spacing w:after="0" w:line="276" w:lineRule="auto"/>
      </w:pPr>
      <w:r>
        <w:t>“A two-tier operating system is used for the issuance of e-CNY, whereby it is first issued by the central bank to commercial banks, which then release it to the public. The specific process involves commercial banks submitting an application for e-CNY issuance to the central bank, and once this application has been approved by the central bank, the central bank deducts the commercial bank's reserve for deposits from its accounting system and issues the corresponding amount of e-CNY to the commercial bank. The commercial bank then receives these e-CNY, which it uses in its deposit operations. The same mechanism applies to the e-CNY recovery process, which is initiated by the commercial bank, approved by the digital currency system, and transacted in the accounting and settlement system to restore the e-CNY to the corresponding amount submitted by the commercial bank” (Tang, K., &amp; Chen, Y., 2020).</w:t>
      </w:r>
    </w:p>
    <w:p w14:paraId="74BBA10B" w14:textId="77777777" w:rsidR="00D90AE3" w:rsidRDefault="00D90AE3" w:rsidP="00D90AE3">
      <w:pPr>
        <w:spacing w:after="0" w:line="276" w:lineRule="auto"/>
      </w:pPr>
      <w:r>
        <w:t>In order to use e-CNY, the public first needs to open an e-CNY account, tie it to a bank account, convert savings to e-CNY, and then conduct daily e-CNY transactions (Zhao, J. 2022). Throughout the e-CNY issuance process, from the central bank to the public, the central bank has the transparent and real-time monitoring capability to not only regulate the issuance of e-CNY based on macroeconomic conditions but also to combat illegal CNY-related criminal activities (Jiang, J.C., &amp; Lucero, K. 2021). This issuance and regulatory system help to ensure the stable operation and legitimate use of the e-CNY.</w:t>
      </w:r>
    </w:p>
    <w:p w14:paraId="5D1E2A64" w14:textId="77777777" w:rsidR="00D90AE3" w:rsidRDefault="00D90AE3" w:rsidP="00D90AE3">
      <w:pPr>
        <w:spacing w:after="0" w:line="276" w:lineRule="auto"/>
      </w:pPr>
    </w:p>
    <w:p w14:paraId="694D20DB" w14:textId="77777777" w:rsidR="00D90AE3" w:rsidRDefault="00D90AE3" w:rsidP="00D90AE3">
      <w:pPr>
        <w:spacing w:after="0" w:line="276" w:lineRule="auto"/>
      </w:pPr>
      <w:r>
        <w:t>3.2.2 What e-CNY is all about</w:t>
      </w:r>
    </w:p>
    <w:p w14:paraId="66A43DB7" w14:textId="77777777" w:rsidR="00147499" w:rsidRDefault="00147499" w:rsidP="00D90AE3">
      <w:pPr>
        <w:spacing w:after="0" w:line="276" w:lineRule="auto"/>
      </w:pPr>
    </w:p>
    <w:p w14:paraId="4EF26C4A" w14:textId="77777777" w:rsidR="00D90AE3" w:rsidRDefault="00D90AE3" w:rsidP="00D90AE3">
      <w:pPr>
        <w:spacing w:after="0" w:line="276" w:lineRule="auto"/>
      </w:pPr>
      <w:r>
        <w:t xml:space="preserve">Zhou </w:t>
      </w:r>
      <w:proofErr w:type="spellStart"/>
      <w:r>
        <w:t>Dengxian</w:t>
      </w:r>
      <w:proofErr w:type="spellEnd"/>
      <w:r>
        <w:t xml:space="preserve"> points out that "e-CNY is a legal tender digital currency issued by the People's Bank of China, also known as "DC/EP" (Digital Currency/Electronic Payment), and often abbreviated as "e-CNY". It is backed by national credit and uses blockchain technology to achieve the convergence of digital currency and electronic payments" (Zhou, D. X., 2021). "On the monetary level, e-CNY belongs to the M0 category, essentially acting as a substitute for circulating cash, and currently does not pay any interest for the time being" (Feng, S. H., &amp; Yang, J., 2021). At the same time, "the issuance of e-CNY still follows the centralised issuance and two-tier operation system of the central bank, i.e., the central bank does not directly issue e-CNY to the public but rather channels it through commercial banks, which first redeem the corresponding e-CNY from the People's Bank of China (PBOC) and then subsequently distribute e-CNY to the public" (Feng, S.H., &amp; Yang, J., 2021). This distribution mechanism is consistent with the current banknote distribution system.</w:t>
      </w:r>
    </w:p>
    <w:p w14:paraId="52571DB4" w14:textId="77777777" w:rsidR="00147499" w:rsidRDefault="00147499" w:rsidP="00D90AE3">
      <w:pPr>
        <w:spacing w:after="0" w:line="276" w:lineRule="auto"/>
      </w:pPr>
    </w:p>
    <w:p w14:paraId="453140F4" w14:textId="77777777" w:rsidR="00D90AE3" w:rsidRDefault="00D90AE3" w:rsidP="00D90AE3">
      <w:pPr>
        <w:spacing w:after="0" w:line="276" w:lineRule="auto"/>
      </w:pPr>
      <w:r>
        <w:t>In addition, e-CNY supports loose coupling with bank accounts, i.e., users do not have to have a bank account to open an e-CNY wallet, similar to how residents holding paper currency may not have a bank account associated with it (</w:t>
      </w:r>
      <w:proofErr w:type="spellStart"/>
      <w:r>
        <w:t>Gumasing</w:t>
      </w:r>
      <w:proofErr w:type="spellEnd"/>
      <w:r>
        <w:t xml:space="preserve">, M.J., </w:t>
      </w:r>
      <w:proofErr w:type="spellStart"/>
      <w:r>
        <w:t>Cangco</w:t>
      </w:r>
      <w:proofErr w:type="spellEnd"/>
      <w:r>
        <w:t>, G.K., Ilagan, S.M., &amp; Reyes, E.G., 2023). The e-CNY wallet is able to provide users with richer and more convenient services than traditional banknotes with the help of advanced online technology. Even for those who do not have a bank account, they can access financial services through digital wallets, thus enabling e-CNY services to reach all levels of society (Alotaibi, H.A., 2022).</w:t>
      </w:r>
    </w:p>
    <w:p w14:paraId="16A68754" w14:textId="0D95A3F7" w:rsidR="000C2C82" w:rsidRPr="001D469C" w:rsidRDefault="00D90AE3" w:rsidP="00D90AE3">
      <w:pPr>
        <w:spacing w:after="0" w:line="276" w:lineRule="auto"/>
      </w:pPr>
      <w:r>
        <w:t>Finally, Qiu Yanfei concludes that "e-CNY, with its features of offline dual payment, controlled anonymity, and high traceability, provides important information for combating criminal activities. Even if criminals try to hide the stolen money through various means, the high traceability of e-CNY makes it difficult to evade regulation" (Qiu, Y. F., 2021). These features provide a solid legal and regulatory basis for the promotion of e-CNY.</w:t>
      </w:r>
    </w:p>
    <w:p w14:paraId="39F88A6D" w14:textId="77777777" w:rsidR="00A467C2" w:rsidRDefault="00A467C2" w:rsidP="00A467C2">
      <w:pPr>
        <w:spacing w:after="0" w:line="276" w:lineRule="auto"/>
        <w:rPr>
          <w:color w:val="77206D" w:themeColor="accent5" w:themeShade="BF"/>
        </w:rPr>
      </w:pPr>
    </w:p>
    <w:p w14:paraId="2C923514" w14:textId="77777777" w:rsidR="006909D6" w:rsidRDefault="006909D6" w:rsidP="006909D6">
      <w:pPr>
        <w:spacing w:after="0" w:line="276" w:lineRule="auto"/>
        <w:rPr>
          <w:color w:val="77206D" w:themeColor="accent5" w:themeShade="BF"/>
        </w:rPr>
      </w:pPr>
    </w:p>
    <w:p w14:paraId="43F85ADC" w14:textId="10323A16" w:rsidR="006909D6" w:rsidRDefault="001F7349" w:rsidP="006909D6">
      <w:pPr>
        <w:spacing w:after="0" w:line="276" w:lineRule="auto"/>
        <w:rPr>
          <w:color w:val="156082" w:themeColor="accent1"/>
        </w:rPr>
      </w:pPr>
      <w:r>
        <w:rPr>
          <w:color w:val="156082" w:themeColor="accent1"/>
        </w:rPr>
        <w:t>Consideration</w:t>
      </w:r>
    </w:p>
    <w:p w14:paraId="4A8A6F77" w14:textId="77777777" w:rsidR="001F7349" w:rsidRPr="001F7349" w:rsidRDefault="001F7349" w:rsidP="001F7349">
      <w:pPr>
        <w:spacing w:after="0" w:line="276" w:lineRule="auto"/>
        <w:rPr>
          <w:color w:val="156082" w:themeColor="accent1"/>
        </w:rPr>
      </w:pPr>
    </w:p>
    <w:p w14:paraId="3BE2FDCD" w14:textId="77777777" w:rsidR="001F7349" w:rsidRPr="001F7349" w:rsidRDefault="001F7349" w:rsidP="001F7349">
      <w:pPr>
        <w:spacing w:after="0" w:line="276" w:lineRule="auto"/>
        <w:rPr>
          <w:color w:val="156082" w:themeColor="accent1"/>
        </w:rPr>
      </w:pPr>
      <w:r w:rsidRPr="001F7349">
        <w:rPr>
          <w:color w:val="156082" w:themeColor="accent1"/>
        </w:rPr>
        <w:t xml:space="preserve">Whilst the section summarizes various concepts related to digital currencies, the discussion fails to critically </w:t>
      </w:r>
      <w:proofErr w:type="spellStart"/>
      <w:r w:rsidRPr="001F7349">
        <w:rPr>
          <w:color w:val="156082" w:themeColor="accent1"/>
        </w:rPr>
        <w:t>analyze</w:t>
      </w:r>
      <w:proofErr w:type="spellEnd"/>
      <w:r w:rsidRPr="001F7349">
        <w:rPr>
          <w:color w:val="156082" w:themeColor="accent1"/>
        </w:rPr>
        <w:t xml:space="preserve"> real-world functionality and impacts beyond theoretical potential. Beyond defining features of e-CNY, there is minimal examination of how it concretely transforms financial access or inclusion outside of abstract aspirations. Elaborating on use cases demonstrating efficiency gains or user adoption among unbanked groups could provide greater insight on resultant benefits.  </w:t>
      </w:r>
    </w:p>
    <w:p w14:paraId="0E2F6596" w14:textId="77777777" w:rsidR="001F7349" w:rsidRPr="001F7349" w:rsidRDefault="001F7349" w:rsidP="001F7349">
      <w:pPr>
        <w:spacing w:after="0" w:line="276" w:lineRule="auto"/>
        <w:rPr>
          <w:color w:val="156082" w:themeColor="accent1"/>
        </w:rPr>
      </w:pPr>
    </w:p>
    <w:p w14:paraId="4B58E33D" w14:textId="77777777" w:rsidR="001F7349" w:rsidRPr="001F7349" w:rsidRDefault="001F7349" w:rsidP="001F7349">
      <w:pPr>
        <w:spacing w:after="0" w:line="276" w:lineRule="auto"/>
        <w:rPr>
          <w:color w:val="156082" w:themeColor="accent1"/>
        </w:rPr>
      </w:pPr>
      <w:r w:rsidRPr="001F7349">
        <w:rPr>
          <w:color w:val="156082" w:themeColor="accent1"/>
        </w:rPr>
        <w:lastRenderedPageBreak/>
        <w:t xml:space="preserve">Additionally, the commentary relies substantially on differentiate digital currency models without sufficiently evaluating limitations and risks. While the background outlines useful taxonomies, synthesizing documentation of implementation challenges in jurisdictions pioneering central bank digital currencies could reveal sobering priorities amidst the hype. One area briefly implied is disintermediating commercial banks; </w:t>
      </w:r>
      <w:proofErr w:type="spellStart"/>
      <w:r w:rsidRPr="001F7349">
        <w:rPr>
          <w:color w:val="156082" w:themeColor="accent1"/>
        </w:rPr>
        <w:t>analyzing</w:t>
      </w:r>
      <w:proofErr w:type="spellEnd"/>
      <w:r w:rsidRPr="001F7349">
        <w:rPr>
          <w:color w:val="156082" w:themeColor="accent1"/>
        </w:rPr>
        <w:t xml:space="preserve"> complex transitions and stability safeguards could spur balanced discourse.  </w:t>
      </w:r>
    </w:p>
    <w:p w14:paraId="2C127A65" w14:textId="77777777" w:rsidR="001F7349" w:rsidRPr="001F7349" w:rsidRDefault="001F7349" w:rsidP="001F7349">
      <w:pPr>
        <w:spacing w:after="0" w:line="276" w:lineRule="auto"/>
        <w:rPr>
          <w:color w:val="156082" w:themeColor="accent1"/>
        </w:rPr>
      </w:pPr>
    </w:p>
    <w:p w14:paraId="5BEE495C" w14:textId="77777777" w:rsidR="001F7349" w:rsidRPr="001F7349" w:rsidRDefault="001F7349" w:rsidP="001F7349">
      <w:pPr>
        <w:spacing w:after="0" w:line="276" w:lineRule="auto"/>
        <w:rPr>
          <w:color w:val="156082" w:themeColor="accent1"/>
        </w:rPr>
      </w:pPr>
      <w:r w:rsidRPr="001F7349">
        <w:rPr>
          <w:color w:val="156082" w:themeColor="accent1"/>
        </w:rPr>
        <w:t xml:space="preserve">Furthermore, bold visions of revolutionizing currency systems through cryptographic innovation warrant </w:t>
      </w:r>
      <w:proofErr w:type="spellStart"/>
      <w:r w:rsidRPr="001F7349">
        <w:rPr>
          <w:color w:val="156082" w:themeColor="accent1"/>
        </w:rPr>
        <w:t>skepticism</w:t>
      </w:r>
      <w:proofErr w:type="spellEnd"/>
      <w:r w:rsidRPr="001F7349">
        <w:rPr>
          <w:color w:val="156082" w:themeColor="accent1"/>
        </w:rPr>
        <w:t xml:space="preserve"> given complicated change management realities being discovered. Attribution of inevitable mass adoption absent </w:t>
      </w:r>
      <w:proofErr w:type="spellStart"/>
      <w:r w:rsidRPr="001F7349">
        <w:rPr>
          <w:color w:val="156082" w:themeColor="accent1"/>
        </w:rPr>
        <w:t>analyzing</w:t>
      </w:r>
      <w:proofErr w:type="spellEnd"/>
      <w:r w:rsidRPr="001F7349">
        <w:rPr>
          <w:color w:val="156082" w:themeColor="accent1"/>
        </w:rPr>
        <w:t xml:space="preserve"> barriers to access, cyber risks and unintended consequences ignores messy proofs-of-concept underscoring the challenges. As it stands, the techno-optimism overlooks potentially exacerbating financial surveillance, fraud vectors and operational risks.</w:t>
      </w:r>
    </w:p>
    <w:p w14:paraId="5F813200" w14:textId="77777777" w:rsidR="001F7349" w:rsidRPr="001F7349" w:rsidRDefault="001F7349" w:rsidP="001F7349">
      <w:pPr>
        <w:spacing w:after="0" w:line="276" w:lineRule="auto"/>
        <w:rPr>
          <w:color w:val="156082" w:themeColor="accent1"/>
        </w:rPr>
      </w:pPr>
    </w:p>
    <w:p w14:paraId="7A681332" w14:textId="77777777" w:rsidR="001F7349" w:rsidRPr="001F7349" w:rsidRDefault="001F7349" w:rsidP="001F7349">
      <w:pPr>
        <w:spacing w:after="0" w:line="276" w:lineRule="auto"/>
        <w:rPr>
          <w:color w:val="156082" w:themeColor="accent1"/>
        </w:rPr>
      </w:pPr>
      <w:r w:rsidRPr="001F7349">
        <w:rPr>
          <w:color w:val="156082" w:themeColor="accent1"/>
        </w:rPr>
        <w:t xml:space="preserve">In terms of structure, segregating the abstract overview from grounded analysis impedes connecting theoretical potential to actual adoption complexities. Additionally, tightening terminology distinctions around digital money taxonomy could sharpen coherence. Purposeful topic transitions explaining the progression of thought would enhance flow rather than abrupt thematic shifts.  </w:t>
      </w:r>
    </w:p>
    <w:p w14:paraId="05B56645" w14:textId="77777777" w:rsidR="001F7349" w:rsidRPr="001F7349" w:rsidRDefault="001F7349" w:rsidP="001F7349">
      <w:pPr>
        <w:spacing w:after="0" w:line="276" w:lineRule="auto"/>
        <w:rPr>
          <w:color w:val="156082" w:themeColor="accent1"/>
        </w:rPr>
      </w:pPr>
    </w:p>
    <w:p w14:paraId="1B211759" w14:textId="77777777" w:rsidR="001F7349" w:rsidRPr="001F7349" w:rsidRDefault="001F7349" w:rsidP="001F7349">
      <w:pPr>
        <w:spacing w:after="0" w:line="276" w:lineRule="auto"/>
        <w:rPr>
          <w:color w:val="156082" w:themeColor="accent1"/>
        </w:rPr>
      </w:pPr>
      <w:r w:rsidRPr="001F7349">
        <w:rPr>
          <w:color w:val="156082" w:themeColor="accent1"/>
        </w:rPr>
        <w:t>Overall, while the landscape summarizes useful constructs, failing to leverage this context to reveal implementation and outcome intricacies represents missed opportunities for sober evaluations. Demonstrating nuanced applications weighing trade-offs could powerfully temper enthusiasm with balanced considerations of utilizing cutting-edge financial rails. Outlining policy guardrails needed alongside technological innovation pivots the discussion towards prudent, equitable adoption.</w:t>
      </w:r>
    </w:p>
    <w:p w14:paraId="14D98768" w14:textId="12F77AB8" w:rsidR="001F7349" w:rsidRDefault="001F7349" w:rsidP="001F7349">
      <w:pPr>
        <w:spacing w:after="0" w:line="276" w:lineRule="auto"/>
        <w:rPr>
          <w:color w:val="156082" w:themeColor="accent1"/>
        </w:rPr>
      </w:pPr>
    </w:p>
    <w:p w14:paraId="1508F63C" w14:textId="5F91BE61" w:rsidR="001F7349" w:rsidRPr="00A95BA2" w:rsidRDefault="001F7349" w:rsidP="001F7349">
      <w:pPr>
        <w:spacing w:after="0" w:line="276" w:lineRule="auto"/>
        <w:rPr>
          <w:b/>
          <w:bCs/>
          <w:color w:val="77206D" w:themeColor="accent5" w:themeShade="BF"/>
        </w:rPr>
      </w:pPr>
      <w:r w:rsidRPr="00A95BA2">
        <w:rPr>
          <w:b/>
          <w:bCs/>
          <w:color w:val="77206D" w:themeColor="accent5" w:themeShade="BF"/>
        </w:rPr>
        <w:t>Caroline’s rewrite</w:t>
      </w:r>
    </w:p>
    <w:p w14:paraId="5C41EBC1" w14:textId="77777777" w:rsidR="00A95BA2" w:rsidRPr="00A95BA2" w:rsidRDefault="00A95BA2" w:rsidP="001F7349">
      <w:pPr>
        <w:spacing w:after="0" w:line="276" w:lineRule="auto"/>
        <w:rPr>
          <w:b/>
          <w:bCs/>
          <w:color w:val="77206D" w:themeColor="accent5" w:themeShade="BF"/>
        </w:rPr>
      </w:pPr>
    </w:p>
    <w:p w14:paraId="740AE009" w14:textId="77777777" w:rsidR="00A95BA2" w:rsidRPr="00A95BA2" w:rsidRDefault="00A95BA2" w:rsidP="00A95BA2">
      <w:pPr>
        <w:spacing w:after="0" w:line="276" w:lineRule="auto"/>
        <w:rPr>
          <w:b/>
          <w:bCs/>
          <w:color w:val="77206D" w:themeColor="accent5" w:themeShade="BF"/>
        </w:rPr>
      </w:pPr>
    </w:p>
    <w:p w14:paraId="6041ACBB" w14:textId="77777777" w:rsidR="00A95BA2" w:rsidRPr="00A95BA2" w:rsidRDefault="00A95BA2" w:rsidP="00A95BA2">
      <w:pPr>
        <w:spacing w:after="0" w:line="276" w:lineRule="auto"/>
        <w:rPr>
          <w:b/>
          <w:bCs/>
          <w:color w:val="77206D" w:themeColor="accent5" w:themeShade="BF"/>
        </w:rPr>
      </w:pPr>
      <w:r w:rsidRPr="00A95BA2">
        <w:rPr>
          <w:b/>
          <w:bCs/>
          <w:color w:val="77206D" w:themeColor="accent5" w:themeShade="BF"/>
        </w:rPr>
        <w:t xml:space="preserve">The Uncritical Optimism Pervading Digital Currency Commentary </w:t>
      </w:r>
    </w:p>
    <w:p w14:paraId="76C38F2F" w14:textId="77777777" w:rsidR="00863BCD" w:rsidRPr="00863BCD" w:rsidRDefault="00863BCD" w:rsidP="00863BCD">
      <w:pPr>
        <w:spacing w:after="0" w:line="276" w:lineRule="auto"/>
        <w:rPr>
          <w:color w:val="501549" w:themeColor="accent5" w:themeShade="80"/>
        </w:rPr>
      </w:pPr>
    </w:p>
    <w:p w14:paraId="4758EE64" w14:textId="77777777" w:rsidR="00863BCD" w:rsidRPr="00863BCD" w:rsidRDefault="00863BCD" w:rsidP="00863BCD">
      <w:pPr>
        <w:spacing w:after="0" w:line="276" w:lineRule="auto"/>
        <w:rPr>
          <w:color w:val="501549" w:themeColor="accent5" w:themeShade="80"/>
        </w:rPr>
      </w:pPr>
      <w:r w:rsidRPr="00863BCD">
        <w:rPr>
          <w:color w:val="501549" w:themeColor="accent5" w:themeShade="80"/>
        </w:rPr>
        <w:t>While the discourse acknowledges major efficiency and access gains from blockchain-enabled cryptocurrencies and CBDCs, insufficient scrutiny surrounds risks of financial surveillance overreach, exacerbated inequality, and elusive monetary sovereignty. Celebratory rhetoric regarding decentralization and disintermediation overlooks how most designs reconcentrate control and reinforce intermediaries (Gao, 2022).</w:t>
      </w:r>
    </w:p>
    <w:p w14:paraId="39BE56F5" w14:textId="77777777" w:rsidR="00863BCD" w:rsidRPr="00863BCD" w:rsidRDefault="00863BCD" w:rsidP="00863BCD">
      <w:pPr>
        <w:spacing w:after="0" w:line="276" w:lineRule="auto"/>
        <w:rPr>
          <w:color w:val="501549" w:themeColor="accent5" w:themeShade="80"/>
        </w:rPr>
      </w:pPr>
    </w:p>
    <w:p w14:paraId="561ACCAB" w14:textId="77777777" w:rsidR="00863BCD" w:rsidRPr="00863BCD" w:rsidRDefault="00863BCD" w:rsidP="00863BCD">
      <w:pPr>
        <w:spacing w:after="0" w:line="276" w:lineRule="auto"/>
        <w:rPr>
          <w:color w:val="501549" w:themeColor="accent5" w:themeShade="80"/>
        </w:rPr>
      </w:pPr>
      <w:r w:rsidRPr="00863BCD">
        <w:rPr>
          <w:color w:val="501549" w:themeColor="accent5" w:themeShade="80"/>
        </w:rPr>
        <w:t>Assertions of embedded anonymity in systems like Bitcoin rarely note trace vulnerabilities from metadata analysis, undercutting liberation promises (</w:t>
      </w:r>
      <w:proofErr w:type="spellStart"/>
      <w:r w:rsidRPr="00863BCD">
        <w:rPr>
          <w:color w:val="501549" w:themeColor="accent5" w:themeShade="80"/>
        </w:rPr>
        <w:t>Möser</w:t>
      </w:r>
      <w:proofErr w:type="spellEnd"/>
      <w:r w:rsidRPr="00863BCD">
        <w:rPr>
          <w:color w:val="501549" w:themeColor="accent5" w:themeShade="80"/>
        </w:rPr>
        <w:t xml:space="preserve"> et al., </w:t>
      </w:r>
      <w:r w:rsidRPr="00863BCD">
        <w:rPr>
          <w:color w:val="501549" w:themeColor="accent5" w:themeShade="80"/>
        </w:rPr>
        <w:lastRenderedPageBreak/>
        <w:t xml:space="preserve">2022). And assumptions that distributed ledgers inherently boost financial inclusion disregard infrastructure inequities still hindering participation by marginalized groups (Sani &amp; Tetrault-Farber, 2022). </w:t>
      </w:r>
    </w:p>
    <w:p w14:paraId="5D2AA9E4" w14:textId="77777777" w:rsidR="00863BCD" w:rsidRPr="00863BCD" w:rsidRDefault="00863BCD" w:rsidP="00863BCD">
      <w:pPr>
        <w:spacing w:after="0" w:line="276" w:lineRule="auto"/>
        <w:rPr>
          <w:color w:val="501549" w:themeColor="accent5" w:themeShade="80"/>
        </w:rPr>
      </w:pPr>
    </w:p>
    <w:p w14:paraId="48C46DA3" w14:textId="77777777" w:rsidR="00863BCD" w:rsidRPr="00863BCD" w:rsidRDefault="00863BCD" w:rsidP="00863BCD">
      <w:pPr>
        <w:spacing w:after="0" w:line="276" w:lineRule="auto"/>
        <w:rPr>
          <w:color w:val="501549" w:themeColor="accent5" w:themeShade="80"/>
        </w:rPr>
      </w:pPr>
      <w:r w:rsidRPr="00863BCD">
        <w:rPr>
          <w:color w:val="501549" w:themeColor="accent5" w:themeShade="80"/>
        </w:rPr>
        <w:t xml:space="preserve">Furthermore, growing global competition within CBDC development </w:t>
      </w:r>
      <w:proofErr w:type="spellStart"/>
      <w:r w:rsidRPr="00863BCD">
        <w:rPr>
          <w:color w:val="501549" w:themeColor="accent5" w:themeShade="80"/>
        </w:rPr>
        <w:t>centered</w:t>
      </w:r>
      <w:proofErr w:type="spellEnd"/>
      <w:r w:rsidRPr="00863BCD">
        <w:rPr>
          <w:color w:val="501549" w:themeColor="accent5" w:themeShade="80"/>
        </w:rPr>
        <w:t xml:space="preserve"> on national interests risks fragmentation that undermines universality (</w:t>
      </w:r>
      <w:proofErr w:type="spellStart"/>
      <w:r w:rsidRPr="00863BCD">
        <w:rPr>
          <w:color w:val="501549" w:themeColor="accent5" w:themeShade="80"/>
        </w:rPr>
        <w:t>Lannquist</w:t>
      </w:r>
      <w:proofErr w:type="spellEnd"/>
      <w:r w:rsidRPr="00863BCD">
        <w:rPr>
          <w:color w:val="501549" w:themeColor="accent5" w:themeShade="80"/>
        </w:rPr>
        <w:t>, 2021). And while CBDCs may expand central bank oversight powers, contrary visions between state monetary authorities and commercial developers engender conflicts jeopardizing the financial stability such projects aim to protect (</w:t>
      </w:r>
      <w:proofErr w:type="spellStart"/>
      <w:r w:rsidRPr="00863BCD">
        <w:rPr>
          <w:color w:val="501549" w:themeColor="accent5" w:themeShade="80"/>
        </w:rPr>
        <w:t>Indvik</w:t>
      </w:r>
      <w:proofErr w:type="spellEnd"/>
      <w:r w:rsidRPr="00863BCD">
        <w:rPr>
          <w:color w:val="501549" w:themeColor="accent5" w:themeShade="80"/>
        </w:rPr>
        <w:t xml:space="preserve"> et al., 2022).  </w:t>
      </w:r>
    </w:p>
    <w:p w14:paraId="32AEEFF1" w14:textId="77777777" w:rsidR="00863BCD" w:rsidRPr="00863BCD" w:rsidRDefault="00863BCD" w:rsidP="00863BCD">
      <w:pPr>
        <w:spacing w:after="0" w:line="276" w:lineRule="auto"/>
        <w:rPr>
          <w:color w:val="501549" w:themeColor="accent5" w:themeShade="80"/>
        </w:rPr>
      </w:pPr>
    </w:p>
    <w:p w14:paraId="7C37AF56" w14:textId="77777777" w:rsidR="00863BCD" w:rsidRPr="00863BCD" w:rsidRDefault="00863BCD" w:rsidP="00863BCD">
      <w:pPr>
        <w:spacing w:after="0" w:line="276" w:lineRule="auto"/>
        <w:rPr>
          <w:color w:val="501549" w:themeColor="accent5" w:themeShade="80"/>
        </w:rPr>
      </w:pPr>
      <w:r w:rsidRPr="00863BCD">
        <w:rPr>
          <w:color w:val="501549" w:themeColor="accent5" w:themeShade="80"/>
        </w:rPr>
        <w:t>In essence, techno-deterministic views of digital currency pathways require tempering with critical engagement on risks of authoritarian micromanagement, exacerbating divides, and unleashing multi-level tensions between public and private financial powers. Scholars must caution against overpromising linear progress absent deliberate structural reforms to build equitable capacity and cooperative governance. This demands not just innovative architecture but sustained participation by marginalized citizen-users essential for realizing digital currency potentials.</w:t>
      </w:r>
    </w:p>
    <w:p w14:paraId="7F4E7EAF" w14:textId="77777777" w:rsidR="00863BCD" w:rsidRPr="00863BCD" w:rsidRDefault="00863BCD" w:rsidP="00863BCD">
      <w:pPr>
        <w:spacing w:after="0" w:line="276" w:lineRule="auto"/>
        <w:rPr>
          <w:color w:val="501549" w:themeColor="accent5" w:themeShade="80"/>
        </w:rPr>
      </w:pPr>
    </w:p>
    <w:p w14:paraId="015EF6F0" w14:textId="77777777" w:rsidR="00863BCD" w:rsidRPr="00863BCD" w:rsidRDefault="00863BCD" w:rsidP="00863BCD">
      <w:pPr>
        <w:spacing w:after="0" w:line="276" w:lineRule="auto"/>
        <w:rPr>
          <w:color w:val="501549" w:themeColor="accent5" w:themeShade="80"/>
        </w:rPr>
      </w:pPr>
      <w:r w:rsidRPr="00863BCD">
        <w:rPr>
          <w:color w:val="501549" w:themeColor="accent5" w:themeShade="80"/>
        </w:rPr>
        <w:t>References:</w:t>
      </w:r>
    </w:p>
    <w:p w14:paraId="3334164D" w14:textId="77777777" w:rsidR="00863BCD" w:rsidRPr="00863BCD" w:rsidRDefault="00863BCD" w:rsidP="00863BCD">
      <w:pPr>
        <w:spacing w:after="0" w:line="276" w:lineRule="auto"/>
        <w:rPr>
          <w:color w:val="501549" w:themeColor="accent5" w:themeShade="80"/>
        </w:rPr>
      </w:pPr>
    </w:p>
    <w:p w14:paraId="70485BE4" w14:textId="77777777" w:rsidR="00863BCD" w:rsidRPr="00863BCD" w:rsidRDefault="00863BCD" w:rsidP="00863BCD">
      <w:pPr>
        <w:spacing w:after="0" w:line="276" w:lineRule="auto"/>
        <w:rPr>
          <w:color w:val="501549" w:themeColor="accent5" w:themeShade="80"/>
        </w:rPr>
      </w:pPr>
      <w:r w:rsidRPr="00863BCD">
        <w:rPr>
          <w:color w:val="501549" w:themeColor="accent5" w:themeShade="80"/>
        </w:rPr>
        <w:t>Gao, X. (2022). Toward a Credit-Based Governance of Digital Currencies: A Legal Theory Perspective on China's Central Bank Digital Currency. Theory and Practice of Legislation, 10(4), 475-492.</w:t>
      </w:r>
    </w:p>
    <w:p w14:paraId="22FA2FF4" w14:textId="77777777" w:rsidR="00863BCD" w:rsidRPr="00863BCD" w:rsidRDefault="00863BCD" w:rsidP="00863BCD">
      <w:pPr>
        <w:spacing w:after="0" w:line="276" w:lineRule="auto"/>
        <w:rPr>
          <w:color w:val="501549" w:themeColor="accent5" w:themeShade="80"/>
        </w:rPr>
      </w:pPr>
    </w:p>
    <w:p w14:paraId="730E7815" w14:textId="77777777" w:rsidR="00863BCD" w:rsidRPr="00863BCD" w:rsidRDefault="00863BCD" w:rsidP="00863BCD">
      <w:pPr>
        <w:spacing w:after="0" w:line="276" w:lineRule="auto"/>
        <w:rPr>
          <w:color w:val="501549" w:themeColor="accent5" w:themeShade="80"/>
        </w:rPr>
      </w:pPr>
      <w:proofErr w:type="spellStart"/>
      <w:r w:rsidRPr="00863BCD">
        <w:rPr>
          <w:color w:val="501549" w:themeColor="accent5" w:themeShade="80"/>
        </w:rPr>
        <w:t>Möser</w:t>
      </w:r>
      <w:proofErr w:type="spellEnd"/>
      <w:r w:rsidRPr="00863BCD">
        <w:rPr>
          <w:color w:val="501549" w:themeColor="accent5" w:themeShade="80"/>
        </w:rPr>
        <w:t xml:space="preserve">, M., Soska, K., Heilman, E., Lee, K., </w:t>
      </w:r>
      <w:proofErr w:type="spellStart"/>
      <w:r w:rsidRPr="00863BCD">
        <w:rPr>
          <w:color w:val="501549" w:themeColor="accent5" w:themeShade="80"/>
        </w:rPr>
        <w:t>Heffan</w:t>
      </w:r>
      <w:proofErr w:type="spellEnd"/>
      <w:r w:rsidRPr="00863BCD">
        <w:rPr>
          <w:color w:val="501549" w:themeColor="accent5" w:themeShade="80"/>
        </w:rPr>
        <w:t xml:space="preserve">, H., Srivastava, S., Hogan, K., Huber, J., Miller, A., Narula, N., &amp; Stern, R. (2022). Bitcoin mixers: Legal compliance meets network analysis. Proc. Priv. Enhancing Technol., 2022(3), 433–453.  </w:t>
      </w:r>
    </w:p>
    <w:p w14:paraId="0D21B2AC" w14:textId="77777777" w:rsidR="00863BCD" w:rsidRPr="00863BCD" w:rsidRDefault="00863BCD" w:rsidP="00863BCD">
      <w:pPr>
        <w:spacing w:after="0" w:line="276" w:lineRule="auto"/>
        <w:rPr>
          <w:color w:val="501549" w:themeColor="accent5" w:themeShade="80"/>
        </w:rPr>
      </w:pPr>
    </w:p>
    <w:p w14:paraId="59959D47" w14:textId="60D01978" w:rsidR="00A95BA2" w:rsidRDefault="00863BCD" w:rsidP="00863BCD">
      <w:pPr>
        <w:spacing w:after="0" w:line="276" w:lineRule="auto"/>
        <w:rPr>
          <w:color w:val="501549" w:themeColor="accent5" w:themeShade="80"/>
        </w:rPr>
      </w:pPr>
      <w:r w:rsidRPr="00863BCD">
        <w:rPr>
          <w:color w:val="501549" w:themeColor="accent5" w:themeShade="80"/>
        </w:rPr>
        <w:t>Sani, A. M., &amp; Tetrault-Farber, G. (2022, Nov 1). Nigeria's young adapt to tap wealth locked in crypto, NFTs. Reuters.</w:t>
      </w:r>
    </w:p>
    <w:p w14:paraId="0AD156A5" w14:textId="77777777" w:rsidR="00517CD4" w:rsidRDefault="00517CD4" w:rsidP="00863BCD">
      <w:pPr>
        <w:spacing w:after="0" w:line="276" w:lineRule="auto"/>
        <w:rPr>
          <w:color w:val="501549" w:themeColor="accent5" w:themeShade="80"/>
        </w:rPr>
      </w:pPr>
    </w:p>
    <w:p w14:paraId="5A87C7FC"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There are two main reasons why the rewrite is shorter:</w:t>
      </w:r>
    </w:p>
    <w:p w14:paraId="260FFEB7" w14:textId="77777777" w:rsidR="00E07295" w:rsidRPr="00E07295" w:rsidRDefault="00E07295" w:rsidP="00E07295">
      <w:pPr>
        <w:spacing w:after="0" w:line="276" w:lineRule="auto"/>
        <w:rPr>
          <w:color w:val="501549" w:themeColor="accent5" w:themeShade="80"/>
        </w:rPr>
      </w:pPr>
    </w:p>
    <w:p w14:paraId="4EAB8919"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1. Focus and Selectivity: The rewrite zooms in critically on a few key issues rather than attempting comprehensive coverage. I chose to highlight risks around surveillance, inequality, and conflicting interests rather than summarizing the full landscape. This selectivity and focus results in a more condensed piece.</w:t>
      </w:r>
    </w:p>
    <w:p w14:paraId="25B75D06" w14:textId="77777777" w:rsidR="00E07295" w:rsidRPr="00E07295" w:rsidRDefault="00E07295" w:rsidP="00E07295">
      <w:pPr>
        <w:spacing w:after="0" w:line="276" w:lineRule="auto"/>
        <w:rPr>
          <w:color w:val="501549" w:themeColor="accent5" w:themeShade="80"/>
        </w:rPr>
      </w:pPr>
    </w:p>
    <w:p w14:paraId="067879F6"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 xml:space="preserve">2. Conceptual Framing: The rewrite aims to provide critical framing and analysis at a conceptual level rather than detailing specific cases and examples. Keeping the </w:t>
      </w:r>
      <w:r w:rsidRPr="00E07295">
        <w:rPr>
          <w:color w:val="501549" w:themeColor="accent5" w:themeShade="80"/>
        </w:rPr>
        <w:lastRenderedPageBreak/>
        <w:t>discussion at a higher level of abstraction without lots of country-specific details or individual technologies covered also contributes to the brevity.</w:t>
      </w:r>
    </w:p>
    <w:p w14:paraId="56EB907B" w14:textId="77777777" w:rsidR="00E07295" w:rsidRPr="00E07295" w:rsidRDefault="00E07295" w:rsidP="00E07295">
      <w:pPr>
        <w:spacing w:after="0" w:line="276" w:lineRule="auto"/>
        <w:rPr>
          <w:color w:val="501549" w:themeColor="accent5" w:themeShade="80"/>
        </w:rPr>
      </w:pPr>
    </w:p>
    <w:p w14:paraId="2612AEC7"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The main differences between the original and the rewrite are:</w:t>
      </w:r>
    </w:p>
    <w:p w14:paraId="35C7D7F1" w14:textId="77777777" w:rsidR="00E07295" w:rsidRPr="00E07295" w:rsidRDefault="00E07295" w:rsidP="00E07295">
      <w:pPr>
        <w:spacing w:after="0" w:line="276" w:lineRule="auto"/>
        <w:rPr>
          <w:color w:val="501549" w:themeColor="accent5" w:themeShade="80"/>
        </w:rPr>
      </w:pPr>
    </w:p>
    <w:p w14:paraId="4EB4159C"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1. Critical Stance: The rewrite adopts an explicit critical perspective, questioning assumptions and highlighting risks/downsides, rather than a detached descriptive stance.</w:t>
      </w:r>
    </w:p>
    <w:p w14:paraId="6DADF270" w14:textId="77777777" w:rsidR="00E07295" w:rsidRPr="00E07295" w:rsidRDefault="00E07295" w:rsidP="00E07295">
      <w:pPr>
        <w:spacing w:after="0" w:line="276" w:lineRule="auto"/>
        <w:rPr>
          <w:color w:val="501549" w:themeColor="accent5" w:themeShade="80"/>
        </w:rPr>
      </w:pPr>
    </w:p>
    <w:p w14:paraId="453A9AB0"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 xml:space="preserve">2. Scope and Balance: The original attempts balanced coverage of a wider range of issues and developments. The rewrite zooms in on a few concerns missing from the discourse to complement rather than fully replace the original scope.  </w:t>
      </w:r>
    </w:p>
    <w:p w14:paraId="744D3045" w14:textId="77777777" w:rsidR="00E07295" w:rsidRPr="00E07295" w:rsidRDefault="00E07295" w:rsidP="00E07295">
      <w:pPr>
        <w:spacing w:after="0" w:line="276" w:lineRule="auto"/>
        <w:rPr>
          <w:color w:val="501549" w:themeColor="accent5" w:themeShade="80"/>
        </w:rPr>
      </w:pPr>
    </w:p>
    <w:p w14:paraId="5041BB34"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3. Conceptual Level: As noted above, the rewrite operates at a more conceptual level rather than enumerating specific examples and technologies. This allows more concise treatment of the issues.</w:t>
      </w:r>
    </w:p>
    <w:p w14:paraId="04B7A8B7" w14:textId="77777777" w:rsidR="00E07295" w:rsidRPr="00E07295" w:rsidRDefault="00E07295" w:rsidP="00E07295">
      <w:pPr>
        <w:spacing w:after="0" w:line="276" w:lineRule="auto"/>
        <w:rPr>
          <w:color w:val="501549" w:themeColor="accent5" w:themeShade="80"/>
        </w:rPr>
      </w:pPr>
    </w:p>
    <w:p w14:paraId="14D01A66"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4. Risk/Benefit Analysis: The rewrite introduces a critical analysis of risks that the largely optimistic original piece does not highlight, arguing the discourse under-emphasizes potential downsides.</w:t>
      </w:r>
    </w:p>
    <w:p w14:paraId="0E916B16" w14:textId="77777777" w:rsidR="00E07295" w:rsidRPr="00E07295" w:rsidRDefault="00E07295" w:rsidP="00E07295">
      <w:pPr>
        <w:spacing w:after="0" w:line="276" w:lineRule="auto"/>
        <w:rPr>
          <w:color w:val="501549" w:themeColor="accent5" w:themeShade="80"/>
        </w:rPr>
      </w:pPr>
    </w:p>
    <w:p w14:paraId="7BC5EF06" w14:textId="77777777" w:rsidR="00E07295" w:rsidRPr="00E07295" w:rsidRDefault="00E07295" w:rsidP="00E07295">
      <w:pPr>
        <w:spacing w:after="0" w:line="276" w:lineRule="auto"/>
        <w:rPr>
          <w:color w:val="501549" w:themeColor="accent5" w:themeShade="80"/>
        </w:rPr>
      </w:pPr>
      <w:r w:rsidRPr="00E07295">
        <w:rPr>
          <w:color w:val="501549" w:themeColor="accent5" w:themeShade="80"/>
        </w:rPr>
        <w:t>5. Scrutiny of Claims: I challenge claims around decentralization and progress assumptions more directly than the original piece does in its overview.</w:t>
      </w:r>
    </w:p>
    <w:p w14:paraId="736FB6AF" w14:textId="77777777" w:rsidR="00E07295" w:rsidRPr="00E07295" w:rsidRDefault="00E07295" w:rsidP="00E07295">
      <w:pPr>
        <w:spacing w:after="0" w:line="276" w:lineRule="auto"/>
        <w:rPr>
          <w:color w:val="501549" w:themeColor="accent5" w:themeShade="80"/>
        </w:rPr>
      </w:pPr>
    </w:p>
    <w:p w14:paraId="3AC69928" w14:textId="1FC03B02" w:rsidR="00517CD4" w:rsidRDefault="00E07295" w:rsidP="00E07295">
      <w:pPr>
        <w:spacing w:after="0" w:line="276" w:lineRule="auto"/>
        <w:rPr>
          <w:color w:val="501549" w:themeColor="accent5" w:themeShade="80"/>
        </w:rPr>
      </w:pPr>
      <w:r w:rsidRPr="00E07295">
        <w:rPr>
          <w:color w:val="501549" w:themeColor="accent5" w:themeShade="80"/>
        </w:rPr>
        <w:t>In essence, the rewrite sacrifices comprehensive coverage to enable targeted critical analysis that questions prevailing assumptions and calls for tempering the discourse's techno-optimism. The goal is to balance the original's breadth by highlighting conceptual blind spots and risks warranting more attention from scholars.</w:t>
      </w:r>
    </w:p>
    <w:p w14:paraId="678C17CD" w14:textId="77777777" w:rsidR="005D120E" w:rsidRDefault="005D120E" w:rsidP="00E07295">
      <w:pPr>
        <w:spacing w:after="0" w:line="276" w:lineRule="auto"/>
        <w:rPr>
          <w:color w:val="501549" w:themeColor="accent5" w:themeShade="80"/>
        </w:rPr>
      </w:pPr>
    </w:p>
    <w:p w14:paraId="5680517D" w14:textId="77777777" w:rsidR="005D120E" w:rsidRPr="00863BCD" w:rsidRDefault="005D120E" w:rsidP="00E07295">
      <w:pPr>
        <w:spacing w:after="0" w:line="276" w:lineRule="auto"/>
        <w:rPr>
          <w:color w:val="501549" w:themeColor="accent5" w:themeShade="80"/>
        </w:rPr>
      </w:pPr>
    </w:p>
    <w:p w14:paraId="6755E311" w14:textId="77777777" w:rsidR="00863BCD" w:rsidRDefault="00863BCD" w:rsidP="00A95BA2">
      <w:pPr>
        <w:spacing w:after="0" w:line="276" w:lineRule="auto"/>
        <w:rPr>
          <w:b/>
          <w:bCs/>
        </w:rPr>
      </w:pPr>
    </w:p>
    <w:p w14:paraId="1BBCD7BD" w14:textId="31DF874A" w:rsidR="00A95BA2" w:rsidRPr="00940E19" w:rsidRDefault="00B626F2" w:rsidP="00A95BA2">
      <w:pPr>
        <w:spacing w:after="0" w:line="276" w:lineRule="auto"/>
        <w:rPr>
          <w:b/>
          <w:bCs/>
        </w:rPr>
      </w:pPr>
      <w:r w:rsidRPr="00940E19">
        <w:rPr>
          <w:b/>
          <w:bCs/>
        </w:rPr>
        <w:t>RW</w:t>
      </w:r>
    </w:p>
    <w:p w14:paraId="27AB0B24" w14:textId="77777777" w:rsidR="00B626F2" w:rsidRPr="00940E19" w:rsidRDefault="00B626F2" w:rsidP="00A95BA2">
      <w:pPr>
        <w:spacing w:after="0" w:line="276" w:lineRule="auto"/>
        <w:rPr>
          <w:b/>
          <w:bCs/>
        </w:rPr>
      </w:pPr>
    </w:p>
    <w:p w14:paraId="41FB2D7F" w14:textId="3BE0D3F8" w:rsidR="00940E19" w:rsidRPr="00940E19" w:rsidRDefault="00940E19" w:rsidP="00940E19">
      <w:pPr>
        <w:spacing w:after="0" w:line="276" w:lineRule="auto"/>
        <w:rPr>
          <w:b/>
          <w:bCs/>
        </w:rPr>
      </w:pPr>
      <w:r w:rsidRPr="00940E19">
        <w:rPr>
          <w:b/>
          <w:bCs/>
        </w:rPr>
        <w:t>The conceptual framework and literature Review</w:t>
      </w:r>
    </w:p>
    <w:p w14:paraId="5C0D4012" w14:textId="77777777" w:rsidR="00940E19" w:rsidRPr="00940E19" w:rsidRDefault="00940E19" w:rsidP="00940E19">
      <w:pPr>
        <w:spacing w:after="0" w:line="276" w:lineRule="auto"/>
        <w:rPr>
          <w:b/>
          <w:bCs/>
        </w:rPr>
      </w:pPr>
    </w:p>
    <w:p w14:paraId="035FD1B4" w14:textId="3B3094FB" w:rsidR="00940E19" w:rsidRPr="00940E19" w:rsidRDefault="00940E19" w:rsidP="00940E19">
      <w:pPr>
        <w:spacing w:after="0" w:line="276" w:lineRule="auto"/>
        <w:rPr>
          <w:b/>
          <w:bCs/>
        </w:rPr>
      </w:pPr>
      <w:r w:rsidRPr="00940E19">
        <w:rPr>
          <w:b/>
          <w:bCs/>
        </w:rPr>
        <w:t>Discussion of conceptual framework and theoretical framework</w:t>
      </w:r>
    </w:p>
    <w:p w14:paraId="0DFC8DBB" w14:textId="77777777" w:rsidR="00940E19" w:rsidRDefault="00940E19" w:rsidP="00940E19">
      <w:pPr>
        <w:spacing w:after="0" w:line="276" w:lineRule="auto"/>
      </w:pPr>
    </w:p>
    <w:p w14:paraId="2CD60046" w14:textId="77777777" w:rsidR="00940E19" w:rsidRDefault="00940E19" w:rsidP="00940E19">
      <w:pPr>
        <w:spacing w:after="0" w:line="276" w:lineRule="auto"/>
      </w:pPr>
      <w:r>
        <w:t xml:space="preserve">Before conducting the research thesis, a framework needs to be addressed. Crawford (2020, p.35) summarises that the research framework is a house’s foundation. There are two kinds of frameworks which are the theoretical framework and the conceptual framework. </w:t>
      </w:r>
      <w:proofErr w:type="spellStart"/>
      <w:r>
        <w:t>Imenda</w:t>
      </w:r>
      <w:proofErr w:type="spellEnd"/>
      <w:r>
        <w:t xml:space="preserve"> (2014, p.189) shows that the theoretical framework is derived from </w:t>
      </w:r>
      <w:r>
        <w:lastRenderedPageBreak/>
        <w:t xml:space="preserve">theories, and the conceptual framework is derived from concepts. The relevant vital researchers describe the role of both frameworks in research in different ways. Crawford (2020, p.39) expresses that in the theoretical framework, the relevant theories must be detected before applying to an ongoing relationship with the study or being tested. Maxwell (2020, p.41) describes the conceptual framework instead as constructed than found. Crawford (2020, p.41) shows that the conceptual framework serves to either argue, explain, or generalise. </w:t>
      </w:r>
    </w:p>
    <w:p w14:paraId="28D53FE5" w14:textId="77777777" w:rsidR="00940E19" w:rsidRDefault="00940E19" w:rsidP="00940E19">
      <w:pPr>
        <w:spacing w:after="0" w:line="276" w:lineRule="auto"/>
      </w:pPr>
    </w:p>
    <w:p w14:paraId="1800EC17" w14:textId="77777777" w:rsidR="00940E19" w:rsidRDefault="00940E19" w:rsidP="00940E19">
      <w:pPr>
        <w:spacing w:after="0" w:line="276" w:lineRule="auto"/>
      </w:pPr>
      <w:r>
        <w:t xml:space="preserve">The key researchers also have a different understanding or expression regarding the relationship between the theoretical framework and the conceptual framework. Some view the theoretical framework as a part of the conceptual framework in research, while some define the two frameworks for different methodologies. Crawford (2020, p.38) defines the theoretical framework as a part of the conceptual framework. </w:t>
      </w:r>
      <w:proofErr w:type="spellStart"/>
      <w:r>
        <w:t>Imenda</w:t>
      </w:r>
      <w:proofErr w:type="spellEnd"/>
      <w:r>
        <w:t xml:space="preserve"> (2014, p.192) expresses that quantitative research problems tend to use the deductive approach, which is more suitable for applying the theoretical framework, while qualitative research problems tend to use the inductive method, which is more ideal for applying the conceptual framework. Crawford (2020, p.43) illustrates that the three courses of experience, literature and theoretical framework combine into the conceptual framework, which could be presented either graphically or narratively. Maxwell (2020, p.53) shows a way of avoiding the underuse or uncritical overuse of existing theories by testing them, mainly applied in the qualitative paradigm.  </w:t>
      </w:r>
      <w:proofErr w:type="spellStart"/>
      <w:r>
        <w:t>Imenda</w:t>
      </w:r>
      <w:proofErr w:type="spellEnd"/>
      <w:r>
        <w:t xml:space="preserve"> (2014, p.194) argues that theoretical and conceptual frameworks help researchers see the main variables and concepts, guide the proper methodology, and select the right way for data collection, interpretation, and explanation. It is challenging to decide which kind of framework to research on the professional identity of real estate brokers in China. The reason is that one methodology may not well serve the conducting process of the research for the thesis, and qualitative and quantitative approaches may apply at different stages in the study, so viewing two kinds of framework as independent parallels may cause a puzzle. Suppose using the perspective of the theoretical framework to one part of the conceptual framework could solve the mystery of mixed methodology. Most researchers who study the other occupation group use the conceptual framework when applying mixed methods.</w:t>
      </w:r>
    </w:p>
    <w:p w14:paraId="766DF529" w14:textId="77777777" w:rsidR="00940E19" w:rsidRDefault="00940E19" w:rsidP="00940E19">
      <w:pPr>
        <w:spacing w:after="0" w:line="276" w:lineRule="auto"/>
      </w:pPr>
    </w:p>
    <w:p w14:paraId="736318AF" w14:textId="77777777" w:rsidR="00940E19" w:rsidRDefault="00940E19" w:rsidP="00940E19">
      <w:pPr>
        <w:spacing w:after="0" w:line="276" w:lineRule="auto"/>
      </w:pPr>
      <w:r>
        <w:t>2.2 The conceptual framework and literature review of this research</w:t>
      </w:r>
    </w:p>
    <w:p w14:paraId="3BB6D5E7" w14:textId="77777777" w:rsidR="00940E19" w:rsidRDefault="00940E19" w:rsidP="00940E19">
      <w:pPr>
        <w:spacing w:after="0" w:line="276" w:lineRule="auto"/>
      </w:pPr>
    </w:p>
    <w:p w14:paraId="7038E125" w14:textId="77777777" w:rsidR="00940E19" w:rsidRDefault="00940E19" w:rsidP="00940E19">
      <w:pPr>
        <w:spacing w:after="0" w:line="276" w:lineRule="auto"/>
      </w:pPr>
      <w:r>
        <w:t xml:space="preserve">Key researchers from different philosophical aspects have discussed the concepts of professional identity for a long time. Miller (1962) defines identity as an abstract whole containing three centric regions, manifesting as an externally self-centred limbic region. Holland, Gottfredson and Power (1980) believe that professional identity refers to an individual's precise and stable perception of career goals, interests, personality, and talents. These are clear and stable perceptions of the individual's career goals, </w:t>
      </w:r>
      <w:r>
        <w:lastRenderedPageBreak/>
        <w:t xml:space="preserve">interests, nature, and skills. These perceptions enable the individual to develop a clear and stable identity in the face of inevitable ambiguities. They allow individuals to make the right decisions in the face of inevitable ambiguity. Moore and Hofman (1988) define professional identity in terms of the extent to which an individual identifies with the role or status of their occupation in society; professional identity is defined in terms of the time to which individuals perceive their work to be. It is the extent to which individuals perceive their profession to be attractive, meaningful, and compatible with other social roles. Ashforth &amp; Mael (1989) define professional identity as a type of social identity and is the degree to which an individual feels a sense of oneness with an occupation and the extent to which the individual defines themself as a member of that occupation; professional identity involves an individual's adjustment of roles, responsibilities, values, and ethical standards to conform to the accepted practices of their career. Vondracek (1992) sees professional identity as a structure rather than a specific concept. Meyer, Allen and Smith (1993) express professional identity in terms of an individual's attitude towards an occupation, which is a positive and affirmative evaluation of a job, reflecting an individual's enjoyment of the occupation and desire to work in it. Goodson and Colle (1994) see professional identity as a continuous dialogue or interpretation between the individual and the occupational situation, the process of interpretation. Volkmann and Anderson (1998) view professional identity as a complex process of balancing the dynamics of the individual's personality with the profession’s role; the process is complicated. Meijers (1998) expresses that professional identity is a structure of meaning in which individuals associate their motivations, interests, and abilities with an acceptable occupational role—connected to an excellent occupational part. The Dutch scholar </w:t>
      </w:r>
      <w:proofErr w:type="spellStart"/>
      <w:r>
        <w:t>Kortagen</w:t>
      </w:r>
      <w:proofErr w:type="spellEnd"/>
      <w:r>
        <w:t xml:space="preserve"> (2004) argues that professional identity is the individual's orientation towards images, feelings, needs, values, role models, own experiences, and unconscious behaviour form a gestalt. The gestalt from which the professional identity is formed by the individual's own experiences and unconscious behavioural tendencies. The external dimensions of a person's abilities, behaviours and beliefs are influenced by this gestalt. The individual can become aware of this gestalt through storytelling and life paths. </w:t>
      </w:r>
    </w:p>
    <w:p w14:paraId="51224DAA" w14:textId="77777777" w:rsidR="00940E19" w:rsidRDefault="00940E19" w:rsidP="00940E19">
      <w:pPr>
        <w:spacing w:after="0" w:line="276" w:lineRule="auto"/>
      </w:pPr>
    </w:p>
    <w:p w14:paraId="2C0A4B1A" w14:textId="77777777" w:rsidR="00940E19" w:rsidRDefault="00940E19" w:rsidP="00940E19">
      <w:pPr>
        <w:spacing w:after="0" w:line="276" w:lineRule="auto"/>
      </w:pPr>
      <w:r>
        <w:t xml:space="preserve">Among the critical writers in this field in China, Wei, Song, &amp; Zhang (2013) explain that professional identity is both a process and a state. Besides the discussions on the concepts of professional identity itself, scholars are researching professional identities from different perspectives in China and overseas. Brown (2014) expresses that identity or identity work which is a similar concept, is the self-understanding of who they are and who they desire to be and implicated; everything in the organisation could be affected by identity. Ashforth and </w:t>
      </w:r>
      <w:proofErr w:type="spellStart"/>
      <w:r>
        <w:t>Schinoff</w:t>
      </w:r>
      <w:proofErr w:type="spellEnd"/>
      <w:r>
        <w:t xml:space="preserve"> (2016) stand for a constructivist analysis of identity in organisations as a process of emotional transmission and that if organisations can provide clear directions for their members to connect the past, present and desired future, this will strengthen the feelings of the identity of the </w:t>
      </w:r>
      <w:r>
        <w:lastRenderedPageBreak/>
        <w:t>members in the organisation. By studying pharmacy students, Bloom (2022) analyses the difference between the profession’s identity, which is how a group is perceived by the whole outside the group, and professional identity, which is how members of an occupational group perceive their own occupational identity.</w:t>
      </w:r>
    </w:p>
    <w:p w14:paraId="21EFDDD8" w14:textId="77777777" w:rsidR="00940E19" w:rsidRDefault="00940E19" w:rsidP="00940E19">
      <w:pPr>
        <w:spacing w:after="0" w:line="276" w:lineRule="auto"/>
      </w:pPr>
    </w:p>
    <w:p w14:paraId="0A1E6031" w14:textId="77777777" w:rsidR="00940E19" w:rsidRDefault="00940E19" w:rsidP="00940E19">
      <w:pPr>
        <w:spacing w:after="0" w:line="276" w:lineRule="auto"/>
      </w:pPr>
      <w:r>
        <w:t>Regarding conducting research in the professional identity field, the dominant paradigm is mixed approaches. However, in this part, the researcher would discuss current scholars’ work standing from different perspectives in this field. Scholars who stand on the constructivist position tend to use in-depth fieldwork in specific professional groups to construct a professional identity. Lifshitz-Assaf. (2017) applied a purely qualitative approach to construct a system between the professional identity and the knowledge boundaries in NASA; the researchers used in-depth fieldwork and case study to construct the opinions. However, the deficiency of this approach is that the researcher may bring significant bias into the construction process, which may affect the outcome. Chen and Reay. (2020) designed a qualitative model in the healthcare field to analyse how changes in professional identity affect occupational awareness in dealing with new jobs. The weakness of this approach is that the newly designed qualitative model is hard to evaluate for reliability and validity. Yang, Wang, and Chen (2020) have adopted a constructivist perspective to analyse how traditional Chinese culture, Western social work values, and adequate access to government resources can be used to construct a new professional identity for the development of Chinese social work agencies, in response to the lack of social awareness, social recognition, public participation and competitiveness. Virta, J. et al. (2022), as constructivist scholars, have studied a group of physical education teachers in Finland to discover how informal learning contexts influence the construction of the professional identity of physical education teachers. They found that the casual learning environment contributed to three aspects of this group's professional identity construction, namely professional ideals, professional values and principles, and professional knowledge competencies, and the findings also pointed to the integration and overlap of professional and personal aspects of identity in the construction of professional identity.</w:t>
      </w:r>
    </w:p>
    <w:p w14:paraId="4A5CFE88" w14:textId="77777777" w:rsidR="00940E19" w:rsidRDefault="00940E19" w:rsidP="00940E19">
      <w:pPr>
        <w:spacing w:after="0" w:line="276" w:lineRule="auto"/>
      </w:pPr>
    </w:p>
    <w:p w14:paraId="6C9D933A" w14:textId="77777777" w:rsidR="00940E19" w:rsidRDefault="00940E19" w:rsidP="00940E19">
      <w:pPr>
        <w:spacing w:after="0" w:line="276" w:lineRule="auto"/>
      </w:pPr>
      <w:r>
        <w:t xml:space="preserve">Compared with constructivist researchers, positivist and postpositivist researchers seek solutions through quantitative techniques in the professional identity field. Feng et al. (2021) explore the status and factors influencing the professional identity of Chinese general practitioners. Using the existing established scales, the Likert scale 5, Mann-Whitney U Test or Kruskal-Wallis H Test were used to examine differences between factors. OLS multiple linear regression was used to explore the influencing factors. The pure quantitative analysis could efficiently dig the causal relationships between variables; thus, positivist and post positivists researchers deal with professional identity through existing mature scales or invent new detective methods. Li, Liu. &amp; Lin. (2022) applied a purely quantitative approach to explore physical education teachers' </w:t>
      </w:r>
      <w:r>
        <w:lastRenderedPageBreak/>
        <w:t>professional identity and give recommendations. The first step was to borrow a well-established Likert scale and conduct a reliability and validity analysis after the questionnaire was returned. Professional development influences were then divided into dimensions and professional identity into aspects. A multiple regression model was built for regression analysis to determine the relationship between each element and professional identity. Finally, several subdivision findings were drawn, and recommendations were given. Zhang et al. (2020) used another way to evaluate the relationship between the family motivation factor and professional identity; they concluded that when professionals are faced with more significant financial pressure from their families, they tend to show stronger career motivation, which cannot be avoided in the analysis of the subject of professional identity.</w:t>
      </w:r>
    </w:p>
    <w:p w14:paraId="74260084" w14:textId="77777777" w:rsidR="00940E19" w:rsidRDefault="00940E19" w:rsidP="00940E19">
      <w:pPr>
        <w:spacing w:after="0" w:line="276" w:lineRule="auto"/>
      </w:pPr>
    </w:p>
    <w:p w14:paraId="242063CB" w14:textId="70EED03F" w:rsidR="00940E19" w:rsidRDefault="00940E19" w:rsidP="00940E19">
      <w:pPr>
        <w:spacing w:after="0" w:line="276" w:lineRule="auto"/>
      </w:pPr>
      <w:r>
        <w:t>Pragmatic researchers also tend to find the mutual impacts of professional identity on work or study motivation. Using SEM structural equation modelling, Yu, Chen, and Hou (2021) concluded that there was a significant relationship between career identity and respondents' engagement and that career identity was positively related to career evaluation, career emotion and learning engagement. In addition, they also analysed the mediating effects of professional assessment and professional emotion in career identity and engagement in learning.  Xu et al. (2022) used a large-scale career identity scale and a job satisfaction scale to survey a group of primary and secondary school teachers in China. They showed that when scores for competence and growth were higher, teachers showed strong career identity through career satisfaction and were strong predictors of burnout. Chien, Axon, and Cooley. (2022) surveyed a group of pharmacy students at a US college and found that student pharmacists emerged with multiple career identity tendencies. These researchers identified the directionality of training, the appropriateness of the curriculum and the level of faculty support as effective ways to shape a more precise career identity for this group.</w:t>
      </w:r>
    </w:p>
    <w:p w14:paraId="129C0531" w14:textId="77777777" w:rsidR="00B626F2" w:rsidRDefault="00B626F2" w:rsidP="00A95BA2">
      <w:pPr>
        <w:spacing w:after="0" w:line="276" w:lineRule="auto"/>
      </w:pPr>
    </w:p>
    <w:p w14:paraId="1110ED7D" w14:textId="29CA3CC3" w:rsidR="00003A0C" w:rsidRPr="005D120E" w:rsidRDefault="00003A0C" w:rsidP="00A95BA2">
      <w:pPr>
        <w:spacing w:after="0" w:line="276" w:lineRule="auto"/>
        <w:rPr>
          <w:b/>
          <w:bCs/>
          <w:color w:val="156082" w:themeColor="accent1"/>
        </w:rPr>
      </w:pPr>
      <w:r w:rsidRPr="005D120E">
        <w:rPr>
          <w:b/>
          <w:bCs/>
          <w:color w:val="156082" w:themeColor="accent1"/>
        </w:rPr>
        <w:t>Consideration</w:t>
      </w:r>
    </w:p>
    <w:p w14:paraId="1795A8E4" w14:textId="77777777" w:rsidR="00003A0C" w:rsidRPr="005D120E" w:rsidRDefault="00003A0C" w:rsidP="00A95BA2">
      <w:pPr>
        <w:spacing w:after="0" w:line="276" w:lineRule="auto"/>
        <w:rPr>
          <w:color w:val="156082" w:themeColor="accent1"/>
        </w:rPr>
      </w:pPr>
    </w:p>
    <w:p w14:paraId="3FB9C261" w14:textId="77777777" w:rsidR="00003A0C" w:rsidRPr="005D120E" w:rsidRDefault="00003A0C" w:rsidP="00003A0C">
      <w:pPr>
        <w:spacing w:after="0" w:line="276" w:lineRule="auto"/>
        <w:rPr>
          <w:color w:val="156082" w:themeColor="accent1"/>
        </w:rPr>
      </w:pPr>
      <w:r w:rsidRPr="005D120E">
        <w:rPr>
          <w:color w:val="156082" w:themeColor="accent1"/>
        </w:rPr>
        <w:t>Here is an attempt to provide critical feedback on the literature review section in a similar style:</w:t>
      </w:r>
    </w:p>
    <w:p w14:paraId="5462CB2B" w14:textId="77777777" w:rsidR="00003A0C" w:rsidRPr="005D120E" w:rsidRDefault="00003A0C" w:rsidP="00003A0C">
      <w:pPr>
        <w:spacing w:after="0" w:line="276" w:lineRule="auto"/>
        <w:rPr>
          <w:color w:val="156082" w:themeColor="accent1"/>
        </w:rPr>
      </w:pPr>
    </w:p>
    <w:p w14:paraId="6D1918D8" w14:textId="77777777" w:rsidR="00003A0C" w:rsidRPr="005D120E" w:rsidRDefault="00003A0C" w:rsidP="00003A0C">
      <w:pPr>
        <w:spacing w:after="0" w:line="276" w:lineRule="auto"/>
        <w:rPr>
          <w:color w:val="156082" w:themeColor="accent1"/>
        </w:rPr>
      </w:pPr>
      <w:r w:rsidRPr="005D120E">
        <w:rPr>
          <w:color w:val="156082" w:themeColor="accent1"/>
        </w:rPr>
        <w:t xml:space="preserve">Whilst the section summarizes various conceptualizations of professional identity, the discussion fails to critically </w:t>
      </w:r>
      <w:proofErr w:type="spellStart"/>
      <w:r w:rsidRPr="005D120E">
        <w:rPr>
          <w:color w:val="156082" w:themeColor="accent1"/>
        </w:rPr>
        <w:t>analyze</w:t>
      </w:r>
      <w:proofErr w:type="spellEnd"/>
      <w:r w:rsidRPr="005D120E">
        <w:rPr>
          <w:color w:val="156082" w:themeColor="accent1"/>
        </w:rPr>
        <w:t xml:space="preserve"> practical applications or impacts beyond theoretical dimensions. Beyond defining professional identity constructs, there is minimal examination of how this understanding concretely transforms industry practices or policies outside of abstract descriptions. Elaborating on use cases demonstrating identity factors shaping </w:t>
      </w:r>
      <w:proofErr w:type="spellStart"/>
      <w:r w:rsidRPr="005D120E">
        <w:rPr>
          <w:color w:val="156082" w:themeColor="accent1"/>
        </w:rPr>
        <w:t>behaviors</w:t>
      </w:r>
      <w:proofErr w:type="spellEnd"/>
      <w:r w:rsidRPr="005D120E">
        <w:rPr>
          <w:color w:val="156082" w:themeColor="accent1"/>
        </w:rPr>
        <w:t xml:space="preserve"> or performance could provide greater insight on resultant impact.</w:t>
      </w:r>
    </w:p>
    <w:p w14:paraId="76DB09B5" w14:textId="77777777" w:rsidR="00003A0C" w:rsidRPr="005D120E" w:rsidRDefault="00003A0C" w:rsidP="00003A0C">
      <w:pPr>
        <w:spacing w:after="0" w:line="276" w:lineRule="auto"/>
        <w:rPr>
          <w:color w:val="156082" w:themeColor="accent1"/>
        </w:rPr>
      </w:pPr>
    </w:p>
    <w:p w14:paraId="4C104CAE" w14:textId="77777777" w:rsidR="00003A0C" w:rsidRPr="005D120E" w:rsidRDefault="00003A0C" w:rsidP="00003A0C">
      <w:pPr>
        <w:spacing w:after="0" w:line="276" w:lineRule="auto"/>
        <w:rPr>
          <w:color w:val="156082" w:themeColor="accent1"/>
        </w:rPr>
      </w:pPr>
      <w:r w:rsidRPr="005D120E">
        <w:rPr>
          <w:color w:val="156082" w:themeColor="accent1"/>
        </w:rPr>
        <w:lastRenderedPageBreak/>
        <w:t xml:space="preserve">Additionally, the commentary relies substantially on categorizing different theoretical frameworks without sufficiently evaluating limitations or risks. While the background outlines useful philosophical foundations, synthesizing documentation of real-world implementation challenges in applying identity insights could reveal sobering gaps between scholarship and practice. One area briefly implied is motivation; </w:t>
      </w:r>
      <w:proofErr w:type="spellStart"/>
      <w:r w:rsidRPr="005D120E">
        <w:rPr>
          <w:color w:val="156082" w:themeColor="accent1"/>
        </w:rPr>
        <w:t>analyzing</w:t>
      </w:r>
      <w:proofErr w:type="spellEnd"/>
      <w:r w:rsidRPr="005D120E">
        <w:rPr>
          <w:color w:val="156082" w:themeColor="accent1"/>
        </w:rPr>
        <w:t xml:space="preserve"> complex links between identity and engagement could spur more balanced discourse.  </w:t>
      </w:r>
    </w:p>
    <w:p w14:paraId="285A86A7" w14:textId="77777777" w:rsidR="00003A0C" w:rsidRPr="005D120E" w:rsidRDefault="00003A0C" w:rsidP="00003A0C">
      <w:pPr>
        <w:spacing w:after="0" w:line="276" w:lineRule="auto"/>
        <w:rPr>
          <w:color w:val="156082" w:themeColor="accent1"/>
        </w:rPr>
      </w:pPr>
    </w:p>
    <w:p w14:paraId="33EC8D89" w14:textId="77777777" w:rsidR="00003A0C" w:rsidRPr="005D120E" w:rsidRDefault="00003A0C" w:rsidP="00003A0C">
      <w:pPr>
        <w:spacing w:after="0" w:line="276" w:lineRule="auto"/>
        <w:rPr>
          <w:color w:val="156082" w:themeColor="accent1"/>
        </w:rPr>
      </w:pPr>
      <w:r w:rsidRPr="005D120E">
        <w:rPr>
          <w:color w:val="156082" w:themeColor="accent1"/>
        </w:rPr>
        <w:t xml:space="preserve">Furthermore, bold visions of professional identity revolutionizing talent development warrant </w:t>
      </w:r>
      <w:proofErr w:type="spellStart"/>
      <w:r w:rsidRPr="005D120E">
        <w:rPr>
          <w:color w:val="156082" w:themeColor="accent1"/>
        </w:rPr>
        <w:t>skepticism</w:t>
      </w:r>
      <w:proofErr w:type="spellEnd"/>
      <w:r w:rsidRPr="005D120E">
        <w:rPr>
          <w:color w:val="156082" w:themeColor="accent1"/>
        </w:rPr>
        <w:t xml:space="preserve"> given complicated adoption realities obscured in generalized models. Attribution of inevitable progress in leveraging identity absent analysis of misalignments with organizational systems and processes ignores messy change management challenges. As it stands, the determinism overlooks risks of exacerbating inequities, alienation and harm where nuance is lacking.</w:t>
      </w:r>
    </w:p>
    <w:p w14:paraId="14FE8495" w14:textId="77777777" w:rsidR="00003A0C" w:rsidRPr="005D120E" w:rsidRDefault="00003A0C" w:rsidP="00003A0C">
      <w:pPr>
        <w:spacing w:after="0" w:line="276" w:lineRule="auto"/>
        <w:rPr>
          <w:color w:val="156082" w:themeColor="accent1"/>
        </w:rPr>
      </w:pPr>
    </w:p>
    <w:p w14:paraId="03310A5F" w14:textId="77777777" w:rsidR="00003A0C" w:rsidRPr="005D120E" w:rsidRDefault="00003A0C" w:rsidP="00003A0C">
      <w:pPr>
        <w:spacing w:after="0" w:line="276" w:lineRule="auto"/>
        <w:rPr>
          <w:color w:val="156082" w:themeColor="accent1"/>
        </w:rPr>
      </w:pPr>
      <w:r w:rsidRPr="005D120E">
        <w:rPr>
          <w:color w:val="156082" w:themeColor="accent1"/>
        </w:rPr>
        <w:t xml:space="preserve">In terms of structure, segregating the abstract conceptual overview from grounded analysis in specific contexts impedes connecting theoretical potential to actual impact. Additionally, tightening terminology distinctions around professional identity aspects could sharpen coherence. Purposeful topic transitions explaining the progression of thought would enhance flow rather than abrupt thematic leaps.  </w:t>
      </w:r>
    </w:p>
    <w:p w14:paraId="0B678182" w14:textId="77777777" w:rsidR="00003A0C" w:rsidRPr="005D120E" w:rsidRDefault="00003A0C" w:rsidP="00003A0C">
      <w:pPr>
        <w:spacing w:after="0" w:line="276" w:lineRule="auto"/>
        <w:rPr>
          <w:color w:val="156082" w:themeColor="accent1"/>
        </w:rPr>
      </w:pPr>
    </w:p>
    <w:p w14:paraId="1CE0050A" w14:textId="77777777" w:rsidR="00003A0C" w:rsidRPr="005D120E" w:rsidRDefault="00003A0C" w:rsidP="00003A0C">
      <w:pPr>
        <w:spacing w:after="0" w:line="276" w:lineRule="auto"/>
        <w:rPr>
          <w:color w:val="156082" w:themeColor="accent1"/>
        </w:rPr>
      </w:pPr>
      <w:r w:rsidRPr="005D120E">
        <w:rPr>
          <w:color w:val="156082" w:themeColor="accent1"/>
        </w:rPr>
        <w:t>Overall, while the landscape summarizes useful identity constructs, failing to leverage this context to reveal practical application and outcome intricacies represents missed opportunities for sober analysis. Demonstrating nuanced cases weighing trade-offs could powerfully temper enthusiasm with balanced considerations in translating identity insights into responsible practice. Outlining change management considerations alongside proposed interventions pivots the discussion towards prudent, ethical adoption.</w:t>
      </w:r>
    </w:p>
    <w:p w14:paraId="0FA1CF02" w14:textId="77777777" w:rsidR="005000E3" w:rsidRDefault="005000E3" w:rsidP="00003A0C">
      <w:pPr>
        <w:spacing w:after="0" w:line="276" w:lineRule="auto"/>
      </w:pPr>
    </w:p>
    <w:p w14:paraId="087CE136" w14:textId="4B64D24E" w:rsidR="005000E3" w:rsidRPr="005000E3" w:rsidRDefault="005000E3" w:rsidP="00003A0C">
      <w:pPr>
        <w:spacing w:after="0" w:line="276" w:lineRule="auto"/>
        <w:rPr>
          <w:b/>
          <w:bCs/>
          <w:color w:val="A02B93" w:themeColor="accent5"/>
        </w:rPr>
      </w:pPr>
      <w:r w:rsidRPr="005000E3">
        <w:rPr>
          <w:b/>
          <w:bCs/>
          <w:color w:val="A02B93" w:themeColor="accent5"/>
        </w:rPr>
        <w:t>Carolin</w:t>
      </w:r>
      <w:r>
        <w:rPr>
          <w:b/>
          <w:bCs/>
          <w:color w:val="A02B93" w:themeColor="accent5"/>
        </w:rPr>
        <w:t>e’</w:t>
      </w:r>
      <w:r w:rsidRPr="005000E3">
        <w:rPr>
          <w:b/>
          <w:bCs/>
          <w:color w:val="A02B93" w:themeColor="accent5"/>
        </w:rPr>
        <w:t>s rewrite</w:t>
      </w:r>
    </w:p>
    <w:p w14:paraId="44A7D2C9" w14:textId="77777777" w:rsidR="005000E3" w:rsidRDefault="005000E3" w:rsidP="005000E3">
      <w:pPr>
        <w:spacing w:after="0" w:line="276" w:lineRule="auto"/>
      </w:pPr>
    </w:p>
    <w:p w14:paraId="754E38BE" w14:textId="77777777" w:rsidR="005000E3" w:rsidRPr="005000E3" w:rsidRDefault="005000E3" w:rsidP="005000E3">
      <w:pPr>
        <w:spacing w:after="0" w:line="276" w:lineRule="auto"/>
        <w:rPr>
          <w:b/>
          <w:bCs/>
          <w:color w:val="A02B93" w:themeColor="accent5"/>
        </w:rPr>
      </w:pPr>
      <w:r w:rsidRPr="005000E3">
        <w:rPr>
          <w:b/>
          <w:bCs/>
          <w:color w:val="A02B93" w:themeColor="accent5"/>
        </w:rPr>
        <w:t xml:space="preserve">The Lack of Critical Insight in Professional Identity Research </w:t>
      </w:r>
    </w:p>
    <w:p w14:paraId="54E3B50D" w14:textId="77777777" w:rsidR="005000E3" w:rsidRPr="005000E3" w:rsidRDefault="005000E3" w:rsidP="005000E3">
      <w:pPr>
        <w:spacing w:after="0" w:line="276" w:lineRule="auto"/>
        <w:rPr>
          <w:color w:val="A02B93" w:themeColor="accent5"/>
        </w:rPr>
      </w:pPr>
    </w:p>
    <w:p w14:paraId="7C9353AD" w14:textId="77777777" w:rsidR="00112A91" w:rsidRPr="00112A91" w:rsidRDefault="00112A91" w:rsidP="00112A91">
      <w:pPr>
        <w:spacing w:after="0" w:line="276" w:lineRule="auto"/>
        <w:rPr>
          <w:color w:val="A02B93" w:themeColor="accent5"/>
        </w:rPr>
      </w:pPr>
      <w:r w:rsidRPr="00112A91">
        <w:rPr>
          <w:color w:val="A02B93" w:themeColor="accent5"/>
        </w:rPr>
        <w:t>Here is a critical perspective on the discourse surrounding conceptual frameworks and professional identity:</w:t>
      </w:r>
    </w:p>
    <w:p w14:paraId="3AFE20B7" w14:textId="77777777" w:rsidR="00112A91" w:rsidRPr="00112A91" w:rsidRDefault="00112A91" w:rsidP="00112A91">
      <w:pPr>
        <w:spacing w:after="0" w:line="276" w:lineRule="auto"/>
        <w:rPr>
          <w:color w:val="A02B93" w:themeColor="accent5"/>
        </w:rPr>
      </w:pPr>
    </w:p>
    <w:p w14:paraId="4239D28A" w14:textId="77777777" w:rsidR="00112A91" w:rsidRPr="00112A91" w:rsidRDefault="00112A91" w:rsidP="00112A91">
      <w:pPr>
        <w:spacing w:after="0" w:line="276" w:lineRule="auto"/>
        <w:rPr>
          <w:color w:val="A02B93" w:themeColor="accent5"/>
        </w:rPr>
      </w:pPr>
      <w:r w:rsidRPr="00112A91">
        <w:rPr>
          <w:color w:val="A02B93" w:themeColor="accent5"/>
        </w:rPr>
        <w:t xml:space="preserve">While extensive literature richly details multifaceted frameworks and influences shaping professional identity construction, three predominant limitations warrant examination. Firstly, an overwhelming emphasis on interior processes of personal identification obscures how broader structures of power, inequity and social closure deeply contour such development (Meng, 2022). Assumptions of agency and choice in </w:t>
      </w:r>
      <w:r w:rsidRPr="00112A91">
        <w:rPr>
          <w:color w:val="A02B93" w:themeColor="accent5"/>
        </w:rPr>
        <w:lastRenderedPageBreak/>
        <w:t xml:space="preserve">identity navigation minimize constraints that channel members of marginalized groups towards subordinate occupational roles (Zhao &amp; Underhill, 2022).  </w:t>
      </w:r>
    </w:p>
    <w:p w14:paraId="3F4ECB9A" w14:textId="77777777" w:rsidR="00112A91" w:rsidRPr="00112A91" w:rsidRDefault="00112A91" w:rsidP="00112A91">
      <w:pPr>
        <w:spacing w:after="0" w:line="276" w:lineRule="auto"/>
        <w:rPr>
          <w:color w:val="A02B93" w:themeColor="accent5"/>
        </w:rPr>
      </w:pPr>
    </w:p>
    <w:p w14:paraId="4CE5BA1F" w14:textId="77777777" w:rsidR="00112A91" w:rsidRPr="00112A91" w:rsidRDefault="00112A91" w:rsidP="00112A91">
      <w:pPr>
        <w:spacing w:after="0" w:line="276" w:lineRule="auto"/>
        <w:rPr>
          <w:color w:val="A02B93" w:themeColor="accent5"/>
        </w:rPr>
      </w:pPr>
      <w:r w:rsidRPr="00112A91">
        <w:rPr>
          <w:color w:val="A02B93" w:themeColor="accent5"/>
        </w:rPr>
        <w:t xml:space="preserve">Additionally, static conceptions of professionalism as fixed competencies requiring adoption often implicitly endorse white, Western, masculine norms, further encoding inequalities (Khalil &amp; Brown, 2020). Such framing risks dismissing alternative knowledge systems and cultural perspectives (Ibrahim, 2011). And celebrated identity malleability frequents overlooks how rapid change dynamics in contemporary working conditions intrinsically disrupt coherent self-understanding for many (Bauman, 2022).  </w:t>
      </w:r>
    </w:p>
    <w:p w14:paraId="242215AC" w14:textId="77777777" w:rsidR="00112A91" w:rsidRPr="00112A91" w:rsidRDefault="00112A91" w:rsidP="00112A91">
      <w:pPr>
        <w:spacing w:after="0" w:line="276" w:lineRule="auto"/>
        <w:rPr>
          <w:color w:val="A02B93" w:themeColor="accent5"/>
        </w:rPr>
      </w:pPr>
    </w:p>
    <w:p w14:paraId="4AA63C3A" w14:textId="77777777" w:rsidR="00112A91" w:rsidRPr="00112A91" w:rsidRDefault="00112A91" w:rsidP="00112A91">
      <w:pPr>
        <w:spacing w:after="0" w:line="276" w:lineRule="auto"/>
        <w:rPr>
          <w:color w:val="A02B93" w:themeColor="accent5"/>
        </w:rPr>
      </w:pPr>
      <w:r w:rsidRPr="00112A91">
        <w:rPr>
          <w:color w:val="A02B93" w:themeColor="accent5"/>
        </w:rPr>
        <w:t>Lastly, calls for optimizing professional identity formation frequently instrumentalize development as primarily driven by organizational objectives and lack worker-centric ethical grounding (Jordi, 2011; Nadelson et al., 2017). Once formed, identities risk manipulation towards maximal productivity rather than supporting humanistic purpose or dignity (Ball, 2003).</w:t>
      </w:r>
    </w:p>
    <w:p w14:paraId="6661679E" w14:textId="77777777" w:rsidR="00112A91" w:rsidRPr="00112A91" w:rsidRDefault="00112A91" w:rsidP="00112A91">
      <w:pPr>
        <w:spacing w:after="0" w:line="276" w:lineRule="auto"/>
        <w:rPr>
          <w:color w:val="A02B93" w:themeColor="accent5"/>
        </w:rPr>
      </w:pPr>
    </w:p>
    <w:p w14:paraId="41D0FD7A" w14:textId="77777777" w:rsidR="00112A91" w:rsidRPr="00112A91" w:rsidRDefault="00112A91" w:rsidP="00112A91">
      <w:pPr>
        <w:spacing w:after="0" w:line="276" w:lineRule="auto"/>
        <w:rPr>
          <w:color w:val="A02B93" w:themeColor="accent5"/>
        </w:rPr>
      </w:pPr>
      <w:r w:rsidRPr="00112A91">
        <w:rPr>
          <w:color w:val="A02B93" w:themeColor="accent5"/>
        </w:rPr>
        <w:t xml:space="preserve">In essence, advancing this rich area of scholarship requires </w:t>
      </w:r>
      <w:proofErr w:type="spellStart"/>
      <w:r w:rsidRPr="00112A91">
        <w:rPr>
          <w:color w:val="A02B93" w:themeColor="accent5"/>
        </w:rPr>
        <w:t>centering</w:t>
      </w:r>
      <w:proofErr w:type="spellEnd"/>
      <w:r w:rsidRPr="00112A91">
        <w:rPr>
          <w:color w:val="A02B93" w:themeColor="accent5"/>
        </w:rPr>
        <w:t xml:space="preserve"> examination of connections between identity and systemic disadvantage, resisting universalist assumptions, and </w:t>
      </w:r>
      <w:proofErr w:type="spellStart"/>
      <w:r w:rsidRPr="00112A91">
        <w:rPr>
          <w:color w:val="A02B93" w:themeColor="accent5"/>
        </w:rPr>
        <w:t>recentering</w:t>
      </w:r>
      <w:proofErr w:type="spellEnd"/>
      <w:r w:rsidRPr="00112A91">
        <w:rPr>
          <w:color w:val="A02B93" w:themeColor="accent5"/>
        </w:rPr>
        <w:t xml:space="preserve"> human needs as the orienting driver over efficiency rationales. This demands asking different questions about constraints </w:t>
      </w:r>
      <w:proofErr w:type="spellStart"/>
      <w:r w:rsidRPr="00112A91">
        <w:rPr>
          <w:color w:val="A02B93" w:themeColor="accent5"/>
        </w:rPr>
        <w:t>leveling</w:t>
      </w:r>
      <w:proofErr w:type="spellEnd"/>
      <w:r w:rsidRPr="00112A91">
        <w:rPr>
          <w:color w:val="A02B93" w:themeColor="accent5"/>
        </w:rPr>
        <w:t xml:space="preserve"> identity terrain, impacts of disruptive contemporary change, and recoupling individual and collective welfare.  </w:t>
      </w:r>
    </w:p>
    <w:p w14:paraId="09990C70" w14:textId="77777777" w:rsidR="00112A91" w:rsidRPr="00112A91" w:rsidRDefault="00112A91" w:rsidP="00112A91">
      <w:pPr>
        <w:spacing w:after="0" w:line="276" w:lineRule="auto"/>
        <w:rPr>
          <w:color w:val="A02B93" w:themeColor="accent5"/>
        </w:rPr>
      </w:pPr>
    </w:p>
    <w:p w14:paraId="4F7ED35E" w14:textId="77777777" w:rsidR="00112A91" w:rsidRPr="00112A91" w:rsidRDefault="00112A91" w:rsidP="00112A91">
      <w:pPr>
        <w:spacing w:after="0" w:line="276" w:lineRule="auto"/>
        <w:rPr>
          <w:color w:val="A02B93" w:themeColor="accent5"/>
        </w:rPr>
      </w:pPr>
      <w:r w:rsidRPr="00112A91">
        <w:rPr>
          <w:color w:val="A02B93" w:themeColor="accent5"/>
        </w:rPr>
        <w:t>References:</w:t>
      </w:r>
    </w:p>
    <w:p w14:paraId="4F7F9D35" w14:textId="77777777" w:rsidR="00112A91" w:rsidRPr="00112A91" w:rsidRDefault="00112A91" w:rsidP="00112A91">
      <w:pPr>
        <w:spacing w:after="0" w:line="276" w:lineRule="auto"/>
        <w:rPr>
          <w:color w:val="A02B93" w:themeColor="accent5"/>
        </w:rPr>
      </w:pPr>
    </w:p>
    <w:p w14:paraId="6DBECED8" w14:textId="77777777" w:rsidR="00112A91" w:rsidRPr="00112A91" w:rsidRDefault="00112A91" w:rsidP="00112A91">
      <w:pPr>
        <w:spacing w:after="0" w:line="276" w:lineRule="auto"/>
        <w:rPr>
          <w:color w:val="A02B93" w:themeColor="accent5"/>
        </w:rPr>
      </w:pPr>
      <w:r w:rsidRPr="00112A91">
        <w:rPr>
          <w:color w:val="A02B93" w:themeColor="accent5"/>
        </w:rPr>
        <w:t xml:space="preserve">Khalil, D., &amp; Brown, E. (2020). Enacting masculinity: how expectations of masculinity may foster inequalities in medicine. Sociology Compass, 14(11), 1-9. </w:t>
      </w:r>
    </w:p>
    <w:p w14:paraId="4C123771" w14:textId="77777777" w:rsidR="00112A91" w:rsidRPr="00112A91" w:rsidRDefault="00112A91" w:rsidP="00112A91">
      <w:pPr>
        <w:spacing w:after="0" w:line="276" w:lineRule="auto"/>
        <w:rPr>
          <w:color w:val="A02B93" w:themeColor="accent5"/>
        </w:rPr>
      </w:pPr>
    </w:p>
    <w:p w14:paraId="71E5D75E" w14:textId="77777777" w:rsidR="00112A91" w:rsidRPr="00112A91" w:rsidRDefault="00112A91" w:rsidP="00112A91">
      <w:pPr>
        <w:spacing w:after="0" w:line="276" w:lineRule="auto"/>
        <w:rPr>
          <w:color w:val="A02B93" w:themeColor="accent5"/>
        </w:rPr>
      </w:pPr>
      <w:r w:rsidRPr="00112A91">
        <w:rPr>
          <w:color w:val="A02B93" w:themeColor="accent5"/>
        </w:rPr>
        <w:t>Bauman, Z. (2022). Modernity, culture and critique. John Wiley &amp; Sons.</w:t>
      </w:r>
    </w:p>
    <w:p w14:paraId="198431E1" w14:textId="77777777" w:rsidR="00112A91" w:rsidRPr="00112A91" w:rsidRDefault="00112A91" w:rsidP="00112A91">
      <w:pPr>
        <w:spacing w:after="0" w:line="276" w:lineRule="auto"/>
        <w:rPr>
          <w:color w:val="A02B93" w:themeColor="accent5"/>
        </w:rPr>
      </w:pPr>
    </w:p>
    <w:p w14:paraId="592E0C91" w14:textId="7F7A3A9C" w:rsidR="00003A0C" w:rsidRDefault="00112A91" w:rsidP="00112A91">
      <w:pPr>
        <w:spacing w:after="0" w:line="276" w:lineRule="auto"/>
        <w:rPr>
          <w:color w:val="A02B93" w:themeColor="accent5"/>
        </w:rPr>
      </w:pPr>
      <w:r w:rsidRPr="00112A91">
        <w:rPr>
          <w:color w:val="A02B93" w:themeColor="accent5"/>
        </w:rPr>
        <w:t>Nadelson, L. S., McGuire, S. P., Davis, K. A., Farid, A., Hardy, K. K., Hsu, Y. C., Kaiser, U., Nagarajan, R., &amp; Wang, S. (2017). Am I a STEM professional? Documenting STEM student professional identity development. Studies in Higher Education, 42(4), 701-720.</w:t>
      </w:r>
    </w:p>
    <w:p w14:paraId="16D9B224" w14:textId="77777777" w:rsidR="009C5E1C" w:rsidRDefault="009C5E1C" w:rsidP="00112A91">
      <w:pPr>
        <w:spacing w:after="0" w:line="276" w:lineRule="auto"/>
        <w:rPr>
          <w:color w:val="A02B93" w:themeColor="accent5"/>
        </w:rPr>
      </w:pPr>
    </w:p>
    <w:p w14:paraId="0D7B58A3" w14:textId="77777777" w:rsidR="009C5E1C" w:rsidRPr="009C5E1C" w:rsidRDefault="009C5E1C" w:rsidP="009C5E1C">
      <w:pPr>
        <w:spacing w:after="0" w:line="276" w:lineRule="auto"/>
        <w:rPr>
          <w:color w:val="A02B93" w:themeColor="accent5"/>
        </w:rPr>
      </w:pPr>
      <w:r w:rsidRPr="009C5E1C">
        <w:rPr>
          <w:color w:val="A02B93" w:themeColor="accent5"/>
        </w:rPr>
        <w:t>There are two main reasons why my rewrite is much shorter than the original:</w:t>
      </w:r>
    </w:p>
    <w:p w14:paraId="500419D0" w14:textId="77777777" w:rsidR="009C5E1C" w:rsidRPr="009C5E1C" w:rsidRDefault="009C5E1C" w:rsidP="009C5E1C">
      <w:pPr>
        <w:spacing w:after="0" w:line="276" w:lineRule="auto"/>
        <w:rPr>
          <w:color w:val="A02B93" w:themeColor="accent5"/>
        </w:rPr>
      </w:pPr>
    </w:p>
    <w:p w14:paraId="485F2E08" w14:textId="77777777" w:rsidR="009C5E1C" w:rsidRPr="009C5E1C" w:rsidRDefault="009C5E1C" w:rsidP="009C5E1C">
      <w:pPr>
        <w:spacing w:after="0" w:line="276" w:lineRule="auto"/>
        <w:rPr>
          <w:color w:val="A02B93" w:themeColor="accent5"/>
        </w:rPr>
      </w:pPr>
      <w:r w:rsidRPr="009C5E1C">
        <w:rPr>
          <w:color w:val="A02B93" w:themeColor="accent5"/>
        </w:rPr>
        <w:t>1. Focused Critique: Rather than summarizing the full landscape of scholarship, I selectively zoom in on three major limitations I see requiring further interrogation. This targeted, focused critique allows covering key issues concisely without attempting comprehensive coverage.</w:t>
      </w:r>
    </w:p>
    <w:p w14:paraId="0675D136" w14:textId="77777777" w:rsidR="009C5E1C" w:rsidRPr="009C5E1C" w:rsidRDefault="009C5E1C" w:rsidP="009C5E1C">
      <w:pPr>
        <w:spacing w:after="0" w:line="276" w:lineRule="auto"/>
        <w:rPr>
          <w:color w:val="A02B93" w:themeColor="accent5"/>
        </w:rPr>
      </w:pPr>
    </w:p>
    <w:p w14:paraId="70E7B219" w14:textId="77777777" w:rsidR="009C5E1C" w:rsidRPr="009C5E1C" w:rsidRDefault="009C5E1C" w:rsidP="009C5E1C">
      <w:pPr>
        <w:spacing w:after="0" w:line="276" w:lineRule="auto"/>
        <w:rPr>
          <w:color w:val="A02B93" w:themeColor="accent5"/>
        </w:rPr>
      </w:pPr>
      <w:r w:rsidRPr="009C5E1C">
        <w:rPr>
          <w:color w:val="A02B93" w:themeColor="accent5"/>
        </w:rPr>
        <w:lastRenderedPageBreak/>
        <w:t>2. High-Level Framing: I discuss the issues on a conceptual level rather than detailing specific theories, frameworks, methodologies, or empirical findings. Communicating at a higher level of abstraction about patterns in the discourse results in a more compact piece.</w:t>
      </w:r>
    </w:p>
    <w:p w14:paraId="03A84CBE" w14:textId="77777777" w:rsidR="009C5E1C" w:rsidRPr="009C5E1C" w:rsidRDefault="009C5E1C" w:rsidP="009C5E1C">
      <w:pPr>
        <w:spacing w:after="0" w:line="276" w:lineRule="auto"/>
        <w:rPr>
          <w:color w:val="A02B93" w:themeColor="accent5"/>
        </w:rPr>
      </w:pPr>
    </w:p>
    <w:p w14:paraId="6A94B89D" w14:textId="77777777" w:rsidR="009C5E1C" w:rsidRPr="009C5E1C" w:rsidRDefault="009C5E1C" w:rsidP="009C5E1C">
      <w:pPr>
        <w:spacing w:after="0" w:line="276" w:lineRule="auto"/>
        <w:rPr>
          <w:color w:val="A02B93" w:themeColor="accent5"/>
        </w:rPr>
      </w:pPr>
      <w:r w:rsidRPr="009C5E1C">
        <w:rPr>
          <w:color w:val="A02B93" w:themeColor="accent5"/>
        </w:rPr>
        <w:t>The main differences between the original piece and my rewrite are:</w:t>
      </w:r>
    </w:p>
    <w:p w14:paraId="667B4396" w14:textId="77777777" w:rsidR="009C5E1C" w:rsidRPr="009C5E1C" w:rsidRDefault="009C5E1C" w:rsidP="009C5E1C">
      <w:pPr>
        <w:spacing w:after="0" w:line="276" w:lineRule="auto"/>
        <w:rPr>
          <w:color w:val="A02B93" w:themeColor="accent5"/>
        </w:rPr>
      </w:pPr>
    </w:p>
    <w:p w14:paraId="21DCC88E" w14:textId="77777777" w:rsidR="009C5E1C" w:rsidRPr="009C5E1C" w:rsidRDefault="009C5E1C" w:rsidP="009C5E1C">
      <w:pPr>
        <w:spacing w:after="0" w:line="276" w:lineRule="auto"/>
        <w:rPr>
          <w:color w:val="A02B93" w:themeColor="accent5"/>
        </w:rPr>
      </w:pPr>
      <w:r w:rsidRPr="009C5E1C">
        <w:rPr>
          <w:color w:val="A02B93" w:themeColor="accent5"/>
        </w:rPr>
        <w:t>1. Critical Stance: My rewrite takes an explicitly critical evaluative perspective, questioning assumptions and gaps, rather than a detached descriptive angle.</w:t>
      </w:r>
    </w:p>
    <w:p w14:paraId="2E06BB1D" w14:textId="77777777" w:rsidR="009C5E1C" w:rsidRPr="009C5E1C" w:rsidRDefault="009C5E1C" w:rsidP="009C5E1C">
      <w:pPr>
        <w:spacing w:after="0" w:line="276" w:lineRule="auto"/>
        <w:rPr>
          <w:color w:val="A02B93" w:themeColor="accent5"/>
        </w:rPr>
      </w:pPr>
    </w:p>
    <w:p w14:paraId="534524F8" w14:textId="77777777" w:rsidR="009C5E1C" w:rsidRPr="009C5E1C" w:rsidRDefault="009C5E1C" w:rsidP="009C5E1C">
      <w:pPr>
        <w:spacing w:after="0" w:line="276" w:lineRule="auto"/>
        <w:rPr>
          <w:color w:val="A02B93" w:themeColor="accent5"/>
        </w:rPr>
      </w:pPr>
      <w:r w:rsidRPr="009C5E1C">
        <w:rPr>
          <w:color w:val="A02B93" w:themeColor="accent5"/>
        </w:rPr>
        <w:t>2. Comprehensiveness: The original reviews a wide array of scholarship and concepts in depth. My rewrite sacrifices this breadth to enable sharp critical focus.</w:t>
      </w:r>
    </w:p>
    <w:p w14:paraId="1EA82B57" w14:textId="77777777" w:rsidR="009C5E1C" w:rsidRPr="009C5E1C" w:rsidRDefault="009C5E1C" w:rsidP="009C5E1C">
      <w:pPr>
        <w:spacing w:after="0" w:line="276" w:lineRule="auto"/>
        <w:rPr>
          <w:color w:val="A02B93" w:themeColor="accent5"/>
        </w:rPr>
      </w:pPr>
    </w:p>
    <w:p w14:paraId="34937C00" w14:textId="77777777" w:rsidR="009C5E1C" w:rsidRPr="009C5E1C" w:rsidRDefault="009C5E1C" w:rsidP="009C5E1C">
      <w:pPr>
        <w:spacing w:after="0" w:line="276" w:lineRule="auto"/>
        <w:rPr>
          <w:color w:val="A02B93" w:themeColor="accent5"/>
        </w:rPr>
      </w:pPr>
      <w:r w:rsidRPr="009C5E1C">
        <w:rPr>
          <w:color w:val="A02B93" w:themeColor="accent5"/>
        </w:rPr>
        <w:t xml:space="preserve">3. Granularity: As noted above, the rewrite tackles issues conceptually rather than covering specific cases, methods, and frameworks. This generalization results in more concision.  </w:t>
      </w:r>
    </w:p>
    <w:p w14:paraId="1908EC36" w14:textId="77777777" w:rsidR="009C5E1C" w:rsidRPr="009C5E1C" w:rsidRDefault="009C5E1C" w:rsidP="009C5E1C">
      <w:pPr>
        <w:spacing w:after="0" w:line="276" w:lineRule="auto"/>
        <w:rPr>
          <w:color w:val="A02B93" w:themeColor="accent5"/>
        </w:rPr>
      </w:pPr>
    </w:p>
    <w:p w14:paraId="065A8FCA" w14:textId="77777777" w:rsidR="009C5E1C" w:rsidRPr="009C5E1C" w:rsidRDefault="009C5E1C" w:rsidP="009C5E1C">
      <w:pPr>
        <w:spacing w:after="0" w:line="276" w:lineRule="auto"/>
        <w:rPr>
          <w:color w:val="A02B93" w:themeColor="accent5"/>
        </w:rPr>
      </w:pPr>
      <w:r w:rsidRPr="009C5E1C">
        <w:rPr>
          <w:color w:val="A02B93" w:themeColor="accent5"/>
        </w:rPr>
        <w:t>4. Scrutiny: I directly challenge and scrutinize patterns in the discourse around power erasure, universalist assumptions, and instrumentalization. The original piece does not critique the scholarship itself.</w:t>
      </w:r>
    </w:p>
    <w:p w14:paraId="5B4AE663" w14:textId="77777777" w:rsidR="009C5E1C" w:rsidRPr="009C5E1C" w:rsidRDefault="009C5E1C" w:rsidP="009C5E1C">
      <w:pPr>
        <w:spacing w:after="0" w:line="276" w:lineRule="auto"/>
        <w:rPr>
          <w:color w:val="A02B93" w:themeColor="accent5"/>
        </w:rPr>
      </w:pPr>
    </w:p>
    <w:p w14:paraId="63755208" w14:textId="77777777" w:rsidR="009C5E1C" w:rsidRPr="009C5E1C" w:rsidRDefault="009C5E1C" w:rsidP="009C5E1C">
      <w:pPr>
        <w:spacing w:after="0" w:line="276" w:lineRule="auto"/>
        <w:rPr>
          <w:color w:val="A02B93" w:themeColor="accent5"/>
        </w:rPr>
      </w:pPr>
      <w:r w:rsidRPr="009C5E1C">
        <w:rPr>
          <w:color w:val="A02B93" w:themeColor="accent5"/>
        </w:rPr>
        <w:t xml:space="preserve">5. Framing: My rewrite </w:t>
      </w:r>
      <w:proofErr w:type="spellStart"/>
      <w:r w:rsidRPr="009C5E1C">
        <w:rPr>
          <w:color w:val="A02B93" w:themeColor="accent5"/>
        </w:rPr>
        <w:t>centers</w:t>
      </w:r>
      <w:proofErr w:type="spellEnd"/>
      <w:r w:rsidRPr="009C5E1C">
        <w:rPr>
          <w:color w:val="A02B93" w:themeColor="accent5"/>
        </w:rPr>
        <w:t xml:space="preserve"> examination of connections between identity and systemic issues lacking in dominant discourse. This critical framing differs fundamentally from the original synthesis.</w:t>
      </w:r>
    </w:p>
    <w:p w14:paraId="26D8F697" w14:textId="77777777" w:rsidR="009C5E1C" w:rsidRPr="009C5E1C" w:rsidRDefault="009C5E1C" w:rsidP="009C5E1C">
      <w:pPr>
        <w:spacing w:after="0" w:line="276" w:lineRule="auto"/>
        <w:rPr>
          <w:color w:val="A02B93" w:themeColor="accent5"/>
        </w:rPr>
      </w:pPr>
    </w:p>
    <w:p w14:paraId="1A395521" w14:textId="6C78D818" w:rsidR="009C5E1C" w:rsidRDefault="009C5E1C" w:rsidP="009C5E1C">
      <w:pPr>
        <w:spacing w:after="0" w:line="276" w:lineRule="auto"/>
        <w:rPr>
          <w:color w:val="A02B93" w:themeColor="accent5"/>
        </w:rPr>
      </w:pPr>
      <w:r w:rsidRPr="009C5E1C">
        <w:rPr>
          <w:color w:val="A02B93" w:themeColor="accent5"/>
        </w:rPr>
        <w:t>In essence, the rewrite forfeits thoroughness to drive targeted critique communicating key blind spots requiring address in a more compact form. The aim is balancing the original's expansive survey through this concise, scrutinizing lens.</w:t>
      </w:r>
    </w:p>
    <w:p w14:paraId="33985806" w14:textId="77777777" w:rsidR="00112A91" w:rsidRDefault="00112A91" w:rsidP="00112A91">
      <w:pPr>
        <w:spacing w:after="0" w:line="276" w:lineRule="auto"/>
        <w:rPr>
          <w:color w:val="A02B93" w:themeColor="accent5"/>
        </w:rPr>
      </w:pPr>
    </w:p>
    <w:p w14:paraId="1E355D13" w14:textId="77777777" w:rsidR="00112A91" w:rsidRDefault="00112A91" w:rsidP="00112A91">
      <w:pPr>
        <w:spacing w:after="0" w:line="276" w:lineRule="auto"/>
      </w:pPr>
    </w:p>
    <w:p w14:paraId="4917D5F5" w14:textId="38378B13" w:rsidR="00003A0C" w:rsidRPr="00B626F2" w:rsidRDefault="00003A0C" w:rsidP="00003A0C">
      <w:pPr>
        <w:spacing w:after="0" w:line="276" w:lineRule="auto"/>
      </w:pPr>
    </w:p>
    <w:sectPr w:rsidR="00003A0C" w:rsidRPr="00B626F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67181" w14:textId="77777777" w:rsidR="00580D5B" w:rsidRDefault="00580D5B" w:rsidP="00713728">
      <w:pPr>
        <w:spacing w:after="0" w:line="240" w:lineRule="auto"/>
      </w:pPr>
      <w:r>
        <w:separator/>
      </w:r>
    </w:p>
  </w:endnote>
  <w:endnote w:type="continuationSeparator" w:id="0">
    <w:p w14:paraId="5EBF5A22" w14:textId="77777777" w:rsidR="00580D5B" w:rsidRDefault="00580D5B" w:rsidP="00713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347811"/>
      <w:docPartObj>
        <w:docPartGallery w:val="Page Numbers (Bottom of Page)"/>
        <w:docPartUnique/>
      </w:docPartObj>
    </w:sdtPr>
    <w:sdtEndPr>
      <w:rPr>
        <w:noProof/>
      </w:rPr>
    </w:sdtEndPr>
    <w:sdtContent>
      <w:p w14:paraId="1EFAAEF5" w14:textId="0AA6EE62" w:rsidR="00C6335B" w:rsidRDefault="00C633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B1901" w14:textId="77777777" w:rsidR="00713728" w:rsidRDefault="00713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DD0B3" w14:textId="77777777" w:rsidR="00580D5B" w:rsidRDefault="00580D5B" w:rsidP="00713728">
      <w:pPr>
        <w:spacing w:after="0" w:line="240" w:lineRule="auto"/>
      </w:pPr>
      <w:r>
        <w:separator/>
      </w:r>
    </w:p>
  </w:footnote>
  <w:footnote w:type="continuationSeparator" w:id="0">
    <w:p w14:paraId="1421FD39" w14:textId="77777777" w:rsidR="00580D5B" w:rsidRDefault="00580D5B" w:rsidP="00713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E91A2" w14:textId="0715831B" w:rsidR="00713728" w:rsidRDefault="00713728">
    <w:pPr>
      <w:pStyle w:val="Header"/>
    </w:pPr>
    <w:r>
      <w:t>Dr Caroline Jawad 2023, Writing: moving away from descriptive writing TO critical writing</w:t>
    </w:r>
  </w:p>
  <w:p w14:paraId="30430671" w14:textId="77777777" w:rsidR="00713728" w:rsidRDefault="007137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795540"/>
    <w:multiLevelType w:val="hybridMultilevel"/>
    <w:tmpl w:val="AFA02CCC"/>
    <w:lvl w:ilvl="0" w:tplc="64BC1F7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1897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728"/>
    <w:rsid w:val="00003A0C"/>
    <w:rsid w:val="00035509"/>
    <w:rsid w:val="00092058"/>
    <w:rsid w:val="000C2C82"/>
    <w:rsid w:val="000F09B3"/>
    <w:rsid w:val="00112A91"/>
    <w:rsid w:val="00143B95"/>
    <w:rsid w:val="00147499"/>
    <w:rsid w:val="001D469C"/>
    <w:rsid w:val="001F7349"/>
    <w:rsid w:val="0024181B"/>
    <w:rsid w:val="00307C1F"/>
    <w:rsid w:val="003239A7"/>
    <w:rsid w:val="00323D4D"/>
    <w:rsid w:val="00393EA1"/>
    <w:rsid w:val="00413593"/>
    <w:rsid w:val="0041494C"/>
    <w:rsid w:val="004276B0"/>
    <w:rsid w:val="005000E3"/>
    <w:rsid w:val="00517CD4"/>
    <w:rsid w:val="005420EF"/>
    <w:rsid w:val="00575512"/>
    <w:rsid w:val="00580D5B"/>
    <w:rsid w:val="005D120E"/>
    <w:rsid w:val="005E6859"/>
    <w:rsid w:val="006909D6"/>
    <w:rsid w:val="006B1033"/>
    <w:rsid w:val="00713728"/>
    <w:rsid w:val="007341F6"/>
    <w:rsid w:val="00734C34"/>
    <w:rsid w:val="007C2CF2"/>
    <w:rsid w:val="008430F9"/>
    <w:rsid w:val="00851F35"/>
    <w:rsid w:val="00860769"/>
    <w:rsid w:val="00863BCD"/>
    <w:rsid w:val="00875429"/>
    <w:rsid w:val="00894208"/>
    <w:rsid w:val="008A1CE8"/>
    <w:rsid w:val="008A5E3D"/>
    <w:rsid w:val="00940E19"/>
    <w:rsid w:val="00983100"/>
    <w:rsid w:val="009C5E1C"/>
    <w:rsid w:val="009F09D0"/>
    <w:rsid w:val="009F26D4"/>
    <w:rsid w:val="00A467C2"/>
    <w:rsid w:val="00A95BA2"/>
    <w:rsid w:val="00B456D4"/>
    <w:rsid w:val="00B626F2"/>
    <w:rsid w:val="00B91AB1"/>
    <w:rsid w:val="00BA35D9"/>
    <w:rsid w:val="00BE4E0B"/>
    <w:rsid w:val="00C4498D"/>
    <w:rsid w:val="00C6335B"/>
    <w:rsid w:val="00CA0AD6"/>
    <w:rsid w:val="00CB1A11"/>
    <w:rsid w:val="00CC406D"/>
    <w:rsid w:val="00CE3E29"/>
    <w:rsid w:val="00D16564"/>
    <w:rsid w:val="00D61E93"/>
    <w:rsid w:val="00D72F66"/>
    <w:rsid w:val="00D738A7"/>
    <w:rsid w:val="00D74B6F"/>
    <w:rsid w:val="00D87029"/>
    <w:rsid w:val="00D90AE3"/>
    <w:rsid w:val="00DC003C"/>
    <w:rsid w:val="00DE2562"/>
    <w:rsid w:val="00DF2897"/>
    <w:rsid w:val="00E07295"/>
    <w:rsid w:val="00EA3C29"/>
    <w:rsid w:val="00EF42D2"/>
    <w:rsid w:val="00F24630"/>
    <w:rsid w:val="00F46425"/>
    <w:rsid w:val="00FF27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BE5BF9"/>
  <w15:chartTrackingRefBased/>
  <w15:docId w15:val="{A6FFF749-F029-4AC4-BDA3-1800AFA4C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7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37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7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7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7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7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7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7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7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7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37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7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7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7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7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7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7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728"/>
    <w:rPr>
      <w:rFonts w:eastAsiaTheme="majorEastAsia" w:cstheme="majorBidi"/>
      <w:color w:val="272727" w:themeColor="text1" w:themeTint="D8"/>
    </w:rPr>
  </w:style>
  <w:style w:type="paragraph" w:styleId="Title">
    <w:name w:val="Title"/>
    <w:basedOn w:val="Normal"/>
    <w:next w:val="Normal"/>
    <w:link w:val="TitleChar"/>
    <w:uiPriority w:val="10"/>
    <w:qFormat/>
    <w:rsid w:val="007137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7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7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7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728"/>
    <w:pPr>
      <w:spacing w:before="160"/>
      <w:jc w:val="center"/>
    </w:pPr>
    <w:rPr>
      <w:i/>
      <w:iCs/>
      <w:color w:val="404040" w:themeColor="text1" w:themeTint="BF"/>
    </w:rPr>
  </w:style>
  <w:style w:type="character" w:customStyle="1" w:styleId="QuoteChar">
    <w:name w:val="Quote Char"/>
    <w:basedOn w:val="DefaultParagraphFont"/>
    <w:link w:val="Quote"/>
    <w:uiPriority w:val="29"/>
    <w:rsid w:val="00713728"/>
    <w:rPr>
      <w:i/>
      <w:iCs/>
      <w:color w:val="404040" w:themeColor="text1" w:themeTint="BF"/>
    </w:rPr>
  </w:style>
  <w:style w:type="paragraph" w:styleId="ListParagraph">
    <w:name w:val="List Paragraph"/>
    <w:basedOn w:val="Normal"/>
    <w:uiPriority w:val="34"/>
    <w:qFormat/>
    <w:rsid w:val="00713728"/>
    <w:pPr>
      <w:ind w:left="720"/>
      <w:contextualSpacing/>
    </w:pPr>
  </w:style>
  <w:style w:type="character" w:styleId="IntenseEmphasis">
    <w:name w:val="Intense Emphasis"/>
    <w:basedOn w:val="DefaultParagraphFont"/>
    <w:uiPriority w:val="21"/>
    <w:qFormat/>
    <w:rsid w:val="00713728"/>
    <w:rPr>
      <w:i/>
      <w:iCs/>
      <w:color w:val="0F4761" w:themeColor="accent1" w:themeShade="BF"/>
    </w:rPr>
  </w:style>
  <w:style w:type="paragraph" w:styleId="IntenseQuote">
    <w:name w:val="Intense Quote"/>
    <w:basedOn w:val="Normal"/>
    <w:next w:val="Normal"/>
    <w:link w:val="IntenseQuoteChar"/>
    <w:uiPriority w:val="30"/>
    <w:qFormat/>
    <w:rsid w:val="007137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728"/>
    <w:rPr>
      <w:i/>
      <w:iCs/>
      <w:color w:val="0F4761" w:themeColor="accent1" w:themeShade="BF"/>
    </w:rPr>
  </w:style>
  <w:style w:type="character" w:styleId="IntenseReference">
    <w:name w:val="Intense Reference"/>
    <w:basedOn w:val="DefaultParagraphFont"/>
    <w:uiPriority w:val="32"/>
    <w:qFormat/>
    <w:rsid w:val="00713728"/>
    <w:rPr>
      <w:b/>
      <w:bCs/>
      <w:smallCaps/>
      <w:color w:val="0F4761" w:themeColor="accent1" w:themeShade="BF"/>
      <w:spacing w:val="5"/>
    </w:rPr>
  </w:style>
  <w:style w:type="paragraph" w:styleId="Header">
    <w:name w:val="header"/>
    <w:basedOn w:val="Normal"/>
    <w:link w:val="HeaderChar"/>
    <w:uiPriority w:val="99"/>
    <w:unhideWhenUsed/>
    <w:rsid w:val="00713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728"/>
  </w:style>
  <w:style w:type="paragraph" w:styleId="Footer">
    <w:name w:val="footer"/>
    <w:basedOn w:val="Normal"/>
    <w:link w:val="FooterChar"/>
    <w:uiPriority w:val="99"/>
    <w:unhideWhenUsed/>
    <w:rsid w:val="00713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728"/>
  </w:style>
  <w:style w:type="character" w:styleId="Hyperlink">
    <w:name w:val="Hyperlink"/>
    <w:basedOn w:val="DefaultParagraphFont"/>
    <w:uiPriority w:val="99"/>
    <w:unhideWhenUsed/>
    <w:rsid w:val="001D469C"/>
    <w:rPr>
      <w:color w:val="467886" w:themeColor="hyperlink"/>
      <w:u w:val="single"/>
    </w:rPr>
  </w:style>
  <w:style w:type="character" w:styleId="UnresolvedMention">
    <w:name w:val="Unresolved Mention"/>
    <w:basedOn w:val="DefaultParagraphFont"/>
    <w:uiPriority w:val="99"/>
    <w:semiHidden/>
    <w:unhideWhenUsed/>
    <w:rsid w:val="001D46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1606-022-07762-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02F50-5F25-45DE-B635-727ECBE60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14955</Words>
  <Characters>85246</Characters>
  <Application>Microsoft Office Word</Application>
  <DocSecurity>0</DocSecurity>
  <Lines>710</Lines>
  <Paragraphs>200</Paragraphs>
  <ScaleCrop>false</ScaleCrop>
  <Company/>
  <LinksUpToDate>false</LinksUpToDate>
  <CharactersWithSpaces>100001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69</cp:revision>
  <dcterms:created xsi:type="dcterms:W3CDTF">2023-12-01T17:05:00Z</dcterms:created>
  <dcterms:modified xsi:type="dcterms:W3CDTF">2023-12-07T18:33:00Z</dcterms:modified>
</cp:coreProperties>
</file>