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00F85" w14:textId="77777777" w:rsidR="00713EA5" w:rsidRDefault="00D860DB">
      <w:pPr>
        <w:jc w:val="center"/>
      </w:pPr>
      <w:r>
        <w:rPr>
          <w:noProof/>
        </w:rPr>
        <w:drawing>
          <wp:inline distT="0" distB="0" distL="0" distR="0" wp14:anchorId="7DB6B410" wp14:editId="6526C43E">
            <wp:extent cx="3944496" cy="1573056"/>
            <wp:effectExtent l="0" t="0" r="0" b="0"/>
            <wp:docPr id="1" name="image1.png" descr="University of Wales Trinity Saint David - University ..."/>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University ..."/>
                    <pic:cNvPicPr preferRelativeResize="0"/>
                  </pic:nvPicPr>
                  <pic:blipFill>
                    <a:blip r:embed="rId6"/>
                    <a:srcRect/>
                    <a:stretch>
                      <a:fillRect/>
                    </a:stretch>
                  </pic:blipFill>
                  <pic:spPr>
                    <a:xfrm>
                      <a:off x="0" y="0"/>
                      <a:ext cx="3944496" cy="1573056"/>
                    </a:xfrm>
                    <a:prstGeom prst="rect">
                      <a:avLst/>
                    </a:prstGeom>
                    <a:ln/>
                  </pic:spPr>
                </pic:pic>
              </a:graphicData>
            </a:graphic>
          </wp:inline>
        </w:drawing>
      </w:r>
    </w:p>
    <w:p w14:paraId="73C02593" w14:textId="77777777" w:rsidR="00713EA5" w:rsidRDefault="00713EA5">
      <w:pPr>
        <w:jc w:val="center"/>
        <w:rPr>
          <w:b/>
          <w:bCs/>
          <w:i/>
          <w:iCs/>
          <w:sz w:val="32"/>
          <w:szCs w:val="32"/>
        </w:rPr>
      </w:pPr>
    </w:p>
    <w:p w14:paraId="2D6E6473" w14:textId="77777777" w:rsidR="00713EA5" w:rsidRDefault="00713EA5">
      <w:pPr>
        <w:jc w:val="center"/>
        <w:rPr>
          <w:b/>
          <w:bCs/>
          <w:i/>
          <w:iCs/>
          <w:sz w:val="32"/>
          <w:szCs w:val="32"/>
        </w:rPr>
      </w:pPr>
    </w:p>
    <w:p w14:paraId="7F1066EA" w14:textId="77777777" w:rsidR="00713EA5" w:rsidRDefault="00713EA5"/>
    <w:p w14:paraId="334928BA" w14:textId="77777777" w:rsidR="00713EA5" w:rsidRDefault="00D860DB">
      <w:pPr>
        <w:jc w:val="center"/>
        <w:rPr>
          <w:sz w:val="28"/>
          <w:szCs w:val="28"/>
        </w:rPr>
      </w:pPr>
      <w:r>
        <w:rPr>
          <w:b/>
          <w:bCs/>
          <w:sz w:val="28"/>
          <w:szCs w:val="28"/>
        </w:rPr>
        <w:t>Module Code:</w:t>
      </w:r>
      <w:r>
        <w:rPr>
          <w:sz w:val="28"/>
          <w:szCs w:val="28"/>
        </w:rPr>
        <w:t xml:space="preserve"> BMHP5016</w:t>
      </w:r>
    </w:p>
    <w:p w14:paraId="18AC3C04" w14:textId="77777777" w:rsidR="00713EA5" w:rsidRDefault="00D860DB">
      <w:pPr>
        <w:jc w:val="center"/>
        <w:rPr>
          <w:sz w:val="28"/>
          <w:szCs w:val="28"/>
        </w:rPr>
      </w:pPr>
      <w:r>
        <w:rPr>
          <w:b/>
          <w:bCs/>
          <w:sz w:val="28"/>
          <w:szCs w:val="28"/>
        </w:rPr>
        <w:t>Module Title:</w:t>
      </w:r>
      <w:r>
        <w:rPr>
          <w:sz w:val="28"/>
          <w:szCs w:val="28"/>
        </w:rPr>
        <w:t xml:space="preserve"> Principles of Health and Social Care Practice</w:t>
      </w:r>
    </w:p>
    <w:p w14:paraId="22873421" w14:textId="77777777" w:rsidR="00713EA5" w:rsidRDefault="00D860DB">
      <w:pPr>
        <w:jc w:val="center"/>
        <w:rPr>
          <w:sz w:val="28"/>
          <w:szCs w:val="28"/>
        </w:rPr>
      </w:pPr>
      <w:r>
        <w:rPr>
          <w:b/>
          <w:bCs/>
          <w:sz w:val="28"/>
          <w:szCs w:val="28"/>
        </w:rPr>
        <w:t>Assignment Title:</w:t>
      </w:r>
      <w:r>
        <w:rPr>
          <w:sz w:val="28"/>
          <w:szCs w:val="28"/>
        </w:rPr>
        <w:t xml:space="preserve"> Component 1: Written Assignment – Reflective Report</w:t>
      </w:r>
    </w:p>
    <w:p w14:paraId="37E7A530" w14:textId="77777777" w:rsidR="00713EA5" w:rsidRDefault="00713EA5">
      <w:pPr>
        <w:jc w:val="center"/>
        <w:rPr>
          <w:b/>
          <w:bCs/>
          <w:i/>
          <w:iCs/>
          <w:sz w:val="36"/>
          <w:szCs w:val="36"/>
        </w:rPr>
      </w:pPr>
    </w:p>
    <w:p w14:paraId="4CB8FC0D" w14:textId="77777777" w:rsidR="00713EA5" w:rsidRDefault="00713EA5"/>
    <w:p w14:paraId="6FAA61DA" w14:textId="77777777" w:rsidR="00713EA5" w:rsidRDefault="00713EA5"/>
    <w:p w14:paraId="7678CDF2" w14:textId="764D3F6F" w:rsidR="00713EA5" w:rsidRDefault="00D860DB">
      <w:pPr>
        <w:jc w:val="left"/>
      </w:pPr>
      <w:r>
        <w:rPr>
          <w:b/>
          <w:bCs/>
        </w:rPr>
        <w:t>Student Name:</w:t>
      </w:r>
      <w:r w:rsidR="00F502A5">
        <w:rPr>
          <w:b/>
          <w:bCs/>
        </w:rPr>
        <w:t xml:space="preserve"> Mavis Boahemaa</w:t>
      </w:r>
    </w:p>
    <w:p w14:paraId="1381B088" w14:textId="320E7CD0" w:rsidR="00713EA5" w:rsidRDefault="00D860DB">
      <w:pPr>
        <w:jc w:val="left"/>
      </w:pPr>
      <w:r>
        <w:rPr>
          <w:b/>
          <w:bCs/>
        </w:rPr>
        <w:t>Student Number:</w:t>
      </w:r>
      <w:r w:rsidR="00F502A5">
        <w:rPr>
          <w:b/>
          <w:bCs/>
        </w:rPr>
        <w:t xml:space="preserve"> 2419625</w:t>
      </w:r>
    </w:p>
    <w:p w14:paraId="715E0F5F" w14:textId="5BD3E378" w:rsidR="00713EA5" w:rsidRDefault="00D860DB">
      <w:pPr>
        <w:jc w:val="left"/>
        <w:rPr>
          <w:b/>
          <w:bCs/>
        </w:rPr>
      </w:pPr>
      <w:r>
        <w:rPr>
          <w:b/>
          <w:bCs/>
        </w:rPr>
        <w:t>Word Count: 2003</w:t>
      </w:r>
      <w:r w:rsidR="00C8370E">
        <w:rPr>
          <w:b/>
          <w:bCs/>
        </w:rPr>
        <w:t xml:space="preserve"> (main body)</w:t>
      </w:r>
    </w:p>
    <w:p w14:paraId="408091AB" w14:textId="77777777" w:rsidR="00713EA5" w:rsidRDefault="00D860DB">
      <w:pPr>
        <w:spacing w:before="0" w:after="160" w:line="278" w:lineRule="auto"/>
        <w:jc w:val="left"/>
        <w:rPr>
          <w:b/>
          <w:bCs/>
        </w:rPr>
      </w:pPr>
      <w:r>
        <w:br w:type="page"/>
      </w:r>
    </w:p>
    <w:p w14:paraId="1F61252A" w14:textId="77777777" w:rsidR="00713EA5" w:rsidRDefault="00D860DB">
      <w:pPr>
        <w:keepNext/>
        <w:keepLines/>
        <w:pBdr>
          <w:top w:val="nil"/>
          <w:left w:val="nil"/>
          <w:bottom w:val="nil"/>
          <w:right w:val="nil"/>
          <w:between w:val="nil"/>
        </w:pBdr>
        <w:spacing w:before="240" w:after="0" w:line="259" w:lineRule="auto"/>
        <w:jc w:val="left"/>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1651383098"/>
        <w:docPartObj>
          <w:docPartGallery w:val="Table of Contents"/>
          <w:docPartUnique/>
        </w:docPartObj>
      </w:sdtPr>
      <w:sdtEndPr/>
      <w:sdtContent>
        <w:p w14:paraId="6CDB8024" w14:textId="77777777" w:rsidR="00713EA5" w:rsidRDefault="00D860DB">
          <w:pPr>
            <w:pBdr>
              <w:top w:val="nil"/>
              <w:left w:val="nil"/>
              <w:bottom w:val="nil"/>
              <w:right w:val="nil"/>
              <w:between w:val="nil"/>
            </w:pBdr>
            <w:tabs>
              <w:tab w:val="right" w:leader="dot" w:pos="9350"/>
            </w:tabs>
            <w:spacing w:after="100"/>
            <w:rPr>
              <w:rFonts w:ascii="Aptos" w:eastAsia="Aptos" w:hAnsi="Aptos" w:cs="Aptos"/>
              <w:color w:val="000000"/>
              <w:sz w:val="24"/>
              <w:szCs w:val="24"/>
            </w:rPr>
          </w:pPr>
          <w:r>
            <w:fldChar w:fldCharType="begin"/>
          </w:r>
          <w:r>
            <w:instrText xml:space="preserve"> TOC \h \u \z \t "Heading 1,1,Heading 2,2,Heading 3,3,"</w:instrText>
          </w:r>
          <w:r>
            <w:fldChar w:fldCharType="separate"/>
          </w:r>
          <w:hyperlink w:anchor="_nc7s95140z58">
            <w:r>
              <w:rPr>
                <w:color w:val="000000"/>
              </w:rPr>
              <w:t>Task 1: Critical Reflection on the Importance of Principles of Health and Social Care</w:t>
            </w:r>
            <w:r>
              <w:rPr>
                <w:color w:val="000000"/>
              </w:rPr>
              <w:tab/>
              <w:t>3</w:t>
            </w:r>
          </w:hyperlink>
        </w:p>
        <w:p w14:paraId="3BCFD4A6"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uju668ghlvrq">
            <w:r>
              <w:rPr>
                <w:color w:val="000000"/>
              </w:rPr>
              <w:t>1.1 Person-Centred Care and Individualised Practice</w:t>
            </w:r>
            <w:r>
              <w:rPr>
                <w:color w:val="000000"/>
              </w:rPr>
              <w:tab/>
              <w:t>3</w:t>
            </w:r>
          </w:hyperlink>
        </w:p>
        <w:p w14:paraId="2F1DA99D"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h9h0idgg39pf">
            <w:r>
              <w:rPr>
                <w:color w:val="000000"/>
              </w:rPr>
              <w:t>1.2 Partnership Working and Collaborative Care</w:t>
            </w:r>
            <w:r>
              <w:rPr>
                <w:color w:val="000000"/>
              </w:rPr>
              <w:tab/>
              <w:t>3</w:t>
            </w:r>
          </w:hyperlink>
        </w:p>
        <w:p w14:paraId="2000C68D"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n4vp4vfptt64">
            <w:r>
              <w:rPr>
                <w:color w:val="000000"/>
              </w:rPr>
              <w:t>1.3 Ethics, Autonomy and Professional Decision-Making</w:t>
            </w:r>
            <w:r>
              <w:rPr>
                <w:color w:val="000000"/>
              </w:rPr>
              <w:tab/>
              <w:t>3</w:t>
            </w:r>
          </w:hyperlink>
        </w:p>
        <w:p w14:paraId="58CDD2E2"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vlabz64qd3zq">
            <w:r>
              <w:rPr>
                <w:color w:val="000000"/>
              </w:rPr>
              <w:t>1.4 Integrated Critical Reflection</w:t>
            </w:r>
            <w:r>
              <w:rPr>
                <w:color w:val="000000"/>
              </w:rPr>
              <w:tab/>
              <w:t>4</w:t>
            </w:r>
          </w:hyperlink>
        </w:p>
        <w:p w14:paraId="6B2002C3" w14:textId="77777777" w:rsidR="00713EA5" w:rsidRDefault="00D860DB">
          <w:pPr>
            <w:pBdr>
              <w:top w:val="nil"/>
              <w:left w:val="nil"/>
              <w:bottom w:val="nil"/>
              <w:right w:val="nil"/>
              <w:between w:val="nil"/>
            </w:pBdr>
            <w:tabs>
              <w:tab w:val="right" w:leader="dot" w:pos="9350"/>
            </w:tabs>
            <w:spacing w:after="100"/>
            <w:rPr>
              <w:rFonts w:ascii="Aptos" w:eastAsia="Aptos" w:hAnsi="Aptos" w:cs="Aptos"/>
              <w:color w:val="000000"/>
              <w:sz w:val="24"/>
              <w:szCs w:val="24"/>
            </w:rPr>
          </w:pPr>
          <w:hyperlink w:anchor="_szlubdrdsdku">
            <w:r>
              <w:rPr>
                <w:color w:val="000000"/>
              </w:rPr>
              <w:t>Task 2: Practical Application – Evaluation of Joan’s Story</w:t>
            </w:r>
            <w:r>
              <w:rPr>
                <w:color w:val="000000"/>
              </w:rPr>
              <w:tab/>
              <w:t>4</w:t>
            </w:r>
          </w:hyperlink>
        </w:p>
        <w:p w14:paraId="4616EACD"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wnv9n7od15hg">
            <w:r>
              <w:rPr>
                <w:color w:val="000000"/>
              </w:rPr>
              <w:t>2.1 Context and Initial Care Challenges</w:t>
            </w:r>
            <w:r>
              <w:rPr>
                <w:color w:val="000000"/>
              </w:rPr>
              <w:tab/>
              <w:t>4</w:t>
            </w:r>
          </w:hyperlink>
        </w:p>
        <w:p w14:paraId="783A8CF7"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7h9sv9n0fhdp">
            <w:r>
              <w:rPr>
                <w:color w:val="000000"/>
              </w:rPr>
              <w:t>2.2 Person-Centred Care and Patient Activation</w:t>
            </w:r>
            <w:r>
              <w:rPr>
                <w:color w:val="000000"/>
              </w:rPr>
              <w:tab/>
              <w:t>4</w:t>
            </w:r>
          </w:hyperlink>
        </w:p>
        <w:p w14:paraId="793EDF68"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bpap79dpfyvz">
            <w:r>
              <w:rPr>
                <w:color w:val="000000"/>
              </w:rPr>
              <w:t>2.3 Partnership Working and Coordinated Care</w:t>
            </w:r>
            <w:r>
              <w:rPr>
                <w:color w:val="000000"/>
              </w:rPr>
              <w:tab/>
              <w:t>5</w:t>
            </w:r>
          </w:hyperlink>
        </w:p>
        <w:p w14:paraId="7C0D8666"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dqgp18jc1o69">
            <w:r>
              <w:rPr>
                <w:color w:val="000000"/>
              </w:rPr>
              <w:t>2.4 Ethical Practice, Autonomy and Shared Decision-Making</w:t>
            </w:r>
            <w:r>
              <w:rPr>
                <w:color w:val="000000"/>
              </w:rPr>
              <w:tab/>
              <w:t>5</w:t>
            </w:r>
          </w:hyperlink>
        </w:p>
        <w:p w14:paraId="2DE9ED5E"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a0f3t84tg33u">
            <w:r>
              <w:rPr>
                <w:color w:val="000000"/>
              </w:rPr>
              <w:t>2.5 Critical Judgement and Remaining Challenges</w:t>
            </w:r>
            <w:r>
              <w:rPr>
                <w:color w:val="000000"/>
              </w:rPr>
              <w:tab/>
              <w:t>5</w:t>
            </w:r>
          </w:hyperlink>
        </w:p>
        <w:p w14:paraId="024401CC" w14:textId="77777777" w:rsidR="00713EA5" w:rsidRDefault="00D860DB">
          <w:pPr>
            <w:pBdr>
              <w:top w:val="nil"/>
              <w:left w:val="nil"/>
              <w:bottom w:val="nil"/>
              <w:right w:val="nil"/>
              <w:between w:val="nil"/>
            </w:pBdr>
            <w:tabs>
              <w:tab w:val="right" w:leader="dot" w:pos="9350"/>
            </w:tabs>
            <w:spacing w:after="100"/>
            <w:rPr>
              <w:rFonts w:ascii="Aptos" w:eastAsia="Aptos" w:hAnsi="Aptos" w:cs="Aptos"/>
              <w:color w:val="000000"/>
              <w:sz w:val="24"/>
              <w:szCs w:val="24"/>
            </w:rPr>
          </w:pPr>
          <w:hyperlink w:anchor="_o14fj6bui1z7">
            <w:r>
              <w:rPr>
                <w:color w:val="000000"/>
              </w:rPr>
              <w:t>Task 3: Critical Self-Reflection as a Health and Social Care Professional</w:t>
            </w:r>
            <w:r>
              <w:rPr>
                <w:color w:val="000000"/>
              </w:rPr>
              <w:tab/>
              <w:t>6</w:t>
            </w:r>
          </w:hyperlink>
        </w:p>
        <w:p w14:paraId="0605B000"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shsfqyclmjwe">
            <w:r>
              <w:rPr>
                <w:color w:val="000000"/>
              </w:rPr>
              <w:t>3.1 My Understanding of Person-Centred Professional Practice</w:t>
            </w:r>
            <w:r>
              <w:rPr>
                <w:color w:val="000000"/>
              </w:rPr>
              <w:tab/>
              <w:t>6</w:t>
            </w:r>
          </w:hyperlink>
        </w:p>
        <w:p w14:paraId="233DAF05"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6zd5xklw885t">
            <w:r>
              <w:rPr>
                <w:color w:val="000000"/>
              </w:rPr>
              <w:t>3.2 My Approach to Partnership Working</w:t>
            </w:r>
            <w:r>
              <w:rPr>
                <w:color w:val="000000"/>
              </w:rPr>
              <w:tab/>
              <w:t>6</w:t>
            </w:r>
          </w:hyperlink>
        </w:p>
        <w:p w14:paraId="10701413"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jvjew0kg0ffh">
            <w:r>
              <w:rPr>
                <w:color w:val="000000"/>
              </w:rPr>
              <w:t>3.3 Ethical Practice, Autonomy and Professional Responsibility</w:t>
            </w:r>
            <w:r>
              <w:rPr>
                <w:color w:val="000000"/>
              </w:rPr>
              <w:tab/>
              <w:t>6</w:t>
            </w:r>
          </w:hyperlink>
        </w:p>
        <w:p w14:paraId="36BEC926"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o5yh0trn587h">
            <w:r>
              <w:rPr>
                <w:color w:val="000000"/>
              </w:rPr>
              <w:t>3.4 Critical Reflection on My Current Skills and Strengths</w:t>
            </w:r>
            <w:r>
              <w:rPr>
                <w:color w:val="000000"/>
              </w:rPr>
              <w:tab/>
              <w:t>7</w:t>
            </w:r>
          </w:hyperlink>
        </w:p>
        <w:p w14:paraId="50378764"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qgt9m7fpmn77">
            <w:r>
              <w:rPr>
                <w:color w:val="000000"/>
              </w:rPr>
              <w:t>3.5 Areas for Improvement and Limits in My Current Practice</w:t>
            </w:r>
            <w:r>
              <w:rPr>
                <w:color w:val="000000"/>
              </w:rPr>
              <w:tab/>
              <w:t>7</w:t>
            </w:r>
          </w:hyperlink>
        </w:p>
        <w:p w14:paraId="7D51DB8B"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xa26hvlu3tki">
            <w:r>
              <w:rPr>
                <w:color w:val="000000"/>
              </w:rPr>
              <w:t>3.6 Personal and Professional Development Action Plan</w:t>
            </w:r>
            <w:r>
              <w:rPr>
                <w:color w:val="000000"/>
              </w:rPr>
              <w:tab/>
              <w:t>8</w:t>
            </w:r>
          </w:hyperlink>
        </w:p>
        <w:p w14:paraId="486069FE" w14:textId="77777777" w:rsidR="00713EA5" w:rsidRDefault="00D860DB">
          <w:pPr>
            <w:pBdr>
              <w:top w:val="nil"/>
              <w:left w:val="nil"/>
              <w:bottom w:val="nil"/>
              <w:right w:val="nil"/>
              <w:between w:val="nil"/>
            </w:pBdr>
            <w:tabs>
              <w:tab w:val="right" w:leader="dot" w:pos="9350"/>
            </w:tabs>
            <w:spacing w:after="100"/>
            <w:ind w:left="220"/>
            <w:rPr>
              <w:rFonts w:ascii="Aptos" w:eastAsia="Aptos" w:hAnsi="Aptos" w:cs="Aptos"/>
              <w:color w:val="000000"/>
              <w:sz w:val="24"/>
              <w:szCs w:val="24"/>
            </w:rPr>
          </w:pPr>
          <w:hyperlink w:anchor="_ng3we5ushsm9">
            <w:r>
              <w:rPr>
                <w:color w:val="000000"/>
              </w:rPr>
              <w:t>3.7 Final Reflective Judgement</w:t>
            </w:r>
            <w:r>
              <w:rPr>
                <w:color w:val="000000"/>
              </w:rPr>
              <w:tab/>
              <w:t>8</w:t>
            </w:r>
          </w:hyperlink>
        </w:p>
        <w:p w14:paraId="35CF10E9" w14:textId="77777777" w:rsidR="00713EA5" w:rsidRDefault="00D860DB">
          <w:pPr>
            <w:pBdr>
              <w:top w:val="nil"/>
              <w:left w:val="nil"/>
              <w:bottom w:val="nil"/>
              <w:right w:val="nil"/>
              <w:between w:val="nil"/>
            </w:pBdr>
            <w:tabs>
              <w:tab w:val="right" w:leader="dot" w:pos="9350"/>
            </w:tabs>
            <w:spacing w:after="100"/>
            <w:rPr>
              <w:rFonts w:ascii="Aptos" w:eastAsia="Aptos" w:hAnsi="Aptos" w:cs="Aptos"/>
              <w:color w:val="000000"/>
              <w:sz w:val="24"/>
              <w:szCs w:val="24"/>
            </w:rPr>
          </w:pPr>
          <w:hyperlink w:anchor="_rf26pbzfxejw">
            <w:r>
              <w:rPr>
                <w:color w:val="000000"/>
              </w:rPr>
              <w:t>References</w:t>
            </w:r>
            <w:r>
              <w:rPr>
                <w:color w:val="000000"/>
              </w:rPr>
              <w:tab/>
              <w:t>9</w:t>
            </w:r>
          </w:hyperlink>
        </w:p>
        <w:p w14:paraId="63C89A1A" w14:textId="77777777" w:rsidR="00713EA5" w:rsidRDefault="00D860DB">
          <w:r>
            <w:fldChar w:fldCharType="end"/>
          </w:r>
        </w:p>
      </w:sdtContent>
    </w:sdt>
    <w:p w14:paraId="21CCC105" w14:textId="77777777" w:rsidR="00713EA5" w:rsidRDefault="00713EA5"/>
    <w:p w14:paraId="4715B408" w14:textId="77777777" w:rsidR="00713EA5" w:rsidRDefault="00D860DB">
      <w:pPr>
        <w:pStyle w:val="Heading1"/>
      </w:pPr>
      <w:bookmarkStart w:id="0" w:name="_nc7s95140z58" w:colFirst="0" w:colLast="0"/>
      <w:bookmarkEnd w:id="0"/>
      <w:r>
        <w:br w:type="page"/>
      </w:r>
      <w:r>
        <w:lastRenderedPageBreak/>
        <w:t>Task 1: Critical Reflection on the Importance of Principles of Health and Social Care</w:t>
      </w:r>
    </w:p>
    <w:p w14:paraId="26A8813B" w14:textId="77777777" w:rsidR="00713EA5" w:rsidRDefault="00D860DB">
      <w:pPr>
        <w:pStyle w:val="Heading2"/>
      </w:pPr>
      <w:bookmarkStart w:id="1" w:name="_uju668ghlvrq" w:colFirst="0" w:colLast="0"/>
      <w:bookmarkEnd w:id="1"/>
      <w:r>
        <w:t>1.1 Person-Centred Care and Individualised Practice</w:t>
      </w:r>
    </w:p>
    <w:p w14:paraId="2972849C" w14:textId="77777777" w:rsidR="00713EA5" w:rsidRDefault="00D860DB">
      <w:r>
        <w:t>Person-centred care is about encouraging each individual to be treated as more than a diagnosis. It respects dignity, choice, autonomy, preferences and involvement in decisions about important care. This method also takes into account the physical, psychological, social and emotional needs simultaneously. Person-centred approaches have been found to be associated with better care quality and patient experience ( Bru-Luna et al., 2024). The hierarchy of needs also works well in the light of Maslow for layere</w:t>
      </w:r>
      <w:r>
        <w:t>d human needs. But sometimes, preferences and professional safety or capacity concerns might clash. Practitioners must therefore balance autonomy with lawful, proportionate, and evidence-based care. A person-centred practice is still important because it helps to facilitate meaningful support and safeguarding of an individual's identity (Nkhoma et al., 2022).</w:t>
      </w:r>
    </w:p>
    <w:p w14:paraId="295615C9" w14:textId="77777777" w:rsidR="00713EA5" w:rsidRDefault="00D860DB">
      <w:pPr>
        <w:pStyle w:val="Heading2"/>
      </w:pPr>
      <w:bookmarkStart w:id="2" w:name="_h9h0idgg39pf" w:colFirst="0" w:colLast="0"/>
      <w:bookmarkEnd w:id="2"/>
      <w:r>
        <w:t>1.2 Partnership Working and Collaborative Care</w:t>
      </w:r>
    </w:p>
    <w:p w14:paraId="668E93F0" w14:textId="77777777" w:rsidR="00713EA5" w:rsidRDefault="00D860DB">
      <w:r>
        <w:t>Partnership working is a form of shared responsibility between individuals, carers, professionals, teams and organisations. Good working together can lead to better communication, continuity, assessment and coordinated decisions between services. Interprofessional working is particularly useful in cases of complex or long-term needs (Pascucci et al., 2021). Additionally, integrated care can help to decrease fragmented care and enhance the experience of services (Davidson, Scott and Forster, 2021). But, part</w:t>
      </w:r>
      <w:r>
        <w:t>nership working does not necessarily lead to improved outcomes. Collaboration can be undermined by professional hierarchies, lack of information sharing and poor clarity over responsibilities (Rawlinson et al., 2021). Organisational boundaries can also cause delays in decision-making and can produce gaps between services. Building trust, defining roles, establishing clear objectives, holding each partner accountable, and ensuring that communication is respectful and on-task are therefore key to effective pa</w:t>
      </w:r>
      <w:r>
        <w:t>rtnerships.</w:t>
      </w:r>
    </w:p>
    <w:p w14:paraId="06CE48D0" w14:textId="77777777" w:rsidR="00713EA5" w:rsidRDefault="00D860DB">
      <w:pPr>
        <w:pStyle w:val="Heading2"/>
      </w:pPr>
      <w:bookmarkStart w:id="3" w:name="_n4vp4vfptt64" w:colFirst="0" w:colLast="0"/>
      <w:bookmarkEnd w:id="3"/>
      <w:r>
        <w:t>1.3 Ethics, Autonomy and Professional Decision-Making</w:t>
      </w:r>
    </w:p>
    <w:p w14:paraId="32CC193F" w14:textId="77777777" w:rsidR="00713EA5" w:rsidRDefault="00D860DB">
      <w:r>
        <w:t xml:space="preserve">Ethical practice directs workers in decisions with implications for rights, risks, obligations and fairness. Autonomy, beneficence, non-maleficence, justice, dignity and confidentiality are key. Shared decision-making is a strategy that can enhance autonomy by engaging individuals in </w:t>
      </w:r>
      <w:r>
        <w:lastRenderedPageBreak/>
        <w:t>decisions regarding care ( Bruch et al., 2024). Promote wellbeing, involvement, choice and protection in social care (Great Britain 2014, Great Britain). The Health and Great Britain 2022 also contributes to improving health services coordination (Great Britain, 2022). Respecting autonomy, however, can challenge professional responsibilities to avoid potentially harmful situations. Careful risk assessment is therefore essential, and any limitation on choice must be justified. Ethical practice is best when d</w:t>
      </w:r>
      <w:r>
        <w:t>ecisions are clear, appropriate and person centred.</w:t>
      </w:r>
    </w:p>
    <w:p w14:paraId="5AF15CE1" w14:textId="77777777" w:rsidR="00713EA5" w:rsidRDefault="00D860DB">
      <w:pPr>
        <w:pStyle w:val="Heading2"/>
      </w:pPr>
      <w:bookmarkStart w:id="4" w:name="_vlabz64qd3zq" w:colFirst="0" w:colLast="0"/>
      <w:bookmarkEnd w:id="4"/>
      <w:r>
        <w:t>1.4 Integrated Critical Reflection</w:t>
      </w:r>
    </w:p>
    <w:p w14:paraId="7884F927" w14:textId="77777777" w:rsidR="00713EA5" w:rsidRDefault="00D860DB">
      <w:r>
        <w:t>These are all interconnected principles and are not individual aspects of professional work. The priority of individual needs is identified through person-centred care, and appropriate support is coordinated through partnership working. Ethical practice is used to inform decision-making on rights, risks, responsibilities and fair treatment. They work together to create a more secure, respectful, and effective care foundation.</w:t>
      </w:r>
    </w:p>
    <w:p w14:paraId="20575012" w14:textId="77777777" w:rsidR="00713EA5" w:rsidRDefault="00D860DB">
      <w:pPr>
        <w:pStyle w:val="Heading1"/>
      </w:pPr>
      <w:bookmarkStart w:id="5" w:name="_szlubdrdsdku" w:colFirst="0" w:colLast="0"/>
      <w:bookmarkEnd w:id="5"/>
      <w:r>
        <w:t>Task 2: Practical Application – Evaluation of Joan’s Story</w:t>
      </w:r>
    </w:p>
    <w:p w14:paraId="50A7829A" w14:textId="77777777" w:rsidR="00713EA5" w:rsidRDefault="00D860DB">
      <w:pPr>
        <w:pStyle w:val="Heading2"/>
      </w:pPr>
      <w:bookmarkStart w:id="6" w:name="_wnv9n7od15hg" w:colFirst="0" w:colLast="0"/>
      <w:bookmarkEnd w:id="6"/>
      <w:r>
        <w:t>2.1 Context and Initial Care Challenges</w:t>
      </w:r>
    </w:p>
    <w:p w14:paraId="454A3366" w14:textId="77777777" w:rsidR="00713EA5" w:rsidRDefault="00D860DB">
      <w:r>
        <w:t>COPD affects Joan's wellbeing and interferes with her daily activities. She had difficulty going to appointments, doing her own treatment, and managing her symptoms. She scored at level one on her Patient Activation Measure, in which patients have limited self-management ability and low confidence. Uncontrolled Crohn's disease was later found to be a significant challenge to home life (NHS England).</w:t>
      </w:r>
    </w:p>
    <w:p w14:paraId="4AA2A7A5" w14:textId="77777777" w:rsidR="00713EA5" w:rsidRDefault="00D860DB">
      <w:pPr>
        <w:pStyle w:val="Heading2"/>
      </w:pPr>
      <w:bookmarkStart w:id="7" w:name="_7h9sv9n0fhdp" w:colFirst="0" w:colLast="0"/>
      <w:bookmarkEnd w:id="7"/>
      <w:r>
        <w:t>2.2 Person-Centred Care and Patient Activation</w:t>
      </w:r>
    </w:p>
    <w:p w14:paraId="5D064BBE" w14:textId="77777777" w:rsidR="00713EA5" w:rsidRDefault="00D860DB">
      <w:r>
        <w:t>Person-centred care was demonstrated by supporting Joan in a way that was individual to her. The PAM assisted professionals in grasping her confidence, knowledge, and readiness for self-management. Then, weekly discussions were held that addressed why she was not engaging, not her behaviour. This was personalised care, autonomy and shared decision-making. When care aligns with individual needs, patient activation can help to increase self-management in chronic conditions (Cuevas et al., 2021). Joan's PAM sc</w:t>
      </w:r>
      <w:r>
        <w:t>ore rose by more than 40%, and she self-referred for pulmonary rehabilitation. This is an improvement, but it cannot be solely attributed to PAM. Support from her GP, treatment of Crohn's, sustained contact and trust also aided progress.</w:t>
      </w:r>
    </w:p>
    <w:p w14:paraId="559499F4" w14:textId="77777777" w:rsidR="00713EA5" w:rsidRDefault="00D860DB">
      <w:pPr>
        <w:pStyle w:val="Heading2"/>
      </w:pPr>
      <w:bookmarkStart w:id="8" w:name="_bpap79dpfyvz" w:colFirst="0" w:colLast="0"/>
      <w:bookmarkEnd w:id="8"/>
      <w:r>
        <w:lastRenderedPageBreak/>
        <w:t>2.3 Partnership Working and Coordinated Care</w:t>
      </w:r>
    </w:p>
    <w:p w14:paraId="40E30EFD" w14:textId="77777777" w:rsidR="00713EA5" w:rsidRDefault="00D860DB">
      <w:r>
        <w:t>Partnership working played a key role as Joan's needs spanned multiple areas of care. The therapy team, GP and Joan identified barriers and co-ordinated support. Ensuring effective self-management of COPD required treatment of Crohn's disease. This is based on evidence of the benefits of interprofessional working to improve chronic disease management and service coordination (Pascucci et al., 2021). She went from making six of nine appointments to nine of 10. Emergency admissions also dropped from two to on</w:t>
      </w:r>
      <w:r>
        <w:t>e (NHS England, n.d.). These changes indicate better continuity, engagement, prevention and possibly more effective use of NHS resources.</w:t>
      </w:r>
    </w:p>
    <w:p w14:paraId="61C2E895" w14:textId="77777777" w:rsidR="00713EA5" w:rsidRDefault="00D860DB">
      <w:pPr>
        <w:pStyle w:val="Heading2"/>
      </w:pPr>
      <w:bookmarkStart w:id="9" w:name="_dqgp18jc1o69" w:colFirst="0" w:colLast="0"/>
      <w:bookmarkEnd w:id="9"/>
      <w:r>
        <w:t>2.4 Ethical Practice, Autonomy and Shared Decision-Making</w:t>
      </w:r>
    </w:p>
    <w:p w14:paraId="0D6192D2" w14:textId="77777777" w:rsidR="00713EA5" w:rsidRDefault="00D860DB">
      <w:r>
        <w:t>The case also reflects ethical considerations in the form of respect, dignity and involvement of the patient. Joan was heard and supported rather than deemed as non-compliant. Finding out why she was late to appointments restored her dignity and awareness of her situation. Patients that are meaningfully involved in decisions about their care can increase autonomy through shared decision-making ( Bruch et al., 2024). The team also showed compassion by tackling issues that impacted her health. Joan's care was</w:t>
      </w:r>
      <w:r>
        <w:t xml:space="preserve"> provided to meet her actual needs, so justice was the result. But professionals remained responsible for risk management and safe treatment. Thus, ethical care involved a balancing of autonomy and proper professional support and holding.</w:t>
      </w:r>
    </w:p>
    <w:p w14:paraId="734A2AF9" w14:textId="77777777" w:rsidR="00713EA5" w:rsidRDefault="00D860DB">
      <w:pPr>
        <w:pStyle w:val="Heading2"/>
      </w:pPr>
      <w:bookmarkStart w:id="10" w:name="_a0f3t84tg33u" w:colFirst="0" w:colLast="0"/>
      <w:bookmarkEnd w:id="10"/>
      <w:r>
        <w:t>2.5 Critical Judgement and Remaining Challenges</w:t>
      </w:r>
    </w:p>
    <w:p w14:paraId="7F5F847F" w14:textId="77777777" w:rsidR="00713EA5" w:rsidRDefault="00D860DB">
      <w:r>
        <w:t>In conclusion, the intervention had a significant impact, although results should be interpreted with caution. The results for Joan may not be the same for other patients or situations. There is a significant amount of staff time and organisational resources required for weekly support. Multimorbidity might also place barriers to professional responses. Change in the short term does not necessarily lead to long-term change. Ongoing support is vital to maintaining confidence and engagement. Thus, the case re</w:t>
      </w:r>
      <w:r>
        <w:t>flected good personalised practice, but this was dependent on a coordinated, responsive and ongoing care plan.</w:t>
      </w:r>
    </w:p>
    <w:p w14:paraId="0E6AE7AA" w14:textId="77777777" w:rsidR="00713EA5" w:rsidRDefault="00713EA5"/>
    <w:p w14:paraId="36460B0C" w14:textId="77777777" w:rsidR="00713EA5" w:rsidRDefault="00D860DB">
      <w:pPr>
        <w:spacing w:before="0" w:after="160" w:line="278" w:lineRule="auto"/>
        <w:jc w:val="left"/>
      </w:pPr>
      <w:r>
        <w:br w:type="page"/>
      </w:r>
    </w:p>
    <w:p w14:paraId="38229E3B" w14:textId="77777777" w:rsidR="00713EA5" w:rsidRDefault="00D860DB">
      <w:pPr>
        <w:pStyle w:val="Heading1"/>
      </w:pPr>
      <w:bookmarkStart w:id="11" w:name="_o14fj6bui1z7" w:colFirst="0" w:colLast="0"/>
      <w:bookmarkEnd w:id="11"/>
      <w:r>
        <w:lastRenderedPageBreak/>
        <w:t>Task 3: Critical Self-Reflection as a Health and Social Care Professional</w:t>
      </w:r>
    </w:p>
    <w:p w14:paraId="231D133B" w14:textId="77777777" w:rsidR="00713EA5" w:rsidRDefault="00D860DB">
      <w:pPr>
        <w:pStyle w:val="Heading2"/>
      </w:pPr>
      <w:bookmarkStart w:id="12" w:name="_shsfqyclmjwe" w:colFirst="0" w:colLast="0"/>
      <w:bookmarkEnd w:id="12"/>
      <w:r>
        <w:t>3.1 My Understanding of Person-Centred Professional Practice</w:t>
      </w:r>
    </w:p>
    <w:p w14:paraId="2D777116" w14:textId="77777777" w:rsidR="00713EA5" w:rsidRDefault="00D860DB">
      <w:r>
        <w:t>I know what is meant by person-centred practice, which is care that is designed around people's needs and choices. In practice, I need to pay attention to what I'm hearing and not make assumptions. I should consult individuals in decision-making and communicate in a clear manner about care options. This will help to preserve dignity and build confidence, independence and trust. There is also a requirement for cultural, social, emotional and physical needs in person-centred care ( Bru-Luna et al., 2024). I u</w:t>
      </w:r>
      <w:r>
        <w:t>nderstand how busy work can make professionals task-focused. This can undermine communication and effective participation in care decisions. I would therefore validate taking the time to check understanding and ask, "What is most important?" The Great Britain 2014 is about wellbeing, choice and involvement in care planning (Great Britain, 2014). I should use these rules in a systematic manner in a stressful practice.</w:t>
      </w:r>
    </w:p>
    <w:p w14:paraId="5A3A2ABD" w14:textId="77777777" w:rsidR="00713EA5" w:rsidRDefault="00D860DB">
      <w:pPr>
        <w:pStyle w:val="Heading2"/>
      </w:pPr>
      <w:bookmarkStart w:id="13" w:name="_6zd5xklw885t" w:colFirst="0" w:colLast="0"/>
      <w:bookmarkEnd w:id="13"/>
      <w:r>
        <w:t>3.2 My Approach to Partnership Working</w:t>
      </w:r>
    </w:p>
    <w:p w14:paraId="04867506" w14:textId="77777777" w:rsidR="00713EA5" w:rsidRDefault="00D860DB">
      <w:r>
        <w:t xml:space="preserve">Safe care is dependent on the partnership between people, families and professionals. I would be able to talk to nurses, doctors, social workers, therapists, carers and service users. My assets are listening, teamwork, patience and seeking advice. These are attributes that aid in making shared decisions and decrease the fragmentation of care. Coordinated care and chronic disease management can be enhanced through interprofessional collaboration (Pascucci et al., 2021). But there is also an element of trust </w:t>
      </w:r>
      <w:r>
        <w:t>that must be built when there are conflicting priorities between professionals. May be hesitant to challenge others with more experience and authority. This may lead to avoidance of discussion and remove professional accountability. Therefore, I need respectful assertiveness and enhanced multi-disciplinary communication skills. Collaboration is facilitated by clear roles, shared goals, trust, and communication (Rawlinson et al., 2021). My participation is cooperative, informed, accountable and safety-orient</w:t>
      </w:r>
      <w:r>
        <w:t>ed.</w:t>
      </w:r>
    </w:p>
    <w:p w14:paraId="35440AEC" w14:textId="77777777" w:rsidR="00713EA5" w:rsidRDefault="00D860DB">
      <w:pPr>
        <w:pStyle w:val="Heading2"/>
      </w:pPr>
      <w:bookmarkStart w:id="14" w:name="_jvjew0kg0ffh" w:colFirst="0" w:colLast="0"/>
      <w:bookmarkEnd w:id="14"/>
      <w:r>
        <w:t>3.3 Ethical Practice, Autonomy and Professional Responsibility</w:t>
      </w:r>
    </w:p>
    <w:p w14:paraId="0E63CBDD" w14:textId="77777777" w:rsidR="00713EA5" w:rsidRDefault="00D860DB">
      <w:r>
        <w:t xml:space="preserve">My decisions within health and social care should be based on ethical practice. Respect autonomy, dignity, informed consent, equality and safeguarding roles. When there are risks, I have to take into account beneficence and non-maleficence as well. Involvement is enhanced </w:t>
      </w:r>
      <w:r>
        <w:lastRenderedPageBreak/>
        <w:t>through shared decision-making when individuals are aware of their options and outcomes (Bruch et al., 2024). But, in many cases of ethics, things are not black and white. I may think that one is safer than the other, but the person I'm with may not think so. I need to differentiate my preferences from the person's informed choice. But I cannot compromise on safeguarding issues or risk of harm. The Health and Great Britain 2022 is a piece of legislation that helps to support the provision of coordinated ser</w:t>
      </w:r>
      <w:r>
        <w:t>vices (Great Britain, 2022). I should be concerned, making decisions and asking for advice. Ethical care is a matter of balance and thought, not control.</w:t>
      </w:r>
    </w:p>
    <w:p w14:paraId="2590A5BE" w14:textId="77777777" w:rsidR="00713EA5" w:rsidRDefault="00D860DB">
      <w:pPr>
        <w:pStyle w:val="Heading2"/>
      </w:pPr>
      <w:bookmarkStart w:id="15" w:name="_o5yh0trn587h" w:colFirst="0" w:colLast="0"/>
      <w:bookmarkEnd w:id="15"/>
      <w:r>
        <w:t>3.4 Critical Reflection on My Current Skills and Strengths</w:t>
      </w:r>
    </w:p>
    <w:p w14:paraId="3933364D" w14:textId="77777777" w:rsidR="00713EA5" w:rsidRDefault="00D860DB">
      <w:r>
        <w:t xml:space="preserve">I have active listening, empathy, patience, teamwork and a willingness to learn skills. Active listening skills aid my understanding of concerns before offering support or actions. When people are feeling anxious and uncertain, they can feel respected when someone has empathy. Patience helps in communication when others require more time to understand information. Teamwork brings the realisation that one man can't do everything. But every strength can come with restrictions without any doubt. Unconditional </w:t>
      </w:r>
      <w:r>
        <w:t>empathy can affect objectivity and impair judgment. Delay may result from inaction in a timely manner. When there is not clear clarity about their responsibilities, teamwork can fail. So I have to be careful with strengths and not take things for granted with regard to outcomes. Reflective practice is used to review actions and make better decisions (Quilty and Murphy, 2022). I should think about my actions and whether they help to give safe, respectful care.</w:t>
      </w:r>
    </w:p>
    <w:p w14:paraId="7CB6FE5D" w14:textId="77777777" w:rsidR="00713EA5" w:rsidRDefault="00D860DB">
      <w:pPr>
        <w:pStyle w:val="Heading2"/>
      </w:pPr>
      <w:bookmarkStart w:id="16" w:name="_qgt9m7fpmn77" w:colFirst="0" w:colLast="0"/>
      <w:bookmarkEnd w:id="16"/>
      <w:r>
        <w:t>3.5 Areas for Improvement and Limits in My Current Practice</w:t>
      </w:r>
    </w:p>
    <w:p w14:paraId="13492030" w14:textId="77777777" w:rsidR="00713EA5" w:rsidRDefault="00D860DB">
      <w:r>
        <w:t>There are three areas in which I need to grow more professionally. First, confidence to participate in multidisciplinary discussions and disagreement. If I don't have confidence, I may not raise concerns at the time. Secondly, I need more in-depth knowledge of legislation, policy and professional guidance. Poor legal literacy may lead to poor decision-making and practice risks. Third, enhanced ability to deal with complex ethical issues and priorities. These situations can be related to autonomy, safety, co</w:t>
      </w:r>
      <w:r>
        <w:t>nfidentiality, family views, and limited resources. Shared decision-making is beneficial; however, barriers can limit implementation (Tang et al., 2022). I need to learn formally, rather than just through experience. Recognise when my knowledge is restricted and seek help. This will safeguard service users and enhance professional accountability.</w:t>
      </w:r>
    </w:p>
    <w:p w14:paraId="77648236" w14:textId="77777777" w:rsidR="00713EA5" w:rsidRDefault="00D860DB">
      <w:pPr>
        <w:pStyle w:val="Heading2"/>
      </w:pPr>
      <w:bookmarkStart w:id="17" w:name="_xa26hvlu3tki" w:colFirst="0" w:colLast="0"/>
      <w:bookmarkEnd w:id="17"/>
      <w:r>
        <w:lastRenderedPageBreak/>
        <w:t>3.6 Personal and Professional Development Action Plan</w:t>
      </w:r>
    </w:p>
    <w:tbl>
      <w:tblPr>
        <w:tblStyle w:val="a"/>
        <w:tblW w:w="9349"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991"/>
        <w:gridCol w:w="2251"/>
        <w:gridCol w:w="2508"/>
        <w:gridCol w:w="2599"/>
      </w:tblGrid>
      <w:tr w:rsidR="00713EA5" w14:paraId="504A1169" w14:textId="77777777">
        <w:tc>
          <w:tcPr>
            <w:tcW w:w="1992" w:type="dxa"/>
            <w:shd w:val="clear" w:color="auto" w:fill="CAEDFB"/>
          </w:tcPr>
          <w:p w14:paraId="65E45B55" w14:textId="77777777" w:rsidR="00713EA5" w:rsidRDefault="00D860DB">
            <w:pPr>
              <w:spacing w:line="276" w:lineRule="auto"/>
              <w:jc w:val="center"/>
              <w:rPr>
                <w:b/>
                <w:bCs/>
              </w:rPr>
            </w:pPr>
            <w:r>
              <w:rPr>
                <w:b/>
                <w:bCs/>
              </w:rPr>
              <w:t>Development need</w:t>
            </w:r>
          </w:p>
        </w:tc>
        <w:tc>
          <w:tcPr>
            <w:tcW w:w="2251" w:type="dxa"/>
            <w:shd w:val="clear" w:color="auto" w:fill="CAEDFB"/>
          </w:tcPr>
          <w:p w14:paraId="0490C6B1" w14:textId="77777777" w:rsidR="00713EA5" w:rsidRDefault="00D860DB">
            <w:pPr>
              <w:spacing w:line="276" w:lineRule="auto"/>
              <w:jc w:val="center"/>
              <w:rPr>
                <w:b/>
                <w:bCs/>
              </w:rPr>
            </w:pPr>
            <w:r>
              <w:rPr>
                <w:b/>
                <w:bCs/>
              </w:rPr>
              <w:t>Planned action</w:t>
            </w:r>
          </w:p>
        </w:tc>
        <w:tc>
          <w:tcPr>
            <w:tcW w:w="2508" w:type="dxa"/>
            <w:shd w:val="clear" w:color="auto" w:fill="CAEDFB"/>
          </w:tcPr>
          <w:p w14:paraId="41231C9D" w14:textId="77777777" w:rsidR="00713EA5" w:rsidRDefault="00D860DB">
            <w:pPr>
              <w:spacing w:line="276" w:lineRule="auto"/>
              <w:jc w:val="center"/>
              <w:rPr>
                <w:b/>
                <w:bCs/>
              </w:rPr>
            </w:pPr>
            <w:r>
              <w:rPr>
                <w:b/>
                <w:bCs/>
              </w:rPr>
              <w:t>How this improves practice</w:t>
            </w:r>
          </w:p>
        </w:tc>
        <w:tc>
          <w:tcPr>
            <w:tcW w:w="2599" w:type="dxa"/>
            <w:shd w:val="clear" w:color="auto" w:fill="CAEDFB"/>
          </w:tcPr>
          <w:p w14:paraId="7B0D823B" w14:textId="77777777" w:rsidR="00713EA5" w:rsidRDefault="00D860DB">
            <w:pPr>
              <w:spacing w:line="276" w:lineRule="auto"/>
              <w:jc w:val="center"/>
              <w:rPr>
                <w:b/>
                <w:bCs/>
              </w:rPr>
            </w:pPr>
            <w:r>
              <w:rPr>
                <w:b/>
                <w:bCs/>
              </w:rPr>
              <w:t>Evidence of improvement</w:t>
            </w:r>
          </w:p>
        </w:tc>
      </w:tr>
      <w:tr w:rsidR="00713EA5" w14:paraId="1D793431" w14:textId="77777777">
        <w:tc>
          <w:tcPr>
            <w:tcW w:w="1992" w:type="dxa"/>
          </w:tcPr>
          <w:p w14:paraId="448ACC46" w14:textId="77777777" w:rsidR="00713EA5" w:rsidRDefault="00D860DB">
            <w:pPr>
              <w:spacing w:line="276" w:lineRule="auto"/>
            </w:pPr>
            <w:r>
              <w:t>Legislation and policy knowledge</w:t>
            </w:r>
          </w:p>
        </w:tc>
        <w:tc>
          <w:tcPr>
            <w:tcW w:w="2251" w:type="dxa"/>
          </w:tcPr>
          <w:p w14:paraId="1BCB7F2F" w14:textId="77777777" w:rsidR="00713EA5" w:rsidRDefault="00D860DB">
            <w:pPr>
              <w:spacing w:line="276" w:lineRule="auto"/>
            </w:pPr>
            <w:r>
              <w:t>Complete CPD and review guidance regularly</w:t>
            </w:r>
          </w:p>
        </w:tc>
        <w:tc>
          <w:tcPr>
            <w:tcW w:w="2508" w:type="dxa"/>
          </w:tcPr>
          <w:p w14:paraId="68DAFB2C" w14:textId="77777777" w:rsidR="00713EA5" w:rsidRDefault="00D860DB">
            <w:pPr>
              <w:spacing w:line="276" w:lineRule="auto"/>
            </w:pPr>
            <w:r>
              <w:t>Supports lawful, informed, and defensible professional decisions</w:t>
            </w:r>
          </w:p>
        </w:tc>
        <w:tc>
          <w:tcPr>
            <w:tcW w:w="2599" w:type="dxa"/>
          </w:tcPr>
          <w:p w14:paraId="33E2C3AB" w14:textId="77777777" w:rsidR="00713EA5" w:rsidRDefault="00D860DB">
            <w:pPr>
              <w:spacing w:line="276" w:lineRule="auto"/>
            </w:pPr>
            <w:r>
              <w:t>CPD records, reflective notes, and stronger application of guidance</w:t>
            </w:r>
          </w:p>
        </w:tc>
      </w:tr>
      <w:tr w:rsidR="00713EA5" w14:paraId="21F034AD" w14:textId="77777777">
        <w:tc>
          <w:tcPr>
            <w:tcW w:w="1992" w:type="dxa"/>
          </w:tcPr>
          <w:p w14:paraId="4DD3F0B3" w14:textId="77777777" w:rsidR="00713EA5" w:rsidRDefault="00D860DB">
            <w:pPr>
              <w:spacing w:line="276" w:lineRule="auto"/>
            </w:pPr>
            <w:r>
              <w:t>Multidisciplinary communication</w:t>
            </w:r>
          </w:p>
        </w:tc>
        <w:tc>
          <w:tcPr>
            <w:tcW w:w="2251" w:type="dxa"/>
          </w:tcPr>
          <w:p w14:paraId="56C5E602" w14:textId="77777777" w:rsidR="00713EA5" w:rsidRDefault="00D860DB">
            <w:pPr>
              <w:spacing w:line="276" w:lineRule="auto"/>
            </w:pPr>
            <w:r>
              <w:t>Participate actively in team discussions and request feedback</w:t>
            </w:r>
          </w:p>
        </w:tc>
        <w:tc>
          <w:tcPr>
            <w:tcW w:w="2508" w:type="dxa"/>
          </w:tcPr>
          <w:p w14:paraId="0115B28C" w14:textId="77777777" w:rsidR="00713EA5" w:rsidRDefault="00D860DB">
            <w:pPr>
              <w:spacing w:line="276" w:lineRule="auto"/>
            </w:pPr>
            <w:r>
              <w:t>Strengthens collaboration, confidence, accountability, and safe information sharing</w:t>
            </w:r>
          </w:p>
        </w:tc>
        <w:tc>
          <w:tcPr>
            <w:tcW w:w="2599" w:type="dxa"/>
          </w:tcPr>
          <w:p w14:paraId="386F53D7" w14:textId="77777777" w:rsidR="00713EA5" w:rsidRDefault="00D860DB">
            <w:pPr>
              <w:spacing w:line="276" w:lineRule="auto"/>
            </w:pPr>
            <w:r>
              <w:t>Supervisor feedback and increased participation in multidisciplinary discussions</w:t>
            </w:r>
          </w:p>
        </w:tc>
      </w:tr>
      <w:tr w:rsidR="00713EA5" w14:paraId="306A4479" w14:textId="77777777">
        <w:tc>
          <w:tcPr>
            <w:tcW w:w="1992" w:type="dxa"/>
          </w:tcPr>
          <w:p w14:paraId="1721A06D" w14:textId="77777777" w:rsidR="00713EA5" w:rsidRDefault="00D860DB">
            <w:pPr>
              <w:spacing w:line="276" w:lineRule="auto"/>
            </w:pPr>
            <w:r>
              <w:t>Ethical decision-making</w:t>
            </w:r>
          </w:p>
        </w:tc>
        <w:tc>
          <w:tcPr>
            <w:tcW w:w="2251" w:type="dxa"/>
          </w:tcPr>
          <w:p w14:paraId="00142555" w14:textId="77777777" w:rsidR="00713EA5" w:rsidRDefault="00D860DB">
            <w:pPr>
              <w:spacing w:line="276" w:lineRule="auto"/>
            </w:pPr>
            <w:r>
              <w:t>Use supervision and reflection to examine difficult dilemmas and alternatives.</w:t>
            </w:r>
          </w:p>
        </w:tc>
        <w:tc>
          <w:tcPr>
            <w:tcW w:w="2508" w:type="dxa"/>
          </w:tcPr>
          <w:p w14:paraId="1FE8D60B" w14:textId="77777777" w:rsidR="00713EA5" w:rsidRDefault="00D860DB">
            <w:pPr>
              <w:spacing w:line="276" w:lineRule="auto"/>
            </w:pPr>
            <w:r>
              <w:t>Strengthens balanced judgement involving autonomy, dignity, risk, and safeguarding</w:t>
            </w:r>
          </w:p>
        </w:tc>
        <w:tc>
          <w:tcPr>
            <w:tcW w:w="2599" w:type="dxa"/>
          </w:tcPr>
          <w:p w14:paraId="42682543" w14:textId="77777777" w:rsidR="00713EA5" w:rsidRDefault="00D860DB">
            <w:pPr>
              <w:spacing w:line="276" w:lineRule="auto"/>
            </w:pPr>
            <w:r>
              <w:t>Reflective records and clearer justification of professional decisions</w:t>
            </w:r>
          </w:p>
        </w:tc>
      </w:tr>
    </w:tbl>
    <w:p w14:paraId="77D19438" w14:textId="77777777" w:rsidR="00713EA5" w:rsidRDefault="00D860DB">
      <w:pPr>
        <w:jc w:val="center"/>
      </w:pPr>
      <w:r>
        <w:rPr>
          <w:b/>
          <w:bCs/>
        </w:rPr>
        <w:t>Table 1: Personal and Professional Development Action Plan</w:t>
      </w:r>
    </w:p>
    <w:p w14:paraId="3E302660" w14:textId="77777777" w:rsidR="00713EA5" w:rsidRDefault="00D860DB">
      <w:r>
        <w:t>These actions offer evident opportunities for measuring my ongoing professional development. I think regular reflection will help me to know if my practice really is improving. Reflective practice is used to evaluate experience and make better decisions in the future (Quilty and Murphy, 2022). Will constantly check these goals and adjust as needed when new learning needs arise. There is also a need for ongoing communication between professionals, as part of an integrated care process (Davidson et al., 2021)</w:t>
      </w:r>
      <w:r>
        <w:t>. This plan is a blend of knowledge, feedback, reflection and practical professional development.</w:t>
      </w:r>
    </w:p>
    <w:p w14:paraId="583CF86E" w14:textId="77777777" w:rsidR="00713EA5" w:rsidRDefault="00D860DB">
      <w:pPr>
        <w:pStyle w:val="Heading2"/>
      </w:pPr>
      <w:bookmarkStart w:id="18" w:name="_ng3we5ushsm9" w:colFirst="0" w:colLast="0"/>
      <w:bookmarkEnd w:id="18"/>
      <w:r>
        <w:t>3.7 Final Reflective Judgement</w:t>
      </w:r>
    </w:p>
    <w:p w14:paraId="36137FB5" w14:textId="77777777" w:rsidR="00713EA5" w:rsidRDefault="00D860DB">
      <w:r>
        <w:t>In general, I have come to understand that professional practice goes beyond the knowledge of care principles. I need to use person-centred care, partnership and ethics in all circumstances. I must also be reflective on my choices and understand that I may have limits. Continual reflection and evidence, feedback and development will support me to deliver safer and more respectful care.</w:t>
      </w:r>
    </w:p>
    <w:p w14:paraId="2517243D" w14:textId="77777777" w:rsidR="00713EA5" w:rsidRDefault="00D860DB">
      <w:pPr>
        <w:pStyle w:val="Heading1"/>
      </w:pPr>
      <w:bookmarkStart w:id="19" w:name="_rf26pbzfxejw" w:colFirst="0" w:colLast="0"/>
      <w:bookmarkEnd w:id="19"/>
      <w:r>
        <w:lastRenderedPageBreak/>
        <w:t>References</w:t>
      </w:r>
    </w:p>
    <w:p w14:paraId="03D5F7B4" w14:textId="77777777" w:rsidR="00713EA5" w:rsidRDefault="00D860DB">
      <w:r>
        <w:t xml:space="preserve">Bruch, J.D., Khazen, M., Mahmic-Kaknjo, M., Légaré, F. and Ellen, M.E. (2024) ‘The effects of shared decision making on health outcomes, health care quality, cost, and consultation time: An umbrella review’, </w:t>
      </w:r>
      <w:r>
        <w:rPr>
          <w:i/>
          <w:iCs/>
        </w:rPr>
        <w:t>Patient Education and Counselling</w:t>
      </w:r>
      <w:r>
        <w:t xml:space="preserve">, 129, 108408. Available at: </w:t>
      </w:r>
      <w:hyperlink r:id="rId7">
        <w:r>
          <w:rPr>
            <w:color w:val="467886"/>
            <w:u w:val="single"/>
          </w:rPr>
          <w:t>https://doi.org/10.1016/j.pec.2024.108408</w:t>
        </w:r>
      </w:hyperlink>
    </w:p>
    <w:p w14:paraId="428C6911" w14:textId="77777777" w:rsidR="00713EA5" w:rsidRDefault="00D860DB">
      <w:r>
        <w:t xml:space="preserve">Bru-Luna, L.M., Martí-Vilar, M., Merino-Soto, C., Livia-Segovia, J., Garduño-Espinosa, J. and Toledano-Toledano, F. (2024) ‘Person-centred care assessment tool with a focus on quality healthcare: A systematic review of psychometric properties’, </w:t>
      </w:r>
      <w:r>
        <w:rPr>
          <w:i/>
          <w:iCs/>
        </w:rPr>
        <w:t>BMC Psychology</w:t>
      </w:r>
      <w:r>
        <w:t xml:space="preserve">, 12(1), 217. Available at: </w:t>
      </w:r>
      <w:hyperlink r:id="rId8">
        <w:r>
          <w:rPr>
            <w:color w:val="467886"/>
            <w:u w:val="single"/>
          </w:rPr>
          <w:t>https://doi.org/10.1186/s40359-024-01716-7</w:t>
        </w:r>
      </w:hyperlink>
    </w:p>
    <w:p w14:paraId="1FA77F41" w14:textId="77777777" w:rsidR="00713EA5" w:rsidRDefault="00D860DB">
      <w:r>
        <w:t xml:space="preserve">Chen, X., Song, H., Liu, J., He, Y., Wei, L., Deng, M., Zhang, R., Huang, Y. and Yang, Y. (2024) ‘The impact of cognitive impairment on patient activation and their value in self-management among COPD patients’, </w:t>
      </w:r>
      <w:r>
        <w:rPr>
          <w:i/>
          <w:iCs/>
        </w:rPr>
        <w:t>Patient Education and Counselling</w:t>
      </w:r>
      <w:r>
        <w:t xml:space="preserve">, 129, 108397. Available at: </w:t>
      </w:r>
      <w:hyperlink r:id="rId9">
        <w:r>
          <w:rPr>
            <w:color w:val="467886"/>
            <w:u w:val="single"/>
          </w:rPr>
          <w:t>https://doi.org/10.1016/j.pec.2024.108397</w:t>
        </w:r>
      </w:hyperlink>
    </w:p>
    <w:p w14:paraId="77C99E6D" w14:textId="77777777" w:rsidR="00713EA5" w:rsidRDefault="00D860DB">
      <w:r>
        <w:t xml:space="preserve">Cuevas, H., Heitkemper, E., Huang, Y.-C., Jang, D.E., García, A.A. and Zuñiga, J.A. (2021) ‘A systematic review and meta-analysis of patient activation in people living with chronic conditions’, </w:t>
      </w:r>
      <w:r>
        <w:rPr>
          <w:i/>
          <w:iCs/>
        </w:rPr>
        <w:t>Patient Education and Counseling</w:t>
      </w:r>
      <w:r>
        <w:t xml:space="preserve">, 104(9), pp. 2200–2212. Available at: </w:t>
      </w:r>
      <w:hyperlink r:id="rId10">
        <w:r>
          <w:rPr>
            <w:color w:val="467886"/>
            <w:u w:val="single"/>
          </w:rPr>
          <w:t>https://doi.org/10.1016/j.pec.2021.02.016</w:t>
        </w:r>
      </w:hyperlink>
    </w:p>
    <w:p w14:paraId="0CCFB62F" w14:textId="77777777" w:rsidR="00713EA5" w:rsidRDefault="00D860DB">
      <w:r>
        <w:t xml:space="preserve">Davidson, L., Scott, J. and Forster, N. (2021) ‘Patient experiences of integrated care within the United Kingdom: A systematic review’, </w:t>
      </w:r>
      <w:r>
        <w:rPr>
          <w:i/>
          <w:iCs/>
        </w:rPr>
        <w:t>International Journal of Care Coordination</w:t>
      </w:r>
      <w:r>
        <w:t xml:space="preserve">, 24(2), pp. 39–56. Available at: </w:t>
      </w:r>
      <w:hyperlink r:id="rId11">
        <w:r>
          <w:rPr>
            <w:color w:val="467886"/>
            <w:u w:val="single"/>
          </w:rPr>
          <w:t>https://doi.org/10.1177/20534345211004503</w:t>
        </w:r>
      </w:hyperlink>
    </w:p>
    <w:p w14:paraId="178CE2D9" w14:textId="77777777" w:rsidR="00713EA5" w:rsidRDefault="00D860DB">
      <w:r>
        <w:t xml:space="preserve">Great Britain (2014) </w:t>
      </w:r>
      <w:r>
        <w:rPr>
          <w:i/>
          <w:iCs/>
        </w:rPr>
        <w:t>Care Act 2014</w:t>
      </w:r>
      <w:r>
        <w:t xml:space="preserve">, c. 23. London: The Stationery Office. Available at: </w:t>
      </w:r>
      <w:hyperlink r:id="rId12">
        <w:r>
          <w:rPr>
            <w:color w:val="467886"/>
            <w:u w:val="single"/>
          </w:rPr>
          <w:t>https://www.legislation.gov.uk/ukpga/2014/23/contents</w:t>
        </w:r>
      </w:hyperlink>
      <w:r>
        <w:t>.</w:t>
      </w:r>
    </w:p>
    <w:p w14:paraId="12E75409" w14:textId="77777777" w:rsidR="00713EA5" w:rsidRDefault="00D860DB">
      <w:r>
        <w:t xml:space="preserve">Great Britain (2022) </w:t>
      </w:r>
      <w:r>
        <w:rPr>
          <w:i/>
          <w:iCs/>
        </w:rPr>
        <w:t>Health and Care Act 2022</w:t>
      </w:r>
      <w:r>
        <w:t xml:space="preserve">, c. 31. London: The Stationery Office. Available at: </w:t>
      </w:r>
      <w:hyperlink r:id="rId13">
        <w:r>
          <w:rPr>
            <w:color w:val="467886"/>
            <w:u w:val="single"/>
          </w:rPr>
          <w:t>https://www.legislation.gov.uk/ukpga/2022/31/contents</w:t>
        </w:r>
      </w:hyperlink>
      <w:r>
        <w:t>.</w:t>
      </w:r>
    </w:p>
    <w:p w14:paraId="4F8F8F65" w14:textId="77777777" w:rsidR="00713EA5" w:rsidRDefault="00D860DB">
      <w:r>
        <w:t xml:space="preserve">NHS England (n.d.) </w:t>
      </w:r>
      <w:r>
        <w:rPr>
          <w:i/>
          <w:iCs/>
        </w:rPr>
        <w:t>Joan’s story</w:t>
      </w:r>
      <w:r>
        <w:t xml:space="preserve">. Available at: </w:t>
      </w:r>
      <w:hyperlink r:id="rId14">
        <w:r>
          <w:rPr>
            <w:color w:val="467886"/>
            <w:u w:val="single"/>
          </w:rPr>
          <w:t>https://www.england.nhs.uk/personalisedcare/comprehensive-model/case-studies/joans-story/</w:t>
        </w:r>
      </w:hyperlink>
      <w:r>
        <w:t>.</w:t>
      </w:r>
    </w:p>
    <w:p w14:paraId="517D0363" w14:textId="77777777" w:rsidR="00713EA5" w:rsidRDefault="00D860DB">
      <w:r>
        <w:t xml:space="preserve">Nkhoma, K.B., Cook, A., Giusti, A., Farrant, L., Petrus, R., Petersen, I., Gwyther, L., Venkatapuram, S. and Harding, R. (2022) ‘A systematic review of impact of person-centred </w:t>
      </w:r>
      <w:r>
        <w:lastRenderedPageBreak/>
        <w:t xml:space="preserve">interventions for serious physical illness in terms of outcomes and costs’, </w:t>
      </w:r>
      <w:r>
        <w:rPr>
          <w:i/>
          <w:iCs/>
        </w:rPr>
        <w:t>BMJ Open</w:t>
      </w:r>
      <w:r>
        <w:t xml:space="preserve">, 12(7), e054386. Available at: </w:t>
      </w:r>
      <w:hyperlink r:id="rId15">
        <w:r>
          <w:rPr>
            <w:color w:val="467886"/>
            <w:u w:val="single"/>
          </w:rPr>
          <w:t>https://doi.org/10.1136/bmjopen-2021-054386</w:t>
        </w:r>
      </w:hyperlink>
    </w:p>
    <w:p w14:paraId="43F7C3CF" w14:textId="77777777" w:rsidR="00713EA5" w:rsidRDefault="00D860DB">
      <w:r>
        <w:t xml:space="preserve">Pascucci, D., Sassano, M., Nurchis, M.C., Cicconi, M., Acampora, A., Park, D., Morano, C. and Damiani, G. (2021) ‘Impact of interprofessional collaboration on chronic disease management: Findings from a systematic review of clinical trial and meta-analyses’, </w:t>
      </w:r>
      <w:r>
        <w:rPr>
          <w:i/>
          <w:iCs/>
        </w:rPr>
        <w:t>Health Policy</w:t>
      </w:r>
      <w:r>
        <w:t xml:space="preserve">, 125(2), pp. 191–202. Available at: </w:t>
      </w:r>
      <w:hyperlink r:id="rId16">
        <w:r>
          <w:rPr>
            <w:color w:val="467886"/>
            <w:u w:val="single"/>
          </w:rPr>
          <w:t>https://doi.org/10.1016/j.healthpol.2020.12.006</w:t>
        </w:r>
      </w:hyperlink>
    </w:p>
    <w:p w14:paraId="131FA3AF" w14:textId="77777777" w:rsidR="00713EA5" w:rsidRDefault="00D860DB">
      <w:r>
        <w:t xml:space="preserve">Quilty, T. and Murphy, L. (2022) ‘Time to review reflective practice?’, </w:t>
      </w:r>
      <w:r>
        <w:rPr>
          <w:i/>
          <w:iCs/>
        </w:rPr>
        <w:t>International Journal for Quality in Health Care</w:t>
      </w:r>
      <w:r>
        <w:t xml:space="preserve">, 34(2), mzac052. Available at: </w:t>
      </w:r>
      <w:hyperlink r:id="rId17">
        <w:r>
          <w:rPr>
            <w:color w:val="467886"/>
            <w:u w:val="single"/>
          </w:rPr>
          <w:t>https://doi.org/10.1093/intqhc/mzac052</w:t>
        </w:r>
      </w:hyperlink>
    </w:p>
    <w:p w14:paraId="3FD72EFD" w14:textId="77777777" w:rsidR="00713EA5" w:rsidRDefault="00D860DB">
      <w:r>
        <w:t xml:space="preserve">Rawlinson, C., Carron, T., Cohidon, C., Arditi, C., Hong, Q.N., Pluye, P., Peytremann-Bridevaux, I. and Gilles, I. (2021) ‘An overview of reviews on interprofessional collaboration in primary care: Barriers and facilitators’, </w:t>
      </w:r>
      <w:r>
        <w:rPr>
          <w:i/>
          <w:iCs/>
        </w:rPr>
        <w:t>International Journal of Integrated Care</w:t>
      </w:r>
      <w:r>
        <w:t xml:space="preserve">, 21(2), 32. Available at: </w:t>
      </w:r>
      <w:hyperlink r:id="rId18">
        <w:r>
          <w:rPr>
            <w:color w:val="467886"/>
            <w:u w:val="single"/>
          </w:rPr>
          <w:t>https://doi.org/10.5334/ijic.5589</w:t>
        </w:r>
      </w:hyperlink>
    </w:p>
    <w:p w14:paraId="3D328583" w14:textId="77777777" w:rsidR="00713EA5" w:rsidRDefault="00D860DB">
      <w:r>
        <w:t xml:space="preserve">Rosengren, K., Brannefors, P. and Carlstrom, E. (2021) ‘Adoption of the concept of person-centred care into discourse in Europe: A systematic literature review’, </w:t>
      </w:r>
      <w:r>
        <w:rPr>
          <w:i/>
          <w:iCs/>
        </w:rPr>
        <w:t>Journal of Health Organisation and Management</w:t>
      </w:r>
      <w:r>
        <w:t xml:space="preserve">, 35(9), pp. 265–280. Available at: </w:t>
      </w:r>
      <w:hyperlink r:id="rId19">
        <w:r>
          <w:rPr>
            <w:color w:val="467886"/>
            <w:u w:val="single"/>
          </w:rPr>
          <w:t>https://doi.org/10.1108/JHOM-01-2021-0008</w:t>
        </w:r>
      </w:hyperlink>
    </w:p>
    <w:p w14:paraId="5638D81E" w14:textId="77777777" w:rsidR="00713EA5" w:rsidRDefault="00D860DB">
      <w:r>
        <w:t xml:space="preserve">Shnaigat, M., Downie, S. and Hosseinzadeh, H. (2022) ‘Effectiveness of patient activation interventions on chronic obstructive pulmonary disease self-management outcomes: A systematic review’, </w:t>
      </w:r>
      <w:r>
        <w:rPr>
          <w:i/>
          <w:iCs/>
        </w:rPr>
        <w:t>Australian Journal of Rural Health</w:t>
      </w:r>
      <w:r>
        <w:t xml:space="preserve">, 30(1), pp. 8–21. Available at: </w:t>
      </w:r>
      <w:hyperlink r:id="rId20">
        <w:r>
          <w:rPr>
            <w:color w:val="467886"/>
            <w:u w:val="single"/>
          </w:rPr>
          <w:t>https://doi.org/10.1111/ajr.12828</w:t>
        </w:r>
      </w:hyperlink>
    </w:p>
    <w:p w14:paraId="5DC7D575" w14:textId="77777777" w:rsidR="00713EA5" w:rsidRDefault="00D860DB">
      <w:r>
        <w:t xml:space="preserve">Tang, C., Wang, A. and Yan, J. (2022) ‘Exploring motivations and resistances for implementing shared decision-making in clinical practice: A systematic review based on a structure–process–outcome model’, </w:t>
      </w:r>
      <w:r>
        <w:rPr>
          <w:i/>
          <w:iCs/>
        </w:rPr>
        <w:t>Health Expectations</w:t>
      </w:r>
      <w:r>
        <w:t xml:space="preserve">, 25(4), pp. 1254–1268. Available at: </w:t>
      </w:r>
      <w:hyperlink r:id="rId21">
        <w:r>
          <w:rPr>
            <w:color w:val="467886"/>
            <w:u w:val="single"/>
          </w:rPr>
          <w:t>https://doi.org/10.1111/hex.13541</w:t>
        </w:r>
      </w:hyperlink>
    </w:p>
    <w:p w14:paraId="5654CC2F" w14:textId="77777777" w:rsidR="00713EA5" w:rsidRDefault="00D860DB">
      <w:r>
        <w:t xml:space="preserve">van der Horst, D.E.M., Garvelink, M.M., Bos, W.J.W., Stiggelbout, A.M. and Pieterse, A.H. (2023) ‘For which decisions is shared decision making considered appropriate? A systematic review’, </w:t>
      </w:r>
      <w:r>
        <w:rPr>
          <w:i/>
          <w:iCs/>
        </w:rPr>
        <w:t>Patient Education and Counselling</w:t>
      </w:r>
      <w:r>
        <w:t xml:space="preserve">, 106, pp. 3–16. Available at: </w:t>
      </w:r>
      <w:hyperlink r:id="rId22">
        <w:r>
          <w:rPr>
            <w:color w:val="467886"/>
            <w:u w:val="single"/>
          </w:rPr>
          <w:t>https://doi.org/10.1016/j.pec.2022.09.015</w:t>
        </w:r>
      </w:hyperlink>
    </w:p>
    <w:p w14:paraId="0E2A0962" w14:textId="77777777" w:rsidR="00713EA5" w:rsidRDefault="00713EA5"/>
    <w:sectPr w:rsidR="00713EA5">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90DC0" w14:textId="77777777" w:rsidR="00D860DB" w:rsidRDefault="00D860DB">
      <w:pPr>
        <w:spacing w:before="0" w:after="0" w:line="240" w:lineRule="auto"/>
      </w:pPr>
      <w:r>
        <w:separator/>
      </w:r>
    </w:p>
  </w:endnote>
  <w:endnote w:type="continuationSeparator" w:id="0">
    <w:p w14:paraId="69F65BEE" w14:textId="77777777" w:rsidR="00D860DB" w:rsidRDefault="00D860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29B146F5-9AC9-4E6B-A0EF-1B717FCF278B}"/>
    <w:embedItalic r:id="rId2" w:fontKey="{62EF2DA7-E246-4FF8-B9F6-29D94520D1EE}"/>
  </w:font>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3" w:fontKey="{F8FCC434-E04F-47D1-A797-69A963EC1352}"/>
  </w:font>
  <w:font w:name="Cambria">
    <w:panose1 w:val="02040503050406030204"/>
    <w:charset w:val="00"/>
    <w:family w:val="roman"/>
    <w:pitch w:val="variable"/>
    <w:sig w:usb0="E00006FF" w:usb1="420024FF" w:usb2="02000000" w:usb3="00000000" w:csb0="0000019F" w:csb1="00000000"/>
    <w:embedRegular r:id="rId4" w:fontKey="{635FAE99-C826-4212-936B-189B02A004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49D52" w14:textId="77777777" w:rsidR="00713EA5" w:rsidRDefault="00D860DB">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F502A5">
      <w:rPr>
        <w:noProof/>
        <w:color w:val="000000"/>
      </w:rPr>
      <w:t>1</w:t>
    </w:r>
    <w:r>
      <w:rPr>
        <w:color w:val="000000"/>
      </w:rPr>
      <w:fldChar w:fldCharType="end"/>
    </w:r>
  </w:p>
  <w:p w14:paraId="4964516B" w14:textId="77777777" w:rsidR="00713EA5" w:rsidRDefault="00713EA5">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44D6B" w14:textId="77777777" w:rsidR="00D860DB" w:rsidRDefault="00D860DB">
      <w:pPr>
        <w:spacing w:before="0" w:after="0" w:line="240" w:lineRule="auto"/>
      </w:pPr>
      <w:r>
        <w:separator/>
      </w:r>
    </w:p>
  </w:footnote>
  <w:footnote w:type="continuationSeparator" w:id="0">
    <w:p w14:paraId="27656C92" w14:textId="77777777" w:rsidR="00D860DB" w:rsidRDefault="00D860D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3EA5"/>
    <w:rsid w:val="005F25BF"/>
    <w:rsid w:val="00713EA5"/>
    <w:rsid w:val="00913F40"/>
    <w:rsid w:val="009A4342"/>
    <w:rsid w:val="00C8370E"/>
    <w:rsid w:val="00D860DB"/>
    <w:rsid w:val="00F50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C459E"/>
  <w15:docId w15:val="{C31AF441-7D29-420E-9AA6-A92068AA7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color w:val="000000"/>
      <w:sz w:val="32"/>
      <w:szCs w:val="32"/>
    </w:rPr>
  </w:style>
  <w:style w:type="paragraph" w:styleId="Heading2">
    <w:name w:val="heading 2"/>
    <w:basedOn w:val="Normal"/>
    <w:next w:val="Normal"/>
    <w:uiPriority w:val="9"/>
    <w:unhideWhenUsed/>
    <w:qFormat/>
    <w:pPr>
      <w:keepNext/>
      <w:keepLines/>
      <w:spacing w:before="160" w:after="80"/>
      <w:outlineLvl w:val="1"/>
    </w:pPr>
    <w:rPr>
      <w:b/>
      <w:bCs/>
      <w:color w:val="0F4761"/>
      <w:sz w:val="28"/>
      <w:szCs w:val="28"/>
    </w:rPr>
  </w:style>
  <w:style w:type="paragraph" w:styleId="Heading3">
    <w:name w:val="heading 3"/>
    <w:basedOn w:val="Normal"/>
    <w:next w:val="Normal"/>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0" w:after="80" w:line="240" w:lineRule="auto"/>
    </w:pPr>
    <w:rPr>
      <w:rFonts w:ascii="Play" w:eastAsia="Play" w:hAnsi="Play" w:cs="Play"/>
      <w:sz w:val="56"/>
      <w:szCs w:val="56"/>
    </w:rPr>
  </w:style>
  <w:style w:type="paragraph" w:styleId="Subtitle">
    <w:name w:val="Subtitle"/>
    <w:basedOn w:val="Normal"/>
    <w:next w:val="Normal"/>
    <w:uiPriority w:val="11"/>
    <w:qFormat/>
    <w:pPr>
      <w:spacing w:after="160"/>
    </w:pPr>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86/s40359-024-01716-7" TargetMode="External"/><Relationship Id="rId13" Type="http://schemas.openxmlformats.org/officeDocument/2006/relationships/hyperlink" Target="https://www.legislation.gov.uk/ukpga/2022/31/contents?utm_source=chatgpt.com" TargetMode="External"/><Relationship Id="rId18" Type="http://schemas.openxmlformats.org/officeDocument/2006/relationships/hyperlink" Target="https://doi.org/10.5334/ijic.5589" TargetMode="External"/><Relationship Id="rId3" Type="http://schemas.openxmlformats.org/officeDocument/2006/relationships/webSettings" Target="webSettings.xml"/><Relationship Id="rId21" Type="http://schemas.openxmlformats.org/officeDocument/2006/relationships/hyperlink" Target="https://doi.org/10.1111/hex.13541" TargetMode="External"/><Relationship Id="rId7" Type="http://schemas.openxmlformats.org/officeDocument/2006/relationships/hyperlink" Target="https://doi.org/10.1016/j.pec.2024.108408" TargetMode="External"/><Relationship Id="rId12" Type="http://schemas.openxmlformats.org/officeDocument/2006/relationships/hyperlink" Target="https://www.legislation.gov.uk/ukpga/2014/23/contents?utm_source=chatgpt.com" TargetMode="External"/><Relationship Id="rId17" Type="http://schemas.openxmlformats.org/officeDocument/2006/relationships/hyperlink" Target="https://doi.org/10.1093/intqhc/mzac052"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16/j.healthpol.2020.12.006" TargetMode="External"/><Relationship Id="rId20" Type="http://schemas.openxmlformats.org/officeDocument/2006/relationships/hyperlink" Target="https://doi.org/10.1111/ajr.1282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77/20534345211004503"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36/bmjopen-2021-054386?utm_source=chatgpt.com" TargetMode="External"/><Relationship Id="rId23" Type="http://schemas.openxmlformats.org/officeDocument/2006/relationships/footer" Target="footer1.xml"/><Relationship Id="rId10" Type="http://schemas.openxmlformats.org/officeDocument/2006/relationships/hyperlink" Target="https://doi.org/10.1016/j.pec.2021.02.016" TargetMode="External"/><Relationship Id="rId19" Type="http://schemas.openxmlformats.org/officeDocument/2006/relationships/hyperlink" Target="https://doi.org/10.1108/JHOM-01-2021-0008" TargetMode="External"/><Relationship Id="rId4" Type="http://schemas.openxmlformats.org/officeDocument/2006/relationships/footnotes" Target="footnotes.xml"/><Relationship Id="rId9" Type="http://schemas.openxmlformats.org/officeDocument/2006/relationships/hyperlink" Target="https://doi.org/10.1016/j.pec.2024.108397" TargetMode="External"/><Relationship Id="rId14" Type="http://schemas.openxmlformats.org/officeDocument/2006/relationships/hyperlink" Target="https://www.england.nhs.uk/personalisedcare/comprehensive-model/case-studies/joans-story/?utm_source=chatgpt.com" TargetMode="External"/><Relationship Id="rId22" Type="http://schemas.openxmlformats.org/officeDocument/2006/relationships/hyperlink" Target="https://doi.org/10.1016/j.pec.2022.09.01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3213</Words>
  <Characters>18318</Characters>
  <Application>Microsoft Office Word</Application>
  <DocSecurity>0</DocSecurity>
  <Lines>152</Lines>
  <Paragraphs>42</Paragraphs>
  <ScaleCrop>false</ScaleCrop>
  <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Mavis Boahemaa</cp:lastModifiedBy>
  <cp:revision>3</cp:revision>
  <dcterms:created xsi:type="dcterms:W3CDTF">2026-10-17T12:39:00Z</dcterms:created>
  <dcterms:modified xsi:type="dcterms:W3CDTF">2026-10-17T12:41:00Z</dcterms:modified>
</cp:coreProperties>
</file>