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5BD35A" w14:textId="77777777" w:rsidR="00461126" w:rsidRDefault="00461126" w:rsidP="00461126">
      <w:pPr>
        <w:pStyle w:val="aa"/>
        <w:ind w:firstLine="480"/>
        <w:rPr>
          <w:rFonts w:eastAsia="宋体"/>
          <w:lang w:bidi="ar"/>
        </w:rPr>
      </w:pPr>
    </w:p>
    <w:p w14:paraId="75EB64B2" w14:textId="77777777" w:rsidR="00461126" w:rsidRDefault="00461126" w:rsidP="00461126">
      <w:pPr>
        <w:pStyle w:val="aa"/>
        <w:ind w:firstLine="480"/>
        <w:rPr>
          <w:rFonts w:eastAsia="宋体"/>
          <w:lang w:bidi="ar"/>
        </w:rPr>
      </w:pPr>
    </w:p>
    <w:p w14:paraId="52A345FC" w14:textId="77777777" w:rsidR="00461126" w:rsidRDefault="00461126" w:rsidP="00461126">
      <w:pPr>
        <w:pStyle w:val="aa"/>
        <w:ind w:firstLine="480"/>
        <w:rPr>
          <w:rFonts w:eastAsia="宋体"/>
          <w:lang w:bidi="ar"/>
        </w:rPr>
      </w:pPr>
    </w:p>
    <w:p w14:paraId="6AF6CF35" w14:textId="77777777" w:rsidR="00461126" w:rsidRDefault="00461126" w:rsidP="00461126">
      <w:pPr>
        <w:pStyle w:val="aa"/>
        <w:ind w:firstLine="480"/>
        <w:rPr>
          <w:rFonts w:eastAsia="宋体"/>
          <w:lang w:bidi="ar"/>
        </w:rPr>
      </w:pPr>
    </w:p>
    <w:p w14:paraId="7E7BAE82" w14:textId="77777777" w:rsidR="00750889" w:rsidRDefault="00750889" w:rsidP="00461126">
      <w:pPr>
        <w:pStyle w:val="aa"/>
        <w:ind w:firstLineChars="0" w:firstLine="0"/>
        <w:jc w:val="center"/>
        <w:rPr>
          <w:rFonts w:eastAsia="宋体"/>
          <w:b/>
          <w:bCs/>
          <w:lang w:bidi="ar"/>
        </w:rPr>
      </w:pPr>
      <w:r w:rsidRPr="00750889">
        <w:rPr>
          <w:rFonts w:eastAsia="宋体"/>
          <w:b/>
          <w:bCs/>
          <w:lang w:bidi="ar"/>
        </w:rPr>
        <w:t xml:space="preserve">Research on the Behind-the-scenes Production Costs and Visual Effects of "Alita: Battle Angel" </w:t>
      </w:r>
    </w:p>
    <w:p w14:paraId="3B0D67DE" w14:textId="670323A7" w:rsidR="00461126" w:rsidRPr="00461126" w:rsidRDefault="00461126" w:rsidP="00461126">
      <w:pPr>
        <w:pStyle w:val="aa"/>
        <w:ind w:firstLineChars="0" w:firstLine="0"/>
        <w:jc w:val="center"/>
        <w:rPr>
          <w:rFonts w:eastAsia="宋体"/>
          <w:lang w:bidi="ar"/>
        </w:rPr>
      </w:pPr>
      <w:r w:rsidRPr="00461126">
        <w:rPr>
          <w:rFonts w:eastAsia="宋体"/>
          <w:lang w:bidi="ar"/>
        </w:rPr>
        <w:t>Ranshu Guo</w:t>
      </w:r>
    </w:p>
    <w:p w14:paraId="6E0DBBC7" w14:textId="16384DC8" w:rsidR="00461126" w:rsidRPr="00461126" w:rsidRDefault="00461126" w:rsidP="00461126">
      <w:pPr>
        <w:pStyle w:val="aa"/>
        <w:ind w:firstLineChars="0" w:firstLine="0"/>
        <w:jc w:val="center"/>
        <w:rPr>
          <w:rFonts w:eastAsia="宋体"/>
          <w:lang w:bidi="ar"/>
        </w:rPr>
      </w:pPr>
      <w:r w:rsidRPr="00461126">
        <w:rPr>
          <w:rFonts w:eastAsia="宋体"/>
          <w:lang w:bidi="ar"/>
        </w:rPr>
        <w:t>2121933</w:t>
      </w:r>
    </w:p>
    <w:p w14:paraId="65F313FB" w14:textId="3D075B5F" w:rsidR="00461126" w:rsidRPr="00461126" w:rsidRDefault="00461126" w:rsidP="00461126">
      <w:pPr>
        <w:pStyle w:val="aa"/>
        <w:ind w:firstLineChars="0" w:firstLine="0"/>
        <w:jc w:val="center"/>
        <w:rPr>
          <w:rFonts w:eastAsia="宋体"/>
          <w:lang w:bidi="ar"/>
        </w:rPr>
      </w:pPr>
      <w:r w:rsidRPr="00461126">
        <w:rPr>
          <w:rFonts w:eastAsia="宋体" w:hint="eastAsia"/>
          <w:lang w:bidi="ar"/>
        </w:rPr>
        <w:t>2</w:t>
      </w:r>
      <w:r w:rsidRPr="00461126">
        <w:rPr>
          <w:rFonts w:eastAsia="宋体"/>
          <w:lang w:bidi="ar"/>
        </w:rPr>
        <w:t>02</w:t>
      </w:r>
      <w:r w:rsidR="00750889">
        <w:rPr>
          <w:rFonts w:eastAsia="宋体" w:hint="eastAsia"/>
          <w:lang w:bidi="ar"/>
        </w:rPr>
        <w:t>5</w:t>
      </w:r>
      <w:r w:rsidRPr="00461126">
        <w:rPr>
          <w:rFonts w:eastAsia="宋体"/>
          <w:lang w:bidi="ar"/>
        </w:rPr>
        <w:t>.</w:t>
      </w:r>
      <w:r w:rsidR="00750889">
        <w:rPr>
          <w:rFonts w:eastAsia="宋体" w:hint="eastAsia"/>
          <w:lang w:bidi="ar"/>
        </w:rPr>
        <w:t>4</w:t>
      </w:r>
      <w:r w:rsidRPr="00461126">
        <w:rPr>
          <w:rFonts w:eastAsia="宋体"/>
          <w:lang w:bidi="ar"/>
        </w:rPr>
        <w:t>.</w:t>
      </w:r>
      <w:r w:rsidR="00750889">
        <w:rPr>
          <w:rFonts w:eastAsia="宋体" w:hint="eastAsia"/>
          <w:lang w:bidi="ar"/>
        </w:rPr>
        <w:t>28</w:t>
      </w:r>
    </w:p>
    <w:p w14:paraId="2CFE4387" w14:textId="77777777" w:rsidR="00461126" w:rsidRPr="00461126" w:rsidRDefault="00461126" w:rsidP="00461126">
      <w:pPr>
        <w:pStyle w:val="aa"/>
        <w:ind w:firstLineChars="0" w:firstLine="0"/>
        <w:jc w:val="center"/>
        <w:rPr>
          <w:rFonts w:eastAsia="宋体"/>
          <w:b/>
          <w:bCs/>
          <w:lang w:bidi="ar"/>
        </w:rPr>
      </w:pPr>
    </w:p>
    <w:p w14:paraId="6F35ED12" w14:textId="77777777" w:rsidR="00277CC1" w:rsidRPr="00461126" w:rsidRDefault="002325C9" w:rsidP="00461126">
      <w:pPr>
        <w:pStyle w:val="aa"/>
        <w:ind w:firstLine="482"/>
        <w:jc w:val="center"/>
        <w:rPr>
          <w:rFonts w:eastAsia="宋体"/>
          <w:b/>
          <w:bCs/>
          <w:lang w:bidi="ar"/>
        </w:rPr>
      </w:pPr>
      <w:r w:rsidRPr="00461126">
        <w:rPr>
          <w:rFonts w:eastAsia="宋体"/>
          <w:b/>
          <w:bCs/>
          <w:lang w:bidi="ar"/>
        </w:rPr>
        <w:br w:type="page"/>
      </w:r>
    </w:p>
    <w:sdt>
      <w:sdtPr>
        <w:rPr>
          <w:rFonts w:asciiTheme="minorHAnsi" w:eastAsiaTheme="minorEastAsia" w:hAnsiTheme="minorHAnsi"/>
          <w:sz w:val="21"/>
          <w:lang w:val="zh-CN"/>
        </w:rPr>
        <w:id w:val="808049247"/>
        <w:docPartObj>
          <w:docPartGallery w:val="Table of Contents"/>
          <w:docPartUnique/>
        </w:docPartObj>
      </w:sdtPr>
      <w:sdtEndPr>
        <w:rPr>
          <w:b/>
          <w:bCs/>
        </w:rPr>
      </w:sdtEndPr>
      <w:sdtContent>
        <w:p w14:paraId="1F2F0B5A" w14:textId="7F52B2FE" w:rsidR="00461126" w:rsidRPr="00461126" w:rsidRDefault="00461126" w:rsidP="00461126">
          <w:pPr>
            <w:pStyle w:val="aa"/>
            <w:ind w:firstLineChars="0" w:firstLine="0"/>
            <w:jc w:val="center"/>
            <w:rPr>
              <w:b/>
              <w:bCs/>
            </w:rPr>
          </w:pPr>
          <w:r w:rsidRPr="00461126">
            <w:rPr>
              <w:rFonts w:hint="eastAsia"/>
              <w:b/>
              <w:bCs/>
              <w:lang w:val="zh-CN"/>
            </w:rPr>
            <w:t>C</w:t>
          </w:r>
          <w:r w:rsidRPr="00461126">
            <w:rPr>
              <w:b/>
              <w:bCs/>
              <w:lang w:val="zh-CN"/>
            </w:rPr>
            <w:t>ontents</w:t>
          </w:r>
        </w:p>
        <w:p w14:paraId="724B3530" w14:textId="580DE30D" w:rsidR="004C2856" w:rsidRDefault="00461126">
          <w:pPr>
            <w:pStyle w:val="TOC1"/>
            <w:tabs>
              <w:tab w:val="right" w:leader="dot" w:pos="9016"/>
            </w:tabs>
            <w:rPr>
              <w:rFonts w:asciiTheme="minorHAnsi" w:hAnsiTheme="minorHAnsi"/>
              <w:noProof/>
              <w:sz w:val="22"/>
              <w:szCs w:val="24"/>
            </w:rPr>
          </w:pPr>
          <w:r>
            <w:rPr>
              <w:rFonts w:ascii="Traditional Arabic" w:hAnsi="Traditional Arabic"/>
            </w:rPr>
            <w:fldChar w:fldCharType="begin"/>
          </w:r>
          <w:r>
            <w:rPr>
              <w:rFonts w:ascii="Traditional Arabic" w:hAnsi="Traditional Arabic"/>
            </w:rPr>
            <w:instrText xml:space="preserve"> TOC \o "1-3" \h \z \u </w:instrText>
          </w:r>
          <w:r>
            <w:rPr>
              <w:rFonts w:ascii="Traditional Arabic" w:hAnsi="Traditional Arabic"/>
            </w:rPr>
            <w:fldChar w:fldCharType="separate"/>
          </w:r>
          <w:hyperlink w:anchor="_Toc196739327" w:history="1">
            <w:r w:rsidR="004C2856" w:rsidRPr="00A3744E">
              <w:rPr>
                <w:rStyle w:val="ab"/>
                <w:noProof/>
              </w:rPr>
              <w:t>Introduction</w:t>
            </w:r>
            <w:r w:rsidR="004C2856">
              <w:rPr>
                <w:noProof/>
                <w:webHidden/>
              </w:rPr>
              <w:tab/>
            </w:r>
            <w:r w:rsidR="004C2856">
              <w:rPr>
                <w:noProof/>
                <w:webHidden/>
              </w:rPr>
              <w:fldChar w:fldCharType="begin"/>
            </w:r>
            <w:r w:rsidR="004C2856">
              <w:rPr>
                <w:noProof/>
                <w:webHidden/>
              </w:rPr>
              <w:instrText xml:space="preserve"> PAGEREF _Toc196739327 \h </w:instrText>
            </w:r>
            <w:r w:rsidR="004C2856">
              <w:rPr>
                <w:noProof/>
                <w:webHidden/>
              </w:rPr>
            </w:r>
            <w:r w:rsidR="004C2856">
              <w:rPr>
                <w:noProof/>
                <w:webHidden/>
              </w:rPr>
              <w:fldChar w:fldCharType="separate"/>
            </w:r>
            <w:r w:rsidR="005240C1">
              <w:rPr>
                <w:noProof/>
                <w:webHidden/>
              </w:rPr>
              <w:t>1</w:t>
            </w:r>
            <w:r w:rsidR="004C2856">
              <w:rPr>
                <w:noProof/>
                <w:webHidden/>
              </w:rPr>
              <w:fldChar w:fldCharType="end"/>
            </w:r>
          </w:hyperlink>
        </w:p>
        <w:p w14:paraId="4A4470D7" w14:textId="22E37D3B" w:rsidR="004C2856" w:rsidRDefault="004C2856">
          <w:pPr>
            <w:pStyle w:val="TOC1"/>
            <w:tabs>
              <w:tab w:val="left" w:pos="660"/>
              <w:tab w:val="right" w:leader="dot" w:pos="9016"/>
            </w:tabs>
            <w:rPr>
              <w:rFonts w:asciiTheme="minorHAnsi" w:hAnsiTheme="minorHAnsi"/>
              <w:noProof/>
              <w:sz w:val="22"/>
              <w:szCs w:val="24"/>
            </w:rPr>
          </w:pPr>
          <w:hyperlink w:anchor="_Toc196739328" w:history="1">
            <w:r w:rsidRPr="00A3744E">
              <w:rPr>
                <w:rStyle w:val="ab"/>
                <w:noProof/>
              </w:rPr>
              <w:t>1.</w:t>
            </w:r>
            <w:r>
              <w:rPr>
                <w:rFonts w:asciiTheme="minorHAnsi" w:hAnsiTheme="minorHAnsi"/>
                <w:noProof/>
                <w:sz w:val="22"/>
                <w:szCs w:val="24"/>
              </w:rPr>
              <w:tab/>
            </w:r>
            <w:r w:rsidRPr="00A3744E">
              <w:rPr>
                <w:rStyle w:val="ab"/>
                <w:noProof/>
              </w:rPr>
              <w:t>Overall cost composition</w:t>
            </w:r>
            <w:r>
              <w:rPr>
                <w:noProof/>
                <w:webHidden/>
              </w:rPr>
              <w:tab/>
            </w:r>
            <w:r>
              <w:rPr>
                <w:noProof/>
                <w:webHidden/>
              </w:rPr>
              <w:fldChar w:fldCharType="begin"/>
            </w:r>
            <w:r>
              <w:rPr>
                <w:noProof/>
                <w:webHidden/>
              </w:rPr>
              <w:instrText xml:space="preserve"> PAGEREF _Toc196739328 \h </w:instrText>
            </w:r>
            <w:r>
              <w:rPr>
                <w:noProof/>
                <w:webHidden/>
              </w:rPr>
            </w:r>
            <w:r>
              <w:rPr>
                <w:noProof/>
                <w:webHidden/>
              </w:rPr>
              <w:fldChar w:fldCharType="separate"/>
            </w:r>
            <w:r w:rsidR="005240C1">
              <w:rPr>
                <w:noProof/>
                <w:webHidden/>
              </w:rPr>
              <w:t>1</w:t>
            </w:r>
            <w:r>
              <w:rPr>
                <w:noProof/>
                <w:webHidden/>
              </w:rPr>
              <w:fldChar w:fldCharType="end"/>
            </w:r>
          </w:hyperlink>
        </w:p>
        <w:p w14:paraId="3EA9D26E" w14:textId="5D51D838" w:rsidR="004C2856" w:rsidRDefault="004C2856">
          <w:pPr>
            <w:pStyle w:val="TOC2"/>
            <w:tabs>
              <w:tab w:val="right" w:leader="dot" w:pos="9016"/>
            </w:tabs>
            <w:ind w:left="420"/>
            <w:rPr>
              <w:rFonts w:asciiTheme="minorHAnsi" w:hAnsiTheme="minorHAnsi"/>
              <w:noProof/>
              <w:sz w:val="22"/>
              <w:szCs w:val="24"/>
            </w:rPr>
          </w:pPr>
          <w:hyperlink w:anchor="_Toc196739329" w:history="1">
            <w:r w:rsidRPr="00A3744E">
              <w:rPr>
                <w:rStyle w:val="ab"/>
                <w:noProof/>
              </w:rPr>
              <w:t>1.1 Special effects and animation production (accounting for approximately 55% - 60%)</w:t>
            </w:r>
            <w:r>
              <w:rPr>
                <w:noProof/>
                <w:webHidden/>
              </w:rPr>
              <w:tab/>
            </w:r>
            <w:r>
              <w:rPr>
                <w:noProof/>
                <w:webHidden/>
              </w:rPr>
              <w:fldChar w:fldCharType="begin"/>
            </w:r>
            <w:r>
              <w:rPr>
                <w:noProof/>
                <w:webHidden/>
              </w:rPr>
              <w:instrText xml:space="preserve"> PAGEREF _Toc196739329 \h </w:instrText>
            </w:r>
            <w:r>
              <w:rPr>
                <w:noProof/>
                <w:webHidden/>
              </w:rPr>
            </w:r>
            <w:r>
              <w:rPr>
                <w:noProof/>
                <w:webHidden/>
              </w:rPr>
              <w:fldChar w:fldCharType="separate"/>
            </w:r>
            <w:r w:rsidR="005240C1">
              <w:rPr>
                <w:noProof/>
                <w:webHidden/>
              </w:rPr>
              <w:t>2</w:t>
            </w:r>
            <w:r>
              <w:rPr>
                <w:noProof/>
                <w:webHidden/>
              </w:rPr>
              <w:fldChar w:fldCharType="end"/>
            </w:r>
          </w:hyperlink>
        </w:p>
        <w:p w14:paraId="13FA9623" w14:textId="4A6D8DFC" w:rsidR="004C2856" w:rsidRDefault="004C2856">
          <w:pPr>
            <w:pStyle w:val="TOC2"/>
            <w:tabs>
              <w:tab w:val="right" w:leader="dot" w:pos="9016"/>
            </w:tabs>
            <w:ind w:left="420"/>
            <w:rPr>
              <w:rFonts w:asciiTheme="minorHAnsi" w:hAnsiTheme="minorHAnsi"/>
              <w:noProof/>
              <w:sz w:val="22"/>
              <w:szCs w:val="24"/>
            </w:rPr>
          </w:pPr>
          <w:hyperlink w:anchor="_Toc196739330" w:history="1">
            <w:r w:rsidRPr="00A3744E">
              <w:rPr>
                <w:rStyle w:val="ab"/>
                <w:noProof/>
              </w:rPr>
              <w:t>1.2 Shooting and on-site construction (accounting for approximately 20%)</w:t>
            </w:r>
            <w:r>
              <w:rPr>
                <w:noProof/>
                <w:webHidden/>
              </w:rPr>
              <w:tab/>
            </w:r>
            <w:r>
              <w:rPr>
                <w:noProof/>
                <w:webHidden/>
              </w:rPr>
              <w:fldChar w:fldCharType="begin"/>
            </w:r>
            <w:r>
              <w:rPr>
                <w:noProof/>
                <w:webHidden/>
              </w:rPr>
              <w:instrText xml:space="preserve"> PAGEREF _Toc196739330 \h </w:instrText>
            </w:r>
            <w:r>
              <w:rPr>
                <w:noProof/>
                <w:webHidden/>
              </w:rPr>
            </w:r>
            <w:r>
              <w:rPr>
                <w:noProof/>
                <w:webHidden/>
              </w:rPr>
              <w:fldChar w:fldCharType="separate"/>
            </w:r>
            <w:r w:rsidR="005240C1">
              <w:rPr>
                <w:noProof/>
                <w:webHidden/>
              </w:rPr>
              <w:t>2</w:t>
            </w:r>
            <w:r>
              <w:rPr>
                <w:noProof/>
                <w:webHidden/>
              </w:rPr>
              <w:fldChar w:fldCharType="end"/>
            </w:r>
          </w:hyperlink>
        </w:p>
        <w:p w14:paraId="0F5E7DD5" w14:textId="5BD3052C" w:rsidR="004C2856" w:rsidRDefault="004C2856">
          <w:pPr>
            <w:pStyle w:val="TOC2"/>
            <w:tabs>
              <w:tab w:val="right" w:leader="dot" w:pos="9016"/>
            </w:tabs>
            <w:ind w:left="420"/>
            <w:rPr>
              <w:rFonts w:asciiTheme="minorHAnsi" w:hAnsiTheme="minorHAnsi"/>
              <w:noProof/>
              <w:sz w:val="22"/>
              <w:szCs w:val="24"/>
            </w:rPr>
          </w:pPr>
          <w:hyperlink w:anchor="_Toc196739331" w:history="1">
            <w:r w:rsidRPr="00A3744E">
              <w:rPr>
                <w:rStyle w:val="ab"/>
                <w:noProof/>
              </w:rPr>
              <w:t>1.3 Actor compensation and human resources (accounting for approximately 10%)</w:t>
            </w:r>
            <w:r>
              <w:rPr>
                <w:noProof/>
                <w:webHidden/>
              </w:rPr>
              <w:tab/>
            </w:r>
            <w:r>
              <w:rPr>
                <w:noProof/>
                <w:webHidden/>
              </w:rPr>
              <w:fldChar w:fldCharType="begin"/>
            </w:r>
            <w:r>
              <w:rPr>
                <w:noProof/>
                <w:webHidden/>
              </w:rPr>
              <w:instrText xml:space="preserve"> PAGEREF _Toc196739331 \h </w:instrText>
            </w:r>
            <w:r>
              <w:rPr>
                <w:noProof/>
                <w:webHidden/>
              </w:rPr>
            </w:r>
            <w:r>
              <w:rPr>
                <w:noProof/>
                <w:webHidden/>
              </w:rPr>
              <w:fldChar w:fldCharType="separate"/>
            </w:r>
            <w:r w:rsidR="005240C1">
              <w:rPr>
                <w:noProof/>
                <w:webHidden/>
              </w:rPr>
              <w:t>2</w:t>
            </w:r>
            <w:r>
              <w:rPr>
                <w:noProof/>
                <w:webHidden/>
              </w:rPr>
              <w:fldChar w:fldCharType="end"/>
            </w:r>
          </w:hyperlink>
        </w:p>
        <w:p w14:paraId="370E01F0" w14:textId="055A14D7" w:rsidR="004C2856" w:rsidRDefault="004C2856">
          <w:pPr>
            <w:pStyle w:val="TOC2"/>
            <w:tabs>
              <w:tab w:val="right" w:leader="dot" w:pos="9016"/>
            </w:tabs>
            <w:ind w:left="420"/>
            <w:rPr>
              <w:rFonts w:asciiTheme="minorHAnsi" w:hAnsiTheme="minorHAnsi"/>
              <w:noProof/>
              <w:sz w:val="22"/>
              <w:szCs w:val="24"/>
            </w:rPr>
          </w:pPr>
          <w:hyperlink w:anchor="_Toc196739332" w:history="1">
            <w:r w:rsidRPr="00A3744E">
              <w:rPr>
                <w:rStyle w:val="ab"/>
                <w:noProof/>
              </w:rPr>
              <w:t>1.</w:t>
            </w:r>
            <w:r w:rsidRPr="00A3744E">
              <w:rPr>
                <w:rStyle w:val="ab"/>
                <w:rFonts w:asciiTheme="minorEastAsia" w:hAnsiTheme="minorEastAsia"/>
                <w:noProof/>
              </w:rPr>
              <w:t>4</w:t>
            </w:r>
            <w:r w:rsidRPr="00A3744E">
              <w:rPr>
                <w:rStyle w:val="ab"/>
                <w:noProof/>
              </w:rPr>
              <w:t xml:space="preserve"> Post-production and music and sound effects (accounting for approximately 5%)</w:t>
            </w:r>
            <w:r>
              <w:rPr>
                <w:noProof/>
                <w:webHidden/>
              </w:rPr>
              <w:tab/>
            </w:r>
            <w:r>
              <w:rPr>
                <w:noProof/>
                <w:webHidden/>
              </w:rPr>
              <w:fldChar w:fldCharType="begin"/>
            </w:r>
            <w:r>
              <w:rPr>
                <w:noProof/>
                <w:webHidden/>
              </w:rPr>
              <w:instrText xml:space="preserve"> PAGEREF _Toc196739332 \h </w:instrText>
            </w:r>
            <w:r>
              <w:rPr>
                <w:noProof/>
                <w:webHidden/>
              </w:rPr>
            </w:r>
            <w:r>
              <w:rPr>
                <w:noProof/>
                <w:webHidden/>
              </w:rPr>
              <w:fldChar w:fldCharType="separate"/>
            </w:r>
            <w:r w:rsidR="005240C1">
              <w:rPr>
                <w:noProof/>
                <w:webHidden/>
              </w:rPr>
              <w:t>2</w:t>
            </w:r>
            <w:r>
              <w:rPr>
                <w:noProof/>
                <w:webHidden/>
              </w:rPr>
              <w:fldChar w:fldCharType="end"/>
            </w:r>
          </w:hyperlink>
        </w:p>
        <w:p w14:paraId="2F6D1873" w14:textId="5D5E3B21" w:rsidR="004C2856" w:rsidRDefault="004C2856">
          <w:pPr>
            <w:pStyle w:val="TOC1"/>
            <w:tabs>
              <w:tab w:val="right" w:leader="dot" w:pos="9016"/>
            </w:tabs>
            <w:rPr>
              <w:rFonts w:asciiTheme="minorHAnsi" w:hAnsiTheme="minorHAnsi"/>
              <w:noProof/>
              <w:sz w:val="22"/>
              <w:szCs w:val="24"/>
            </w:rPr>
          </w:pPr>
          <w:hyperlink w:anchor="_Toc196739333" w:history="1">
            <w:r w:rsidRPr="00A3744E">
              <w:rPr>
                <w:rStyle w:val="ab"/>
                <w:noProof/>
                <w14:ligatures w14:val="none"/>
              </w:rPr>
              <w:t>2. Analysis of the Construction of CG Characters in the Film - Centered on "Alita"</w:t>
            </w:r>
            <w:r>
              <w:rPr>
                <w:noProof/>
                <w:webHidden/>
              </w:rPr>
              <w:tab/>
            </w:r>
            <w:r>
              <w:rPr>
                <w:noProof/>
                <w:webHidden/>
              </w:rPr>
              <w:fldChar w:fldCharType="begin"/>
            </w:r>
            <w:r>
              <w:rPr>
                <w:noProof/>
                <w:webHidden/>
              </w:rPr>
              <w:instrText xml:space="preserve"> PAGEREF _Toc196739333 \h </w:instrText>
            </w:r>
            <w:r>
              <w:rPr>
                <w:noProof/>
                <w:webHidden/>
              </w:rPr>
            </w:r>
            <w:r>
              <w:rPr>
                <w:noProof/>
                <w:webHidden/>
              </w:rPr>
              <w:fldChar w:fldCharType="separate"/>
            </w:r>
            <w:r w:rsidR="005240C1">
              <w:rPr>
                <w:noProof/>
                <w:webHidden/>
              </w:rPr>
              <w:t>2</w:t>
            </w:r>
            <w:r>
              <w:rPr>
                <w:noProof/>
                <w:webHidden/>
              </w:rPr>
              <w:fldChar w:fldCharType="end"/>
            </w:r>
          </w:hyperlink>
        </w:p>
        <w:p w14:paraId="074FB977" w14:textId="708632C5" w:rsidR="004C2856" w:rsidRDefault="004C2856">
          <w:pPr>
            <w:pStyle w:val="TOC2"/>
            <w:tabs>
              <w:tab w:val="right" w:leader="dot" w:pos="9016"/>
            </w:tabs>
            <w:ind w:left="420"/>
            <w:rPr>
              <w:rFonts w:asciiTheme="minorHAnsi" w:hAnsiTheme="minorHAnsi"/>
              <w:noProof/>
              <w:sz w:val="22"/>
              <w:szCs w:val="24"/>
            </w:rPr>
          </w:pPr>
          <w:hyperlink w:anchor="_Toc196739334" w:history="1">
            <w:r w:rsidRPr="00A3744E">
              <w:rPr>
                <w:rStyle w:val="ab"/>
                <w:noProof/>
              </w:rPr>
              <w:t>2.1 Face and Motion Capture (Performance Capture</w:t>
            </w:r>
            <w:r w:rsidRPr="00A3744E">
              <w:rPr>
                <w:rStyle w:val="ab"/>
                <w:rFonts w:ascii="宋体" w:eastAsia="宋体" w:hAnsi="宋体" w:cs="宋体"/>
                <w:noProof/>
              </w:rPr>
              <w:t>)</w:t>
            </w:r>
            <w:r>
              <w:rPr>
                <w:noProof/>
                <w:webHidden/>
              </w:rPr>
              <w:tab/>
            </w:r>
            <w:r>
              <w:rPr>
                <w:noProof/>
                <w:webHidden/>
              </w:rPr>
              <w:fldChar w:fldCharType="begin"/>
            </w:r>
            <w:r>
              <w:rPr>
                <w:noProof/>
                <w:webHidden/>
              </w:rPr>
              <w:instrText xml:space="preserve"> PAGEREF _Toc196739334 \h </w:instrText>
            </w:r>
            <w:r>
              <w:rPr>
                <w:noProof/>
                <w:webHidden/>
              </w:rPr>
            </w:r>
            <w:r>
              <w:rPr>
                <w:noProof/>
                <w:webHidden/>
              </w:rPr>
              <w:fldChar w:fldCharType="separate"/>
            </w:r>
            <w:r w:rsidR="005240C1">
              <w:rPr>
                <w:noProof/>
                <w:webHidden/>
              </w:rPr>
              <w:t>2</w:t>
            </w:r>
            <w:r>
              <w:rPr>
                <w:noProof/>
                <w:webHidden/>
              </w:rPr>
              <w:fldChar w:fldCharType="end"/>
            </w:r>
          </w:hyperlink>
        </w:p>
        <w:p w14:paraId="188ABADD" w14:textId="29F670B8" w:rsidR="004C2856" w:rsidRDefault="004C2856">
          <w:pPr>
            <w:pStyle w:val="TOC2"/>
            <w:tabs>
              <w:tab w:val="right" w:leader="dot" w:pos="9016"/>
            </w:tabs>
            <w:ind w:left="420"/>
            <w:rPr>
              <w:rFonts w:asciiTheme="minorHAnsi" w:hAnsiTheme="minorHAnsi"/>
              <w:noProof/>
              <w:sz w:val="22"/>
              <w:szCs w:val="24"/>
            </w:rPr>
          </w:pPr>
          <w:hyperlink w:anchor="_Toc196739335" w:history="1">
            <w:r w:rsidRPr="00A3744E">
              <w:rPr>
                <w:rStyle w:val="ab"/>
                <w:noProof/>
              </w:rPr>
              <w:t>2.2 Character Modeling &amp; Texturing</w:t>
            </w:r>
            <w:r>
              <w:rPr>
                <w:noProof/>
                <w:webHidden/>
              </w:rPr>
              <w:tab/>
            </w:r>
            <w:r>
              <w:rPr>
                <w:noProof/>
                <w:webHidden/>
              </w:rPr>
              <w:fldChar w:fldCharType="begin"/>
            </w:r>
            <w:r>
              <w:rPr>
                <w:noProof/>
                <w:webHidden/>
              </w:rPr>
              <w:instrText xml:space="preserve"> PAGEREF _Toc196739335 \h </w:instrText>
            </w:r>
            <w:r>
              <w:rPr>
                <w:noProof/>
                <w:webHidden/>
              </w:rPr>
            </w:r>
            <w:r>
              <w:rPr>
                <w:noProof/>
                <w:webHidden/>
              </w:rPr>
              <w:fldChar w:fldCharType="separate"/>
            </w:r>
            <w:r w:rsidR="005240C1">
              <w:rPr>
                <w:noProof/>
                <w:webHidden/>
              </w:rPr>
              <w:t>3</w:t>
            </w:r>
            <w:r>
              <w:rPr>
                <w:noProof/>
                <w:webHidden/>
              </w:rPr>
              <w:fldChar w:fldCharType="end"/>
            </w:r>
          </w:hyperlink>
        </w:p>
        <w:p w14:paraId="1D2F5F58" w14:textId="343BDC33" w:rsidR="004C2856" w:rsidRDefault="004C2856">
          <w:pPr>
            <w:pStyle w:val="TOC1"/>
            <w:tabs>
              <w:tab w:val="right" w:leader="dot" w:pos="9016"/>
            </w:tabs>
            <w:rPr>
              <w:rFonts w:asciiTheme="minorHAnsi" w:hAnsiTheme="minorHAnsi"/>
              <w:noProof/>
              <w:sz w:val="22"/>
              <w:szCs w:val="24"/>
            </w:rPr>
          </w:pPr>
          <w:hyperlink w:anchor="_Toc196739336" w:history="1">
            <w:r w:rsidRPr="00A3744E">
              <w:rPr>
                <w:rStyle w:val="ab"/>
                <w:noProof/>
              </w:rPr>
              <w:t xml:space="preserve">3. </w:t>
            </w:r>
            <w:r w:rsidRPr="00A3744E">
              <w:rPr>
                <w:rStyle w:val="ab"/>
                <w:noProof/>
                <w:lang w:val="en-GB"/>
              </w:rPr>
              <w:t>Analysis of lens professionalism and key budget investment</w:t>
            </w:r>
            <w:r>
              <w:rPr>
                <w:noProof/>
                <w:webHidden/>
              </w:rPr>
              <w:tab/>
            </w:r>
            <w:r>
              <w:rPr>
                <w:noProof/>
                <w:webHidden/>
              </w:rPr>
              <w:fldChar w:fldCharType="begin"/>
            </w:r>
            <w:r>
              <w:rPr>
                <w:noProof/>
                <w:webHidden/>
              </w:rPr>
              <w:instrText xml:space="preserve"> PAGEREF _Toc196739336 \h </w:instrText>
            </w:r>
            <w:r>
              <w:rPr>
                <w:noProof/>
                <w:webHidden/>
              </w:rPr>
            </w:r>
            <w:r>
              <w:rPr>
                <w:noProof/>
                <w:webHidden/>
              </w:rPr>
              <w:fldChar w:fldCharType="separate"/>
            </w:r>
            <w:r w:rsidR="005240C1">
              <w:rPr>
                <w:noProof/>
                <w:webHidden/>
              </w:rPr>
              <w:t>4</w:t>
            </w:r>
            <w:r>
              <w:rPr>
                <w:noProof/>
                <w:webHidden/>
              </w:rPr>
              <w:fldChar w:fldCharType="end"/>
            </w:r>
          </w:hyperlink>
        </w:p>
        <w:p w14:paraId="3D696924" w14:textId="3D56489E" w:rsidR="004C2856" w:rsidRDefault="004C2856">
          <w:pPr>
            <w:pStyle w:val="TOC1"/>
            <w:tabs>
              <w:tab w:val="right" w:leader="dot" w:pos="9016"/>
            </w:tabs>
            <w:rPr>
              <w:rFonts w:asciiTheme="minorHAnsi" w:hAnsiTheme="minorHAnsi"/>
              <w:noProof/>
              <w:sz w:val="22"/>
              <w:szCs w:val="24"/>
            </w:rPr>
          </w:pPr>
          <w:hyperlink w:anchor="_Toc196739337" w:history="1">
            <w:r w:rsidRPr="00A3744E">
              <w:rPr>
                <w:rStyle w:val="ab"/>
                <w:rFonts w:asciiTheme="minorEastAsia" w:hAnsiTheme="minorEastAsia"/>
                <w:noProof/>
              </w:rPr>
              <w:t>4</w:t>
            </w:r>
            <w:r w:rsidRPr="00A3744E">
              <w:rPr>
                <w:rStyle w:val="ab"/>
                <w:noProof/>
              </w:rPr>
              <w:t xml:space="preserve">. </w:t>
            </w:r>
            <w:r w:rsidRPr="00A3744E">
              <w:rPr>
                <w:rStyle w:val="ab"/>
                <w:noProof/>
                <w:lang w:val="en-GB"/>
              </w:rPr>
              <w:t>Professional analysis of the highlights</w:t>
            </w:r>
            <w:r>
              <w:rPr>
                <w:noProof/>
                <w:webHidden/>
              </w:rPr>
              <w:tab/>
            </w:r>
            <w:r>
              <w:rPr>
                <w:noProof/>
                <w:webHidden/>
              </w:rPr>
              <w:fldChar w:fldCharType="begin"/>
            </w:r>
            <w:r>
              <w:rPr>
                <w:noProof/>
                <w:webHidden/>
              </w:rPr>
              <w:instrText xml:space="preserve"> PAGEREF _Toc196739337 \h </w:instrText>
            </w:r>
            <w:r>
              <w:rPr>
                <w:noProof/>
                <w:webHidden/>
              </w:rPr>
            </w:r>
            <w:r>
              <w:rPr>
                <w:noProof/>
                <w:webHidden/>
              </w:rPr>
              <w:fldChar w:fldCharType="separate"/>
            </w:r>
            <w:r w:rsidR="005240C1">
              <w:rPr>
                <w:noProof/>
                <w:webHidden/>
              </w:rPr>
              <w:t>5</w:t>
            </w:r>
            <w:r>
              <w:rPr>
                <w:noProof/>
                <w:webHidden/>
              </w:rPr>
              <w:fldChar w:fldCharType="end"/>
            </w:r>
          </w:hyperlink>
        </w:p>
        <w:p w14:paraId="0FF3706F" w14:textId="1543E1A3" w:rsidR="004C2856" w:rsidRDefault="004C2856">
          <w:pPr>
            <w:pStyle w:val="TOC1"/>
            <w:tabs>
              <w:tab w:val="right" w:leader="dot" w:pos="9016"/>
            </w:tabs>
            <w:rPr>
              <w:rFonts w:asciiTheme="minorHAnsi" w:hAnsiTheme="minorHAnsi"/>
              <w:noProof/>
              <w:sz w:val="22"/>
              <w:szCs w:val="24"/>
            </w:rPr>
          </w:pPr>
          <w:hyperlink w:anchor="_Toc196739338" w:history="1">
            <w:r w:rsidRPr="00A3744E">
              <w:rPr>
                <w:rStyle w:val="ab"/>
                <w:noProof/>
                <w14:ligatures w14:val="none"/>
              </w:rPr>
              <w:t>Conclusion</w:t>
            </w:r>
            <w:r>
              <w:rPr>
                <w:noProof/>
                <w:webHidden/>
              </w:rPr>
              <w:tab/>
            </w:r>
            <w:r>
              <w:rPr>
                <w:noProof/>
                <w:webHidden/>
              </w:rPr>
              <w:fldChar w:fldCharType="begin"/>
            </w:r>
            <w:r>
              <w:rPr>
                <w:noProof/>
                <w:webHidden/>
              </w:rPr>
              <w:instrText xml:space="preserve"> PAGEREF _Toc196739338 \h </w:instrText>
            </w:r>
            <w:r>
              <w:rPr>
                <w:noProof/>
                <w:webHidden/>
              </w:rPr>
            </w:r>
            <w:r>
              <w:rPr>
                <w:noProof/>
                <w:webHidden/>
              </w:rPr>
              <w:fldChar w:fldCharType="separate"/>
            </w:r>
            <w:r w:rsidR="005240C1">
              <w:rPr>
                <w:noProof/>
                <w:webHidden/>
              </w:rPr>
              <w:t>6</w:t>
            </w:r>
            <w:r>
              <w:rPr>
                <w:noProof/>
                <w:webHidden/>
              </w:rPr>
              <w:fldChar w:fldCharType="end"/>
            </w:r>
          </w:hyperlink>
        </w:p>
        <w:p w14:paraId="092D0A73" w14:textId="55258583" w:rsidR="004C2856" w:rsidRDefault="004C2856">
          <w:pPr>
            <w:pStyle w:val="TOC1"/>
            <w:tabs>
              <w:tab w:val="right" w:leader="dot" w:pos="9016"/>
            </w:tabs>
            <w:rPr>
              <w:rFonts w:asciiTheme="minorHAnsi" w:hAnsiTheme="minorHAnsi"/>
              <w:noProof/>
              <w:sz w:val="22"/>
              <w:szCs w:val="24"/>
            </w:rPr>
          </w:pPr>
          <w:hyperlink w:anchor="_Toc196739339" w:history="1">
            <w:r w:rsidRPr="00A3744E">
              <w:rPr>
                <w:rStyle w:val="ab"/>
                <w:noProof/>
              </w:rPr>
              <w:t>References</w:t>
            </w:r>
            <w:r>
              <w:rPr>
                <w:noProof/>
                <w:webHidden/>
              </w:rPr>
              <w:tab/>
            </w:r>
            <w:r>
              <w:rPr>
                <w:noProof/>
                <w:webHidden/>
              </w:rPr>
              <w:fldChar w:fldCharType="begin"/>
            </w:r>
            <w:r>
              <w:rPr>
                <w:noProof/>
                <w:webHidden/>
              </w:rPr>
              <w:instrText xml:space="preserve"> PAGEREF _Toc196739339 \h </w:instrText>
            </w:r>
            <w:r>
              <w:rPr>
                <w:noProof/>
                <w:webHidden/>
              </w:rPr>
            </w:r>
            <w:r>
              <w:rPr>
                <w:noProof/>
                <w:webHidden/>
              </w:rPr>
              <w:fldChar w:fldCharType="separate"/>
            </w:r>
            <w:r w:rsidR="005240C1">
              <w:rPr>
                <w:noProof/>
                <w:webHidden/>
              </w:rPr>
              <w:t>6</w:t>
            </w:r>
            <w:r>
              <w:rPr>
                <w:noProof/>
                <w:webHidden/>
              </w:rPr>
              <w:fldChar w:fldCharType="end"/>
            </w:r>
          </w:hyperlink>
        </w:p>
        <w:p w14:paraId="6AD34772" w14:textId="1FF69321" w:rsidR="00461126" w:rsidRDefault="00461126">
          <w:r>
            <w:rPr>
              <w:rFonts w:ascii="Traditional Arabic" w:hAnsi="Traditional Arabic"/>
              <w:sz w:val="24"/>
            </w:rPr>
            <w:fldChar w:fldCharType="end"/>
          </w:r>
        </w:p>
      </w:sdtContent>
    </w:sdt>
    <w:p w14:paraId="3CB706B0" w14:textId="77777777" w:rsidR="00461126" w:rsidRDefault="00461126">
      <w:pPr>
        <w:widowControl/>
        <w:jc w:val="left"/>
        <w:sectPr w:rsidR="00461126" w:rsidSect="00461126">
          <w:pgSz w:w="11906" w:h="16838" w:code="9"/>
          <w:pgMar w:top="1440" w:right="1440" w:bottom="1440" w:left="1440" w:header="720" w:footer="720" w:gutter="0"/>
          <w:cols w:space="425"/>
          <w:docGrid w:linePitch="312"/>
        </w:sectPr>
      </w:pPr>
      <w:r>
        <w:br w:type="page"/>
      </w:r>
    </w:p>
    <w:p w14:paraId="02D4D03E" w14:textId="07572B97" w:rsidR="00277CC1" w:rsidRPr="00461126" w:rsidRDefault="002325C9" w:rsidP="00461126">
      <w:pPr>
        <w:pStyle w:val="1"/>
      </w:pPr>
      <w:bookmarkStart w:id="0" w:name="_Toc196739327"/>
      <w:r>
        <w:t>Introduction</w:t>
      </w:r>
      <w:bookmarkEnd w:id="0"/>
    </w:p>
    <w:p w14:paraId="51AEC840" w14:textId="0809923F" w:rsidR="00750889" w:rsidRPr="00750889" w:rsidRDefault="00750889" w:rsidP="00750889">
      <w:pPr>
        <w:pStyle w:val="aa"/>
        <w:ind w:firstLine="480"/>
        <w:rPr>
          <w:rFonts w:eastAsiaTheme="minorEastAsia"/>
        </w:rPr>
      </w:pPr>
      <w:r>
        <w:t xml:space="preserve">Since "Avatar" initiated the visual revolution, special effects films have continuously broken through technical boundaries. Alita: Battle Angel, a sci-fi blockbuster supervised by James Cameron and directed by Robert Rodriguez, is adapted from the novel Ghost in the Shell by Japanese manga artist </w:t>
      </w:r>
      <w:proofErr w:type="spellStart"/>
      <w:r>
        <w:t>Yukito</w:t>
      </w:r>
      <w:proofErr w:type="spellEnd"/>
      <w:r>
        <w:t xml:space="preserve"> Kinjo and produced by 20th Century Fox. The film stars Rosa. Salazar, Christopher. Waltz, </w:t>
      </w:r>
      <w:proofErr w:type="spellStart"/>
      <w:r>
        <w:t>Mahshala</w:t>
      </w:r>
      <w:proofErr w:type="spellEnd"/>
      <w:r>
        <w:t>. Starring Ali and Jennifer Connelly. The story is set in the 26th century and tells of a mechanical girl who, in a post-apocalyptic world, is fortunate enough to be reborn and bravely strives to change the world, embarking on a journey to explore the truth. This not only pays tribute to the original work "Ghost in the Shell", but also becomes a new milestone in the special effects industry.</w:t>
      </w:r>
    </w:p>
    <w:p w14:paraId="2C75B46E" w14:textId="1C0F0A44" w:rsidR="00750889" w:rsidRPr="00750889" w:rsidRDefault="00750889" w:rsidP="00750889">
      <w:pPr>
        <w:pStyle w:val="aa"/>
        <w:ind w:firstLine="480"/>
        <w:rPr>
          <w:rFonts w:eastAsiaTheme="minorEastAsia"/>
        </w:rPr>
      </w:pPr>
      <w:r>
        <w:t>With the development of technology, the status of digital images in film production is increasingly rising, and "Alita: Battle Angel" is a representative work that has brought CG technology to the extreme. Since the trailer was released, the audience has been stunned by its highly realistic character modeling, delicate and smooth motion capture, and futuristic world construction. Behind these stunning visual effects lies a vast and precise animation production system that is silently supporting them.</w:t>
      </w:r>
    </w:p>
    <w:p w14:paraId="692D25BD" w14:textId="723C2F8F" w:rsidR="00750889" w:rsidRPr="00750889" w:rsidRDefault="00750889" w:rsidP="00750889">
      <w:pPr>
        <w:pStyle w:val="aa"/>
        <w:ind w:firstLine="480"/>
        <w:rPr>
          <w:rFonts w:eastAsiaTheme="minorEastAsia"/>
        </w:rPr>
      </w:pPr>
      <w:r>
        <w:t>To have a clearer understanding of the industrial process behind a science fiction special effects film, let's start with the overall budget allocation of the film and analyze its investment in personnel, equipment, special effects, post-production and other links. Next, we will focus on the core highlight of the film - the construction and performance capture technology of Alita, a fully CG character, and delve into the application of key technologies such as facial modeling, hair simulation, and muscle dynamic systems. Subsequently, this report will focus on dissecting the most captivating fight scenes in the film, from motion capture to the final rendering, at every stage, attempting to calculate the time and cost spent behind each minute of footage.</w:t>
      </w:r>
    </w:p>
    <w:p w14:paraId="39458203" w14:textId="09F97564" w:rsidR="00277CC1" w:rsidRDefault="00750889" w:rsidP="00750889">
      <w:pPr>
        <w:pStyle w:val="aa"/>
        <w:ind w:firstLine="480"/>
      </w:pPr>
      <w:r>
        <w:t>Through these contents, we hope not only to present the high technical achievements of this film, but also to enable readers to understand the true costs and challenges of special effects production in the contemporary film industry. Now, let's officially step into the world of animation production and behind-the-scenes special effects of "Alita: Battle Angel".</w:t>
      </w:r>
    </w:p>
    <w:p w14:paraId="3A997C5E" w14:textId="6BE9BB6D" w:rsidR="00277CC1" w:rsidRDefault="00750889" w:rsidP="00750889">
      <w:pPr>
        <w:pStyle w:val="1"/>
        <w:numPr>
          <w:ilvl w:val="0"/>
          <w:numId w:val="2"/>
        </w:numPr>
        <w:rPr>
          <w:rFonts w:eastAsiaTheme="minorEastAsia"/>
        </w:rPr>
      </w:pPr>
      <w:bookmarkStart w:id="1" w:name="_Toc196739328"/>
      <w:r w:rsidRPr="00750889">
        <w:t>Overall cost composition</w:t>
      </w:r>
      <w:bookmarkEnd w:id="1"/>
    </w:p>
    <w:p w14:paraId="6A5221DB" w14:textId="24675DDC" w:rsidR="00750889" w:rsidRPr="00750889" w:rsidRDefault="00750889" w:rsidP="00750889">
      <w:pPr>
        <w:spacing w:line="360" w:lineRule="auto"/>
        <w:ind w:firstLineChars="200" w:firstLine="480"/>
        <w:rPr>
          <w:rFonts w:ascii="Times New Roman" w:hAnsi="Times New Roman" w:cs="Times New Roman"/>
          <w:sz w:val="24"/>
          <w:szCs w:val="24"/>
        </w:rPr>
      </w:pPr>
      <w:r w:rsidRPr="00750889">
        <w:rPr>
          <w:rFonts w:ascii="Times New Roman" w:hAnsi="Times New Roman" w:cs="Times New Roman"/>
          <w:sz w:val="24"/>
          <w:szCs w:val="24"/>
        </w:rPr>
        <w:t>According to public information, the production budget of "Alita: Battle Angel" ranges from 150 million to 200 million US dollars. As a high-tech film supervised by James Cameron and with the main participation of Weta Digital, the budget scale was already at the top level of special effects films at that time (in 2019). The funds of the film are mainly invested in the following core parts:</w:t>
      </w:r>
    </w:p>
    <w:p w14:paraId="2D44F35F" w14:textId="3CC8B5F7" w:rsidR="00277CC1" w:rsidRPr="00750889" w:rsidRDefault="002325C9" w:rsidP="00461126">
      <w:pPr>
        <w:pStyle w:val="2"/>
        <w:rPr>
          <w:rFonts w:eastAsiaTheme="minorEastAsia"/>
        </w:rPr>
      </w:pPr>
      <w:bookmarkStart w:id="2" w:name="_Toc196739329"/>
      <w:r>
        <w:t xml:space="preserve">1.1 </w:t>
      </w:r>
      <w:r w:rsidR="00750889" w:rsidRPr="00750889">
        <w:t>Special effects and animation production (accounting for approximately 55% - 60%)</w:t>
      </w:r>
      <w:bookmarkEnd w:id="2"/>
    </w:p>
    <w:p w14:paraId="49395974" w14:textId="76E4F481" w:rsidR="00277CC1" w:rsidRDefault="00750889" w:rsidP="00461126">
      <w:pPr>
        <w:pStyle w:val="aa"/>
        <w:ind w:firstLine="480"/>
      </w:pPr>
      <w:r w:rsidRPr="00750889">
        <w:t>Visual effects are the most core technical highlight of this film, especially in the modeling and performance capture of the "all-CG character" Alita, which consumed a great deal of human and computing resources. Weta Digital employed approximately 800 special effects artists, used over 30,000 rendering devices, and the total rendering time exceeded 432 million hours. This part of the budget is expected to be as high as more than 90 million US dollars.</w:t>
      </w:r>
    </w:p>
    <w:p w14:paraId="393C60AD" w14:textId="48E73060" w:rsidR="00277CC1" w:rsidRDefault="002325C9" w:rsidP="00461126">
      <w:pPr>
        <w:pStyle w:val="2"/>
      </w:pPr>
      <w:bookmarkStart w:id="3" w:name="_Toc196739330"/>
      <w:r>
        <w:t xml:space="preserve">1.2 </w:t>
      </w:r>
      <w:r w:rsidR="00750889" w:rsidRPr="00750889">
        <w:t>Shooting and on-site construction (accounting for approximately 20%)</w:t>
      </w:r>
      <w:bookmarkEnd w:id="3"/>
    </w:p>
    <w:p w14:paraId="32B9DE2E" w14:textId="47EADE7F" w:rsidR="00277CC1" w:rsidRPr="00750889" w:rsidRDefault="00750889" w:rsidP="00461126">
      <w:pPr>
        <w:pStyle w:val="aa"/>
        <w:ind w:firstLine="480"/>
        <w:rPr>
          <w:rFonts w:eastAsiaTheme="minorEastAsia"/>
        </w:rPr>
      </w:pPr>
      <w:r w:rsidRPr="00750889">
        <w:t>Although the film features a large number of CG scenes, some urban ruins and indoor Spaces are still constructed by combining real scenes with green screens. It is reported that the main shooting location was in Austin, Texas, USA. The production team recreated a scene of over 9,000 square feet of "Scrap Iron Town" at the shooting base. This part of the cost mainly includes the rental of photography equipment, sets, props and the salaries of on-site personnel, etc.</w:t>
      </w:r>
    </w:p>
    <w:p w14:paraId="27864505" w14:textId="77777777" w:rsidR="006312EC" w:rsidRPr="00750889" w:rsidRDefault="006312EC" w:rsidP="006312EC">
      <w:pPr>
        <w:pStyle w:val="2"/>
        <w:rPr>
          <w:rFonts w:eastAsiaTheme="minorEastAsia"/>
        </w:rPr>
      </w:pPr>
      <w:bookmarkStart w:id="4" w:name="_Toc196739331"/>
      <w:r>
        <w:t xml:space="preserve">1.3 </w:t>
      </w:r>
      <w:r w:rsidRPr="00750889">
        <w:t>Actor compensation and human resources (accounting for approximately 10%)</w:t>
      </w:r>
      <w:bookmarkEnd w:id="4"/>
    </w:p>
    <w:p w14:paraId="3F1A1F4B" w14:textId="13C54320" w:rsidR="006312EC" w:rsidRPr="006312EC" w:rsidRDefault="006312EC" w:rsidP="006312EC">
      <w:pPr>
        <w:pStyle w:val="aa"/>
        <w:ind w:firstLine="480"/>
        <w:rPr>
          <w:rFonts w:ascii="Arial" w:eastAsiaTheme="minorEastAsia" w:hAnsi="Arial" w:cs="Arial"/>
        </w:rPr>
      </w:pPr>
      <w:r w:rsidRPr="00750889">
        <w:t>As a medium to large-scale production, the actors' remuneration does not account for a very high proportion. The contract of the lead actress Rosa Salazar may adopt the model of "basic salary + box office share", with more budget allocated to the technical service team that combines motion capture and post-production CG. The special effects team and animators are the main forces in the cost. Motion capture engineers, modeling and material artists, animators, renderers and lighting technicians, special effects programmers, compositing and post-production special effects technicians, etc. During the nearly 10-year preparation of the entire project, the shooting and post-production cycle was two and a half years. At its peak, at least 1,000 people worldwide were involved in the production of the film at different stages.</w:t>
      </w:r>
    </w:p>
    <w:p w14:paraId="1F8D6800" w14:textId="729C6B55" w:rsidR="00277CC1" w:rsidRPr="00750889" w:rsidRDefault="002325C9" w:rsidP="00461126">
      <w:pPr>
        <w:pStyle w:val="2"/>
        <w:rPr>
          <w:rFonts w:eastAsiaTheme="minorEastAsia"/>
        </w:rPr>
      </w:pPr>
      <w:bookmarkStart w:id="5" w:name="_Toc196739332"/>
      <w:r>
        <w:t>1.</w:t>
      </w:r>
      <w:r w:rsidR="006312EC">
        <w:rPr>
          <w:rFonts w:asciiTheme="minorEastAsia" w:eastAsiaTheme="minorEastAsia" w:hAnsiTheme="minorEastAsia" w:hint="eastAsia"/>
        </w:rPr>
        <w:t>4</w:t>
      </w:r>
      <w:r>
        <w:t xml:space="preserve"> </w:t>
      </w:r>
      <w:proofErr w:type="gramStart"/>
      <w:r w:rsidR="006312EC" w:rsidRPr="006312EC">
        <w:t>Post-production</w:t>
      </w:r>
      <w:proofErr w:type="gramEnd"/>
      <w:r w:rsidR="006312EC" w:rsidRPr="006312EC">
        <w:t xml:space="preserve"> and music and sound effects (accounting for approximately 5%)</w:t>
      </w:r>
      <w:bookmarkEnd w:id="5"/>
    </w:p>
    <w:p w14:paraId="104F9D50" w14:textId="6211B395" w:rsidR="00277CC1" w:rsidRPr="006312EC" w:rsidRDefault="006312EC" w:rsidP="00461126">
      <w:pPr>
        <w:pStyle w:val="aa"/>
        <w:ind w:firstLine="480"/>
        <w:rPr>
          <w:rFonts w:ascii="Arial" w:eastAsiaTheme="minorEastAsia" w:hAnsi="Arial" w:cs="Arial"/>
        </w:rPr>
      </w:pPr>
      <w:r w:rsidRPr="006312EC">
        <w:t>The post-production of the film was coordinated by Light storm Entertainment, including color correction, sound effect design, and the original soundtrack (composed by Tom Holkenberg), etc. Although this part is not the biggest expense, it is indispensable in shaping the texture of the film.</w:t>
      </w:r>
    </w:p>
    <w:p w14:paraId="5952D0FD" w14:textId="6816CA0A" w:rsidR="00277CC1" w:rsidRDefault="002325C9">
      <w:pPr>
        <w:pStyle w:val="1"/>
        <w:rPr>
          <w:rFonts w:eastAsiaTheme="minorEastAsia"/>
          <w:szCs w:val="24"/>
          <w14:ligatures w14:val="none"/>
        </w:rPr>
      </w:pPr>
      <w:bookmarkStart w:id="6" w:name="_Toc196739333"/>
      <w:r>
        <w:rPr>
          <w:szCs w:val="24"/>
          <w14:ligatures w14:val="none"/>
        </w:rPr>
        <w:t xml:space="preserve">2. </w:t>
      </w:r>
      <w:r w:rsidR="006312EC" w:rsidRPr="006312EC">
        <w:rPr>
          <w:szCs w:val="24"/>
          <w14:ligatures w14:val="none"/>
        </w:rPr>
        <w:t>Analysis of the Construction of CG Characters in the Film - Centered on "Alita"</w:t>
      </w:r>
      <w:bookmarkEnd w:id="6"/>
    </w:p>
    <w:p w14:paraId="20DF4703" w14:textId="05DC1019" w:rsidR="006312EC" w:rsidRPr="006312EC" w:rsidRDefault="006312EC" w:rsidP="006312EC">
      <w:pPr>
        <w:spacing w:line="360" w:lineRule="auto"/>
        <w:ind w:firstLineChars="200" w:firstLine="480"/>
        <w:rPr>
          <w:rFonts w:ascii="Times New Roman" w:hAnsi="Times New Roman" w:cs="Times New Roman"/>
          <w:sz w:val="24"/>
          <w:szCs w:val="24"/>
        </w:rPr>
      </w:pPr>
      <w:r w:rsidRPr="006312EC">
        <w:rPr>
          <w:rFonts w:ascii="Times New Roman" w:hAnsi="Times New Roman" w:cs="Times New Roman"/>
          <w:sz w:val="24"/>
          <w:szCs w:val="24"/>
        </w:rPr>
        <w:t>The character building of Alita is the part with the highest technical content and the most investment in the entire film. The entire process can be divided into two main stages:</w:t>
      </w:r>
    </w:p>
    <w:p w14:paraId="59286C53" w14:textId="685DF3AB" w:rsidR="00277CC1" w:rsidRPr="00AE32CC" w:rsidRDefault="002325C9" w:rsidP="00461126">
      <w:pPr>
        <w:pStyle w:val="2"/>
        <w:rPr>
          <w:rFonts w:eastAsiaTheme="minorEastAsia"/>
        </w:rPr>
      </w:pPr>
      <w:bookmarkStart w:id="7" w:name="_Toc196739334"/>
      <w:r>
        <w:t xml:space="preserve">2.1 </w:t>
      </w:r>
      <w:r w:rsidR="00AE32CC" w:rsidRPr="00AE32CC">
        <w:t>Face and Motion Capture (Performance Capture</w:t>
      </w:r>
      <w:r w:rsidR="00AE32CC">
        <w:rPr>
          <w:rFonts w:ascii="宋体" w:eastAsia="宋体" w:hAnsi="宋体" w:cs="宋体" w:hint="eastAsia"/>
        </w:rPr>
        <w:t>)</w:t>
      </w:r>
      <w:bookmarkEnd w:id="7"/>
    </w:p>
    <w:p w14:paraId="4488A0F1" w14:textId="04BB06BF" w:rsidR="00AE32CC" w:rsidRPr="004C2856" w:rsidRDefault="00AE32CC" w:rsidP="004C2856">
      <w:pPr>
        <w:pStyle w:val="aa"/>
        <w:ind w:firstLine="480"/>
        <w:rPr>
          <w:rFonts w:eastAsiaTheme="minorEastAsia"/>
        </w:rPr>
      </w:pPr>
      <w:r>
        <w:t>The actress Rosa Salazar wore a facial performance capture device throughout the performance. Using a high-resolution stereo photography system and multi-point facial tracking dot matrix, combined with an AI learning system to analyze her muscle dynamics. The rendering and production of CGI eyes are extremely difficult because every layer of structure, from the eyeball wall to the vascular membrane and then to the retina, needs to be produced and rendered. The human eye is not a simple sphere. To reproduce its complex optical performance, it is necessary to calculate the complex optical path movement of light within it.</w:t>
      </w:r>
    </w:p>
    <w:p w14:paraId="62FEA0F5" w14:textId="22950689" w:rsidR="00277CC1" w:rsidRDefault="00AE32CC" w:rsidP="00AE32CC">
      <w:pPr>
        <w:pStyle w:val="aa"/>
        <w:ind w:firstLine="480"/>
      </w:pPr>
      <w:r>
        <w:t>The "eyes" are the most important window for conveying emotions and touching the audience. Many people felt after watching the film that Alita's "big eyes" were deeply imprinted in their minds and wouldn't go away. Her transformation from innocence to maturity was reflected in the changes in her eyes - it seems that all these efforts were not in vain. The technology was jointly developed by Weta Digital and Lightstorm Entertainment. The system is similar to the facial capture technology used in "Avatar", but has significant improvements in accuracy and real-time feedback capabilities.</w:t>
      </w:r>
      <w:r w:rsidR="002325C9">
        <w:t xml:space="preserve"> </w:t>
      </w:r>
    </w:p>
    <w:p w14:paraId="5D71B8EF" w14:textId="18FB2775" w:rsidR="00277CC1" w:rsidRPr="00AE32CC" w:rsidRDefault="002325C9" w:rsidP="00461126">
      <w:pPr>
        <w:pStyle w:val="2"/>
        <w:rPr>
          <w:rFonts w:eastAsiaTheme="minorEastAsia"/>
        </w:rPr>
      </w:pPr>
      <w:bookmarkStart w:id="8" w:name="_Toc196739335"/>
      <w:r>
        <w:t xml:space="preserve">2.2 </w:t>
      </w:r>
      <w:r w:rsidR="00AE32CC" w:rsidRPr="00AE32CC">
        <w:t>Character Modeling &amp; Texturing</w:t>
      </w:r>
      <w:bookmarkEnd w:id="8"/>
      <w:r>
        <w:t xml:space="preserve"> </w:t>
      </w:r>
    </w:p>
    <w:p w14:paraId="0E0F34B2" w14:textId="15ADF4E9" w:rsidR="00AE32CC" w:rsidRPr="004C2856" w:rsidRDefault="00894069" w:rsidP="004C2856">
      <w:pPr>
        <w:pStyle w:val="aa"/>
        <w:ind w:firstLine="480"/>
        <w:rPr>
          <w:rFonts w:eastAsiaTheme="minorEastAsia"/>
        </w:rPr>
      </w:pPr>
      <w:r>
        <w:rPr>
          <w:noProof/>
        </w:rPr>
        <mc:AlternateContent>
          <mc:Choice Requires="wps">
            <w:drawing>
              <wp:anchor distT="0" distB="0" distL="114300" distR="114300" simplePos="0" relativeHeight="251660288" behindDoc="0" locked="0" layoutInCell="1" allowOverlap="1" wp14:anchorId="45C32DB2" wp14:editId="0EE5EA45">
                <wp:simplePos x="0" y="0"/>
                <wp:positionH relativeFrom="margin">
                  <wp:posOffset>3228051</wp:posOffset>
                </wp:positionH>
                <wp:positionV relativeFrom="paragraph">
                  <wp:posOffset>1604703</wp:posOffset>
                </wp:positionV>
                <wp:extent cx="2690495" cy="186690"/>
                <wp:effectExtent l="0" t="0" r="0" b="3810"/>
                <wp:wrapSquare wrapText="bothSides"/>
                <wp:docPr id="261023141" name="文本框 1"/>
                <wp:cNvGraphicFramePr/>
                <a:graphic xmlns:a="http://schemas.openxmlformats.org/drawingml/2006/main">
                  <a:graphicData uri="http://schemas.microsoft.com/office/word/2010/wordprocessingShape">
                    <wps:wsp>
                      <wps:cNvSpPr txBox="1"/>
                      <wps:spPr>
                        <a:xfrm>
                          <a:off x="0" y="0"/>
                          <a:ext cx="2690495" cy="186690"/>
                        </a:xfrm>
                        <a:prstGeom prst="rect">
                          <a:avLst/>
                        </a:prstGeom>
                        <a:solidFill>
                          <a:prstClr val="white"/>
                        </a:solidFill>
                        <a:ln>
                          <a:noFill/>
                        </a:ln>
                      </wps:spPr>
                      <wps:txbx>
                        <w:txbxContent>
                          <w:p w14:paraId="446E9A62" w14:textId="10CD8AE1" w:rsidR="00894069" w:rsidRPr="00CC16A7" w:rsidRDefault="00894069" w:rsidP="00894069">
                            <w:pPr>
                              <w:pStyle w:val="ad"/>
                              <w:ind w:right="400"/>
                              <w:jc w:val="center"/>
                              <w:rPr>
                                <w:rFonts w:ascii="Times New Roman" w:eastAsia="Times New Roman" w:hAnsi="Times New Roman" w:cs="Times New Roman"/>
                                <w:noProof/>
                              </w:rPr>
                            </w:pPr>
                            <w:r w:rsidRPr="00CC16A7">
                              <w:rPr>
                                <w:rFonts w:ascii="Times New Roman" w:hAnsi="Times New Roman" w:cs="Times New Roman"/>
                              </w:rPr>
                              <w:t>Figure</w:t>
                            </w:r>
                            <w:r w:rsidRPr="00CC16A7">
                              <w:rPr>
                                <w:rFonts w:ascii="Times New Roman" w:hAnsi="Times New Roman" w:cs="Times New Roman"/>
                              </w:rPr>
                              <w:fldChar w:fldCharType="begin"/>
                            </w:r>
                            <w:r w:rsidRPr="00CC16A7">
                              <w:rPr>
                                <w:rFonts w:ascii="Times New Roman" w:hAnsi="Times New Roman" w:cs="Times New Roman"/>
                              </w:rPr>
                              <w:instrText xml:space="preserve"> SEQ Figure \* ARABIC </w:instrText>
                            </w:r>
                            <w:r w:rsidRPr="00CC16A7">
                              <w:rPr>
                                <w:rFonts w:ascii="Times New Roman" w:hAnsi="Times New Roman" w:cs="Times New Roman"/>
                              </w:rPr>
                              <w:fldChar w:fldCharType="separate"/>
                            </w:r>
                            <w:r>
                              <w:rPr>
                                <w:rFonts w:ascii="Times New Roman" w:hAnsi="Times New Roman" w:cs="Times New Roman"/>
                                <w:noProof/>
                              </w:rPr>
                              <w:t>1</w:t>
                            </w:r>
                            <w:r w:rsidRPr="00CC16A7">
                              <w:rPr>
                                <w:rFonts w:ascii="Times New Roman" w:hAnsi="Times New Roman" w:cs="Times New Roman"/>
                              </w:rPr>
                              <w:fldChar w:fldCharType="end"/>
                            </w:r>
                            <w:r w:rsidRPr="00CC16A7">
                              <w:rPr>
                                <w:rFonts w:ascii="Times New Roman" w:hAnsi="Times New Roman" w:cs="Times New Roman"/>
                              </w:rPr>
                              <w:t>:</w:t>
                            </w:r>
                            <w:r w:rsidRPr="00272EB7">
                              <w:t xml:space="preserve"> </w:t>
                            </w:r>
                            <w:r w:rsidRPr="00894069">
                              <w:rPr>
                                <w:rFonts w:ascii="Times New Roman" w:hAnsi="Times New Roman" w:cs="Times New Roman"/>
                              </w:rPr>
                              <w:t>The "Sweater Simulation Technology"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C32DB2" id="_x0000_t202" coordsize="21600,21600" o:spt="202" path="m,l,21600r21600,l21600,xe">
                <v:stroke joinstyle="miter"/>
                <v:path gradientshapeok="t" o:connecttype="rect"/>
              </v:shapetype>
              <v:shape id="文本框 1" o:spid="_x0000_s1026" type="#_x0000_t202" style="position:absolute;left:0;text-align:left;margin-left:254.2pt;margin-top:126.35pt;width:211.85pt;height:14.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" stroked="f">
                <v:textbox inset="0,0,0,0">
                  <w:txbxContent>
                    <w:p w14:paraId="446E9A62" w14:textId="10CD8AE1" w:rsidR="00894069" w:rsidRPr="00CC16A7" w:rsidRDefault="00894069" w:rsidP="00894069">
                      <w:pPr>
                        <w:pStyle w:val="ad"/>
                        <w:ind w:right="400"/>
                        <w:jc w:val="center"/>
                        <w:rPr>
                          <w:rFonts w:ascii="Times New Roman" w:eastAsia="Times New Roman" w:hAnsi="Times New Roman" w:cs="Times New Roman"/>
                          <w:noProof/>
                        </w:rPr>
                      </w:pPr>
                      <w:r w:rsidRPr="00CC16A7">
                        <w:rPr>
                          <w:rFonts w:ascii="Times New Roman" w:hAnsi="Times New Roman" w:cs="Times New Roman"/>
                        </w:rPr>
                        <w:t>Figure</w:t>
                      </w:r>
                      <w:r w:rsidRPr="00CC16A7">
                        <w:rPr>
                          <w:rFonts w:ascii="Times New Roman" w:hAnsi="Times New Roman" w:cs="Times New Roman"/>
                        </w:rPr>
                        <w:fldChar w:fldCharType="begin"/>
                      </w:r>
                      <w:r w:rsidRPr="00CC16A7">
                        <w:rPr>
                          <w:rFonts w:ascii="Times New Roman" w:hAnsi="Times New Roman" w:cs="Times New Roman"/>
                        </w:rPr>
                        <w:instrText xml:space="preserve"> SEQ Figure \* ARABIC </w:instrText>
                      </w:r>
                      <w:r w:rsidRPr="00CC16A7">
                        <w:rPr>
                          <w:rFonts w:ascii="Times New Roman" w:hAnsi="Times New Roman" w:cs="Times New Roman"/>
                        </w:rPr>
                        <w:fldChar w:fldCharType="separate"/>
                      </w:r>
                      <w:r>
                        <w:rPr>
                          <w:rFonts w:ascii="Times New Roman" w:hAnsi="Times New Roman" w:cs="Times New Roman"/>
                          <w:noProof/>
                        </w:rPr>
                        <w:t>1</w:t>
                      </w:r>
                      <w:r w:rsidRPr="00CC16A7">
                        <w:rPr>
                          <w:rFonts w:ascii="Times New Roman" w:hAnsi="Times New Roman" w:cs="Times New Roman"/>
                        </w:rPr>
                        <w:fldChar w:fldCharType="end"/>
                      </w:r>
                      <w:r w:rsidRPr="00CC16A7">
                        <w:rPr>
                          <w:rFonts w:ascii="Times New Roman" w:hAnsi="Times New Roman" w:cs="Times New Roman"/>
                        </w:rPr>
                        <w:t>:</w:t>
                      </w:r>
                      <w:r w:rsidRPr="00272EB7">
                        <w:t xml:space="preserve"> </w:t>
                      </w:r>
                      <w:r w:rsidRPr="00894069">
                        <w:rPr>
                          <w:rFonts w:ascii="Times New Roman" w:hAnsi="Times New Roman" w:cs="Times New Roman"/>
                        </w:rPr>
                        <w:t>The "Sweater Simulation Technology"</w:t>
                      </w:r>
                    </w:p>
                  </w:txbxContent>
                </v:textbox>
                <w10:wrap type="square" anchorx="margin"/>
              </v:shape>
            </w:pict>
          </mc:Fallback>
        </mc:AlternateContent>
      </w:r>
      <w:r>
        <w:rPr>
          <w:noProof/>
        </w:rPr>
        <w:drawing>
          <wp:anchor distT="0" distB="0" distL="114300" distR="114300" simplePos="0" relativeHeight="251658240" behindDoc="0" locked="0" layoutInCell="1" allowOverlap="1" wp14:anchorId="3E9790DF" wp14:editId="566FFB8F">
            <wp:simplePos x="0" y="0"/>
            <wp:positionH relativeFrom="margin">
              <wp:posOffset>3203575</wp:posOffset>
            </wp:positionH>
            <wp:positionV relativeFrom="paragraph">
              <wp:posOffset>104140</wp:posOffset>
            </wp:positionV>
            <wp:extent cx="2524760" cy="1422400"/>
            <wp:effectExtent l="0" t="0" r="8890" b="6350"/>
            <wp:wrapSquare wrapText="bothSides"/>
            <wp:docPr id="129388920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24760" cy="1422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32CC">
        <w:t>The most challenging type of CGI clothing to create is the sweater. This is because the physical deformation of a sweater involves very complex microscopic physical interactions. Unless the simulation program is detailed down to every thread end, it is impossible to simulate the true fabric shape of the sweater.</w:t>
      </w:r>
    </w:p>
    <w:p w14:paraId="5EE896C7" w14:textId="7F360C33" w:rsidR="00AE32CC" w:rsidRPr="004C2856" w:rsidRDefault="00AE32CC" w:rsidP="004C2856">
      <w:pPr>
        <w:pStyle w:val="aa"/>
        <w:ind w:firstLine="480"/>
        <w:rPr>
          <w:rFonts w:eastAsiaTheme="minorEastAsia"/>
        </w:rPr>
      </w:pPr>
      <w:r>
        <w:t xml:space="preserve">And Alita precisely chose to wear one item when she made her appearance - a sweater. The "sweater simulation technology" originated from a paper published in SIGGRAPH 2017 by Chinese scientist Jiang </w:t>
      </w:r>
      <w:proofErr w:type="spellStart"/>
      <w:r>
        <w:t>Chenfanfu</w:t>
      </w:r>
      <w:proofErr w:type="spellEnd"/>
      <w:r>
        <w:t xml:space="preserve"> and others in collaboration.</w:t>
      </w:r>
    </w:p>
    <w:p w14:paraId="77978BC9" w14:textId="77777777" w:rsidR="00CA7024" w:rsidRDefault="00CA7024" w:rsidP="00AE32CC">
      <w:pPr>
        <w:pStyle w:val="aa"/>
        <w:ind w:firstLine="480"/>
        <w:rPr>
          <w:rFonts w:eastAsiaTheme="minorEastAsia"/>
        </w:rPr>
      </w:pPr>
    </w:p>
    <w:p w14:paraId="3B2A52C4" w14:textId="600485EC" w:rsidR="00277CC1" w:rsidRDefault="00885DC4" w:rsidP="00AE32CC">
      <w:pPr>
        <w:pStyle w:val="aa"/>
        <w:ind w:firstLine="480"/>
        <w:rPr>
          <w:rFonts w:ascii="Arial" w:hAnsi="Arial" w:cs="Arial"/>
        </w:rPr>
      </w:pPr>
      <w:r>
        <w:rPr>
          <w:rFonts w:eastAsiaTheme="minorEastAsia" w:hint="eastAsia"/>
        </w:rPr>
        <w:t>-</w:t>
      </w:r>
      <w:r w:rsidR="00894069">
        <w:rPr>
          <w:noProof/>
        </w:rPr>
        <mc:AlternateContent>
          <mc:Choice Requires="wps">
            <w:drawing>
              <wp:anchor distT="0" distB="0" distL="114300" distR="114300" simplePos="0" relativeHeight="251663360" behindDoc="0" locked="0" layoutInCell="1" allowOverlap="1" wp14:anchorId="73B40CE8" wp14:editId="00C8CEE9">
                <wp:simplePos x="0" y="0"/>
                <wp:positionH relativeFrom="margin">
                  <wp:posOffset>3182831</wp:posOffset>
                </wp:positionH>
                <wp:positionV relativeFrom="paragraph">
                  <wp:posOffset>1936962</wp:posOffset>
                </wp:positionV>
                <wp:extent cx="2769870" cy="236855"/>
                <wp:effectExtent l="0" t="0" r="0" b="0"/>
                <wp:wrapSquare wrapText="bothSides"/>
                <wp:docPr id="1185504184" name="文本框 1"/>
                <wp:cNvGraphicFramePr/>
                <a:graphic xmlns:a="http://schemas.openxmlformats.org/drawingml/2006/main">
                  <a:graphicData uri="http://schemas.microsoft.com/office/word/2010/wordprocessingShape">
                    <wps:wsp>
                      <wps:cNvSpPr txBox="1"/>
                      <wps:spPr>
                        <a:xfrm>
                          <a:off x="0" y="0"/>
                          <a:ext cx="2769870" cy="236855"/>
                        </a:xfrm>
                        <a:prstGeom prst="rect">
                          <a:avLst/>
                        </a:prstGeom>
                        <a:solidFill>
                          <a:prstClr val="white"/>
                        </a:solidFill>
                        <a:ln>
                          <a:noFill/>
                        </a:ln>
                      </wps:spPr>
                      <wps:txbx>
                        <w:txbxContent>
                          <w:p w14:paraId="3B75DD2C" w14:textId="24B2CAAB" w:rsidR="00894069" w:rsidRPr="00CC16A7" w:rsidRDefault="00894069" w:rsidP="00894069">
                            <w:pPr>
                              <w:pStyle w:val="ad"/>
                              <w:ind w:right="400"/>
                              <w:jc w:val="center"/>
                              <w:rPr>
                                <w:rFonts w:ascii="Times New Roman" w:eastAsia="Times New Roman" w:hAnsi="Times New Roman" w:cs="Times New Roman"/>
                                <w:noProof/>
                              </w:rPr>
                            </w:pPr>
                            <w:r w:rsidRPr="00CC16A7">
                              <w:rPr>
                                <w:rFonts w:ascii="Times New Roman" w:hAnsi="Times New Roman" w:cs="Times New Roman"/>
                              </w:rPr>
                              <w:t>Figure</w:t>
                            </w:r>
                            <w:r>
                              <w:rPr>
                                <w:rFonts w:ascii="Times New Roman" w:hAnsi="Times New Roman" w:cs="Times New Roman" w:hint="eastAsia"/>
                              </w:rPr>
                              <w:t>2</w:t>
                            </w:r>
                            <w:r w:rsidRPr="00CC16A7">
                              <w:rPr>
                                <w:rFonts w:ascii="Times New Roman" w:hAnsi="Times New Roman" w:cs="Times New Roman"/>
                              </w:rPr>
                              <w:t>:</w:t>
                            </w:r>
                            <w:r w:rsidRPr="00272EB7">
                              <w:t xml:space="preserve"> </w:t>
                            </w:r>
                            <w:r w:rsidRPr="00894069">
                              <w:rPr>
                                <w:rFonts w:ascii="Times New Roman" w:hAnsi="Times New Roman" w:cs="Times New Roman"/>
                              </w:rPr>
                              <w:t>Modeling of Discrete Elastic Rods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40CE8" id="_x0000_s1027" type="#_x0000_t202" style="position:absolute;left:0;text-align:left;margin-left:250.6pt;margin-top:152.5pt;width:218.1pt;height:18.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" stroked="f">
                <v:textbox inset="0,0,0,0">
                  <w:txbxContent>
                    <w:p w14:paraId="3B75DD2C" w14:textId="24B2CAAB" w:rsidR="00894069" w:rsidRPr="00CC16A7" w:rsidRDefault="00894069" w:rsidP="00894069">
                      <w:pPr>
                        <w:pStyle w:val="ad"/>
                        <w:ind w:right="400"/>
                        <w:jc w:val="center"/>
                        <w:rPr>
                          <w:rFonts w:ascii="Times New Roman" w:eastAsia="Times New Roman" w:hAnsi="Times New Roman" w:cs="Times New Roman"/>
                          <w:noProof/>
                        </w:rPr>
                      </w:pPr>
                      <w:r w:rsidRPr="00CC16A7">
                        <w:rPr>
                          <w:rFonts w:ascii="Times New Roman" w:hAnsi="Times New Roman" w:cs="Times New Roman"/>
                        </w:rPr>
                        <w:t>Figure</w:t>
                      </w:r>
                      <w:r>
                        <w:rPr>
                          <w:rFonts w:ascii="Times New Roman" w:hAnsi="Times New Roman" w:cs="Times New Roman" w:hint="eastAsia"/>
                        </w:rPr>
                        <w:t>2</w:t>
                      </w:r>
                      <w:r w:rsidRPr="00CC16A7">
                        <w:rPr>
                          <w:rFonts w:ascii="Times New Roman" w:hAnsi="Times New Roman" w:cs="Times New Roman"/>
                        </w:rPr>
                        <w:t>:</w:t>
                      </w:r>
                      <w:r w:rsidRPr="00272EB7">
                        <w:t xml:space="preserve"> </w:t>
                      </w:r>
                      <w:r w:rsidRPr="00894069">
                        <w:rPr>
                          <w:rFonts w:ascii="Times New Roman" w:hAnsi="Times New Roman" w:cs="Times New Roman"/>
                        </w:rPr>
                        <w:t>Modeling of Discrete Elastic Rods</w:t>
                      </w:r>
                    </w:p>
                  </w:txbxContent>
                </v:textbox>
                <w10:wrap type="square" anchorx="margin"/>
              </v:shape>
            </w:pict>
          </mc:Fallback>
        </mc:AlternateContent>
      </w:r>
      <w:r w:rsidR="00894069">
        <w:rPr>
          <w:noProof/>
        </w:rPr>
        <w:drawing>
          <wp:anchor distT="0" distB="0" distL="114300" distR="114300" simplePos="0" relativeHeight="251661312" behindDoc="0" locked="0" layoutInCell="1" allowOverlap="1" wp14:anchorId="21C41B83" wp14:editId="0BDA8B91">
            <wp:simplePos x="0" y="0"/>
            <wp:positionH relativeFrom="margin">
              <wp:align>right</wp:align>
            </wp:positionH>
            <wp:positionV relativeFrom="paragraph">
              <wp:posOffset>372110</wp:posOffset>
            </wp:positionV>
            <wp:extent cx="2526030" cy="1397000"/>
            <wp:effectExtent l="0" t="0" r="7620" b="0"/>
            <wp:wrapSquare wrapText="bothSides"/>
            <wp:docPr id="212602535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26030" cy="1397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32CC">
        <w:t>Apart from sweaters, hair soaked in water is also one of the key points in the construction of character models. "Hair simulation" and "liquid simulation" play a crucial role in creating the realism of film special effects. There is a scene in the movie where Alita jumps deep into the water and finds the "Berserker Armor" on the underwater warship. The interaction between hair and liquid is a physical phenomenon that spans multiple spatial scales. When hair is completely immersed in liquid, it presents as a porous medium and can exert a dragging effect on the flow of the surrounding liquid. When the hair is pulled out of the liquid, a certain amount of liquid will adhere to the hair. This liquid will flow along the hair bundle and eventually drip off. At the same time, not only do damp hairs collide with each other, but the liquid on the surface also forms liquid Bridges. The surface tension effect can cause the hairs to clump together. By calculating the dragging force between the underwater hair and the surrounding fluid, the effect of mutual dragging between the hair and the liquid can be generated. Finally, a set of algorithms is established to simulate the process in which large pieces of liquid are captured by hair to become thin layers of liquid, as well as the confluence and dripping of thin layers of liquid to form large pieces of liquid.</w:t>
      </w:r>
    </w:p>
    <w:p w14:paraId="55775EEA" w14:textId="3A1DE26C" w:rsidR="00AE32CC" w:rsidRDefault="00AE32CC" w:rsidP="00AE32CC">
      <w:pPr>
        <w:pStyle w:val="1"/>
        <w:rPr>
          <w:rFonts w:eastAsiaTheme="minorEastAsia"/>
          <w:lang w:val="en-GB"/>
        </w:rPr>
      </w:pPr>
      <w:bookmarkStart w:id="9" w:name="_Toc196739336"/>
      <w:r>
        <w:t xml:space="preserve">3. </w:t>
      </w:r>
      <w:r w:rsidRPr="00AE32CC">
        <w:rPr>
          <w:lang w:val="en-GB"/>
        </w:rPr>
        <w:t>Analysis of lens professionalism and key budget investment</w:t>
      </w:r>
      <w:bookmarkEnd w:id="9"/>
    </w:p>
    <w:p w14:paraId="631AD552" w14:textId="177685FB" w:rsidR="00E8631B" w:rsidRDefault="00AE32CC" w:rsidP="00E8631B">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i/>
          <w:iCs/>
          <w:sz w:val="24"/>
          <w:szCs w:val="24"/>
          <w:lang w:val="en-GB"/>
        </w:rPr>
        <w:t>Alita: Battle Angel</w:t>
      </w:r>
      <w:r w:rsidRPr="00AE32CC">
        <w:rPr>
          <w:rFonts w:ascii="Times New Roman" w:hAnsi="Times New Roman" w:cs="Times New Roman"/>
          <w:sz w:val="24"/>
          <w:szCs w:val="24"/>
          <w:lang w:val="en-GB"/>
        </w:rPr>
        <w:t xml:space="preserve"> (2019) adopted advanced Virtual Cinematography technology in its camera work, allowing the director to arrange the shots and move dynamically in real time in a digital environment. This approach enhances the spatial coherence and visual logic of the shots in complex action scenes (Zupancic, 2019). The </w:t>
      </w:r>
      <w:proofErr w:type="spellStart"/>
      <w:r w:rsidRPr="00AE32CC">
        <w:rPr>
          <w:rFonts w:ascii="Times New Roman" w:hAnsi="Times New Roman" w:cs="Times New Roman"/>
          <w:sz w:val="24"/>
          <w:szCs w:val="24"/>
          <w:lang w:val="en-GB"/>
        </w:rPr>
        <w:t>Simulcam</w:t>
      </w:r>
      <w:proofErr w:type="spellEnd"/>
      <w:r w:rsidRPr="00AE32CC">
        <w:rPr>
          <w:rFonts w:ascii="Times New Roman" w:hAnsi="Times New Roman" w:cs="Times New Roman"/>
          <w:sz w:val="24"/>
          <w:szCs w:val="24"/>
          <w:lang w:val="en-GB"/>
        </w:rPr>
        <w:t xml:space="preserve"> system developed by Lightstorm Entertainment supports superimposing CG character previews on physical sets to ensure the natural and smooth realism and speed of fight scenes (</w:t>
      </w:r>
      <w:proofErr w:type="spellStart"/>
      <w:r w:rsidRPr="00AE32CC">
        <w:rPr>
          <w:rFonts w:ascii="Times New Roman" w:hAnsi="Times New Roman" w:cs="Times New Roman"/>
          <w:sz w:val="24"/>
          <w:szCs w:val="24"/>
          <w:lang w:val="en-GB"/>
        </w:rPr>
        <w:t>Cinefex</w:t>
      </w:r>
      <w:proofErr w:type="spellEnd"/>
      <w:r w:rsidRPr="00AE32CC">
        <w:rPr>
          <w:rFonts w:ascii="Times New Roman" w:hAnsi="Times New Roman" w:cs="Times New Roman"/>
          <w:sz w:val="24"/>
          <w:szCs w:val="24"/>
          <w:lang w:val="en-GB"/>
        </w:rPr>
        <w:t xml:space="preserve">, 2019). For action scenes like </w:t>
      </w:r>
      <w:proofErr w:type="spellStart"/>
      <w:r w:rsidRPr="00AE32CC">
        <w:rPr>
          <w:rFonts w:ascii="Times New Roman" w:hAnsi="Times New Roman" w:cs="Times New Roman"/>
          <w:sz w:val="24"/>
          <w:szCs w:val="24"/>
          <w:lang w:val="en-GB"/>
        </w:rPr>
        <w:t>motorball</w:t>
      </w:r>
      <w:proofErr w:type="spellEnd"/>
      <w:r w:rsidRPr="00AE32CC">
        <w:rPr>
          <w:rFonts w:ascii="Times New Roman" w:hAnsi="Times New Roman" w:cs="Times New Roman"/>
          <w:sz w:val="24"/>
          <w:szCs w:val="24"/>
          <w:lang w:val="en-GB"/>
        </w:rPr>
        <w:t xml:space="preserve"> events, the film employs high-speed flying shots, rapid editing and dynamic tracking technology to enhance the tension of the visuals. The motion trajectory and character position of each shot were precisely planned through the pre-visualization (Previs) stage to achieve the unity of action coherence and entertainment value (McClean, 2016).</w:t>
      </w:r>
    </w:p>
    <w:p w14:paraId="4B14BDA5" w14:textId="03C9AF50" w:rsidR="00971592" w:rsidRDefault="00AE32CC" w:rsidP="00AE32CC">
      <w:pPr>
        <w:spacing w:line="360" w:lineRule="auto"/>
        <w:ind w:firstLineChars="200" w:firstLine="480"/>
      </w:pPr>
      <w:r w:rsidRPr="00AE32CC">
        <w:rPr>
          <w:rFonts w:ascii="Times New Roman" w:hAnsi="Times New Roman" w:cs="Times New Roman"/>
          <w:sz w:val="24"/>
          <w:szCs w:val="24"/>
          <w:lang w:val="en-GB"/>
        </w:rPr>
        <w:t>During the production of "Alita: Battle Angel", the budget was mainly focused on visual effects, motion capture, virtual shooting technology and post-production. The overall production budget of the film is approximately 150 to 200 million US dollars. It is a typical high-investment science fiction work (Box Office Mojo, 2019).</w:t>
      </w:r>
      <w:r w:rsidR="00971592" w:rsidRPr="00971592">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49"/>
        <w:gridCol w:w="2358"/>
        <w:gridCol w:w="2719"/>
      </w:tblGrid>
      <w:tr w:rsidR="0029003D" w:rsidRPr="0029003D" w14:paraId="5955ADC7" w14:textId="77777777" w:rsidTr="0029003D">
        <w:trPr>
          <w:tblHeader/>
          <w:tblCellSpacing w:w="15" w:type="dxa"/>
        </w:trPr>
        <w:tc>
          <w:tcPr>
            <w:tcW w:w="0" w:type="auto"/>
            <w:vAlign w:val="center"/>
            <w:hideMark/>
          </w:tcPr>
          <w:p w14:paraId="76597639" w14:textId="34038BDD" w:rsidR="0029003D" w:rsidRPr="0029003D" w:rsidRDefault="0029003D" w:rsidP="0029003D">
            <w:pPr>
              <w:spacing w:line="360" w:lineRule="auto"/>
              <w:ind w:firstLineChars="200" w:firstLine="420"/>
              <w:rPr>
                <w:b/>
                <w:bCs/>
                <w:color w:val="000000" w:themeColor="text1"/>
              </w:rPr>
            </w:pPr>
            <w:r w:rsidRPr="0029003D">
              <w:rPr>
                <w:b/>
                <w:bCs/>
                <w:color w:val="000000" w:themeColor="text1"/>
              </w:rPr>
              <w:t>Cost Component</w:t>
            </w:r>
          </w:p>
        </w:tc>
        <w:tc>
          <w:tcPr>
            <w:tcW w:w="0" w:type="auto"/>
            <w:vAlign w:val="center"/>
            <w:hideMark/>
          </w:tcPr>
          <w:p w14:paraId="61196829" w14:textId="2D65C5F6" w:rsidR="0029003D" w:rsidRPr="0029003D" w:rsidRDefault="0029003D" w:rsidP="0029003D">
            <w:pPr>
              <w:spacing w:line="360" w:lineRule="auto"/>
              <w:ind w:firstLineChars="200" w:firstLine="420"/>
              <w:rPr>
                <w:b/>
                <w:bCs/>
                <w:color w:val="000000" w:themeColor="text1"/>
              </w:rPr>
            </w:pPr>
            <w:r w:rsidRPr="0029003D">
              <w:rPr>
                <w:b/>
                <w:bCs/>
                <w:color w:val="000000" w:themeColor="text1"/>
              </w:rPr>
              <w:t>Unit Cost Estimate</w:t>
            </w:r>
          </w:p>
        </w:tc>
        <w:tc>
          <w:tcPr>
            <w:tcW w:w="0" w:type="auto"/>
            <w:vAlign w:val="center"/>
            <w:hideMark/>
          </w:tcPr>
          <w:p w14:paraId="26BDC5B0" w14:textId="77777777" w:rsidR="0029003D" w:rsidRPr="0029003D" w:rsidRDefault="0029003D" w:rsidP="0029003D">
            <w:pPr>
              <w:spacing w:line="360" w:lineRule="auto"/>
              <w:rPr>
                <w:b/>
                <w:bCs/>
                <w:color w:val="000000" w:themeColor="text1"/>
              </w:rPr>
            </w:pPr>
            <w:r w:rsidRPr="0029003D">
              <w:rPr>
                <w:b/>
                <w:bCs/>
                <w:color w:val="000000" w:themeColor="text1"/>
              </w:rPr>
              <w:t>10-Second Segment Cost (24 fps)</w:t>
            </w:r>
          </w:p>
        </w:tc>
      </w:tr>
      <w:tr w:rsidR="0029003D" w:rsidRPr="0029003D" w14:paraId="732F585C" w14:textId="77777777" w:rsidTr="0029003D">
        <w:trPr>
          <w:tblCellSpacing w:w="15" w:type="dxa"/>
        </w:trPr>
        <w:tc>
          <w:tcPr>
            <w:tcW w:w="0" w:type="auto"/>
            <w:vAlign w:val="center"/>
            <w:hideMark/>
          </w:tcPr>
          <w:p w14:paraId="46F89804" w14:textId="77777777" w:rsidR="0029003D" w:rsidRPr="0029003D" w:rsidRDefault="0029003D" w:rsidP="0029003D">
            <w:pPr>
              <w:spacing w:line="360" w:lineRule="auto"/>
              <w:rPr>
                <w:color w:val="000000" w:themeColor="text1"/>
              </w:rPr>
            </w:pPr>
            <w:r w:rsidRPr="0029003D">
              <w:rPr>
                <w:b/>
                <w:bCs/>
                <w:color w:val="000000" w:themeColor="text1"/>
              </w:rPr>
              <w:t>Character Animation (incl. facial + motion capture)</w:t>
            </w:r>
          </w:p>
        </w:tc>
        <w:tc>
          <w:tcPr>
            <w:tcW w:w="0" w:type="auto"/>
            <w:vAlign w:val="center"/>
            <w:hideMark/>
          </w:tcPr>
          <w:p w14:paraId="49EC9A6F" w14:textId="77777777" w:rsidR="0029003D" w:rsidRPr="0029003D" w:rsidRDefault="0029003D" w:rsidP="0029003D">
            <w:pPr>
              <w:spacing w:line="360" w:lineRule="auto"/>
              <w:ind w:firstLineChars="200" w:firstLine="420"/>
              <w:rPr>
                <w:color w:val="000000" w:themeColor="text1"/>
              </w:rPr>
            </w:pPr>
            <w:r w:rsidRPr="0029003D">
              <w:rPr>
                <w:color w:val="000000" w:themeColor="text1"/>
              </w:rPr>
              <w:t>$20,000–$30,000/second</w:t>
            </w:r>
          </w:p>
        </w:tc>
        <w:tc>
          <w:tcPr>
            <w:tcW w:w="0" w:type="auto"/>
            <w:vAlign w:val="center"/>
            <w:hideMark/>
          </w:tcPr>
          <w:p w14:paraId="14ED6B05" w14:textId="77777777" w:rsidR="0029003D" w:rsidRPr="0029003D" w:rsidRDefault="0029003D" w:rsidP="0029003D">
            <w:pPr>
              <w:spacing w:line="360" w:lineRule="auto"/>
              <w:ind w:firstLineChars="200" w:firstLine="420"/>
              <w:rPr>
                <w:color w:val="000000" w:themeColor="text1"/>
              </w:rPr>
            </w:pPr>
            <w:r w:rsidRPr="0029003D">
              <w:rPr>
                <w:color w:val="000000" w:themeColor="text1"/>
              </w:rPr>
              <w:t>$200,000–$300,000</w:t>
            </w:r>
          </w:p>
        </w:tc>
      </w:tr>
      <w:tr w:rsidR="0029003D" w:rsidRPr="0029003D" w14:paraId="322019A8" w14:textId="77777777" w:rsidTr="0029003D">
        <w:trPr>
          <w:tblCellSpacing w:w="15" w:type="dxa"/>
        </w:trPr>
        <w:tc>
          <w:tcPr>
            <w:tcW w:w="0" w:type="auto"/>
            <w:vAlign w:val="center"/>
            <w:hideMark/>
          </w:tcPr>
          <w:p w14:paraId="7A5DAE70" w14:textId="77777777" w:rsidR="0029003D" w:rsidRPr="0029003D" w:rsidRDefault="0029003D" w:rsidP="0029003D">
            <w:pPr>
              <w:spacing w:line="360" w:lineRule="auto"/>
              <w:rPr>
                <w:color w:val="000000" w:themeColor="text1"/>
              </w:rPr>
            </w:pPr>
            <w:r w:rsidRPr="0029003D">
              <w:rPr>
                <w:b/>
                <w:bCs/>
                <w:color w:val="000000" w:themeColor="text1"/>
              </w:rPr>
              <w:t>Environment Modeling &amp; Interactive Effects</w:t>
            </w:r>
          </w:p>
        </w:tc>
        <w:tc>
          <w:tcPr>
            <w:tcW w:w="0" w:type="auto"/>
            <w:vAlign w:val="center"/>
            <w:hideMark/>
          </w:tcPr>
          <w:p w14:paraId="76FA09FA" w14:textId="77777777" w:rsidR="0029003D" w:rsidRPr="0029003D" w:rsidRDefault="0029003D" w:rsidP="0029003D">
            <w:pPr>
              <w:spacing w:line="360" w:lineRule="auto"/>
              <w:ind w:firstLineChars="200" w:firstLine="420"/>
              <w:rPr>
                <w:color w:val="000000" w:themeColor="text1"/>
              </w:rPr>
            </w:pPr>
            <w:r w:rsidRPr="0029003D">
              <w:rPr>
                <w:color w:val="000000" w:themeColor="text1"/>
              </w:rPr>
              <w:t>$5,000–$10,000/second</w:t>
            </w:r>
          </w:p>
        </w:tc>
        <w:tc>
          <w:tcPr>
            <w:tcW w:w="0" w:type="auto"/>
            <w:vAlign w:val="center"/>
            <w:hideMark/>
          </w:tcPr>
          <w:p w14:paraId="715DAF6F" w14:textId="77777777" w:rsidR="0029003D" w:rsidRPr="0029003D" w:rsidRDefault="0029003D" w:rsidP="0029003D">
            <w:pPr>
              <w:spacing w:line="360" w:lineRule="auto"/>
              <w:ind w:firstLineChars="200" w:firstLine="420"/>
              <w:rPr>
                <w:color w:val="000000" w:themeColor="text1"/>
              </w:rPr>
            </w:pPr>
            <w:r w:rsidRPr="0029003D">
              <w:rPr>
                <w:color w:val="000000" w:themeColor="text1"/>
              </w:rPr>
              <w:t>$50,000–$100,000</w:t>
            </w:r>
          </w:p>
        </w:tc>
      </w:tr>
      <w:tr w:rsidR="0029003D" w:rsidRPr="0029003D" w14:paraId="001CADDA" w14:textId="77777777" w:rsidTr="0029003D">
        <w:trPr>
          <w:tblCellSpacing w:w="15" w:type="dxa"/>
        </w:trPr>
        <w:tc>
          <w:tcPr>
            <w:tcW w:w="0" w:type="auto"/>
            <w:vAlign w:val="center"/>
            <w:hideMark/>
          </w:tcPr>
          <w:p w14:paraId="1484FDE7" w14:textId="77777777" w:rsidR="0029003D" w:rsidRPr="0029003D" w:rsidRDefault="0029003D" w:rsidP="0029003D">
            <w:pPr>
              <w:spacing w:line="360" w:lineRule="auto"/>
              <w:rPr>
                <w:color w:val="000000" w:themeColor="text1"/>
              </w:rPr>
            </w:pPr>
            <w:r w:rsidRPr="0029003D">
              <w:rPr>
                <w:b/>
                <w:bCs/>
                <w:color w:val="000000" w:themeColor="text1"/>
              </w:rPr>
              <w:t>Rendering &amp; Lighting</w:t>
            </w:r>
          </w:p>
        </w:tc>
        <w:tc>
          <w:tcPr>
            <w:tcW w:w="0" w:type="auto"/>
            <w:vAlign w:val="center"/>
            <w:hideMark/>
          </w:tcPr>
          <w:p w14:paraId="4D0D3F6A" w14:textId="12561D8D" w:rsidR="0029003D" w:rsidRPr="0029003D" w:rsidRDefault="0029003D" w:rsidP="0029003D">
            <w:pPr>
              <w:spacing w:line="360" w:lineRule="auto"/>
              <w:ind w:firstLineChars="200" w:firstLine="420"/>
              <w:rPr>
                <w:color w:val="000000" w:themeColor="text1"/>
              </w:rPr>
            </w:pPr>
            <w:r w:rsidRPr="0029003D">
              <w:rPr>
                <w:color w:val="000000" w:themeColor="text1"/>
              </w:rPr>
              <w:t>$10,000–$20,000/second</w:t>
            </w:r>
          </w:p>
        </w:tc>
        <w:tc>
          <w:tcPr>
            <w:tcW w:w="0" w:type="auto"/>
            <w:vAlign w:val="center"/>
            <w:hideMark/>
          </w:tcPr>
          <w:p w14:paraId="10469DB4" w14:textId="77777777" w:rsidR="0029003D" w:rsidRPr="0029003D" w:rsidRDefault="0029003D" w:rsidP="0029003D">
            <w:pPr>
              <w:spacing w:line="360" w:lineRule="auto"/>
              <w:ind w:firstLineChars="200" w:firstLine="420"/>
              <w:rPr>
                <w:color w:val="000000" w:themeColor="text1"/>
              </w:rPr>
            </w:pPr>
            <w:r w:rsidRPr="0029003D">
              <w:rPr>
                <w:color w:val="000000" w:themeColor="text1"/>
              </w:rPr>
              <w:t>$100,000–$200,000</w:t>
            </w:r>
          </w:p>
        </w:tc>
      </w:tr>
      <w:tr w:rsidR="0029003D" w:rsidRPr="0029003D" w14:paraId="7C9EFDA0" w14:textId="77777777" w:rsidTr="0029003D">
        <w:trPr>
          <w:tblCellSpacing w:w="15" w:type="dxa"/>
        </w:trPr>
        <w:tc>
          <w:tcPr>
            <w:tcW w:w="0" w:type="auto"/>
            <w:vAlign w:val="center"/>
            <w:hideMark/>
          </w:tcPr>
          <w:p w14:paraId="67464528" w14:textId="6E25EB23" w:rsidR="0029003D" w:rsidRPr="0029003D" w:rsidRDefault="0029003D" w:rsidP="0029003D">
            <w:pPr>
              <w:spacing w:line="360" w:lineRule="auto"/>
              <w:ind w:firstLineChars="200" w:firstLine="420"/>
              <w:rPr>
                <w:color w:val="000000" w:themeColor="text1"/>
              </w:rPr>
            </w:pPr>
            <w:r w:rsidRPr="0029003D">
              <w:rPr>
                <w:b/>
                <w:bCs/>
                <w:color w:val="000000" w:themeColor="text1"/>
              </w:rPr>
              <w:t>Compositing &amp; Color Grading</w:t>
            </w:r>
          </w:p>
        </w:tc>
        <w:tc>
          <w:tcPr>
            <w:tcW w:w="0" w:type="auto"/>
            <w:vAlign w:val="center"/>
            <w:hideMark/>
          </w:tcPr>
          <w:p w14:paraId="0DD7FBE2" w14:textId="74834E82" w:rsidR="0029003D" w:rsidRPr="0029003D" w:rsidRDefault="0029003D" w:rsidP="0029003D">
            <w:pPr>
              <w:spacing w:line="360" w:lineRule="auto"/>
              <w:ind w:firstLineChars="200" w:firstLine="420"/>
              <w:rPr>
                <w:color w:val="000000" w:themeColor="text1"/>
              </w:rPr>
            </w:pPr>
            <w:r w:rsidRPr="0029003D">
              <w:rPr>
                <w:color w:val="000000" w:themeColor="text1"/>
              </w:rPr>
              <w:t>$3,000–$5,000/second</w:t>
            </w:r>
          </w:p>
        </w:tc>
        <w:tc>
          <w:tcPr>
            <w:tcW w:w="0" w:type="auto"/>
            <w:vAlign w:val="center"/>
            <w:hideMark/>
          </w:tcPr>
          <w:p w14:paraId="31E6C1A1" w14:textId="0E713BEF" w:rsidR="0029003D" w:rsidRPr="0029003D" w:rsidRDefault="0029003D" w:rsidP="0029003D">
            <w:pPr>
              <w:spacing w:line="360" w:lineRule="auto"/>
              <w:ind w:firstLineChars="200" w:firstLine="420"/>
              <w:rPr>
                <w:color w:val="000000" w:themeColor="text1"/>
              </w:rPr>
            </w:pPr>
            <w:r w:rsidRPr="0029003D">
              <w:rPr>
                <w:color w:val="000000" w:themeColor="text1"/>
              </w:rPr>
              <w:t>$30,000–$50,000</w:t>
            </w:r>
          </w:p>
        </w:tc>
      </w:tr>
    </w:tbl>
    <w:p w14:paraId="54E241F6" w14:textId="07195AE1" w:rsidR="00AE32CC" w:rsidRPr="0029003D" w:rsidRDefault="0029003D" w:rsidP="0029003D">
      <w:pPr>
        <w:spacing w:line="360" w:lineRule="auto"/>
        <w:ind w:firstLineChars="200" w:firstLine="420"/>
      </w:pPr>
      <w:r>
        <w:rPr>
          <w:noProof/>
        </w:rPr>
        <mc:AlternateContent>
          <mc:Choice Requires="wps">
            <w:drawing>
              <wp:anchor distT="0" distB="0" distL="114300" distR="114300" simplePos="0" relativeHeight="251664384" behindDoc="0" locked="0" layoutInCell="1" allowOverlap="1" wp14:anchorId="47A4D1C4" wp14:editId="1D4FFCF6">
                <wp:simplePos x="0" y="0"/>
                <wp:positionH relativeFrom="margin">
                  <wp:align>right</wp:align>
                </wp:positionH>
                <wp:positionV relativeFrom="paragraph">
                  <wp:posOffset>33110</wp:posOffset>
                </wp:positionV>
                <wp:extent cx="5728335" cy="179705"/>
                <wp:effectExtent l="0" t="0" r="5715" b="0"/>
                <wp:wrapSquare wrapText="bothSides"/>
                <wp:docPr id="564260839" name="文本框 1"/>
                <wp:cNvGraphicFramePr/>
                <a:graphic xmlns:a="http://schemas.openxmlformats.org/drawingml/2006/main">
                  <a:graphicData uri="http://schemas.microsoft.com/office/word/2010/wordprocessingShape">
                    <wps:wsp>
                      <wps:cNvSpPr txBox="1"/>
                      <wps:spPr>
                        <a:xfrm>
                          <a:off x="0" y="0"/>
                          <a:ext cx="5728335" cy="179705"/>
                        </a:xfrm>
                        <a:prstGeom prst="rect">
                          <a:avLst/>
                        </a:prstGeom>
                        <a:solidFill>
                          <a:prstClr val="white"/>
                        </a:solidFill>
                        <a:ln>
                          <a:noFill/>
                        </a:ln>
                      </wps:spPr>
                      <wps:txbx>
                        <w:txbxContent>
                          <w:p w14:paraId="4961C629" w14:textId="50F03450" w:rsidR="0029003D" w:rsidRPr="0029003D" w:rsidRDefault="0029003D" w:rsidP="0029003D">
                            <w:pPr>
                              <w:pStyle w:val="ad"/>
                              <w:ind w:right="400"/>
                              <w:jc w:val="center"/>
                              <w:rPr>
                                <w:rFonts w:ascii="Times New Roman" w:eastAsia="Times New Roman" w:hAnsi="Times New Roman" w:cs="Times New Roman"/>
                                <w:noProof/>
                              </w:rPr>
                            </w:pPr>
                            <w:r w:rsidRPr="0029003D">
                              <w:rPr>
                                <w:rFonts w:ascii="Times New Roman" w:hAnsi="Times New Roman" w:cs="Times New Roman"/>
                              </w:rPr>
                              <w:t>Figure</w:t>
                            </w:r>
                            <w:r w:rsidRPr="0029003D">
                              <w:rPr>
                                <w:rFonts w:ascii="Times New Roman" w:hAnsi="Times New Roman" w:cs="Times New Roman" w:hint="eastAsia"/>
                              </w:rPr>
                              <w:t>3</w:t>
                            </w:r>
                            <w:r w:rsidRPr="0029003D">
                              <w:rPr>
                                <w:rFonts w:ascii="Times New Roman" w:hAnsi="Times New Roman" w:cs="Times New Roman"/>
                              </w:rPr>
                              <w:t>:</w:t>
                            </w:r>
                            <w:r w:rsidRPr="0029003D">
                              <w:t xml:space="preserve"> </w:t>
                            </w:r>
                            <w:r w:rsidRPr="0029003D">
                              <w:rPr>
                                <w:rFonts w:ascii="Times New Roman" w:hAnsi="Times New Roman" w:cs="Times New Roman"/>
                              </w:rPr>
                              <w:t xml:space="preserve">“Underground Factory vs. </w:t>
                            </w:r>
                            <w:proofErr w:type="spellStart"/>
                            <w:r w:rsidRPr="0029003D">
                              <w:rPr>
                                <w:rFonts w:ascii="Times New Roman" w:hAnsi="Times New Roman" w:cs="Times New Roman"/>
                              </w:rPr>
                              <w:t>Grewishka</w:t>
                            </w:r>
                            <w:proofErr w:type="spellEnd"/>
                            <w:r w:rsidRPr="0029003D">
                              <w:rPr>
                                <w:rFonts w:ascii="Times New Roman" w:hAnsi="Times New Roman" w:cs="Times New Roman"/>
                              </w:rPr>
                              <w:t>” 10-second action segment cost breakdown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4D1C4" id="_x0000_s1028" type="#_x0000_t202" style="position:absolute;left:0;text-align:left;margin-left:399.85pt;margin-top:2.6pt;width:451.05pt;height:14.1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" stroked="f">
                <v:textbox inset="0,0,0,0">
                  <w:txbxContent>
                    <w:p w14:paraId="4961C629" w14:textId="50F03450" w:rsidR="0029003D" w:rsidRPr="0029003D" w:rsidRDefault="0029003D" w:rsidP="0029003D">
                      <w:pPr>
                        <w:pStyle w:val="ad"/>
                        <w:ind w:right="400"/>
                        <w:jc w:val="center"/>
                        <w:rPr>
                          <w:rFonts w:ascii="Times New Roman" w:eastAsia="Times New Roman" w:hAnsi="Times New Roman" w:cs="Times New Roman"/>
                          <w:noProof/>
                        </w:rPr>
                      </w:pPr>
                      <w:r w:rsidRPr="0029003D">
                        <w:rPr>
                          <w:rFonts w:ascii="Times New Roman" w:hAnsi="Times New Roman" w:cs="Times New Roman"/>
                        </w:rPr>
                        <w:t>Figure</w:t>
                      </w:r>
                      <w:r w:rsidRPr="0029003D">
                        <w:rPr>
                          <w:rFonts w:ascii="Times New Roman" w:hAnsi="Times New Roman" w:cs="Times New Roman" w:hint="eastAsia"/>
                        </w:rPr>
                        <w:t>3</w:t>
                      </w:r>
                      <w:r w:rsidRPr="0029003D">
                        <w:rPr>
                          <w:rFonts w:ascii="Times New Roman" w:hAnsi="Times New Roman" w:cs="Times New Roman"/>
                        </w:rPr>
                        <w:t>:</w:t>
                      </w:r>
                      <w:r w:rsidRPr="0029003D">
                        <w:t xml:space="preserve"> </w:t>
                      </w:r>
                      <w:r w:rsidRPr="0029003D">
                        <w:rPr>
                          <w:rFonts w:ascii="Times New Roman" w:hAnsi="Times New Roman" w:cs="Times New Roman"/>
                        </w:rPr>
                        <w:t xml:space="preserve">“Underground Factory vs. </w:t>
                      </w:r>
                      <w:proofErr w:type="spellStart"/>
                      <w:r w:rsidRPr="0029003D">
                        <w:rPr>
                          <w:rFonts w:ascii="Times New Roman" w:hAnsi="Times New Roman" w:cs="Times New Roman"/>
                        </w:rPr>
                        <w:t>Grewishka</w:t>
                      </w:r>
                      <w:proofErr w:type="spellEnd"/>
                      <w:r w:rsidRPr="0029003D">
                        <w:rPr>
                          <w:rFonts w:ascii="Times New Roman" w:hAnsi="Times New Roman" w:cs="Times New Roman"/>
                        </w:rPr>
                        <w:t>” 10-second action segment cost breakdown</w:t>
                      </w:r>
                    </w:p>
                  </w:txbxContent>
                </v:textbox>
                <w10:wrap type="square" anchorx="margin"/>
              </v:shape>
            </w:pict>
          </mc:Fallback>
        </mc:AlternateContent>
      </w:r>
      <w:r w:rsidR="00971592" w:rsidRPr="00971592">
        <w:rPr>
          <w:rFonts w:ascii="Times New Roman" w:hAnsi="Times New Roman" w:cs="Times New Roman"/>
          <w:sz w:val="24"/>
          <w:szCs w:val="24"/>
          <w:lang w:val="en-GB"/>
        </w:rPr>
        <w:t xml:space="preserve">In fact, the pre-production cycle of this film work was extremely long, demonstrating a rare depth of development in science fiction action films. As early as 2000, director James Cameron obtained the adaptation rights of the original work and initiated the script development in 2005, but it was postponed due to the "Avatar" project (Peters, 2019). The concept art was accomplished in collaboration between Weta Digital and Lightstorm Entertainment, covering character design, city </w:t>
      </w:r>
      <w:proofErr w:type="spellStart"/>
      <w:r w:rsidR="00971592" w:rsidRPr="00971592">
        <w:rPr>
          <w:rFonts w:ascii="Times New Roman" w:hAnsi="Times New Roman" w:cs="Times New Roman"/>
          <w:sz w:val="24"/>
          <w:szCs w:val="24"/>
          <w:lang w:val="en-GB"/>
        </w:rPr>
        <w:t>modeling</w:t>
      </w:r>
      <w:proofErr w:type="spellEnd"/>
      <w:r w:rsidR="00971592" w:rsidRPr="00971592">
        <w:rPr>
          <w:rFonts w:ascii="Times New Roman" w:hAnsi="Times New Roman" w:cs="Times New Roman"/>
          <w:sz w:val="24"/>
          <w:szCs w:val="24"/>
          <w:lang w:val="en-GB"/>
        </w:rPr>
        <w:t xml:space="preserve"> and motion scene design (Seymour, 2019). Technically, the team developed an advanced facial motion capture and virtual photography system to support the highly realistic CG performance of the protagonist Alita (Weta FX Insider, 2019). Casting and motion capture rehearsals were completed between 2015 and 2016, followed by asset </w:t>
      </w:r>
      <w:proofErr w:type="spellStart"/>
      <w:r w:rsidR="00971592" w:rsidRPr="00971592">
        <w:rPr>
          <w:rFonts w:ascii="Times New Roman" w:hAnsi="Times New Roman" w:cs="Times New Roman"/>
          <w:sz w:val="24"/>
          <w:szCs w:val="24"/>
          <w:lang w:val="en-GB"/>
        </w:rPr>
        <w:t>modeling</w:t>
      </w:r>
      <w:proofErr w:type="spellEnd"/>
      <w:r w:rsidR="00971592" w:rsidRPr="00971592">
        <w:rPr>
          <w:rFonts w:ascii="Times New Roman" w:hAnsi="Times New Roman" w:cs="Times New Roman"/>
          <w:sz w:val="24"/>
          <w:szCs w:val="24"/>
          <w:lang w:val="en-GB"/>
        </w:rPr>
        <w:t xml:space="preserve"> and 3D environment construction, which lasted for approximately two years (</w:t>
      </w:r>
      <w:proofErr w:type="spellStart"/>
      <w:r w:rsidR="00971592" w:rsidRPr="00971592">
        <w:rPr>
          <w:rFonts w:ascii="Times New Roman" w:hAnsi="Times New Roman" w:cs="Times New Roman"/>
          <w:sz w:val="24"/>
          <w:szCs w:val="24"/>
          <w:lang w:val="en-GB"/>
        </w:rPr>
        <w:t>Cinefex</w:t>
      </w:r>
      <w:proofErr w:type="spellEnd"/>
      <w:r w:rsidR="00971592" w:rsidRPr="00971592">
        <w:rPr>
          <w:rFonts w:ascii="Times New Roman" w:hAnsi="Times New Roman" w:cs="Times New Roman"/>
          <w:sz w:val="24"/>
          <w:szCs w:val="24"/>
          <w:lang w:val="en-GB"/>
        </w:rPr>
        <w:t>, 2019). The entire pre-production cycle exceeded ten years, with a concentrated period from 2015 to 2017, which was significantly longer than the development time of regular blockbusters.</w:t>
      </w:r>
    </w:p>
    <w:p w14:paraId="0B0A5146" w14:textId="77777777"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First of all, the visual effects (VFX) section accounts for the largest proportion of the production cost. The film was produced with visual effects by Weta Digital, involving approximately 2,600 special effects shots in total, a number far exceeding the number of shots used in the previous "Avatar". To achieve the expected level of detail, the production team employed approximately 30,000 computers and invested 550 million hours of rendering time, with an average rendering time of up to 500 hours per frame (</w:t>
      </w:r>
      <w:proofErr w:type="spellStart"/>
      <w:r w:rsidRPr="00AE32CC">
        <w:rPr>
          <w:rFonts w:ascii="Times New Roman" w:hAnsi="Times New Roman" w:cs="Times New Roman"/>
          <w:sz w:val="24"/>
          <w:szCs w:val="24"/>
          <w:lang w:val="en-GB"/>
        </w:rPr>
        <w:t>GCores</w:t>
      </w:r>
      <w:proofErr w:type="spellEnd"/>
      <w:r w:rsidRPr="00AE32CC">
        <w:rPr>
          <w:rFonts w:ascii="Times New Roman" w:hAnsi="Times New Roman" w:cs="Times New Roman"/>
          <w:sz w:val="24"/>
          <w:szCs w:val="24"/>
          <w:lang w:val="en-GB"/>
        </w:rPr>
        <w:t>, 2019). This investment ensured that the film achieved a breakthrough in terms of visual complexity and realism.</w:t>
      </w:r>
    </w:p>
    <w:p w14:paraId="1EFB386B" w14:textId="5C9A2784"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 xml:space="preserve">Secondly, motion capture and facial expression capture technologies have become important components of the budget. The facial animation </w:t>
      </w:r>
      <w:proofErr w:type="spellStart"/>
      <w:r w:rsidRPr="00AE32CC">
        <w:rPr>
          <w:rFonts w:ascii="Times New Roman" w:hAnsi="Times New Roman" w:cs="Times New Roman"/>
          <w:sz w:val="24"/>
          <w:szCs w:val="24"/>
          <w:lang w:val="en-GB"/>
        </w:rPr>
        <w:t>modeling</w:t>
      </w:r>
      <w:proofErr w:type="spellEnd"/>
      <w:r w:rsidRPr="00AE32CC">
        <w:rPr>
          <w:rFonts w:ascii="Times New Roman" w:hAnsi="Times New Roman" w:cs="Times New Roman"/>
          <w:sz w:val="24"/>
          <w:szCs w:val="24"/>
          <w:lang w:val="en-GB"/>
        </w:rPr>
        <w:t xml:space="preserve"> of the protagonist Alita has extremely high precision, including 132,000 hairs, 2,000 eyebrow</w:t>
      </w:r>
      <w:r w:rsidR="00923764">
        <w:rPr>
          <w:rFonts w:ascii="Times New Roman" w:hAnsi="Times New Roman" w:cs="Times New Roman" w:hint="eastAsia"/>
          <w:sz w:val="24"/>
          <w:szCs w:val="24"/>
          <w:lang w:val="en-GB"/>
        </w:rPr>
        <w:t xml:space="preserve"> hairs</w:t>
      </w:r>
      <w:r w:rsidRPr="00AE32CC">
        <w:rPr>
          <w:rFonts w:ascii="Times New Roman" w:hAnsi="Times New Roman" w:cs="Times New Roman"/>
          <w:sz w:val="24"/>
          <w:szCs w:val="24"/>
          <w:lang w:val="en-GB"/>
        </w:rPr>
        <w:t>, 480 eyelash</w:t>
      </w:r>
      <w:r w:rsidR="00923764">
        <w:rPr>
          <w:rFonts w:ascii="Times New Roman" w:hAnsi="Times New Roman" w:cs="Times New Roman" w:hint="eastAsia"/>
          <w:sz w:val="24"/>
          <w:szCs w:val="24"/>
          <w:lang w:val="en-GB"/>
        </w:rPr>
        <w:t>e</w:t>
      </w:r>
      <w:r w:rsidRPr="00AE32CC">
        <w:rPr>
          <w:rFonts w:ascii="Times New Roman" w:hAnsi="Times New Roman" w:cs="Times New Roman"/>
          <w:sz w:val="24"/>
          <w:szCs w:val="24"/>
          <w:lang w:val="en-GB"/>
        </w:rPr>
        <w:t>s and an iris composed of more than 8.3 million polygons (Sina.com, 2019). To ensure the authenticity of expression capture, the film extensively applied high-precision real-time capture devices to synchronously record facial and body movement data during shooting (</w:t>
      </w:r>
      <w:proofErr w:type="spellStart"/>
      <w:r w:rsidRPr="00AE32CC">
        <w:rPr>
          <w:rFonts w:ascii="Times New Roman" w:hAnsi="Times New Roman" w:cs="Times New Roman"/>
          <w:sz w:val="24"/>
          <w:szCs w:val="24"/>
          <w:lang w:val="en-GB"/>
        </w:rPr>
        <w:t>Cinefex</w:t>
      </w:r>
      <w:proofErr w:type="spellEnd"/>
      <w:r w:rsidRPr="00AE32CC">
        <w:rPr>
          <w:rFonts w:ascii="Times New Roman" w:hAnsi="Times New Roman" w:cs="Times New Roman"/>
          <w:sz w:val="24"/>
          <w:szCs w:val="24"/>
          <w:lang w:val="en-GB"/>
        </w:rPr>
        <w:t>, 2019).</w:t>
      </w:r>
    </w:p>
    <w:p w14:paraId="4BE6ED8E" w14:textId="77777777"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In terms of Virtual shooting and on-site setting, the production team adopted advanced Virtual Cinematography technology, enabling the director to preview and adjust the shot layout in real time in a digital environment (</w:t>
      </w:r>
      <w:proofErr w:type="spellStart"/>
      <w:r w:rsidRPr="00AE32CC">
        <w:rPr>
          <w:rFonts w:ascii="Times New Roman" w:hAnsi="Times New Roman" w:cs="Times New Roman"/>
          <w:sz w:val="24"/>
          <w:szCs w:val="24"/>
          <w:lang w:val="en-GB"/>
        </w:rPr>
        <w:t>Cinefex</w:t>
      </w:r>
      <w:proofErr w:type="spellEnd"/>
      <w:r w:rsidRPr="00AE32CC">
        <w:rPr>
          <w:rFonts w:ascii="Times New Roman" w:hAnsi="Times New Roman" w:cs="Times New Roman"/>
          <w:sz w:val="24"/>
          <w:szCs w:val="24"/>
          <w:lang w:val="en-GB"/>
        </w:rPr>
        <w:t>, 2019). Furthermore, to enhance the sense of reality, a 96,000-square-foot real-scene set was built in the Austin area of Texas for shooting scenes such as "Scrap Iron Town".</w:t>
      </w:r>
    </w:p>
    <w:p w14:paraId="714A66E7" w14:textId="77777777"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Post-production and sound effects and music also account for a considerable proportion of the budget investment. The sound effect design and mixing process of the film were completed by an experienced professional team to ensure the high consistency and immersion of the film in the audio-visual experience (Guangzhou Daily, 2019).</w:t>
      </w:r>
    </w:p>
    <w:p w14:paraId="0603049A" w14:textId="77777777"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Finally, the actors' salaries and basic shooting expenses are relatively controlled within a reasonable range. The leading actress Rosa Salazar and other core actors adopted a payment method combining partial remuneration and box office share, thereby reducing the pressure of pre-production without affecting the cast of the film (Deadline Hollywood, 2019).</w:t>
      </w:r>
    </w:p>
    <w:p w14:paraId="3189DB2D" w14:textId="33B39E85"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In conclusion, the high centralization and scientific allocation of the film budget have effectively enhanced the overall visual presentation and audience experience of the film while ensuring high-quality special effects and emotional expression.</w:t>
      </w:r>
    </w:p>
    <w:p w14:paraId="61B5F0C2" w14:textId="567AA22E" w:rsidR="00277CC1" w:rsidRDefault="00AE32CC" w:rsidP="00461126">
      <w:pPr>
        <w:pStyle w:val="1"/>
        <w:rPr>
          <w:rFonts w:eastAsiaTheme="minorEastAsia"/>
          <w:lang w:val="en-GB"/>
        </w:rPr>
      </w:pPr>
      <w:bookmarkStart w:id="10" w:name="_Toc196739337"/>
      <w:r>
        <w:rPr>
          <w:rFonts w:asciiTheme="minorEastAsia" w:eastAsiaTheme="minorEastAsia" w:hAnsiTheme="minorEastAsia" w:hint="eastAsia"/>
        </w:rPr>
        <w:t>4</w:t>
      </w:r>
      <w:r w:rsidR="00461126">
        <w:t>.</w:t>
      </w:r>
      <w:r w:rsidR="002325C9">
        <w:t xml:space="preserve"> </w:t>
      </w:r>
      <w:r w:rsidRPr="00AE32CC">
        <w:rPr>
          <w:lang w:val="en-GB"/>
        </w:rPr>
        <w:t>Professional analysis of the highlights</w:t>
      </w:r>
      <w:bookmarkEnd w:id="10"/>
      <w:r w:rsidRPr="00AE32CC">
        <w:rPr>
          <w:lang w:val="en-GB"/>
        </w:rPr>
        <w:t xml:space="preserve"> </w:t>
      </w:r>
    </w:p>
    <w:p w14:paraId="347EF84B" w14:textId="77777777"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 xml:space="preserve">In the underground factory battle scene of "Alita: Battle Angel", the combined difficulty of action design and visual effects reaches the peak of the film. Firstly, in terms of action choreography, this scene requires the protagonist Alita to confront the huge </w:t>
      </w:r>
      <w:proofErr w:type="spellStart"/>
      <w:r w:rsidRPr="00AE32CC">
        <w:rPr>
          <w:rFonts w:ascii="Times New Roman" w:hAnsi="Times New Roman" w:cs="Times New Roman"/>
          <w:sz w:val="24"/>
          <w:szCs w:val="24"/>
          <w:lang w:val="en-GB"/>
        </w:rPr>
        <w:t>Gruyshka</w:t>
      </w:r>
      <w:proofErr w:type="spellEnd"/>
      <w:r w:rsidRPr="00AE32CC">
        <w:rPr>
          <w:rFonts w:ascii="Times New Roman" w:hAnsi="Times New Roman" w:cs="Times New Roman"/>
          <w:sz w:val="24"/>
          <w:szCs w:val="24"/>
          <w:lang w:val="en-GB"/>
        </w:rPr>
        <w:t xml:space="preserve"> with diverse mechanical body movements in an extremely space-constrained environment with high flexibility. This heterogeneous confrontation mode poses extremely high requirements for the motion capture system, especially when Alita performs actions such as extreme dodging and aerial spinning attacks during high-speed movement. It is required that performance capture and the physics simulation system be highly coordinated (Seymour, 2019).</w:t>
      </w:r>
    </w:p>
    <w:p w14:paraId="7ED5E0C5" w14:textId="77777777"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 xml:space="preserve">In terms of special effects production, the </w:t>
      </w:r>
      <w:proofErr w:type="spellStart"/>
      <w:r w:rsidRPr="00AE32CC">
        <w:rPr>
          <w:rFonts w:ascii="Times New Roman" w:hAnsi="Times New Roman" w:cs="Times New Roman"/>
          <w:sz w:val="24"/>
          <w:szCs w:val="24"/>
          <w:lang w:val="en-GB"/>
        </w:rPr>
        <w:t>Gruyshka</w:t>
      </w:r>
      <w:proofErr w:type="spellEnd"/>
      <w:r w:rsidRPr="00AE32CC">
        <w:rPr>
          <w:rFonts w:ascii="Times New Roman" w:hAnsi="Times New Roman" w:cs="Times New Roman"/>
          <w:sz w:val="24"/>
          <w:szCs w:val="24"/>
          <w:lang w:val="en-GB"/>
        </w:rPr>
        <w:t xml:space="preserve"> character itself has constructed over 25 million polygons and has a dynamic self-healing metal tentacles system, which requires real-time simulation of complex soft dynamics and material response characteristics (Weta Digital, 2019). Meanwhile, Alita herself is a CGI character, and her movements must interact in real time with scene fragments (such as broken steel beams, flying sparks), which requires multi-level physical collision detection to be executed synchronously in every shot (Gurevitch, 2020). It is reported that the average single-frame rendering time for each high dynamic range shot of Alita and </w:t>
      </w:r>
      <w:proofErr w:type="spellStart"/>
      <w:r w:rsidRPr="00AE32CC">
        <w:rPr>
          <w:rFonts w:ascii="Times New Roman" w:hAnsi="Times New Roman" w:cs="Times New Roman"/>
          <w:sz w:val="24"/>
          <w:szCs w:val="24"/>
          <w:lang w:val="en-GB"/>
        </w:rPr>
        <w:t>Gruyshka</w:t>
      </w:r>
      <w:proofErr w:type="spellEnd"/>
      <w:r w:rsidRPr="00AE32CC">
        <w:rPr>
          <w:rFonts w:ascii="Times New Roman" w:hAnsi="Times New Roman" w:cs="Times New Roman"/>
          <w:sz w:val="24"/>
          <w:szCs w:val="24"/>
          <w:lang w:val="en-GB"/>
        </w:rPr>
        <w:t xml:space="preserve"> engaging in close combat exceeds 600 hours (Weta FX Insider, 2019).</w:t>
      </w:r>
    </w:p>
    <w:p w14:paraId="655CCBAC" w14:textId="77777777"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 xml:space="preserve">Furthermore, director Robert Rodriguez collaborated with Weta Studio and adopted the Hybrid Virtual Cinematography technology in this scene. That </w:t>
      </w:r>
      <w:proofErr w:type="gramStart"/>
      <w:r w:rsidRPr="00AE32CC">
        <w:rPr>
          <w:rFonts w:ascii="Times New Roman" w:hAnsi="Times New Roman" w:cs="Times New Roman"/>
          <w:sz w:val="24"/>
          <w:szCs w:val="24"/>
          <w:lang w:val="en-GB"/>
        </w:rPr>
        <w:t>is,</w:t>
      </w:r>
      <w:proofErr w:type="gramEnd"/>
      <w:r w:rsidRPr="00AE32CC">
        <w:rPr>
          <w:rFonts w:ascii="Times New Roman" w:hAnsi="Times New Roman" w:cs="Times New Roman"/>
          <w:sz w:val="24"/>
          <w:szCs w:val="24"/>
          <w:lang w:val="en-GB"/>
        </w:rPr>
        <w:t xml:space="preserve"> by combining real shooting references with CG previews, the cinematographer was able to achieve realistic light and shadow effects in the digital environment (Peters, 2019). This method effectively reduces the "floating feeling" of traditional green screen shooting, enhances the uniformity of the picture's texture, but it also significantly increases the complexity of scene construction and rendering.</w:t>
      </w:r>
    </w:p>
    <w:p w14:paraId="7B9CC3C8" w14:textId="4627C4F0" w:rsidR="00AE32CC" w:rsidRPr="00AE32CC" w:rsidRDefault="00AE32CC" w:rsidP="00AE32CC">
      <w:pPr>
        <w:spacing w:line="360" w:lineRule="auto"/>
        <w:ind w:firstLineChars="200" w:firstLine="480"/>
        <w:rPr>
          <w:rFonts w:ascii="Times New Roman" w:hAnsi="Times New Roman" w:cs="Times New Roman"/>
          <w:sz w:val="24"/>
          <w:szCs w:val="24"/>
          <w:lang w:val="en-GB"/>
        </w:rPr>
      </w:pPr>
      <w:r w:rsidRPr="00AE32CC">
        <w:rPr>
          <w:rFonts w:ascii="Times New Roman" w:hAnsi="Times New Roman" w:cs="Times New Roman"/>
          <w:sz w:val="24"/>
          <w:szCs w:val="24"/>
          <w:lang w:val="en-GB"/>
        </w:rPr>
        <w:t xml:space="preserve">Therefore, from motion capture to CG </w:t>
      </w:r>
      <w:proofErr w:type="spellStart"/>
      <w:r w:rsidRPr="00AE32CC">
        <w:rPr>
          <w:rFonts w:ascii="Times New Roman" w:hAnsi="Times New Roman" w:cs="Times New Roman"/>
          <w:sz w:val="24"/>
          <w:szCs w:val="24"/>
          <w:lang w:val="en-GB"/>
        </w:rPr>
        <w:t>modeling</w:t>
      </w:r>
      <w:proofErr w:type="spellEnd"/>
      <w:r w:rsidRPr="00AE32CC">
        <w:rPr>
          <w:rFonts w:ascii="Times New Roman" w:hAnsi="Times New Roman" w:cs="Times New Roman"/>
          <w:sz w:val="24"/>
          <w:szCs w:val="24"/>
          <w:lang w:val="en-GB"/>
        </w:rPr>
        <w:t>, from physical simulation to light and shadow rendering, the underground factory battle scenes demonstrate extremely high technical integration and artistic challenge at both the motion and special effects levels, setting extremely high visual and narrative standards for the entire film.</w:t>
      </w:r>
    </w:p>
    <w:p w14:paraId="4AD4987D" w14:textId="4D8711E1" w:rsidR="00277CC1" w:rsidRDefault="002325C9" w:rsidP="0027280B">
      <w:pPr>
        <w:pStyle w:val="1"/>
        <w:rPr>
          <w:szCs w:val="24"/>
          <w14:ligatures w14:val="none"/>
        </w:rPr>
      </w:pPr>
      <w:bookmarkStart w:id="11" w:name="_Toc196739338"/>
      <w:r>
        <w:rPr>
          <w:szCs w:val="24"/>
          <w14:ligatures w14:val="none"/>
        </w:rPr>
        <w:t>Conclusion</w:t>
      </w:r>
      <w:bookmarkEnd w:id="11"/>
    </w:p>
    <w:p w14:paraId="51A60DE0" w14:textId="469A3947" w:rsidR="00475059" w:rsidRPr="004C2856" w:rsidRDefault="00475059" w:rsidP="004C2856">
      <w:pPr>
        <w:pStyle w:val="aa"/>
        <w:ind w:firstLine="480"/>
        <w:rPr>
          <w:rFonts w:eastAsiaTheme="minorEastAsia"/>
        </w:rPr>
      </w:pPr>
      <w:r>
        <w:t xml:space="preserve">As a landmark work of contemporary visual effects films, "Alita: Battle Angel" demonstrates an extremely high technical density and resource coordination ability in the production of its short film fight scenes. In the overall production budget of the film, a large amount of funds </w:t>
      </w:r>
      <w:proofErr w:type="gramStart"/>
      <w:r>
        <w:t>were</w:t>
      </w:r>
      <w:proofErr w:type="gramEnd"/>
      <w:r>
        <w:t xml:space="preserve"> invested in visual effects, motion capture and virtual photography, reflecting the high regard for the digital narrative experience. Especially in the scene where the underground factory confrontations </w:t>
      </w:r>
      <w:proofErr w:type="spellStart"/>
      <w:r>
        <w:t>Grui</w:t>
      </w:r>
      <w:proofErr w:type="spellEnd"/>
      <w:r>
        <w:t xml:space="preserve"> š ka, the production team employed high-precision motion capture and complex physics simulation techniques to realistically reproduce the high-speed dynamic confrontation between the characters.</w:t>
      </w:r>
    </w:p>
    <w:p w14:paraId="47036A2D" w14:textId="20C8BC4B" w:rsidR="00475059" w:rsidRPr="00475059" w:rsidRDefault="00475059" w:rsidP="00475059">
      <w:pPr>
        <w:pStyle w:val="aa"/>
        <w:ind w:firstLine="480"/>
        <w:rPr>
          <w:rFonts w:eastAsiaTheme="minorEastAsia"/>
        </w:rPr>
      </w:pPr>
      <w:r>
        <w:t>In terms of special effects design, through high-density modeling, software dynamics simulation and multi-level light and shadow rendering, the film creates an audio-visual experience that combines a sense of reality and futurism. The generation of each frame of the picture requires the integration of motion capture data, physical interaction logic and fine material representation. This highly integrated large-scale production process poses unprecedented challenges to the technical system (Seymour, 2019). In addition, the application of virtual photography technology has greatly enhanced the naturalness of light and shadow and spatial consistency in CG scenes.</w:t>
      </w:r>
    </w:p>
    <w:p w14:paraId="2D7E38E4" w14:textId="25943EFF" w:rsidR="00461126" w:rsidRPr="004C2856" w:rsidRDefault="00475059" w:rsidP="004C2856">
      <w:pPr>
        <w:pStyle w:val="aa"/>
        <w:ind w:firstLine="480"/>
        <w:rPr>
          <w:rFonts w:eastAsiaTheme="minorEastAsia"/>
        </w:rPr>
      </w:pPr>
      <w:r>
        <w:t>Overall, the fight scenes in "Alita: Battle Angel" not only demonstrate the cutting-edge achievements of technological innovation but also set a new standard for industrialized production of future digital films. This segment, with its meticulous production and efficient integration, proves that large-scale CG films can achieve an effective balance between narrative depth and visual shock.</w:t>
      </w:r>
      <w:r w:rsidR="002325C9">
        <w:t xml:space="preserve"> </w:t>
      </w:r>
      <w:bookmarkStart w:id="12" w:name="_Toc12965"/>
      <w:bookmarkStart w:id="13" w:name="_Toc17580"/>
    </w:p>
    <w:p w14:paraId="32A2F9D5" w14:textId="5ADEB979" w:rsidR="00277CC1" w:rsidRDefault="002325C9" w:rsidP="00461126">
      <w:pPr>
        <w:pStyle w:val="1"/>
      </w:pPr>
      <w:bookmarkStart w:id="14" w:name="_Toc196739339"/>
      <w:r>
        <w:rPr>
          <w:rFonts w:hint="eastAsia"/>
        </w:rPr>
        <w:t>R</w:t>
      </w:r>
      <w:r>
        <w:t>eference</w:t>
      </w:r>
      <w:bookmarkEnd w:id="12"/>
      <w:bookmarkEnd w:id="13"/>
      <w:r w:rsidR="00461126">
        <w:rPr>
          <w:rFonts w:hint="eastAsia"/>
        </w:rPr>
        <w:t>s</w:t>
      </w:r>
      <w:bookmarkEnd w:id="14"/>
    </w:p>
    <w:p w14:paraId="59F6575A" w14:textId="45558F5D" w:rsidR="00971592" w:rsidRPr="00971592" w:rsidRDefault="00971592" w:rsidP="004C2856">
      <w:pPr>
        <w:pStyle w:val="aa"/>
        <w:ind w:firstLineChars="0" w:firstLine="0"/>
        <w:jc w:val="left"/>
        <w:rPr>
          <w:rFonts w:ascii="Arial" w:eastAsiaTheme="minorEastAsia" w:hAnsi="Arial" w:cs="Arial"/>
        </w:rPr>
      </w:pPr>
      <w:r w:rsidRPr="004C2856">
        <w:rPr>
          <w:rFonts w:ascii="Arial" w:hAnsi="Arial" w:cs="Arial"/>
        </w:rPr>
        <w:t xml:space="preserve">Available at: </w:t>
      </w:r>
      <w:hyperlink r:id="rId11" w:tgtFrame="_new" w:history="1">
        <w:r w:rsidRPr="004C2856">
          <w:rPr>
            <w:rStyle w:val="ab"/>
            <w:rFonts w:ascii="Arial" w:hAnsi="Arial" w:cs="Arial"/>
          </w:rPr>
          <w:t>https://ent.ycwb.com/2019-02/22/content_30203321.htm</w:t>
        </w:r>
      </w:hyperlink>
      <w:r w:rsidRPr="004C2856">
        <w:rPr>
          <w:rFonts w:ascii="Arial" w:hAnsi="Arial" w:cs="Arial"/>
        </w:rPr>
        <w:t xml:space="preserve"> [Accessed 27 Apr. 2025].</w:t>
      </w:r>
    </w:p>
    <w:p w14:paraId="2AF43BB2" w14:textId="0E7FDAB7" w:rsidR="004C2856" w:rsidRPr="004C2856" w:rsidRDefault="004C2856" w:rsidP="004C2856">
      <w:pPr>
        <w:pStyle w:val="aa"/>
        <w:ind w:firstLineChars="0" w:firstLine="0"/>
        <w:jc w:val="left"/>
        <w:rPr>
          <w:rFonts w:ascii="Arial" w:hAnsi="Arial" w:cs="Arial"/>
        </w:rPr>
      </w:pPr>
      <w:r w:rsidRPr="004C2856">
        <w:rPr>
          <w:rFonts w:ascii="Arial" w:hAnsi="Arial" w:cs="Arial"/>
        </w:rPr>
        <w:t xml:space="preserve">Box Office Mojo (2019) </w:t>
      </w:r>
      <w:r w:rsidRPr="004C2856">
        <w:rPr>
          <w:rFonts w:ascii="Arial" w:hAnsi="Arial" w:cs="Arial"/>
          <w:i/>
          <w:iCs/>
        </w:rPr>
        <w:t>Alita: Battle Angel Budget and Earnings</w:t>
      </w:r>
      <w:r w:rsidRPr="004C2856">
        <w:rPr>
          <w:rFonts w:ascii="Arial" w:hAnsi="Arial" w:cs="Arial"/>
        </w:rPr>
        <w:t xml:space="preserve">. [online] Available at: </w:t>
      </w:r>
      <w:hyperlink r:id="rId12" w:tgtFrame="_new" w:history="1">
        <w:r w:rsidRPr="004C2856">
          <w:rPr>
            <w:rStyle w:val="ab"/>
            <w:rFonts w:ascii="Arial" w:hAnsi="Arial" w:cs="Arial"/>
          </w:rPr>
          <w:t>https://www.boxofficemojo.com/title/tt0437086/</w:t>
        </w:r>
      </w:hyperlink>
      <w:r w:rsidRPr="004C2856">
        <w:rPr>
          <w:rFonts w:ascii="Arial" w:hAnsi="Arial" w:cs="Arial"/>
        </w:rPr>
        <w:t xml:space="preserve"> [Accessed 27 Apr. 2025].</w:t>
      </w:r>
    </w:p>
    <w:p w14:paraId="76A2F7BF" w14:textId="2F148A36" w:rsidR="004C2856" w:rsidRPr="004C2856" w:rsidRDefault="004C2856" w:rsidP="004C2856">
      <w:pPr>
        <w:pStyle w:val="aa"/>
        <w:ind w:firstLineChars="0" w:firstLine="0"/>
        <w:jc w:val="left"/>
        <w:rPr>
          <w:rFonts w:ascii="Arial" w:hAnsi="Arial" w:cs="Arial"/>
        </w:rPr>
      </w:pPr>
      <w:proofErr w:type="spellStart"/>
      <w:r w:rsidRPr="004C2856">
        <w:rPr>
          <w:rFonts w:ascii="Arial" w:hAnsi="Arial" w:cs="Arial"/>
        </w:rPr>
        <w:t>Cinefex</w:t>
      </w:r>
      <w:proofErr w:type="spellEnd"/>
      <w:r w:rsidRPr="004C2856">
        <w:rPr>
          <w:rFonts w:ascii="Arial" w:hAnsi="Arial" w:cs="Arial"/>
        </w:rPr>
        <w:t xml:space="preserve"> (2019) </w:t>
      </w:r>
      <w:r w:rsidRPr="004C2856">
        <w:rPr>
          <w:rFonts w:ascii="Arial" w:hAnsi="Arial" w:cs="Arial"/>
          <w:i/>
          <w:iCs/>
        </w:rPr>
        <w:t>Issue 162: Alita: Battle Angel Special Coverage</w:t>
      </w:r>
      <w:r w:rsidRPr="004C2856">
        <w:rPr>
          <w:rFonts w:ascii="Arial" w:hAnsi="Arial" w:cs="Arial"/>
        </w:rPr>
        <w:t xml:space="preserve">. </w:t>
      </w:r>
      <w:proofErr w:type="spellStart"/>
      <w:r w:rsidRPr="004C2856">
        <w:rPr>
          <w:rFonts w:ascii="Arial" w:hAnsi="Arial" w:cs="Arial"/>
          <w:i/>
          <w:iCs/>
        </w:rPr>
        <w:t>Cinefex</w:t>
      </w:r>
      <w:proofErr w:type="spellEnd"/>
      <w:r w:rsidRPr="004C2856">
        <w:rPr>
          <w:rFonts w:ascii="Arial" w:hAnsi="Arial" w:cs="Arial"/>
          <w:i/>
          <w:iCs/>
        </w:rPr>
        <w:t xml:space="preserve"> Magazine</w:t>
      </w:r>
      <w:r w:rsidRPr="004C2856">
        <w:rPr>
          <w:rFonts w:ascii="Arial" w:hAnsi="Arial" w:cs="Arial"/>
        </w:rPr>
        <w:t>.</w:t>
      </w:r>
    </w:p>
    <w:p w14:paraId="650763A7" w14:textId="00205C99" w:rsidR="004C2856" w:rsidRPr="004C2856" w:rsidRDefault="004C2856" w:rsidP="004C2856">
      <w:pPr>
        <w:pStyle w:val="aa"/>
        <w:ind w:firstLineChars="0" w:firstLine="0"/>
        <w:jc w:val="left"/>
        <w:rPr>
          <w:rFonts w:ascii="Arial" w:hAnsi="Arial" w:cs="Arial"/>
        </w:rPr>
      </w:pPr>
      <w:r w:rsidRPr="004C2856">
        <w:rPr>
          <w:rFonts w:ascii="Arial" w:hAnsi="Arial" w:cs="Arial"/>
        </w:rPr>
        <w:t xml:space="preserve">Deadline Hollywood (2019) </w:t>
      </w:r>
      <w:r w:rsidRPr="004C2856">
        <w:rPr>
          <w:rFonts w:ascii="Arial" w:hAnsi="Arial" w:cs="Arial"/>
          <w:i/>
          <w:iCs/>
        </w:rPr>
        <w:t xml:space="preserve">Alita: Battle Angel Financing and </w:t>
      </w:r>
      <w:proofErr w:type="gramStart"/>
      <w:r w:rsidRPr="004C2856">
        <w:rPr>
          <w:rFonts w:ascii="Arial" w:hAnsi="Arial" w:cs="Arial"/>
          <w:i/>
          <w:iCs/>
        </w:rPr>
        <w:t>Profit Sharing</w:t>
      </w:r>
      <w:proofErr w:type="gramEnd"/>
      <w:r w:rsidRPr="004C2856">
        <w:rPr>
          <w:rFonts w:ascii="Arial" w:hAnsi="Arial" w:cs="Arial"/>
          <w:i/>
          <w:iCs/>
        </w:rPr>
        <w:t xml:space="preserve"> Model Explained</w:t>
      </w:r>
      <w:r w:rsidRPr="004C2856">
        <w:rPr>
          <w:rFonts w:ascii="Arial" w:hAnsi="Arial" w:cs="Arial"/>
        </w:rPr>
        <w:t xml:space="preserve">. [online] Available at: </w:t>
      </w:r>
      <w:hyperlink r:id="rId13" w:tgtFrame="_new" w:history="1">
        <w:r w:rsidRPr="004C2856">
          <w:rPr>
            <w:rStyle w:val="ab"/>
            <w:rFonts w:ascii="Arial" w:hAnsi="Arial" w:cs="Arial"/>
          </w:rPr>
          <w:t>https://deadline.com/2019/02/alita-battle-angel-financing-fox-james-cameron-1202555555/</w:t>
        </w:r>
      </w:hyperlink>
      <w:r w:rsidRPr="004C2856">
        <w:rPr>
          <w:rFonts w:ascii="Arial" w:hAnsi="Arial" w:cs="Arial"/>
        </w:rPr>
        <w:t xml:space="preserve"> [Accessed 27 Apr. 2025].</w:t>
      </w:r>
    </w:p>
    <w:p w14:paraId="6786F4E0" w14:textId="767D5EF1" w:rsidR="004C2856" w:rsidRPr="004C2856" w:rsidRDefault="004C2856" w:rsidP="004C2856">
      <w:pPr>
        <w:pStyle w:val="aa"/>
        <w:ind w:firstLineChars="0" w:firstLine="0"/>
        <w:jc w:val="left"/>
        <w:rPr>
          <w:rFonts w:ascii="Arial" w:hAnsi="Arial" w:cs="Arial"/>
        </w:rPr>
      </w:pPr>
      <w:r w:rsidRPr="004C2856">
        <w:rPr>
          <w:rFonts w:ascii="Arial" w:hAnsi="Arial" w:cs="Arial"/>
        </w:rPr>
        <w:t>Douban Movie (2019) '</w:t>
      </w:r>
      <w:r w:rsidRPr="004C2856">
        <w:rPr>
          <w:rFonts w:ascii="宋体" w:eastAsia="宋体" w:hAnsi="宋体" w:cs="宋体" w:hint="eastAsia"/>
        </w:rPr>
        <w:t>《阿丽塔》</w:t>
      </w:r>
      <w:r w:rsidRPr="004C2856">
        <w:rPr>
          <w:rFonts w:ascii="Arial" w:hAnsi="Arial" w:cs="Arial"/>
        </w:rPr>
        <w:t>2600</w:t>
      </w:r>
      <w:r w:rsidRPr="004C2856">
        <w:rPr>
          <w:rFonts w:ascii="宋体" w:eastAsia="宋体" w:hAnsi="宋体" w:cs="宋体" w:hint="eastAsia"/>
        </w:rPr>
        <w:t>多个特效镜头是怎样做成的？</w:t>
      </w:r>
      <w:r w:rsidRPr="004C2856">
        <w:rPr>
          <w:rFonts w:ascii="Arial" w:hAnsi="Arial" w:cs="Arial"/>
        </w:rPr>
        <w:t xml:space="preserve">'. [online] Available at: </w:t>
      </w:r>
      <w:hyperlink r:id="rId14" w:tgtFrame="_new" w:history="1">
        <w:r w:rsidRPr="004C2856">
          <w:rPr>
            <w:rStyle w:val="ab"/>
            <w:rFonts w:ascii="Arial" w:hAnsi="Arial" w:cs="Arial"/>
          </w:rPr>
          <w:t>https://movie.douban.com/review/10002966/</w:t>
        </w:r>
      </w:hyperlink>
      <w:r w:rsidRPr="004C2856">
        <w:rPr>
          <w:rFonts w:ascii="Arial" w:hAnsi="Arial" w:cs="Arial"/>
        </w:rPr>
        <w:t xml:space="preserve"> [Accessed 27 Apr. 2025].</w:t>
      </w:r>
    </w:p>
    <w:p w14:paraId="3F6D3534" w14:textId="275DB19B" w:rsidR="004C2856" w:rsidRPr="004C2856" w:rsidRDefault="004C2856" w:rsidP="004C2856">
      <w:pPr>
        <w:pStyle w:val="aa"/>
        <w:ind w:firstLineChars="0" w:firstLine="0"/>
        <w:jc w:val="left"/>
        <w:rPr>
          <w:rFonts w:ascii="Arial" w:hAnsi="Arial" w:cs="Arial"/>
        </w:rPr>
      </w:pPr>
      <w:proofErr w:type="spellStart"/>
      <w:r w:rsidRPr="004C2856">
        <w:rPr>
          <w:rFonts w:ascii="Arial" w:hAnsi="Arial" w:cs="Arial"/>
        </w:rPr>
        <w:t>Gcores</w:t>
      </w:r>
      <w:proofErr w:type="spellEnd"/>
      <w:r w:rsidRPr="004C2856">
        <w:rPr>
          <w:rFonts w:ascii="Arial" w:hAnsi="Arial" w:cs="Arial"/>
        </w:rPr>
        <w:t xml:space="preserve"> (</w:t>
      </w:r>
      <w:r w:rsidRPr="004C2856">
        <w:rPr>
          <w:rFonts w:ascii="宋体" w:eastAsia="宋体" w:hAnsi="宋体" w:cs="宋体" w:hint="eastAsia"/>
        </w:rPr>
        <w:t>机核网</w:t>
      </w:r>
      <w:r w:rsidRPr="004C2856">
        <w:rPr>
          <w:rFonts w:ascii="Arial" w:hAnsi="Arial" w:cs="Arial"/>
        </w:rPr>
        <w:t>) (2019) '3</w:t>
      </w:r>
      <w:r w:rsidRPr="004C2856">
        <w:rPr>
          <w:rFonts w:ascii="宋体" w:eastAsia="宋体" w:hAnsi="宋体" w:cs="宋体" w:hint="eastAsia"/>
        </w:rPr>
        <w:t>万台电脑，</w:t>
      </w:r>
      <w:r w:rsidRPr="004C2856">
        <w:rPr>
          <w:rFonts w:ascii="Arial" w:hAnsi="Arial" w:cs="Arial"/>
        </w:rPr>
        <w:t>5.5</w:t>
      </w:r>
      <w:r w:rsidRPr="004C2856">
        <w:rPr>
          <w:rFonts w:ascii="宋体" w:eastAsia="宋体" w:hAnsi="宋体" w:cs="宋体" w:hint="eastAsia"/>
        </w:rPr>
        <w:t>亿个小时：维塔工作室解析《阿丽塔：战斗天使》</w:t>
      </w:r>
      <w:r w:rsidRPr="004C2856">
        <w:rPr>
          <w:rFonts w:ascii="Arial" w:hAnsi="Arial" w:cs="Arial"/>
        </w:rPr>
        <w:t xml:space="preserve">'. [online] Available at: </w:t>
      </w:r>
      <w:hyperlink r:id="rId15" w:tgtFrame="_new" w:history="1">
        <w:r w:rsidRPr="004C2856">
          <w:rPr>
            <w:rStyle w:val="ab"/>
            <w:rFonts w:ascii="Arial" w:hAnsi="Arial" w:cs="Arial"/>
          </w:rPr>
          <w:t>https://www.gcores.com/articles/105894</w:t>
        </w:r>
      </w:hyperlink>
      <w:r w:rsidRPr="004C2856">
        <w:rPr>
          <w:rFonts w:ascii="Arial" w:hAnsi="Arial" w:cs="Arial"/>
        </w:rPr>
        <w:t xml:space="preserve"> [Accessed 27 Apr. 2025].</w:t>
      </w:r>
    </w:p>
    <w:p w14:paraId="5B9EE115" w14:textId="6C6BC6F1" w:rsidR="004C2856" w:rsidRPr="004C2856" w:rsidRDefault="004C2856" w:rsidP="004C2856">
      <w:pPr>
        <w:pStyle w:val="aa"/>
        <w:ind w:firstLineChars="0" w:firstLine="0"/>
        <w:jc w:val="left"/>
        <w:rPr>
          <w:rFonts w:ascii="Arial" w:hAnsi="Arial" w:cs="Arial"/>
        </w:rPr>
      </w:pPr>
      <w:r w:rsidRPr="004C2856">
        <w:rPr>
          <w:rFonts w:ascii="Arial" w:hAnsi="Arial" w:cs="Arial"/>
        </w:rPr>
        <w:t xml:space="preserve">Gurevitch, L. (2020) </w:t>
      </w:r>
      <w:r w:rsidRPr="004C2856">
        <w:rPr>
          <w:rFonts w:ascii="Arial" w:hAnsi="Arial" w:cs="Arial"/>
          <w:i/>
          <w:iCs/>
        </w:rPr>
        <w:t>The Digital Future of Action Cinema: Visual Effects and Narrative</w:t>
      </w:r>
      <w:r w:rsidRPr="004C2856">
        <w:rPr>
          <w:rFonts w:ascii="Arial" w:hAnsi="Arial" w:cs="Arial"/>
        </w:rPr>
        <w:t>. Palgrave Macmillan.</w:t>
      </w:r>
    </w:p>
    <w:p w14:paraId="792DD09F" w14:textId="414F05D6" w:rsidR="004C2856" w:rsidRPr="004C2856" w:rsidRDefault="004C2856" w:rsidP="004C2856">
      <w:pPr>
        <w:pStyle w:val="aa"/>
        <w:ind w:firstLineChars="0" w:firstLine="0"/>
        <w:jc w:val="left"/>
        <w:rPr>
          <w:rFonts w:ascii="Arial" w:hAnsi="Arial" w:cs="Arial"/>
        </w:rPr>
      </w:pPr>
      <w:r w:rsidRPr="004C2856">
        <w:rPr>
          <w:rFonts w:ascii="Arial" w:hAnsi="Arial" w:cs="Arial"/>
        </w:rPr>
        <w:t xml:space="preserve">Peters, J. (2019) 'How Virtual Production Shaped Alita: Battle Angel', </w:t>
      </w:r>
      <w:r w:rsidRPr="004C2856">
        <w:rPr>
          <w:rFonts w:ascii="Arial" w:hAnsi="Arial" w:cs="Arial"/>
          <w:i/>
          <w:iCs/>
        </w:rPr>
        <w:t>American Cinematographer</w:t>
      </w:r>
      <w:r w:rsidRPr="004C2856">
        <w:rPr>
          <w:rFonts w:ascii="Arial" w:hAnsi="Arial" w:cs="Arial"/>
        </w:rPr>
        <w:t>, 100(3), pp. 34–41.</w:t>
      </w:r>
    </w:p>
    <w:p w14:paraId="6DA95679" w14:textId="07A0CD7B" w:rsidR="004C2856" w:rsidRPr="004C2856" w:rsidRDefault="004C2856" w:rsidP="004C2856">
      <w:pPr>
        <w:pStyle w:val="aa"/>
        <w:ind w:firstLineChars="0" w:firstLine="0"/>
        <w:jc w:val="left"/>
        <w:rPr>
          <w:rFonts w:ascii="Arial" w:hAnsi="Arial" w:cs="Arial"/>
        </w:rPr>
      </w:pPr>
      <w:r w:rsidRPr="004C2856">
        <w:rPr>
          <w:rFonts w:ascii="Arial" w:hAnsi="Arial" w:cs="Arial"/>
        </w:rPr>
        <w:t xml:space="preserve">Seymour, M. (2019) 'Inside the VFX of Alita: Battle Angel', </w:t>
      </w:r>
      <w:proofErr w:type="spellStart"/>
      <w:r w:rsidRPr="004C2856">
        <w:rPr>
          <w:rFonts w:ascii="Arial" w:hAnsi="Arial" w:cs="Arial"/>
          <w:i/>
          <w:iCs/>
        </w:rPr>
        <w:t>fxguide</w:t>
      </w:r>
      <w:proofErr w:type="spellEnd"/>
      <w:r w:rsidRPr="004C2856">
        <w:rPr>
          <w:rFonts w:ascii="Arial" w:hAnsi="Arial" w:cs="Arial"/>
        </w:rPr>
        <w:t xml:space="preserve">. Available at: </w:t>
      </w:r>
      <w:hyperlink r:id="rId16" w:tgtFrame="_new" w:history="1">
        <w:r w:rsidRPr="004C2856">
          <w:rPr>
            <w:rStyle w:val="ab"/>
            <w:rFonts w:ascii="Arial" w:hAnsi="Arial" w:cs="Arial"/>
          </w:rPr>
          <w:t>https://www.fxguide.com</w:t>
        </w:r>
      </w:hyperlink>
      <w:r w:rsidRPr="004C2856">
        <w:rPr>
          <w:rFonts w:ascii="Arial" w:hAnsi="Arial" w:cs="Arial"/>
        </w:rPr>
        <w:t xml:space="preserve"> [Accessed 22 Apr. 2025].</w:t>
      </w:r>
    </w:p>
    <w:p w14:paraId="146763C2" w14:textId="636E3308" w:rsidR="004C2856" w:rsidRPr="004C2856" w:rsidRDefault="004C2856" w:rsidP="004C2856">
      <w:pPr>
        <w:pStyle w:val="aa"/>
        <w:ind w:firstLineChars="0" w:firstLine="0"/>
        <w:jc w:val="left"/>
        <w:rPr>
          <w:rFonts w:ascii="Arial" w:hAnsi="Arial" w:cs="Arial"/>
        </w:rPr>
      </w:pPr>
      <w:r w:rsidRPr="004C2856">
        <w:rPr>
          <w:rFonts w:ascii="Arial" w:hAnsi="Arial" w:cs="Arial"/>
        </w:rPr>
        <w:t>Sina News (</w:t>
      </w:r>
      <w:r w:rsidRPr="004C2856">
        <w:rPr>
          <w:rFonts w:ascii="宋体" w:eastAsia="宋体" w:hAnsi="宋体" w:cs="宋体" w:hint="eastAsia"/>
        </w:rPr>
        <w:t>新浪网</w:t>
      </w:r>
      <w:r w:rsidRPr="004C2856">
        <w:rPr>
          <w:rFonts w:ascii="Arial" w:hAnsi="Arial" w:cs="Arial"/>
        </w:rPr>
        <w:t>) (2019) '</w:t>
      </w:r>
      <w:r w:rsidRPr="004C2856">
        <w:rPr>
          <w:rFonts w:ascii="宋体" w:eastAsia="宋体" w:hAnsi="宋体" w:cs="宋体" w:hint="eastAsia"/>
        </w:rPr>
        <w:t>《阿丽塔：战斗天使》：银幕</w:t>
      </w:r>
      <w:r w:rsidRPr="004C2856">
        <w:rPr>
          <w:rFonts w:ascii="Arial" w:hAnsi="Arial" w:cs="Arial"/>
        </w:rPr>
        <w:t>CG</w:t>
      </w:r>
      <w:r w:rsidRPr="004C2856">
        <w:rPr>
          <w:rFonts w:ascii="宋体" w:eastAsia="宋体" w:hAnsi="宋体" w:cs="宋体" w:hint="eastAsia"/>
        </w:rPr>
        <w:t>角色进化史</w:t>
      </w:r>
      <w:r w:rsidRPr="004C2856">
        <w:rPr>
          <w:rFonts w:ascii="Arial" w:hAnsi="Arial" w:cs="Arial"/>
        </w:rPr>
        <w:t xml:space="preserve">'. [online] Available at: </w:t>
      </w:r>
      <w:hyperlink r:id="rId17" w:tgtFrame="_new" w:history="1">
        <w:r w:rsidRPr="004C2856">
          <w:rPr>
            <w:rStyle w:val="ab"/>
            <w:rFonts w:ascii="Arial" w:hAnsi="Arial" w:cs="Arial"/>
          </w:rPr>
          <w:t>https://news.sina.cn/2019-02-23/detail-ihqfskcp7893552.d.html</w:t>
        </w:r>
      </w:hyperlink>
      <w:r w:rsidRPr="004C2856">
        <w:rPr>
          <w:rFonts w:ascii="Arial" w:hAnsi="Arial" w:cs="Arial"/>
        </w:rPr>
        <w:t xml:space="preserve"> [Accessed 27 Apr. 2025].</w:t>
      </w:r>
    </w:p>
    <w:p w14:paraId="5D6AD06F" w14:textId="463601A5" w:rsidR="004C2856" w:rsidRPr="004C2856" w:rsidRDefault="004C2856" w:rsidP="004C2856">
      <w:pPr>
        <w:pStyle w:val="aa"/>
        <w:ind w:firstLineChars="0" w:firstLine="0"/>
        <w:jc w:val="left"/>
        <w:rPr>
          <w:rFonts w:ascii="Arial" w:hAnsi="Arial" w:cs="Arial"/>
        </w:rPr>
      </w:pPr>
      <w:r w:rsidRPr="004C2856">
        <w:rPr>
          <w:rFonts w:ascii="Arial" w:hAnsi="Arial" w:cs="Arial"/>
        </w:rPr>
        <w:t xml:space="preserve">Weta Digital (2019) </w:t>
      </w:r>
      <w:r w:rsidRPr="004C2856">
        <w:rPr>
          <w:rFonts w:ascii="Arial" w:hAnsi="Arial" w:cs="Arial"/>
          <w:i/>
          <w:iCs/>
        </w:rPr>
        <w:t>Alita: Battle Angel VFX Breakdown</w:t>
      </w:r>
      <w:r w:rsidRPr="004C2856">
        <w:rPr>
          <w:rFonts w:ascii="Arial" w:hAnsi="Arial" w:cs="Arial"/>
        </w:rPr>
        <w:t>. Weta FX Archives.</w:t>
      </w:r>
    </w:p>
    <w:p w14:paraId="65CB0CB0" w14:textId="27D94126" w:rsidR="004C2856" w:rsidRPr="004C2856" w:rsidRDefault="004C2856" w:rsidP="004C2856">
      <w:pPr>
        <w:pStyle w:val="aa"/>
        <w:ind w:firstLineChars="0" w:firstLine="0"/>
        <w:jc w:val="left"/>
        <w:rPr>
          <w:rFonts w:ascii="Arial" w:hAnsi="Arial" w:cs="Arial"/>
        </w:rPr>
      </w:pPr>
      <w:r w:rsidRPr="004C2856">
        <w:rPr>
          <w:rFonts w:ascii="Arial" w:hAnsi="Arial" w:cs="Arial"/>
        </w:rPr>
        <w:t xml:space="preserve">Weta FX Insider (2019) </w:t>
      </w:r>
      <w:r w:rsidRPr="004C2856">
        <w:rPr>
          <w:rFonts w:ascii="Arial" w:hAnsi="Arial" w:cs="Arial"/>
          <w:i/>
          <w:iCs/>
        </w:rPr>
        <w:t>Rendering Challenges in Alita: Battle Angel</w:t>
      </w:r>
      <w:r w:rsidRPr="004C2856">
        <w:rPr>
          <w:rFonts w:ascii="Arial" w:hAnsi="Arial" w:cs="Arial"/>
        </w:rPr>
        <w:t>. Weta Digital Private Reports.</w:t>
      </w:r>
    </w:p>
    <w:p w14:paraId="39B29806" w14:textId="23E5C9D9" w:rsidR="004C2856" w:rsidRPr="004C2856" w:rsidRDefault="004C2856" w:rsidP="004C2856">
      <w:pPr>
        <w:pStyle w:val="aa"/>
        <w:ind w:firstLineChars="0" w:firstLine="0"/>
        <w:jc w:val="left"/>
        <w:rPr>
          <w:rFonts w:ascii="Arial" w:hAnsi="Arial" w:cs="Arial"/>
        </w:rPr>
      </w:pPr>
      <w:r w:rsidRPr="004C2856">
        <w:rPr>
          <w:rFonts w:ascii="Arial" w:hAnsi="Arial" w:cs="Arial"/>
        </w:rPr>
        <w:t>1905 Movie Network (</w:t>
      </w:r>
      <w:r w:rsidRPr="004C2856">
        <w:rPr>
          <w:rFonts w:ascii="宋体" w:eastAsia="宋体" w:hAnsi="宋体" w:cs="宋体" w:hint="eastAsia"/>
        </w:rPr>
        <w:t>电影网</w:t>
      </w:r>
      <w:r w:rsidRPr="004C2856">
        <w:rPr>
          <w:rFonts w:ascii="Arial" w:hAnsi="Arial" w:cs="Arial"/>
        </w:rPr>
        <w:t>_1905.com) (2024) '</w:t>
      </w:r>
      <w:r w:rsidRPr="004C2856">
        <w:rPr>
          <w:rFonts w:ascii="宋体" w:eastAsia="宋体" w:hAnsi="宋体" w:cs="宋体" w:hint="eastAsia"/>
        </w:rPr>
        <w:t>电影频道</w:t>
      </w:r>
      <w:r w:rsidRPr="004C2856">
        <w:rPr>
          <w:rFonts w:ascii="Arial" w:hAnsi="Arial" w:cs="Arial"/>
        </w:rPr>
        <w:t>6</w:t>
      </w:r>
      <w:r w:rsidRPr="004C2856">
        <w:rPr>
          <w:rFonts w:ascii="宋体" w:eastAsia="宋体" w:hAnsi="宋体" w:cs="宋体" w:hint="eastAsia"/>
        </w:rPr>
        <w:t>月</w:t>
      </w:r>
      <w:r w:rsidRPr="004C2856">
        <w:rPr>
          <w:rFonts w:ascii="Arial" w:hAnsi="Arial" w:cs="Arial"/>
        </w:rPr>
        <w:t>14</w:t>
      </w:r>
      <w:r w:rsidRPr="004C2856">
        <w:rPr>
          <w:rFonts w:ascii="宋体" w:eastAsia="宋体" w:hAnsi="宋体" w:cs="宋体" w:hint="eastAsia"/>
        </w:rPr>
        <w:t>日</w:t>
      </w:r>
      <w:r w:rsidRPr="004C2856">
        <w:rPr>
          <w:rFonts w:ascii="Arial" w:hAnsi="Arial" w:cs="Arial"/>
        </w:rPr>
        <w:t>22:20</w:t>
      </w:r>
      <w:r w:rsidRPr="004C2856">
        <w:rPr>
          <w:rFonts w:ascii="宋体" w:eastAsia="宋体" w:hAnsi="宋体" w:cs="宋体" w:hint="eastAsia"/>
        </w:rPr>
        <w:t>播出《阿丽塔：战斗天使》</w:t>
      </w:r>
      <w:r w:rsidRPr="004C2856">
        <w:rPr>
          <w:rFonts w:ascii="Arial" w:hAnsi="Arial" w:cs="Arial"/>
        </w:rPr>
        <w:t xml:space="preserve">'. [online] Available at: </w:t>
      </w:r>
      <w:hyperlink r:id="rId18" w:tgtFrame="_new" w:history="1">
        <w:r w:rsidRPr="004C2856">
          <w:rPr>
            <w:rStyle w:val="ab"/>
            <w:rFonts w:ascii="Arial" w:hAnsi="Arial" w:cs="Arial"/>
          </w:rPr>
          <w:t>https://www.1905.com/news/20240614/1679627.shtml</w:t>
        </w:r>
      </w:hyperlink>
      <w:r w:rsidRPr="004C2856">
        <w:rPr>
          <w:rFonts w:ascii="Arial" w:hAnsi="Arial" w:cs="Arial"/>
        </w:rPr>
        <w:t xml:space="preserve"> [Accessed 27 Apr. 2025].</w:t>
      </w:r>
    </w:p>
    <w:p w14:paraId="26251798" w14:textId="7E69CBFB" w:rsidR="00277CC1" w:rsidRDefault="004C2856" w:rsidP="004C2856">
      <w:pPr>
        <w:pStyle w:val="aa"/>
        <w:ind w:firstLineChars="0" w:firstLine="0"/>
        <w:jc w:val="left"/>
        <w:rPr>
          <w:rFonts w:ascii="Arial" w:eastAsiaTheme="minorEastAsia" w:hAnsi="Arial" w:cs="Arial"/>
        </w:rPr>
      </w:pPr>
      <w:r w:rsidRPr="004C2856">
        <w:rPr>
          <w:rFonts w:ascii="Arial" w:hAnsi="Arial" w:cs="Arial"/>
        </w:rPr>
        <w:t>Guangzhou Daily (</w:t>
      </w:r>
      <w:r w:rsidRPr="004C2856">
        <w:rPr>
          <w:rFonts w:ascii="宋体" w:eastAsia="宋体" w:hAnsi="宋体" w:cs="宋体" w:hint="eastAsia"/>
        </w:rPr>
        <w:t>广州日报</w:t>
      </w:r>
      <w:r w:rsidRPr="004C2856">
        <w:rPr>
          <w:rFonts w:ascii="Arial" w:hAnsi="Arial" w:cs="Arial"/>
        </w:rPr>
        <w:t>) (2019) '</w:t>
      </w:r>
      <w:r w:rsidRPr="004C2856">
        <w:rPr>
          <w:rFonts w:ascii="宋体" w:eastAsia="宋体" w:hAnsi="宋体" w:cs="宋体" w:hint="eastAsia"/>
        </w:rPr>
        <w:t>《阿丽塔：战斗天使》特效惊人</w:t>
      </w:r>
      <w:r w:rsidRPr="004C2856">
        <w:rPr>
          <w:rFonts w:ascii="Arial" w:hAnsi="Arial" w:cs="Arial"/>
        </w:rPr>
        <w:t xml:space="preserve">'. [online] </w:t>
      </w:r>
    </w:p>
    <w:p w14:paraId="3E749832" w14:textId="77777777" w:rsidR="00971592" w:rsidRPr="00971592" w:rsidRDefault="00971592" w:rsidP="004C2856">
      <w:pPr>
        <w:pStyle w:val="aa"/>
        <w:ind w:firstLineChars="0" w:firstLine="0"/>
        <w:jc w:val="left"/>
        <w:rPr>
          <w:rFonts w:ascii="Arial" w:eastAsiaTheme="minorEastAsia" w:hAnsi="Arial" w:cs="Arial"/>
        </w:rPr>
      </w:pPr>
    </w:p>
    <w:sectPr w:rsidR="00971592" w:rsidRPr="00971592" w:rsidSect="00461126">
      <w:footerReference w:type="default" r:id="rId19"/>
      <w:pgSz w:w="11906" w:h="16838" w:code="9"/>
      <w:pgMar w:top="1440" w:right="1440" w:bottom="1440" w:left="1440" w:header="720" w:footer="720" w:gutter="0"/>
      <w:pgNumType w:start="1"/>
      <w:cols w:space="425"/>
      <w:docGrid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EFA72" w14:textId="77777777" w:rsidR="00243FD8" w:rsidRDefault="00243FD8" w:rsidP="0027280B">
      <w:r>
        <w:separator/>
      </w:r>
    </w:p>
  </w:endnote>
  <w:endnote w:type="continuationSeparator" w:id="0">
    <w:p w14:paraId="7C82C52B" w14:textId="77777777" w:rsidR="00243FD8" w:rsidRDefault="00243FD8" w:rsidP="002728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Traditional Arabic">
    <w:charset w:val="B2"/>
    <w:family w:val="roman"/>
    <w:pitch w:val="variable"/>
    <w:sig w:usb0="00002003"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AD634" w14:textId="4E22C268" w:rsidR="00461126" w:rsidRPr="00461126" w:rsidRDefault="00461126" w:rsidP="00461126">
    <w:pPr>
      <w:pStyle w:val="a3"/>
      <w:jc w:val="center"/>
      <w:rPr>
        <w:rFonts w:ascii="Times New Roman" w:hAnsi="Times New Roman" w:cs="Times New Roman"/>
        <w:sz w:val="24"/>
        <w:szCs w:val="24"/>
      </w:rPr>
    </w:pPr>
    <w:r w:rsidRPr="00461126">
      <w:rPr>
        <w:rFonts w:ascii="Times New Roman" w:hAnsi="Times New Roman" w:cs="Times New Roman"/>
        <w:sz w:val="24"/>
        <w:szCs w:val="24"/>
      </w:rPr>
      <w:fldChar w:fldCharType="begin"/>
    </w:r>
    <w:r w:rsidRPr="00461126">
      <w:rPr>
        <w:rFonts w:ascii="Times New Roman" w:hAnsi="Times New Roman" w:cs="Times New Roman"/>
        <w:sz w:val="24"/>
        <w:szCs w:val="24"/>
      </w:rPr>
      <w:instrText>PAGE   \* MERGEFORMAT</w:instrText>
    </w:r>
    <w:r w:rsidRPr="00461126">
      <w:rPr>
        <w:rFonts w:ascii="Times New Roman" w:hAnsi="Times New Roman" w:cs="Times New Roman"/>
        <w:sz w:val="24"/>
        <w:szCs w:val="24"/>
      </w:rPr>
      <w:fldChar w:fldCharType="separate"/>
    </w:r>
    <w:r w:rsidRPr="00461126">
      <w:rPr>
        <w:rFonts w:ascii="Times New Roman" w:hAnsi="Times New Roman" w:cs="Times New Roman"/>
        <w:sz w:val="24"/>
        <w:szCs w:val="24"/>
        <w:lang w:val="zh-CN"/>
      </w:rPr>
      <w:t>1</w:t>
    </w:r>
    <w:r w:rsidRPr="00461126">
      <w:rPr>
        <w:rFonts w:ascii="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EEBAE" w14:textId="77777777" w:rsidR="00243FD8" w:rsidRDefault="00243FD8" w:rsidP="0027280B">
      <w:r>
        <w:separator/>
      </w:r>
    </w:p>
  </w:footnote>
  <w:footnote w:type="continuationSeparator" w:id="0">
    <w:p w14:paraId="7E3E6CFF" w14:textId="77777777" w:rsidR="00243FD8" w:rsidRDefault="00243FD8" w:rsidP="002728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06B39"/>
    <w:multiLevelType w:val="multilevel"/>
    <w:tmpl w:val="88A48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16202D"/>
    <w:multiLevelType w:val="hybridMultilevel"/>
    <w:tmpl w:val="66D6AA7C"/>
    <w:lvl w:ilvl="0" w:tplc="B5924DF0">
      <w:start w:val="1"/>
      <w:numFmt w:val="decimal"/>
      <w:lvlText w:val="%1."/>
      <w:lvlJc w:val="left"/>
      <w:pPr>
        <w:ind w:left="360" w:hanging="360"/>
      </w:pPr>
      <w:rPr>
        <w:rFonts w:eastAsia="Times New Roman"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7FCB9DCF"/>
    <w:multiLevelType w:val="singleLevel"/>
    <w:tmpl w:val="7FCB9DCF"/>
    <w:lvl w:ilvl="0">
      <w:start w:val="4"/>
      <w:numFmt w:val="decimal"/>
      <w:suff w:val="space"/>
      <w:lvlText w:val="%1."/>
      <w:lvlJc w:val="left"/>
    </w:lvl>
  </w:abstractNum>
  <w:num w:numId="1" w16cid:durableId="1950047258">
    <w:abstractNumId w:val="2"/>
  </w:num>
  <w:num w:numId="2" w16cid:durableId="1124351692">
    <w:abstractNumId w:val="1"/>
  </w:num>
  <w:num w:numId="3" w16cid:durableId="1358389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4A02"/>
    <w:rsid w:val="00111185"/>
    <w:rsid w:val="00123938"/>
    <w:rsid w:val="001921E9"/>
    <w:rsid w:val="002325C9"/>
    <w:rsid w:val="00235363"/>
    <w:rsid w:val="00243FD8"/>
    <w:rsid w:val="0026524E"/>
    <w:rsid w:val="0027280B"/>
    <w:rsid w:val="00277CC1"/>
    <w:rsid w:val="00284A02"/>
    <w:rsid w:val="0029003D"/>
    <w:rsid w:val="002D1E92"/>
    <w:rsid w:val="0040248C"/>
    <w:rsid w:val="004171F9"/>
    <w:rsid w:val="00421868"/>
    <w:rsid w:val="0042662D"/>
    <w:rsid w:val="00461126"/>
    <w:rsid w:val="00475059"/>
    <w:rsid w:val="00475804"/>
    <w:rsid w:val="004B221E"/>
    <w:rsid w:val="004C2856"/>
    <w:rsid w:val="004F15CE"/>
    <w:rsid w:val="004F2DA7"/>
    <w:rsid w:val="00501F2D"/>
    <w:rsid w:val="005240C1"/>
    <w:rsid w:val="005A0823"/>
    <w:rsid w:val="005A1CDA"/>
    <w:rsid w:val="006312EC"/>
    <w:rsid w:val="00683AAA"/>
    <w:rsid w:val="00684572"/>
    <w:rsid w:val="006B2412"/>
    <w:rsid w:val="006D281B"/>
    <w:rsid w:val="00731110"/>
    <w:rsid w:val="00750889"/>
    <w:rsid w:val="0078317D"/>
    <w:rsid w:val="007C6B19"/>
    <w:rsid w:val="007D29C8"/>
    <w:rsid w:val="00820534"/>
    <w:rsid w:val="00820D6B"/>
    <w:rsid w:val="00832DA2"/>
    <w:rsid w:val="00840556"/>
    <w:rsid w:val="00845AA2"/>
    <w:rsid w:val="00885DC4"/>
    <w:rsid w:val="00894069"/>
    <w:rsid w:val="008B2F9B"/>
    <w:rsid w:val="008C0591"/>
    <w:rsid w:val="00923764"/>
    <w:rsid w:val="00971592"/>
    <w:rsid w:val="0097481D"/>
    <w:rsid w:val="00A56991"/>
    <w:rsid w:val="00A8298B"/>
    <w:rsid w:val="00AE32CC"/>
    <w:rsid w:val="00B8797B"/>
    <w:rsid w:val="00BF0069"/>
    <w:rsid w:val="00BF443B"/>
    <w:rsid w:val="00C15305"/>
    <w:rsid w:val="00C452CA"/>
    <w:rsid w:val="00CA7024"/>
    <w:rsid w:val="00CB00AC"/>
    <w:rsid w:val="00CB0A0F"/>
    <w:rsid w:val="00CD0252"/>
    <w:rsid w:val="00D159F1"/>
    <w:rsid w:val="00D15F90"/>
    <w:rsid w:val="00D84F19"/>
    <w:rsid w:val="00DB2278"/>
    <w:rsid w:val="00E104B4"/>
    <w:rsid w:val="00E8631B"/>
    <w:rsid w:val="00E91E16"/>
    <w:rsid w:val="00F43EB0"/>
    <w:rsid w:val="00F65D8B"/>
    <w:rsid w:val="00F82248"/>
    <w:rsid w:val="00F93E7F"/>
    <w:rsid w:val="00FA16A6"/>
    <w:rsid w:val="019553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0EBAE"/>
  <w15:docId w15:val="{1C3D1EA4-385E-444C-8BB5-8D7BAA993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uiPriority="0" w:qFormat="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61126"/>
    <w:pPr>
      <w:widowControl w:val="0"/>
      <w:jc w:val="both"/>
    </w:pPr>
    <w:rPr>
      <w:rFonts w:asciiTheme="minorHAnsi" w:eastAsiaTheme="minorEastAsia" w:hAnsiTheme="minorHAnsi" w:cstheme="minorBidi"/>
      <w:kern w:val="2"/>
      <w:sz w:val="21"/>
      <w:szCs w:val="22"/>
      <w14:ligatures w14:val="standardContextual"/>
    </w:rPr>
  </w:style>
  <w:style w:type="paragraph" w:styleId="1">
    <w:name w:val="heading 1"/>
    <w:basedOn w:val="a"/>
    <w:next w:val="a"/>
    <w:qFormat/>
    <w:rsid w:val="00461126"/>
    <w:pPr>
      <w:keepNext/>
      <w:keepLines/>
      <w:spacing w:line="360" w:lineRule="auto"/>
      <w:jc w:val="center"/>
      <w:outlineLvl w:val="0"/>
    </w:pPr>
    <w:rPr>
      <w:rFonts w:ascii="Times New Roman" w:eastAsia="Times New Roman" w:hAnsi="Times New Roman"/>
      <w:b/>
      <w:kern w:val="44"/>
      <w:sz w:val="24"/>
    </w:rPr>
  </w:style>
  <w:style w:type="paragraph" w:styleId="2">
    <w:name w:val="heading 2"/>
    <w:basedOn w:val="a"/>
    <w:next w:val="a"/>
    <w:link w:val="20"/>
    <w:uiPriority w:val="9"/>
    <w:unhideWhenUsed/>
    <w:qFormat/>
    <w:rsid w:val="00461126"/>
    <w:pPr>
      <w:keepNext/>
      <w:keepLines/>
      <w:spacing w:line="360" w:lineRule="auto"/>
      <w:outlineLvl w:val="1"/>
    </w:pPr>
    <w:rPr>
      <w:rFonts w:ascii="Times New Roman" w:eastAsia="Times New Roman" w:hAnsi="Times New Roman" w:cstheme="majorBidi"/>
      <w:b/>
      <w:bCs/>
      <w:sz w:val="24"/>
      <w:szCs w:val="32"/>
    </w:rPr>
  </w:style>
  <w:style w:type="paragraph" w:styleId="3">
    <w:name w:val="heading 3"/>
    <w:basedOn w:val="a"/>
    <w:next w:val="a"/>
    <w:link w:val="30"/>
    <w:uiPriority w:val="9"/>
    <w:unhideWhenUsed/>
    <w:qFormat/>
    <w:rsid w:val="00461126"/>
    <w:pPr>
      <w:keepNext/>
      <w:keepLines/>
      <w:spacing w:line="360" w:lineRule="auto"/>
      <w:outlineLvl w:val="2"/>
    </w:pPr>
    <w:rPr>
      <w:rFonts w:ascii="Times New Roman" w:eastAsia="Times New Roman" w:hAnsi="Times New Roman"/>
      <w:b/>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153"/>
        <w:tab w:val="right" w:pos="8306"/>
      </w:tabs>
      <w:snapToGrid w:val="0"/>
      <w:jc w:val="left"/>
    </w:pPr>
    <w:rPr>
      <w:sz w:val="18"/>
      <w:szCs w:val="18"/>
    </w:rPr>
  </w:style>
  <w:style w:type="paragraph" w:styleId="a5">
    <w:name w:val="header"/>
    <w:basedOn w:val="a"/>
    <w:link w:val="a6"/>
    <w:uiPriority w:val="99"/>
    <w:unhideWhenUsed/>
    <w:pPr>
      <w:tabs>
        <w:tab w:val="center" w:pos="4153"/>
        <w:tab w:val="right" w:pos="8306"/>
      </w:tabs>
      <w:snapToGrid w:val="0"/>
      <w:jc w:val="center"/>
    </w:pPr>
    <w:rPr>
      <w:sz w:val="18"/>
      <w:szCs w:val="18"/>
    </w:rPr>
  </w:style>
  <w:style w:type="paragraph" w:styleId="TOC1">
    <w:name w:val="toc 1"/>
    <w:basedOn w:val="a"/>
    <w:next w:val="a"/>
    <w:uiPriority w:val="39"/>
    <w:unhideWhenUsed/>
    <w:rsid w:val="00461126"/>
    <w:pPr>
      <w:spacing w:line="360" w:lineRule="auto"/>
    </w:pPr>
    <w:rPr>
      <w:rFonts w:ascii="Times New Roman" w:hAnsi="Times New Roman"/>
      <w:sz w:val="24"/>
    </w:rPr>
  </w:style>
  <w:style w:type="paragraph" w:styleId="a7">
    <w:name w:val="Normal (Web)"/>
    <w:basedOn w:val="a"/>
    <w:pPr>
      <w:spacing w:beforeAutospacing="1" w:afterAutospacing="1"/>
      <w:jc w:val="left"/>
    </w:pPr>
    <w:rPr>
      <w:rFonts w:cs="Times New Roman"/>
      <w:kern w:val="0"/>
      <w:sz w:val="24"/>
    </w:rPr>
  </w:style>
  <w:style w:type="table" w:styleId="a8">
    <w:name w:val="Table Grid"/>
    <w:basedOn w:val="a1"/>
    <w:uiPriority w:val="59"/>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Strong"/>
    <w:basedOn w:val="a0"/>
    <w:rPr>
      <w:b/>
    </w:rPr>
  </w:style>
  <w:style w:type="character" w:customStyle="1" w:styleId="a6">
    <w:name w:val="页眉 字符"/>
    <w:basedOn w:val="a0"/>
    <w:link w:val="a5"/>
    <w:uiPriority w:val="99"/>
    <w:rPr>
      <w:sz w:val="18"/>
      <w:szCs w:val="18"/>
    </w:rPr>
  </w:style>
  <w:style w:type="character" w:customStyle="1" w:styleId="a4">
    <w:name w:val="页脚 字符"/>
    <w:basedOn w:val="a0"/>
    <w:link w:val="a3"/>
    <w:uiPriority w:val="99"/>
    <w:rPr>
      <w:sz w:val="18"/>
      <w:szCs w:val="18"/>
    </w:rPr>
  </w:style>
  <w:style w:type="paragraph" w:customStyle="1" w:styleId="xStyle1">
    <w:name w:val="xStyle1"/>
    <w:basedOn w:val="a"/>
    <w:rPr>
      <w:b/>
      <w:color w:val="000000" w:themeColor="text1"/>
      <w:sz w:val="22"/>
      <w:lang w:val="en-GB"/>
    </w:rPr>
  </w:style>
  <w:style w:type="paragraph" w:customStyle="1" w:styleId="xStyle2">
    <w:name w:val="xStyle2"/>
    <w:basedOn w:val="a"/>
    <w:pPr>
      <w:ind w:left="-108"/>
    </w:pPr>
    <w:rPr>
      <w:color w:val="000000" w:themeColor="text1"/>
      <w:sz w:val="20"/>
      <w:lang w:val="en-GB"/>
    </w:rPr>
  </w:style>
  <w:style w:type="paragraph" w:customStyle="1" w:styleId="WPSOffice1">
    <w:name w:val="WPSOffice手动目录 1"/>
  </w:style>
  <w:style w:type="paragraph" w:styleId="aa">
    <w:name w:val="Normal Indent"/>
    <w:basedOn w:val="a"/>
    <w:qFormat/>
    <w:rsid w:val="00461126"/>
    <w:pPr>
      <w:spacing w:line="360" w:lineRule="auto"/>
      <w:ind w:firstLineChars="200" w:firstLine="200"/>
    </w:pPr>
    <w:rPr>
      <w:rFonts w:ascii="Times New Roman" w:eastAsia="Times New Roman" w:hAnsi="Times New Roman"/>
      <w:sz w:val="24"/>
    </w:rPr>
  </w:style>
  <w:style w:type="character" w:customStyle="1" w:styleId="20">
    <w:name w:val="标题 2 字符"/>
    <w:basedOn w:val="a0"/>
    <w:link w:val="2"/>
    <w:uiPriority w:val="9"/>
    <w:rsid w:val="00461126"/>
    <w:rPr>
      <w:rFonts w:eastAsia="Times New Roman" w:cstheme="majorBidi"/>
      <w:b/>
      <w:bCs/>
      <w:kern w:val="2"/>
      <w:sz w:val="24"/>
      <w:szCs w:val="32"/>
      <w14:ligatures w14:val="standardContextual"/>
    </w:rPr>
  </w:style>
  <w:style w:type="character" w:customStyle="1" w:styleId="30">
    <w:name w:val="标题 3 字符"/>
    <w:basedOn w:val="a0"/>
    <w:link w:val="3"/>
    <w:uiPriority w:val="9"/>
    <w:rsid w:val="00461126"/>
    <w:rPr>
      <w:rFonts w:eastAsia="Times New Roman" w:cstheme="minorBidi"/>
      <w:b/>
      <w:bCs/>
      <w:kern w:val="2"/>
      <w:sz w:val="24"/>
      <w:szCs w:val="32"/>
      <w14:ligatures w14:val="standardContextual"/>
    </w:rPr>
  </w:style>
  <w:style w:type="paragraph" w:styleId="TOC">
    <w:name w:val="TOC Heading"/>
    <w:basedOn w:val="1"/>
    <w:next w:val="a"/>
    <w:uiPriority w:val="39"/>
    <w:unhideWhenUsed/>
    <w:qFormat/>
    <w:rsid w:val="00461126"/>
    <w:pPr>
      <w:widowControl/>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2">
    <w:name w:val="toc 2"/>
    <w:basedOn w:val="a"/>
    <w:next w:val="a"/>
    <w:autoRedefine/>
    <w:uiPriority w:val="39"/>
    <w:unhideWhenUsed/>
    <w:rsid w:val="00461126"/>
    <w:pPr>
      <w:spacing w:line="360" w:lineRule="auto"/>
      <w:ind w:leftChars="200" w:left="200"/>
    </w:pPr>
    <w:rPr>
      <w:rFonts w:ascii="Times New Roman" w:hAnsi="Times New Roman"/>
      <w:sz w:val="24"/>
    </w:rPr>
  </w:style>
  <w:style w:type="paragraph" w:styleId="TOC3">
    <w:name w:val="toc 3"/>
    <w:basedOn w:val="a"/>
    <w:next w:val="a"/>
    <w:autoRedefine/>
    <w:uiPriority w:val="39"/>
    <w:unhideWhenUsed/>
    <w:rsid w:val="00461126"/>
    <w:pPr>
      <w:spacing w:line="360" w:lineRule="auto"/>
      <w:ind w:leftChars="400" w:left="400"/>
    </w:pPr>
    <w:rPr>
      <w:rFonts w:ascii="Times New Roman" w:hAnsi="Times New Roman"/>
      <w:sz w:val="24"/>
    </w:rPr>
  </w:style>
  <w:style w:type="character" w:styleId="ab">
    <w:name w:val="Hyperlink"/>
    <w:basedOn w:val="a0"/>
    <w:uiPriority w:val="99"/>
    <w:unhideWhenUsed/>
    <w:rsid w:val="00461126"/>
    <w:rPr>
      <w:color w:val="0563C1" w:themeColor="hyperlink"/>
      <w:u w:val="single"/>
    </w:rPr>
  </w:style>
  <w:style w:type="character" w:styleId="ac">
    <w:name w:val="Unresolved Mention"/>
    <w:basedOn w:val="a0"/>
    <w:uiPriority w:val="99"/>
    <w:semiHidden/>
    <w:unhideWhenUsed/>
    <w:rsid w:val="00CB00AC"/>
    <w:rPr>
      <w:color w:val="605E5C"/>
      <w:shd w:val="clear" w:color="auto" w:fill="E1DFDD"/>
    </w:rPr>
  </w:style>
  <w:style w:type="paragraph" w:styleId="ad">
    <w:name w:val="caption"/>
    <w:basedOn w:val="a"/>
    <w:next w:val="a"/>
    <w:uiPriority w:val="35"/>
    <w:unhideWhenUsed/>
    <w:qFormat/>
    <w:rsid w:val="00894069"/>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901181">
      <w:bodyDiv w:val="1"/>
      <w:marLeft w:val="0"/>
      <w:marRight w:val="0"/>
      <w:marTop w:val="0"/>
      <w:marBottom w:val="0"/>
      <w:divBdr>
        <w:top w:val="none" w:sz="0" w:space="0" w:color="auto"/>
        <w:left w:val="none" w:sz="0" w:space="0" w:color="auto"/>
        <w:bottom w:val="none" w:sz="0" w:space="0" w:color="auto"/>
        <w:right w:val="none" w:sz="0" w:space="0" w:color="auto"/>
      </w:divBdr>
    </w:div>
    <w:div w:id="71515611">
      <w:bodyDiv w:val="1"/>
      <w:marLeft w:val="0"/>
      <w:marRight w:val="0"/>
      <w:marTop w:val="0"/>
      <w:marBottom w:val="0"/>
      <w:divBdr>
        <w:top w:val="none" w:sz="0" w:space="0" w:color="auto"/>
        <w:left w:val="none" w:sz="0" w:space="0" w:color="auto"/>
        <w:bottom w:val="none" w:sz="0" w:space="0" w:color="auto"/>
        <w:right w:val="none" w:sz="0" w:space="0" w:color="auto"/>
      </w:divBdr>
    </w:div>
    <w:div w:id="136723730">
      <w:bodyDiv w:val="1"/>
      <w:marLeft w:val="0"/>
      <w:marRight w:val="0"/>
      <w:marTop w:val="0"/>
      <w:marBottom w:val="0"/>
      <w:divBdr>
        <w:top w:val="none" w:sz="0" w:space="0" w:color="auto"/>
        <w:left w:val="none" w:sz="0" w:space="0" w:color="auto"/>
        <w:bottom w:val="none" w:sz="0" w:space="0" w:color="auto"/>
        <w:right w:val="none" w:sz="0" w:space="0" w:color="auto"/>
      </w:divBdr>
    </w:div>
    <w:div w:id="216013234">
      <w:bodyDiv w:val="1"/>
      <w:marLeft w:val="0"/>
      <w:marRight w:val="0"/>
      <w:marTop w:val="0"/>
      <w:marBottom w:val="0"/>
      <w:divBdr>
        <w:top w:val="none" w:sz="0" w:space="0" w:color="auto"/>
        <w:left w:val="none" w:sz="0" w:space="0" w:color="auto"/>
        <w:bottom w:val="none" w:sz="0" w:space="0" w:color="auto"/>
        <w:right w:val="none" w:sz="0" w:space="0" w:color="auto"/>
      </w:divBdr>
    </w:div>
    <w:div w:id="298999998">
      <w:bodyDiv w:val="1"/>
      <w:marLeft w:val="0"/>
      <w:marRight w:val="0"/>
      <w:marTop w:val="0"/>
      <w:marBottom w:val="0"/>
      <w:divBdr>
        <w:top w:val="none" w:sz="0" w:space="0" w:color="auto"/>
        <w:left w:val="none" w:sz="0" w:space="0" w:color="auto"/>
        <w:bottom w:val="none" w:sz="0" w:space="0" w:color="auto"/>
        <w:right w:val="none" w:sz="0" w:space="0" w:color="auto"/>
      </w:divBdr>
    </w:div>
    <w:div w:id="346639687">
      <w:bodyDiv w:val="1"/>
      <w:marLeft w:val="0"/>
      <w:marRight w:val="0"/>
      <w:marTop w:val="0"/>
      <w:marBottom w:val="0"/>
      <w:divBdr>
        <w:top w:val="none" w:sz="0" w:space="0" w:color="auto"/>
        <w:left w:val="none" w:sz="0" w:space="0" w:color="auto"/>
        <w:bottom w:val="none" w:sz="0" w:space="0" w:color="auto"/>
        <w:right w:val="none" w:sz="0" w:space="0" w:color="auto"/>
      </w:divBdr>
    </w:div>
    <w:div w:id="436486031">
      <w:bodyDiv w:val="1"/>
      <w:marLeft w:val="0"/>
      <w:marRight w:val="0"/>
      <w:marTop w:val="0"/>
      <w:marBottom w:val="0"/>
      <w:divBdr>
        <w:top w:val="none" w:sz="0" w:space="0" w:color="auto"/>
        <w:left w:val="none" w:sz="0" w:space="0" w:color="auto"/>
        <w:bottom w:val="none" w:sz="0" w:space="0" w:color="auto"/>
        <w:right w:val="none" w:sz="0" w:space="0" w:color="auto"/>
      </w:divBdr>
    </w:div>
    <w:div w:id="509100974">
      <w:bodyDiv w:val="1"/>
      <w:marLeft w:val="0"/>
      <w:marRight w:val="0"/>
      <w:marTop w:val="0"/>
      <w:marBottom w:val="0"/>
      <w:divBdr>
        <w:top w:val="none" w:sz="0" w:space="0" w:color="auto"/>
        <w:left w:val="none" w:sz="0" w:space="0" w:color="auto"/>
        <w:bottom w:val="none" w:sz="0" w:space="0" w:color="auto"/>
        <w:right w:val="none" w:sz="0" w:space="0" w:color="auto"/>
      </w:divBdr>
    </w:div>
    <w:div w:id="915281019">
      <w:bodyDiv w:val="1"/>
      <w:marLeft w:val="0"/>
      <w:marRight w:val="0"/>
      <w:marTop w:val="0"/>
      <w:marBottom w:val="0"/>
      <w:divBdr>
        <w:top w:val="none" w:sz="0" w:space="0" w:color="auto"/>
        <w:left w:val="none" w:sz="0" w:space="0" w:color="auto"/>
        <w:bottom w:val="none" w:sz="0" w:space="0" w:color="auto"/>
        <w:right w:val="none" w:sz="0" w:space="0" w:color="auto"/>
      </w:divBdr>
    </w:div>
    <w:div w:id="1200439906">
      <w:bodyDiv w:val="1"/>
      <w:marLeft w:val="0"/>
      <w:marRight w:val="0"/>
      <w:marTop w:val="0"/>
      <w:marBottom w:val="0"/>
      <w:divBdr>
        <w:top w:val="none" w:sz="0" w:space="0" w:color="auto"/>
        <w:left w:val="none" w:sz="0" w:space="0" w:color="auto"/>
        <w:bottom w:val="none" w:sz="0" w:space="0" w:color="auto"/>
        <w:right w:val="none" w:sz="0" w:space="0" w:color="auto"/>
      </w:divBdr>
    </w:div>
    <w:div w:id="1360935584">
      <w:bodyDiv w:val="1"/>
      <w:marLeft w:val="0"/>
      <w:marRight w:val="0"/>
      <w:marTop w:val="0"/>
      <w:marBottom w:val="0"/>
      <w:divBdr>
        <w:top w:val="none" w:sz="0" w:space="0" w:color="auto"/>
        <w:left w:val="none" w:sz="0" w:space="0" w:color="auto"/>
        <w:bottom w:val="none" w:sz="0" w:space="0" w:color="auto"/>
        <w:right w:val="none" w:sz="0" w:space="0" w:color="auto"/>
      </w:divBdr>
    </w:div>
    <w:div w:id="1542862550">
      <w:bodyDiv w:val="1"/>
      <w:marLeft w:val="0"/>
      <w:marRight w:val="0"/>
      <w:marTop w:val="0"/>
      <w:marBottom w:val="0"/>
      <w:divBdr>
        <w:top w:val="none" w:sz="0" w:space="0" w:color="auto"/>
        <w:left w:val="none" w:sz="0" w:space="0" w:color="auto"/>
        <w:bottom w:val="none" w:sz="0" w:space="0" w:color="auto"/>
        <w:right w:val="none" w:sz="0" w:space="0" w:color="auto"/>
      </w:divBdr>
    </w:div>
    <w:div w:id="1571692882">
      <w:bodyDiv w:val="1"/>
      <w:marLeft w:val="0"/>
      <w:marRight w:val="0"/>
      <w:marTop w:val="0"/>
      <w:marBottom w:val="0"/>
      <w:divBdr>
        <w:top w:val="none" w:sz="0" w:space="0" w:color="auto"/>
        <w:left w:val="none" w:sz="0" w:space="0" w:color="auto"/>
        <w:bottom w:val="none" w:sz="0" w:space="0" w:color="auto"/>
        <w:right w:val="none" w:sz="0" w:space="0" w:color="auto"/>
      </w:divBdr>
    </w:div>
    <w:div w:id="1668942476">
      <w:bodyDiv w:val="1"/>
      <w:marLeft w:val="0"/>
      <w:marRight w:val="0"/>
      <w:marTop w:val="0"/>
      <w:marBottom w:val="0"/>
      <w:divBdr>
        <w:top w:val="none" w:sz="0" w:space="0" w:color="auto"/>
        <w:left w:val="none" w:sz="0" w:space="0" w:color="auto"/>
        <w:bottom w:val="none" w:sz="0" w:space="0" w:color="auto"/>
        <w:right w:val="none" w:sz="0" w:space="0" w:color="auto"/>
      </w:divBdr>
    </w:div>
    <w:div w:id="1702704885">
      <w:bodyDiv w:val="1"/>
      <w:marLeft w:val="0"/>
      <w:marRight w:val="0"/>
      <w:marTop w:val="0"/>
      <w:marBottom w:val="0"/>
      <w:divBdr>
        <w:top w:val="none" w:sz="0" w:space="0" w:color="auto"/>
        <w:left w:val="none" w:sz="0" w:space="0" w:color="auto"/>
        <w:bottom w:val="none" w:sz="0" w:space="0" w:color="auto"/>
        <w:right w:val="none" w:sz="0" w:space="0" w:color="auto"/>
      </w:divBdr>
    </w:div>
    <w:div w:id="1831017470">
      <w:bodyDiv w:val="1"/>
      <w:marLeft w:val="0"/>
      <w:marRight w:val="0"/>
      <w:marTop w:val="0"/>
      <w:marBottom w:val="0"/>
      <w:divBdr>
        <w:top w:val="none" w:sz="0" w:space="0" w:color="auto"/>
        <w:left w:val="none" w:sz="0" w:space="0" w:color="auto"/>
        <w:bottom w:val="none" w:sz="0" w:space="0" w:color="auto"/>
        <w:right w:val="none" w:sz="0" w:space="0" w:color="auto"/>
      </w:divBdr>
    </w:div>
    <w:div w:id="1838573576">
      <w:bodyDiv w:val="1"/>
      <w:marLeft w:val="0"/>
      <w:marRight w:val="0"/>
      <w:marTop w:val="0"/>
      <w:marBottom w:val="0"/>
      <w:divBdr>
        <w:top w:val="none" w:sz="0" w:space="0" w:color="auto"/>
        <w:left w:val="none" w:sz="0" w:space="0" w:color="auto"/>
        <w:bottom w:val="none" w:sz="0" w:space="0" w:color="auto"/>
        <w:right w:val="none" w:sz="0" w:space="0" w:color="auto"/>
      </w:divBdr>
    </w:div>
    <w:div w:id="21441487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eadline.com/2019/02/alita-battle-angel-financing-fox-james-cameron-1202555555/" TargetMode="External"/><Relationship Id="rId18" Type="http://schemas.openxmlformats.org/officeDocument/2006/relationships/hyperlink" Target="https://www.1905.com/news/20240614/1679627.shtml"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oxofficemojo.com/title/tt0437086/" TargetMode="External"/><Relationship Id="rId17" Type="http://schemas.openxmlformats.org/officeDocument/2006/relationships/hyperlink" Target="https://news.sina.cn/2019-02-23/detail-ihqfskcp7893552.d.html" TargetMode="External"/><Relationship Id="rId2" Type="http://schemas.openxmlformats.org/officeDocument/2006/relationships/customXml" Target="../customXml/item2.xml"/><Relationship Id="rId16" Type="http://schemas.openxmlformats.org/officeDocument/2006/relationships/hyperlink" Target="https://www.fxguide.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t.ycwb.com/2019-02/22/content_30203321.htm" TargetMode="External"/><Relationship Id="rId5" Type="http://schemas.openxmlformats.org/officeDocument/2006/relationships/settings" Target="settings.xml"/><Relationship Id="rId15" Type="http://schemas.openxmlformats.org/officeDocument/2006/relationships/hyperlink" Target="https://www.gcores.com/articles/105894"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ovie.douban.com/review/1000296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F868F7D-3D23-4E9A-8D1C-A67DF058C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784</TotalTime>
  <Pages>10</Pages>
  <Words>3312</Words>
  <Characters>18883</Characters>
  <Application>Microsoft Office Word</Application>
  <DocSecurity>0</DocSecurity>
  <Lines>157</Lines>
  <Paragraphs>44</Paragraphs>
  <ScaleCrop>false</ScaleCrop>
  <Company/>
  <LinksUpToDate>false</LinksUpToDate>
  <CharactersWithSpaces>22151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然 果</dc:creator>
  <cp:lastModifiedBy>然 果</cp:lastModifiedBy>
  <cp:revision>15</cp:revision>
  <dcterms:created xsi:type="dcterms:W3CDTF">2025-04-28T12:15:00Z</dcterms:created>
  <dcterms:modified xsi:type="dcterms:W3CDTF">2025-05-07T00:53:00Z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2052-11.1.0.10009</vt:lpwstr>
  </property>
</Properties>
</file>