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F34D52" w14:textId="77777777" w:rsidR="0006333C" w:rsidRPr="00F4799C" w:rsidRDefault="0006333C" w:rsidP="0006333C">
      <w:pPr>
        <w:jc w:val="center"/>
        <w:rPr>
          <w:rFonts w:asciiTheme="minorBidi" w:hAnsiTheme="minorBidi"/>
        </w:rPr>
      </w:pPr>
      <w:r w:rsidRPr="00F4799C">
        <w:rPr>
          <w:rFonts w:asciiTheme="minorBidi" w:hAnsiTheme="minorBidi"/>
          <w:noProof/>
        </w:rPr>
        <w:drawing>
          <wp:inline distT="0" distB="0" distL="0" distR="0" wp14:anchorId="2771B24E" wp14:editId="4FD211C8">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CEA18BC" w14:textId="77777777" w:rsidR="0006333C" w:rsidRPr="00F4799C" w:rsidRDefault="0006333C" w:rsidP="0006333C">
      <w:pPr>
        <w:rPr>
          <w:rFonts w:asciiTheme="minorBidi" w:hAnsiTheme="minorBidi"/>
        </w:rPr>
      </w:pPr>
    </w:p>
    <w:p w14:paraId="2BC3A4E3" w14:textId="77777777" w:rsidR="0006333C" w:rsidRPr="00F4799C" w:rsidRDefault="0006333C" w:rsidP="0006333C">
      <w:pPr>
        <w:jc w:val="center"/>
        <w:rPr>
          <w:rFonts w:asciiTheme="minorBidi" w:hAnsiTheme="minorBidi"/>
          <w:b/>
          <w:bCs/>
          <w:sz w:val="28"/>
          <w:szCs w:val="28"/>
        </w:rPr>
      </w:pPr>
      <w:r w:rsidRPr="00F4799C">
        <w:rPr>
          <w:rFonts w:asciiTheme="minorBidi" w:hAnsiTheme="minorBidi"/>
          <w:b/>
          <w:bCs/>
          <w:sz w:val="28"/>
          <w:szCs w:val="28"/>
        </w:rPr>
        <w:t>Student Name:</w:t>
      </w:r>
      <w:r>
        <w:rPr>
          <w:rFonts w:asciiTheme="minorBidi" w:hAnsiTheme="minorBidi"/>
          <w:b/>
          <w:bCs/>
          <w:sz w:val="28"/>
          <w:szCs w:val="28"/>
        </w:rPr>
        <w:t xml:space="preserve"> Tirth G Patel</w:t>
      </w:r>
    </w:p>
    <w:p w14:paraId="0B9961F9" w14:textId="77777777" w:rsidR="0006333C" w:rsidRPr="00F4799C" w:rsidRDefault="0006333C" w:rsidP="0006333C">
      <w:pPr>
        <w:jc w:val="center"/>
        <w:rPr>
          <w:rFonts w:asciiTheme="minorBidi" w:hAnsiTheme="minorBidi"/>
          <w:b/>
          <w:bCs/>
          <w:sz w:val="28"/>
          <w:szCs w:val="28"/>
        </w:rPr>
      </w:pPr>
      <w:r w:rsidRPr="00F4799C">
        <w:rPr>
          <w:rFonts w:asciiTheme="minorBidi" w:hAnsiTheme="minorBidi"/>
          <w:b/>
          <w:bCs/>
          <w:sz w:val="28"/>
          <w:szCs w:val="28"/>
        </w:rPr>
        <w:t>Student ID:</w:t>
      </w:r>
      <w:r>
        <w:rPr>
          <w:rFonts w:asciiTheme="minorBidi" w:hAnsiTheme="minorBidi"/>
          <w:b/>
          <w:bCs/>
          <w:sz w:val="28"/>
          <w:szCs w:val="28"/>
        </w:rPr>
        <w:t xml:space="preserve"> 2522415</w:t>
      </w:r>
    </w:p>
    <w:p w14:paraId="16504834" w14:textId="77777777" w:rsidR="0006333C" w:rsidRPr="00F4799C" w:rsidRDefault="0006333C" w:rsidP="0006333C">
      <w:pPr>
        <w:jc w:val="center"/>
        <w:rPr>
          <w:rFonts w:asciiTheme="minorBidi" w:hAnsiTheme="minorBidi"/>
          <w:sz w:val="28"/>
          <w:szCs w:val="28"/>
        </w:rPr>
      </w:pPr>
    </w:p>
    <w:p w14:paraId="20EEB5F4" w14:textId="77777777" w:rsidR="0006333C" w:rsidRPr="00F4799C" w:rsidRDefault="0006333C" w:rsidP="0006333C">
      <w:pPr>
        <w:jc w:val="center"/>
        <w:rPr>
          <w:rFonts w:asciiTheme="minorBidi" w:hAnsiTheme="minorBidi"/>
          <w:sz w:val="28"/>
          <w:szCs w:val="28"/>
        </w:rPr>
      </w:pPr>
    </w:p>
    <w:p w14:paraId="00C71AED" w14:textId="77777777" w:rsidR="0006333C" w:rsidRPr="00F90653" w:rsidRDefault="0006333C" w:rsidP="0006333C">
      <w:pPr>
        <w:jc w:val="center"/>
        <w:rPr>
          <w:rFonts w:asciiTheme="minorBidi" w:hAnsiTheme="minorBidi"/>
          <w:b/>
          <w:bCs/>
          <w:sz w:val="28"/>
          <w:szCs w:val="28"/>
        </w:rPr>
      </w:pPr>
      <w:r w:rsidRPr="00F4799C">
        <w:rPr>
          <w:rFonts w:asciiTheme="minorBidi" w:hAnsiTheme="minorBidi"/>
          <w:b/>
          <w:bCs/>
          <w:sz w:val="28"/>
          <w:szCs w:val="28"/>
        </w:rPr>
        <w:t xml:space="preserve">Module Name: </w:t>
      </w:r>
      <w:r>
        <w:rPr>
          <w:rFonts w:asciiTheme="minorBidi" w:hAnsiTheme="minorBidi"/>
          <w:b/>
          <w:bCs/>
          <w:sz w:val="28"/>
          <w:szCs w:val="28"/>
        </w:rPr>
        <w:t>Financial Management</w:t>
      </w:r>
    </w:p>
    <w:p w14:paraId="71609BEF" w14:textId="77777777" w:rsidR="0006333C" w:rsidRPr="00F4799C" w:rsidRDefault="0006333C" w:rsidP="0006333C">
      <w:pPr>
        <w:jc w:val="center"/>
        <w:rPr>
          <w:rFonts w:asciiTheme="minorBidi" w:hAnsiTheme="minorBidi"/>
          <w:b/>
          <w:bCs/>
          <w:sz w:val="28"/>
          <w:szCs w:val="28"/>
        </w:rPr>
      </w:pPr>
      <w:r w:rsidRPr="00F4799C">
        <w:rPr>
          <w:rFonts w:asciiTheme="minorBidi" w:hAnsiTheme="minorBidi"/>
          <w:b/>
          <w:bCs/>
          <w:sz w:val="28"/>
          <w:szCs w:val="28"/>
        </w:rPr>
        <w:t xml:space="preserve">Module Code: </w:t>
      </w:r>
      <w:r w:rsidRPr="00F90653">
        <w:rPr>
          <w:rFonts w:asciiTheme="minorBidi" w:hAnsiTheme="minorBidi"/>
          <w:b/>
          <w:bCs/>
          <w:sz w:val="28"/>
          <w:szCs w:val="28"/>
        </w:rPr>
        <w:t>LCMB70</w:t>
      </w:r>
      <w:r>
        <w:rPr>
          <w:rFonts w:asciiTheme="minorBidi" w:hAnsiTheme="minorBidi"/>
          <w:b/>
          <w:bCs/>
          <w:sz w:val="28"/>
          <w:szCs w:val="28"/>
        </w:rPr>
        <w:t>02</w:t>
      </w:r>
    </w:p>
    <w:p w14:paraId="224B159D" w14:textId="77777777" w:rsidR="0006333C" w:rsidRPr="00F4799C" w:rsidRDefault="0006333C" w:rsidP="0006333C">
      <w:pPr>
        <w:jc w:val="center"/>
        <w:rPr>
          <w:rFonts w:asciiTheme="minorBidi" w:hAnsiTheme="minorBidi"/>
          <w:b/>
          <w:bCs/>
          <w:sz w:val="28"/>
          <w:szCs w:val="28"/>
        </w:rPr>
      </w:pPr>
      <w:r w:rsidRPr="00F4799C">
        <w:rPr>
          <w:rFonts w:asciiTheme="minorBidi" w:hAnsiTheme="minorBidi"/>
          <w:b/>
          <w:bCs/>
          <w:sz w:val="28"/>
          <w:szCs w:val="28"/>
        </w:rPr>
        <w:t>Lecturer’s Name:</w:t>
      </w:r>
      <w:r>
        <w:rPr>
          <w:rFonts w:asciiTheme="minorBidi" w:hAnsiTheme="minorBidi"/>
          <w:b/>
          <w:bCs/>
          <w:sz w:val="28"/>
          <w:szCs w:val="28"/>
        </w:rPr>
        <w:t xml:space="preserve"> </w:t>
      </w:r>
      <w:proofErr w:type="spellStart"/>
      <w:r>
        <w:rPr>
          <w:rFonts w:asciiTheme="minorBidi" w:hAnsiTheme="minorBidi"/>
          <w:b/>
          <w:bCs/>
          <w:sz w:val="28"/>
          <w:szCs w:val="28"/>
        </w:rPr>
        <w:t>Shengfeng</w:t>
      </w:r>
      <w:proofErr w:type="spellEnd"/>
      <w:r>
        <w:rPr>
          <w:rFonts w:asciiTheme="minorBidi" w:hAnsiTheme="minorBidi"/>
          <w:b/>
          <w:bCs/>
          <w:sz w:val="28"/>
          <w:szCs w:val="28"/>
        </w:rPr>
        <w:t xml:space="preserve"> Mei/ Patric </w:t>
      </w:r>
      <w:proofErr w:type="spellStart"/>
      <w:r>
        <w:rPr>
          <w:rFonts w:asciiTheme="minorBidi" w:hAnsiTheme="minorBidi"/>
          <w:b/>
          <w:bCs/>
          <w:sz w:val="28"/>
          <w:szCs w:val="28"/>
        </w:rPr>
        <w:t>yeboah</w:t>
      </w:r>
      <w:proofErr w:type="spellEnd"/>
    </w:p>
    <w:p w14:paraId="3588FBBB" w14:textId="77777777" w:rsidR="0006333C" w:rsidRPr="00F4799C" w:rsidRDefault="0006333C" w:rsidP="0006333C">
      <w:pPr>
        <w:jc w:val="center"/>
        <w:rPr>
          <w:rFonts w:asciiTheme="minorBidi" w:hAnsiTheme="minorBidi"/>
          <w:b/>
          <w:bCs/>
          <w:sz w:val="28"/>
          <w:szCs w:val="28"/>
        </w:rPr>
      </w:pPr>
    </w:p>
    <w:p w14:paraId="632E0AA6" w14:textId="77777777" w:rsidR="0006333C" w:rsidRDefault="0006333C" w:rsidP="0006333C">
      <w:pPr>
        <w:jc w:val="center"/>
        <w:rPr>
          <w:rFonts w:asciiTheme="minorBidi" w:hAnsiTheme="minorBidi"/>
          <w:b/>
          <w:bCs/>
          <w:sz w:val="28"/>
          <w:szCs w:val="28"/>
        </w:rPr>
      </w:pPr>
    </w:p>
    <w:p w14:paraId="785B7AB6" w14:textId="77777777" w:rsidR="0006333C" w:rsidRDefault="0006333C" w:rsidP="0006333C">
      <w:pPr>
        <w:jc w:val="center"/>
        <w:rPr>
          <w:rFonts w:asciiTheme="minorBidi" w:hAnsiTheme="minorBidi"/>
          <w:b/>
          <w:bCs/>
          <w:sz w:val="28"/>
          <w:szCs w:val="28"/>
        </w:rPr>
      </w:pPr>
    </w:p>
    <w:p w14:paraId="687F9459" w14:textId="77777777" w:rsidR="0006333C" w:rsidRPr="00F4799C" w:rsidRDefault="0006333C" w:rsidP="0006333C">
      <w:pPr>
        <w:jc w:val="center"/>
        <w:rPr>
          <w:rFonts w:asciiTheme="minorBidi" w:hAnsiTheme="minorBidi"/>
          <w:b/>
          <w:bCs/>
          <w:sz w:val="28"/>
          <w:szCs w:val="28"/>
        </w:rPr>
      </w:pPr>
    </w:p>
    <w:p w14:paraId="016AFA52" w14:textId="77777777" w:rsidR="0006333C" w:rsidRPr="00F4799C" w:rsidRDefault="0006333C" w:rsidP="0006333C">
      <w:pPr>
        <w:rPr>
          <w:rFonts w:asciiTheme="minorBidi" w:hAnsiTheme="minorBidi"/>
          <w:b/>
          <w:bCs/>
          <w:sz w:val="28"/>
          <w:szCs w:val="28"/>
        </w:rPr>
      </w:pPr>
    </w:p>
    <w:p w14:paraId="0011C30E" w14:textId="77777777" w:rsidR="0006333C" w:rsidRPr="00F90653" w:rsidRDefault="0006333C" w:rsidP="0006333C">
      <w:pPr>
        <w:rPr>
          <w:rFonts w:asciiTheme="minorBidi" w:hAnsiTheme="minorBidi"/>
          <w:b/>
          <w:bCs/>
        </w:rPr>
      </w:pPr>
    </w:p>
    <w:p w14:paraId="4474AA75" w14:textId="77777777" w:rsidR="0006333C" w:rsidRDefault="0006333C" w:rsidP="0006333C">
      <w:pPr>
        <w:spacing w:line="360" w:lineRule="auto"/>
        <w:rPr>
          <w:rFonts w:ascii="Arial" w:hAnsi="Arial" w:cs="Arial"/>
          <w:b/>
          <w:bCs/>
          <w:color w:val="000000" w:themeColor="text1"/>
        </w:rPr>
      </w:pPr>
    </w:p>
    <w:p w14:paraId="4ABC1C96" w14:textId="77777777" w:rsidR="0006333C" w:rsidRDefault="0006333C" w:rsidP="0006333C">
      <w:pPr>
        <w:spacing w:line="360" w:lineRule="auto"/>
        <w:jc w:val="center"/>
        <w:rPr>
          <w:rFonts w:ascii="Arial" w:hAnsi="Arial" w:cs="Arial"/>
          <w:b/>
          <w:bCs/>
          <w:color w:val="000000" w:themeColor="text1"/>
        </w:rPr>
      </w:pPr>
    </w:p>
    <w:p w14:paraId="2DA17E29" w14:textId="77777777" w:rsidR="0006333C" w:rsidRPr="00D3667E" w:rsidRDefault="0006333C" w:rsidP="0006333C">
      <w:pPr>
        <w:jc w:val="center"/>
        <w:rPr>
          <w:rFonts w:asciiTheme="minorBidi" w:hAnsiTheme="minorBidi"/>
          <w:b/>
          <w:bCs/>
          <w:sz w:val="28"/>
          <w:szCs w:val="28"/>
        </w:rPr>
      </w:pPr>
      <w:r w:rsidRPr="00F4799C">
        <w:rPr>
          <w:rFonts w:asciiTheme="minorBidi" w:hAnsiTheme="minorBidi"/>
          <w:b/>
          <w:bCs/>
          <w:sz w:val="28"/>
          <w:szCs w:val="28"/>
        </w:rPr>
        <w:t>Term 1</w:t>
      </w:r>
    </w:p>
    <w:p w14:paraId="0E005F67" w14:textId="53BC6BBC" w:rsidR="00F6050D" w:rsidRPr="00D3667E" w:rsidRDefault="00CB754C" w:rsidP="0006333C">
      <w:pPr>
        <w:jc w:val="center"/>
        <w:rPr>
          <w:rFonts w:asciiTheme="minorBidi" w:hAnsiTheme="minorBidi"/>
          <w:b/>
          <w:bCs/>
          <w:sz w:val="28"/>
          <w:szCs w:val="28"/>
        </w:rPr>
      </w:pPr>
      <w:r w:rsidRPr="000C3F2F">
        <w:rPr>
          <w:rFonts w:ascii="Arial" w:hAnsi="Arial" w:cs="Arial"/>
          <w:color w:val="000000" w:themeColor="text1"/>
        </w:rPr>
        <w:br w:type="page"/>
      </w:r>
    </w:p>
    <w:p w14:paraId="25B90F2C" w14:textId="64D599A3" w:rsidR="00CB754C" w:rsidRPr="000C3F2F" w:rsidRDefault="00432A6D" w:rsidP="000C3F2F">
      <w:pPr>
        <w:spacing w:line="360" w:lineRule="auto"/>
        <w:jc w:val="both"/>
        <w:rPr>
          <w:rFonts w:ascii="Arial" w:hAnsi="Arial" w:cs="Arial"/>
          <w:color w:val="000000" w:themeColor="text1"/>
        </w:rPr>
      </w:pPr>
      <w:r>
        <w:rPr>
          <w:rFonts w:ascii="Arial" w:hAnsi="Arial" w:cs="Arial"/>
          <w:color w:val="000000" w:themeColor="text1"/>
        </w:rPr>
        <w:lastRenderedPageBreak/>
        <w:br/>
      </w:r>
      <w:r>
        <w:rPr>
          <w:rFonts w:ascii="Arial" w:hAnsi="Arial" w:cs="Arial"/>
          <w:color w:val="000000" w:themeColor="text1"/>
        </w:rPr>
        <w:br/>
      </w:r>
    </w:p>
    <w:sdt>
      <w:sdtPr>
        <w:rPr>
          <w:rFonts w:ascii="Arial" w:eastAsiaTheme="minorHAnsi" w:hAnsi="Arial" w:cs="Arial"/>
          <w:b w:val="0"/>
          <w:bCs w:val="0"/>
          <w:color w:val="000000" w:themeColor="text1"/>
          <w:kern w:val="2"/>
          <w:sz w:val="24"/>
          <w:szCs w:val="24"/>
          <w:lang w:val="en-GB"/>
          <w14:ligatures w14:val="standardContextual"/>
        </w:rPr>
        <w:id w:val="-1511290462"/>
        <w:docPartObj>
          <w:docPartGallery w:val="Table of Contents"/>
          <w:docPartUnique/>
        </w:docPartObj>
      </w:sdtPr>
      <w:sdtEndPr>
        <w:rPr>
          <w:noProof/>
        </w:rPr>
      </w:sdtEndPr>
      <w:sdtContent>
        <w:p w14:paraId="34D99F08" w14:textId="6CB7FA1E" w:rsidR="00A0719D" w:rsidRPr="000C3F2F" w:rsidRDefault="00A0719D" w:rsidP="000C3F2F">
          <w:pPr>
            <w:pStyle w:val="TOCHeading"/>
            <w:spacing w:line="360" w:lineRule="auto"/>
            <w:jc w:val="both"/>
            <w:rPr>
              <w:rFonts w:ascii="Arial" w:hAnsi="Arial" w:cs="Arial"/>
              <w:color w:val="000000" w:themeColor="text1"/>
              <w:sz w:val="24"/>
              <w:szCs w:val="24"/>
            </w:rPr>
          </w:pPr>
          <w:r w:rsidRPr="000C3F2F">
            <w:rPr>
              <w:rFonts w:ascii="Arial" w:hAnsi="Arial" w:cs="Arial"/>
              <w:color w:val="000000" w:themeColor="text1"/>
              <w:sz w:val="24"/>
              <w:szCs w:val="24"/>
            </w:rPr>
            <w:t>Table of Contents</w:t>
          </w:r>
        </w:p>
        <w:p w14:paraId="7EC44909" w14:textId="5505F118" w:rsidR="00CD50D0" w:rsidRPr="000C3F2F" w:rsidRDefault="00A0719D" w:rsidP="000C3F2F">
          <w:pPr>
            <w:pStyle w:val="TOC1"/>
            <w:tabs>
              <w:tab w:val="right" w:leader="dot" w:pos="9016"/>
            </w:tabs>
            <w:spacing w:line="360" w:lineRule="auto"/>
            <w:jc w:val="both"/>
            <w:rPr>
              <w:rFonts w:ascii="Arial" w:eastAsiaTheme="minorEastAsia" w:hAnsi="Arial" w:cs="Arial"/>
              <w:b w:val="0"/>
              <w:bCs w:val="0"/>
              <w:caps w:val="0"/>
              <w:noProof/>
              <w:color w:val="000000" w:themeColor="text1"/>
              <w:sz w:val="24"/>
              <w:szCs w:val="24"/>
              <w:u w:val="none"/>
              <w:lang w:eastAsia="en-GB"/>
            </w:rPr>
          </w:pPr>
          <w:r w:rsidRPr="000C3F2F">
            <w:rPr>
              <w:rFonts w:ascii="Arial" w:hAnsi="Arial" w:cs="Arial"/>
              <w:b w:val="0"/>
              <w:bCs w:val="0"/>
              <w:color w:val="000000" w:themeColor="text1"/>
              <w:sz w:val="24"/>
              <w:szCs w:val="24"/>
            </w:rPr>
            <w:fldChar w:fldCharType="begin"/>
          </w:r>
          <w:r w:rsidRPr="000C3F2F">
            <w:rPr>
              <w:rFonts w:ascii="Arial" w:hAnsi="Arial" w:cs="Arial"/>
              <w:color w:val="000000" w:themeColor="text1"/>
              <w:sz w:val="24"/>
              <w:szCs w:val="24"/>
            </w:rPr>
            <w:instrText xml:space="preserve"> TOC \o "1-3" \h \z \u </w:instrText>
          </w:r>
          <w:r w:rsidRPr="000C3F2F">
            <w:rPr>
              <w:rFonts w:ascii="Arial" w:hAnsi="Arial" w:cs="Arial"/>
              <w:b w:val="0"/>
              <w:bCs w:val="0"/>
              <w:color w:val="000000" w:themeColor="text1"/>
              <w:sz w:val="24"/>
              <w:szCs w:val="24"/>
            </w:rPr>
            <w:fldChar w:fldCharType="separate"/>
          </w:r>
          <w:hyperlink w:anchor="_Toc227925556" w:history="1">
            <w:r w:rsidR="00CD50D0" w:rsidRPr="000C3F2F">
              <w:rPr>
                <w:rStyle w:val="Hyperlink"/>
                <w:rFonts w:ascii="Arial" w:hAnsi="Arial" w:cs="Arial"/>
                <w:noProof/>
                <w:color w:val="000000" w:themeColor="text1"/>
                <w:sz w:val="24"/>
                <w:szCs w:val="24"/>
              </w:rPr>
              <w:t>Executive Summary</w:t>
            </w:r>
            <w:r w:rsidR="00CD50D0" w:rsidRPr="000C3F2F">
              <w:rPr>
                <w:rFonts w:ascii="Arial" w:hAnsi="Arial" w:cs="Arial"/>
                <w:noProof/>
                <w:webHidden/>
                <w:color w:val="000000" w:themeColor="text1"/>
                <w:sz w:val="24"/>
                <w:szCs w:val="24"/>
              </w:rPr>
              <w:tab/>
            </w:r>
            <w:r w:rsidR="00CD50D0" w:rsidRPr="000C3F2F">
              <w:rPr>
                <w:rFonts w:ascii="Arial" w:hAnsi="Arial" w:cs="Arial"/>
                <w:noProof/>
                <w:webHidden/>
                <w:color w:val="000000" w:themeColor="text1"/>
                <w:sz w:val="24"/>
                <w:szCs w:val="24"/>
              </w:rPr>
              <w:fldChar w:fldCharType="begin"/>
            </w:r>
            <w:r w:rsidR="00CD50D0" w:rsidRPr="000C3F2F">
              <w:rPr>
                <w:rFonts w:ascii="Arial" w:hAnsi="Arial" w:cs="Arial"/>
                <w:noProof/>
                <w:webHidden/>
                <w:color w:val="000000" w:themeColor="text1"/>
                <w:sz w:val="24"/>
                <w:szCs w:val="24"/>
              </w:rPr>
              <w:instrText xml:space="preserve"> PAGEREF _Toc227925556 \h </w:instrText>
            </w:r>
            <w:r w:rsidR="00CD50D0" w:rsidRPr="000C3F2F">
              <w:rPr>
                <w:rFonts w:ascii="Arial" w:hAnsi="Arial" w:cs="Arial"/>
                <w:noProof/>
                <w:webHidden/>
                <w:color w:val="000000" w:themeColor="text1"/>
                <w:sz w:val="24"/>
                <w:szCs w:val="24"/>
              </w:rPr>
            </w:r>
            <w:r w:rsidR="00CD50D0" w:rsidRPr="000C3F2F">
              <w:rPr>
                <w:rFonts w:ascii="Arial" w:hAnsi="Arial" w:cs="Arial"/>
                <w:noProof/>
                <w:webHidden/>
                <w:color w:val="000000" w:themeColor="text1"/>
                <w:sz w:val="24"/>
                <w:szCs w:val="24"/>
              </w:rPr>
              <w:fldChar w:fldCharType="separate"/>
            </w:r>
            <w:r w:rsidR="00CD50D0" w:rsidRPr="000C3F2F">
              <w:rPr>
                <w:rFonts w:ascii="Arial" w:hAnsi="Arial" w:cs="Arial"/>
                <w:noProof/>
                <w:webHidden/>
                <w:color w:val="000000" w:themeColor="text1"/>
                <w:sz w:val="24"/>
                <w:szCs w:val="24"/>
              </w:rPr>
              <w:t>4</w:t>
            </w:r>
            <w:r w:rsidR="00CD50D0" w:rsidRPr="000C3F2F">
              <w:rPr>
                <w:rFonts w:ascii="Arial" w:hAnsi="Arial" w:cs="Arial"/>
                <w:noProof/>
                <w:webHidden/>
                <w:color w:val="000000" w:themeColor="text1"/>
                <w:sz w:val="24"/>
                <w:szCs w:val="24"/>
              </w:rPr>
              <w:fldChar w:fldCharType="end"/>
            </w:r>
          </w:hyperlink>
        </w:p>
        <w:p w14:paraId="4B32CE70" w14:textId="57C3BE69" w:rsidR="00CD50D0" w:rsidRPr="000C3F2F" w:rsidRDefault="00CD50D0" w:rsidP="000C3F2F">
          <w:pPr>
            <w:pStyle w:val="TOC1"/>
            <w:tabs>
              <w:tab w:val="right" w:leader="dot" w:pos="9016"/>
            </w:tabs>
            <w:spacing w:line="360" w:lineRule="auto"/>
            <w:jc w:val="both"/>
            <w:rPr>
              <w:rFonts w:ascii="Arial" w:eastAsiaTheme="minorEastAsia" w:hAnsi="Arial" w:cs="Arial"/>
              <w:b w:val="0"/>
              <w:bCs w:val="0"/>
              <w:caps w:val="0"/>
              <w:noProof/>
              <w:color w:val="000000" w:themeColor="text1"/>
              <w:sz w:val="24"/>
              <w:szCs w:val="24"/>
              <w:u w:val="none"/>
              <w:lang w:eastAsia="en-GB"/>
            </w:rPr>
          </w:pPr>
          <w:hyperlink w:anchor="_Toc227925557" w:history="1">
            <w:r w:rsidRPr="000C3F2F">
              <w:rPr>
                <w:rStyle w:val="Hyperlink"/>
                <w:rFonts w:ascii="Arial" w:hAnsi="Arial" w:cs="Arial"/>
                <w:noProof/>
                <w:color w:val="000000" w:themeColor="text1"/>
                <w:sz w:val="24"/>
                <w:szCs w:val="24"/>
              </w:rPr>
              <w:t>1. Financial Health Check (2020–2024)</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_Toc227925557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5</w:t>
            </w:r>
            <w:r w:rsidRPr="000C3F2F">
              <w:rPr>
                <w:rFonts w:ascii="Arial" w:hAnsi="Arial" w:cs="Arial"/>
                <w:noProof/>
                <w:webHidden/>
                <w:color w:val="000000" w:themeColor="text1"/>
                <w:sz w:val="24"/>
                <w:szCs w:val="24"/>
              </w:rPr>
              <w:fldChar w:fldCharType="end"/>
            </w:r>
          </w:hyperlink>
        </w:p>
        <w:p w14:paraId="77267560" w14:textId="6024AA2B"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58" w:history="1">
            <w:r w:rsidRPr="000C3F2F">
              <w:rPr>
                <w:rStyle w:val="Hyperlink"/>
                <w:rFonts w:ascii="Arial" w:hAnsi="Arial" w:cs="Arial"/>
                <w:noProof/>
                <w:color w:val="000000" w:themeColor="text1"/>
                <w:sz w:val="24"/>
                <w:szCs w:val="24"/>
              </w:rPr>
              <w:t>1.1 Company Overview</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_Toc227925558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5</w:t>
            </w:r>
            <w:r w:rsidRPr="000C3F2F">
              <w:rPr>
                <w:rFonts w:ascii="Arial" w:hAnsi="Arial" w:cs="Arial"/>
                <w:noProof/>
                <w:webHidden/>
                <w:color w:val="000000" w:themeColor="text1"/>
                <w:sz w:val="24"/>
                <w:szCs w:val="24"/>
              </w:rPr>
              <w:fldChar w:fldCharType="end"/>
            </w:r>
          </w:hyperlink>
        </w:p>
        <w:p w14:paraId="1971EA26" w14:textId="3226BE32"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59" w:history="1">
            <w:r w:rsidRPr="000C3F2F">
              <w:rPr>
                <w:rStyle w:val="Hyperlink"/>
                <w:rFonts w:ascii="Arial" w:hAnsi="Arial" w:cs="Arial"/>
                <w:noProof/>
                <w:color w:val="000000" w:themeColor="text1"/>
                <w:sz w:val="24"/>
                <w:szCs w:val="24"/>
              </w:rPr>
              <w:t>1.2 Income Statement Trends</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_Toc227925559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5</w:t>
            </w:r>
            <w:r w:rsidRPr="000C3F2F">
              <w:rPr>
                <w:rFonts w:ascii="Arial" w:hAnsi="Arial" w:cs="Arial"/>
                <w:noProof/>
                <w:webHidden/>
                <w:color w:val="000000" w:themeColor="text1"/>
                <w:sz w:val="24"/>
                <w:szCs w:val="24"/>
              </w:rPr>
              <w:fldChar w:fldCharType="end"/>
            </w:r>
          </w:hyperlink>
        </w:p>
        <w:p w14:paraId="42307A76" w14:textId="325D679B"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60" w:history="1">
            <w:r w:rsidRPr="000C3F2F">
              <w:rPr>
                <w:rStyle w:val="Hyperlink"/>
                <w:rFonts w:ascii="Arial" w:hAnsi="Arial" w:cs="Arial"/>
                <w:noProof/>
                <w:color w:val="000000" w:themeColor="text1"/>
                <w:sz w:val="24"/>
                <w:szCs w:val="24"/>
              </w:rPr>
              <w:t>1.3 Profitability Ratios</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_Toc227925560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6</w:t>
            </w:r>
            <w:r w:rsidRPr="000C3F2F">
              <w:rPr>
                <w:rFonts w:ascii="Arial" w:hAnsi="Arial" w:cs="Arial"/>
                <w:noProof/>
                <w:webHidden/>
                <w:color w:val="000000" w:themeColor="text1"/>
                <w:sz w:val="24"/>
                <w:szCs w:val="24"/>
              </w:rPr>
              <w:fldChar w:fldCharType="end"/>
            </w:r>
          </w:hyperlink>
        </w:p>
        <w:p w14:paraId="58D6E5B8" w14:textId="2B2AAA9E"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61" w:history="1">
            <w:r w:rsidRPr="000C3F2F">
              <w:rPr>
                <w:rStyle w:val="Hyperlink"/>
                <w:rFonts w:ascii="Arial" w:hAnsi="Arial" w:cs="Arial"/>
                <w:noProof/>
                <w:color w:val="000000" w:themeColor="text1"/>
                <w:sz w:val="24"/>
                <w:szCs w:val="24"/>
              </w:rPr>
              <w:t>1.4 Liquidity Ratios</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_Toc227925561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7</w:t>
            </w:r>
            <w:r w:rsidRPr="000C3F2F">
              <w:rPr>
                <w:rFonts w:ascii="Arial" w:hAnsi="Arial" w:cs="Arial"/>
                <w:noProof/>
                <w:webHidden/>
                <w:color w:val="000000" w:themeColor="text1"/>
                <w:sz w:val="24"/>
                <w:szCs w:val="24"/>
              </w:rPr>
              <w:fldChar w:fldCharType="end"/>
            </w:r>
          </w:hyperlink>
        </w:p>
        <w:p w14:paraId="4737B06A" w14:textId="1A1960DB"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62" w:history="1">
            <w:r w:rsidRPr="000C3F2F">
              <w:rPr>
                <w:rStyle w:val="Hyperlink"/>
                <w:rFonts w:ascii="Arial" w:hAnsi="Arial" w:cs="Arial"/>
                <w:noProof/>
                <w:color w:val="000000" w:themeColor="text1"/>
                <w:sz w:val="24"/>
                <w:szCs w:val="24"/>
              </w:rPr>
              <w:t>1.5 Efficiency Ratios</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_Toc227925562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8</w:t>
            </w:r>
            <w:r w:rsidRPr="000C3F2F">
              <w:rPr>
                <w:rFonts w:ascii="Arial" w:hAnsi="Arial" w:cs="Arial"/>
                <w:noProof/>
                <w:webHidden/>
                <w:color w:val="000000" w:themeColor="text1"/>
                <w:sz w:val="24"/>
                <w:szCs w:val="24"/>
              </w:rPr>
              <w:fldChar w:fldCharType="end"/>
            </w:r>
          </w:hyperlink>
        </w:p>
        <w:p w14:paraId="3E77B3EA" w14:textId="1969362E"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63" w:history="1">
            <w:r w:rsidRPr="000C3F2F">
              <w:rPr>
                <w:rStyle w:val="Hyperlink"/>
                <w:rFonts w:ascii="Arial" w:hAnsi="Arial" w:cs="Arial"/>
                <w:noProof/>
                <w:color w:val="000000" w:themeColor="text1"/>
                <w:sz w:val="24"/>
                <w:szCs w:val="24"/>
              </w:rPr>
              <w:t>1.6 Gearing and Leverage Ratios</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_Toc227925563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9</w:t>
            </w:r>
            <w:r w:rsidRPr="000C3F2F">
              <w:rPr>
                <w:rFonts w:ascii="Arial" w:hAnsi="Arial" w:cs="Arial"/>
                <w:noProof/>
                <w:webHidden/>
                <w:color w:val="000000" w:themeColor="text1"/>
                <w:sz w:val="24"/>
                <w:szCs w:val="24"/>
              </w:rPr>
              <w:fldChar w:fldCharType="end"/>
            </w:r>
          </w:hyperlink>
        </w:p>
        <w:p w14:paraId="113DF6F2" w14:textId="47CDB7FC"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64" w:history="1">
            <w:r w:rsidRPr="000C3F2F">
              <w:rPr>
                <w:rStyle w:val="Hyperlink"/>
                <w:rFonts w:ascii="Arial" w:hAnsi="Arial" w:cs="Arial"/>
                <w:noProof/>
                <w:color w:val="000000" w:themeColor="text1"/>
                <w:sz w:val="24"/>
                <w:szCs w:val="24"/>
              </w:rPr>
              <w:t>1.7 Cash Flow Analysis</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_Toc227925564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10</w:t>
            </w:r>
            <w:r w:rsidRPr="000C3F2F">
              <w:rPr>
                <w:rFonts w:ascii="Arial" w:hAnsi="Arial" w:cs="Arial"/>
                <w:noProof/>
                <w:webHidden/>
                <w:color w:val="000000" w:themeColor="text1"/>
                <w:sz w:val="24"/>
                <w:szCs w:val="24"/>
              </w:rPr>
              <w:fldChar w:fldCharType="end"/>
            </w:r>
          </w:hyperlink>
        </w:p>
        <w:p w14:paraId="11375AB7" w14:textId="486F6B04"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65" w:history="1">
            <w:r w:rsidRPr="000C3F2F">
              <w:rPr>
                <w:rStyle w:val="Hyperlink"/>
                <w:rFonts w:ascii="Arial" w:hAnsi="Arial" w:cs="Arial"/>
                <w:noProof/>
                <w:color w:val="000000" w:themeColor="text1"/>
                <w:sz w:val="24"/>
                <w:szCs w:val="24"/>
              </w:rPr>
              <w:t>1.8 Investment Ratios</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_Toc227925565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10</w:t>
            </w:r>
            <w:r w:rsidRPr="000C3F2F">
              <w:rPr>
                <w:rFonts w:ascii="Arial" w:hAnsi="Arial" w:cs="Arial"/>
                <w:noProof/>
                <w:webHidden/>
                <w:color w:val="000000" w:themeColor="text1"/>
                <w:sz w:val="24"/>
                <w:szCs w:val="24"/>
              </w:rPr>
              <w:fldChar w:fldCharType="end"/>
            </w:r>
          </w:hyperlink>
        </w:p>
        <w:p w14:paraId="139FC5D2" w14:textId="67107BB0"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66" w:history="1">
            <w:r w:rsidRPr="000C3F2F">
              <w:rPr>
                <w:rStyle w:val="Hyperlink"/>
                <w:rFonts w:ascii="Arial" w:hAnsi="Arial" w:cs="Arial"/>
                <w:noProof/>
                <w:color w:val="000000" w:themeColor="text1"/>
                <w:sz w:val="24"/>
                <w:szCs w:val="24"/>
              </w:rPr>
              <w:t>1.9 Summary: Strengths, Threats, and Trends</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_Toc227925566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11</w:t>
            </w:r>
            <w:r w:rsidRPr="000C3F2F">
              <w:rPr>
                <w:rFonts w:ascii="Arial" w:hAnsi="Arial" w:cs="Arial"/>
                <w:noProof/>
                <w:webHidden/>
                <w:color w:val="000000" w:themeColor="text1"/>
                <w:sz w:val="24"/>
                <w:szCs w:val="24"/>
              </w:rPr>
              <w:fldChar w:fldCharType="end"/>
            </w:r>
          </w:hyperlink>
        </w:p>
        <w:p w14:paraId="7374CAA0" w14:textId="2AB63CE4" w:rsidR="00CD50D0" w:rsidRPr="000C3F2F" w:rsidRDefault="00CD50D0" w:rsidP="000C3F2F">
          <w:pPr>
            <w:pStyle w:val="TOC1"/>
            <w:tabs>
              <w:tab w:val="right" w:leader="dot" w:pos="9016"/>
            </w:tabs>
            <w:spacing w:line="360" w:lineRule="auto"/>
            <w:jc w:val="both"/>
            <w:rPr>
              <w:rFonts w:ascii="Arial" w:eastAsiaTheme="minorEastAsia" w:hAnsi="Arial" w:cs="Arial"/>
              <w:b w:val="0"/>
              <w:bCs w:val="0"/>
              <w:caps w:val="0"/>
              <w:noProof/>
              <w:color w:val="000000" w:themeColor="text1"/>
              <w:sz w:val="24"/>
              <w:szCs w:val="24"/>
              <w:u w:val="none"/>
              <w:lang w:eastAsia="en-GB"/>
            </w:rPr>
          </w:pPr>
          <w:hyperlink w:anchor="_Toc227925567" w:history="1">
            <w:r w:rsidRPr="000C3F2F">
              <w:rPr>
                <w:rStyle w:val="Hyperlink"/>
                <w:rFonts w:ascii="MS Gothic" w:eastAsia="MS Gothic" w:hAnsi="MS Gothic" w:cs="MS Gothic" w:hint="eastAsia"/>
                <w:noProof/>
                <w:color w:val="000000" w:themeColor="text1"/>
                <w:sz w:val="24"/>
                <w:szCs w:val="24"/>
              </w:rPr>
              <w:t> </w:t>
            </w:r>
            <w:r w:rsidRPr="000C3F2F">
              <w:rPr>
                <w:rStyle w:val="Hyperlink"/>
                <w:rFonts w:ascii="Arial" w:hAnsi="Arial" w:cs="Arial"/>
                <w:noProof/>
                <w:color w:val="000000" w:themeColor="text1"/>
                <w:sz w:val="24"/>
                <w:szCs w:val="24"/>
              </w:rPr>
              <w:t>2. Working Capital Management Analysis</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_Toc227925567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12</w:t>
            </w:r>
            <w:r w:rsidRPr="000C3F2F">
              <w:rPr>
                <w:rFonts w:ascii="Arial" w:hAnsi="Arial" w:cs="Arial"/>
                <w:noProof/>
                <w:webHidden/>
                <w:color w:val="000000" w:themeColor="text1"/>
                <w:sz w:val="24"/>
                <w:szCs w:val="24"/>
              </w:rPr>
              <w:fldChar w:fldCharType="end"/>
            </w:r>
          </w:hyperlink>
        </w:p>
        <w:p w14:paraId="628E44F3" w14:textId="4C8D494B"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68" w:history="1">
            <w:r w:rsidRPr="000C3F2F">
              <w:rPr>
                <w:rStyle w:val="Hyperlink"/>
                <w:rFonts w:ascii="Arial" w:hAnsi="Arial" w:cs="Arial"/>
                <w:noProof/>
                <w:color w:val="000000" w:themeColor="text1"/>
                <w:sz w:val="24"/>
                <w:szCs w:val="24"/>
              </w:rPr>
              <w:t>2.1 Cash Operating Cycle</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_Toc227925568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12</w:t>
            </w:r>
            <w:r w:rsidRPr="000C3F2F">
              <w:rPr>
                <w:rFonts w:ascii="Arial" w:hAnsi="Arial" w:cs="Arial"/>
                <w:noProof/>
                <w:webHidden/>
                <w:color w:val="000000" w:themeColor="text1"/>
                <w:sz w:val="24"/>
                <w:szCs w:val="24"/>
              </w:rPr>
              <w:fldChar w:fldCharType="end"/>
            </w:r>
          </w:hyperlink>
        </w:p>
        <w:p w14:paraId="06F7FC9E" w14:textId="684FBB2D"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69" w:history="1">
            <w:r w:rsidRPr="000C3F2F">
              <w:rPr>
                <w:rStyle w:val="Hyperlink"/>
                <w:rFonts w:ascii="Arial" w:hAnsi="Arial" w:cs="Arial"/>
                <w:noProof/>
                <w:color w:val="000000" w:themeColor="text1"/>
                <w:sz w:val="24"/>
                <w:szCs w:val="24"/>
              </w:rPr>
              <w:t>2.2 Working Capital Position</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_Toc227925569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12</w:t>
            </w:r>
            <w:r w:rsidRPr="000C3F2F">
              <w:rPr>
                <w:rFonts w:ascii="Arial" w:hAnsi="Arial" w:cs="Arial"/>
                <w:noProof/>
                <w:webHidden/>
                <w:color w:val="000000" w:themeColor="text1"/>
                <w:sz w:val="24"/>
                <w:szCs w:val="24"/>
              </w:rPr>
              <w:fldChar w:fldCharType="end"/>
            </w:r>
          </w:hyperlink>
        </w:p>
        <w:p w14:paraId="72A2E0CF" w14:textId="27EB8EBE"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70" w:history="1">
            <w:r w:rsidRPr="000C3F2F">
              <w:rPr>
                <w:rStyle w:val="Hyperlink"/>
                <w:rFonts w:ascii="Arial" w:hAnsi="Arial" w:cs="Arial"/>
                <w:noProof/>
                <w:color w:val="000000" w:themeColor="text1"/>
                <w:sz w:val="24"/>
                <w:szCs w:val="24"/>
              </w:rPr>
              <w:t>2.3 Strategies to Improve Liquidity Through Working Capital Reform</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_Toc227925570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13</w:t>
            </w:r>
            <w:r w:rsidRPr="000C3F2F">
              <w:rPr>
                <w:rFonts w:ascii="Arial" w:hAnsi="Arial" w:cs="Arial"/>
                <w:noProof/>
                <w:webHidden/>
                <w:color w:val="000000" w:themeColor="text1"/>
                <w:sz w:val="24"/>
                <w:szCs w:val="24"/>
              </w:rPr>
              <w:fldChar w:fldCharType="end"/>
            </w:r>
          </w:hyperlink>
        </w:p>
        <w:p w14:paraId="6D9753DE" w14:textId="496AE2E5" w:rsidR="00CD50D0" w:rsidRPr="000C3F2F" w:rsidRDefault="00CD50D0" w:rsidP="000C3F2F">
          <w:pPr>
            <w:pStyle w:val="TOC1"/>
            <w:tabs>
              <w:tab w:val="right" w:leader="dot" w:pos="9016"/>
            </w:tabs>
            <w:spacing w:line="360" w:lineRule="auto"/>
            <w:jc w:val="both"/>
            <w:rPr>
              <w:rFonts w:ascii="Arial" w:eastAsiaTheme="minorEastAsia" w:hAnsi="Arial" w:cs="Arial"/>
              <w:b w:val="0"/>
              <w:bCs w:val="0"/>
              <w:caps w:val="0"/>
              <w:noProof/>
              <w:color w:val="000000" w:themeColor="text1"/>
              <w:sz w:val="24"/>
              <w:szCs w:val="24"/>
              <w:u w:val="none"/>
              <w:lang w:eastAsia="en-GB"/>
            </w:rPr>
          </w:pPr>
          <w:hyperlink w:anchor="_Toc227925571" w:history="1">
            <w:r w:rsidRPr="000C3F2F">
              <w:rPr>
                <w:rStyle w:val="Hyperlink"/>
                <w:rFonts w:ascii="Arial" w:hAnsi="Arial" w:cs="Arial"/>
                <w:noProof/>
                <w:color w:val="000000" w:themeColor="text1"/>
                <w:sz w:val="24"/>
                <w:szCs w:val="24"/>
              </w:rPr>
              <w:t>3. Strategic Financial Restructuring Plan</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_Toc227925571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14</w:t>
            </w:r>
            <w:r w:rsidRPr="000C3F2F">
              <w:rPr>
                <w:rFonts w:ascii="Arial" w:hAnsi="Arial" w:cs="Arial"/>
                <w:noProof/>
                <w:webHidden/>
                <w:color w:val="000000" w:themeColor="text1"/>
                <w:sz w:val="24"/>
                <w:szCs w:val="24"/>
              </w:rPr>
              <w:fldChar w:fldCharType="end"/>
            </w:r>
          </w:hyperlink>
        </w:p>
        <w:p w14:paraId="6179506D" w14:textId="25586C9A"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72" w:history="1">
            <w:r w:rsidRPr="000C3F2F">
              <w:rPr>
                <w:rStyle w:val="Hyperlink"/>
                <w:rFonts w:ascii="Arial" w:hAnsi="Arial" w:cs="Arial"/>
                <w:noProof/>
                <w:color w:val="000000" w:themeColor="text1"/>
                <w:sz w:val="24"/>
                <w:szCs w:val="24"/>
              </w:rPr>
              <w:t>3.1 Context: Why Restructuring Is Needed</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_Toc227925572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14</w:t>
            </w:r>
            <w:r w:rsidRPr="000C3F2F">
              <w:rPr>
                <w:rFonts w:ascii="Arial" w:hAnsi="Arial" w:cs="Arial"/>
                <w:noProof/>
                <w:webHidden/>
                <w:color w:val="000000" w:themeColor="text1"/>
                <w:sz w:val="24"/>
                <w:szCs w:val="24"/>
              </w:rPr>
              <w:fldChar w:fldCharType="end"/>
            </w:r>
          </w:hyperlink>
        </w:p>
        <w:p w14:paraId="060F4B47" w14:textId="757010A9"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73" w:history="1">
            <w:r w:rsidRPr="000C3F2F">
              <w:rPr>
                <w:rStyle w:val="Hyperlink"/>
                <w:rFonts w:ascii="Arial" w:hAnsi="Arial" w:cs="Arial"/>
                <w:noProof/>
                <w:color w:val="000000" w:themeColor="text1"/>
                <w:sz w:val="24"/>
                <w:szCs w:val="24"/>
              </w:rPr>
              <w:t>3.2 Restructuring Options</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_Toc227925573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15</w:t>
            </w:r>
            <w:r w:rsidRPr="000C3F2F">
              <w:rPr>
                <w:rFonts w:ascii="Arial" w:hAnsi="Arial" w:cs="Arial"/>
                <w:noProof/>
                <w:webHidden/>
                <w:color w:val="000000" w:themeColor="text1"/>
                <w:sz w:val="24"/>
                <w:szCs w:val="24"/>
              </w:rPr>
              <w:fldChar w:fldCharType="end"/>
            </w:r>
          </w:hyperlink>
        </w:p>
        <w:p w14:paraId="13C7A8EE" w14:textId="09063825"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74" w:history="1">
            <w:r w:rsidRPr="000C3F2F">
              <w:rPr>
                <w:rStyle w:val="Hyperlink"/>
                <w:rFonts w:ascii="Arial" w:hAnsi="Arial" w:cs="Arial"/>
                <w:noProof/>
                <w:color w:val="000000" w:themeColor="text1"/>
                <w:sz w:val="24"/>
                <w:szCs w:val="24"/>
              </w:rPr>
              <w:t>3.3 Impact on Shareholder Value, Debt Structure, and Operational Flexibility</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_Toc227925574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16</w:t>
            </w:r>
            <w:r w:rsidRPr="000C3F2F">
              <w:rPr>
                <w:rFonts w:ascii="Arial" w:hAnsi="Arial" w:cs="Arial"/>
                <w:noProof/>
                <w:webHidden/>
                <w:color w:val="000000" w:themeColor="text1"/>
                <w:sz w:val="24"/>
                <w:szCs w:val="24"/>
              </w:rPr>
              <w:fldChar w:fldCharType="end"/>
            </w:r>
          </w:hyperlink>
        </w:p>
        <w:p w14:paraId="6DA86689" w14:textId="195E7CA5"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75" w:history="1">
            <w:r w:rsidRPr="000C3F2F">
              <w:rPr>
                <w:rStyle w:val="Hyperlink"/>
                <w:rFonts w:ascii="Arial" w:hAnsi="Arial" w:cs="Arial"/>
                <w:noProof/>
                <w:color w:val="000000" w:themeColor="text1"/>
                <w:sz w:val="24"/>
                <w:szCs w:val="24"/>
              </w:rPr>
              <w:t>3.4 International and Ethical Considerations</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_Toc227925575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16</w:t>
            </w:r>
            <w:r w:rsidRPr="000C3F2F">
              <w:rPr>
                <w:rFonts w:ascii="Arial" w:hAnsi="Arial" w:cs="Arial"/>
                <w:noProof/>
                <w:webHidden/>
                <w:color w:val="000000" w:themeColor="text1"/>
                <w:sz w:val="24"/>
                <w:szCs w:val="24"/>
              </w:rPr>
              <w:fldChar w:fldCharType="end"/>
            </w:r>
          </w:hyperlink>
        </w:p>
        <w:p w14:paraId="707278D2" w14:textId="36347454" w:rsidR="00CD50D0" w:rsidRPr="000C3F2F" w:rsidRDefault="00CD50D0" w:rsidP="000C3F2F">
          <w:pPr>
            <w:pStyle w:val="TOC1"/>
            <w:tabs>
              <w:tab w:val="right" w:leader="dot" w:pos="9016"/>
            </w:tabs>
            <w:spacing w:line="360" w:lineRule="auto"/>
            <w:jc w:val="both"/>
            <w:rPr>
              <w:rFonts w:ascii="Arial" w:eastAsiaTheme="minorEastAsia" w:hAnsi="Arial" w:cs="Arial"/>
              <w:b w:val="0"/>
              <w:bCs w:val="0"/>
              <w:caps w:val="0"/>
              <w:noProof/>
              <w:color w:val="000000" w:themeColor="text1"/>
              <w:sz w:val="24"/>
              <w:szCs w:val="24"/>
              <w:u w:val="none"/>
              <w:lang w:eastAsia="en-GB"/>
            </w:rPr>
          </w:pPr>
          <w:hyperlink w:anchor="_Toc227925576" w:history="1">
            <w:r w:rsidRPr="000C3F2F">
              <w:rPr>
                <w:rStyle w:val="Hyperlink"/>
                <w:rFonts w:ascii="Arial" w:hAnsi="Arial" w:cs="Arial"/>
                <w:noProof/>
                <w:color w:val="000000" w:themeColor="text1"/>
                <w:sz w:val="24"/>
                <w:szCs w:val="24"/>
              </w:rPr>
              <w:t>4. Investment Appraisal and Capital Budgeting</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_Toc227925576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17</w:t>
            </w:r>
            <w:r w:rsidRPr="000C3F2F">
              <w:rPr>
                <w:rFonts w:ascii="Arial" w:hAnsi="Arial" w:cs="Arial"/>
                <w:noProof/>
                <w:webHidden/>
                <w:color w:val="000000" w:themeColor="text1"/>
                <w:sz w:val="24"/>
                <w:szCs w:val="24"/>
              </w:rPr>
              <w:fldChar w:fldCharType="end"/>
            </w:r>
          </w:hyperlink>
        </w:p>
        <w:p w14:paraId="7292156F" w14:textId="0E949B31"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77" w:history="1">
            <w:r w:rsidRPr="000C3F2F">
              <w:rPr>
                <w:rStyle w:val="Hyperlink"/>
                <w:rFonts w:ascii="Arial" w:hAnsi="Arial" w:cs="Arial"/>
                <w:noProof/>
                <w:color w:val="000000" w:themeColor="text1"/>
                <w:sz w:val="24"/>
                <w:szCs w:val="24"/>
              </w:rPr>
              <w:t>4.1 Project Details</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_Toc227925577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17</w:t>
            </w:r>
            <w:r w:rsidRPr="000C3F2F">
              <w:rPr>
                <w:rFonts w:ascii="Arial" w:hAnsi="Arial" w:cs="Arial"/>
                <w:noProof/>
                <w:webHidden/>
                <w:color w:val="000000" w:themeColor="text1"/>
                <w:sz w:val="24"/>
                <w:szCs w:val="24"/>
              </w:rPr>
              <w:fldChar w:fldCharType="end"/>
            </w:r>
          </w:hyperlink>
        </w:p>
        <w:p w14:paraId="694D3AFC" w14:textId="39494587"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78" w:history="1">
            <w:r w:rsidRPr="000C3F2F">
              <w:rPr>
                <w:rStyle w:val="Hyperlink"/>
                <w:rFonts w:ascii="Arial" w:hAnsi="Arial" w:cs="Arial"/>
                <w:noProof/>
                <w:color w:val="000000" w:themeColor="text1"/>
                <w:sz w:val="24"/>
                <w:szCs w:val="24"/>
              </w:rPr>
              <w:t>4.2 Payback Period (PBP)</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_Toc227925578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17</w:t>
            </w:r>
            <w:r w:rsidRPr="000C3F2F">
              <w:rPr>
                <w:rFonts w:ascii="Arial" w:hAnsi="Arial" w:cs="Arial"/>
                <w:noProof/>
                <w:webHidden/>
                <w:color w:val="000000" w:themeColor="text1"/>
                <w:sz w:val="24"/>
                <w:szCs w:val="24"/>
              </w:rPr>
              <w:fldChar w:fldCharType="end"/>
            </w:r>
          </w:hyperlink>
        </w:p>
        <w:p w14:paraId="52DCB288" w14:textId="691109E6"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79" w:history="1">
            <w:r w:rsidRPr="000C3F2F">
              <w:rPr>
                <w:rStyle w:val="Hyperlink"/>
                <w:rFonts w:ascii="Arial" w:hAnsi="Arial" w:cs="Arial"/>
                <w:noProof/>
                <w:color w:val="000000" w:themeColor="text1"/>
                <w:sz w:val="24"/>
                <w:szCs w:val="24"/>
              </w:rPr>
              <w:t>4.3 Accounting Rate of Return (ARR)</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_Toc227925579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18</w:t>
            </w:r>
            <w:r w:rsidRPr="000C3F2F">
              <w:rPr>
                <w:rFonts w:ascii="Arial" w:hAnsi="Arial" w:cs="Arial"/>
                <w:noProof/>
                <w:webHidden/>
                <w:color w:val="000000" w:themeColor="text1"/>
                <w:sz w:val="24"/>
                <w:szCs w:val="24"/>
              </w:rPr>
              <w:fldChar w:fldCharType="end"/>
            </w:r>
          </w:hyperlink>
        </w:p>
        <w:p w14:paraId="77B9F534" w14:textId="4B31E889"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80" w:history="1">
            <w:r w:rsidRPr="000C3F2F">
              <w:rPr>
                <w:rStyle w:val="Hyperlink"/>
                <w:rFonts w:ascii="Arial" w:hAnsi="Arial" w:cs="Arial"/>
                <w:noProof/>
                <w:color w:val="000000" w:themeColor="text1"/>
                <w:sz w:val="24"/>
                <w:szCs w:val="24"/>
              </w:rPr>
              <w:t>4.4 Net Present Value (NPV)</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_Toc227925580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19</w:t>
            </w:r>
            <w:r w:rsidRPr="000C3F2F">
              <w:rPr>
                <w:rFonts w:ascii="Arial" w:hAnsi="Arial" w:cs="Arial"/>
                <w:noProof/>
                <w:webHidden/>
                <w:color w:val="000000" w:themeColor="text1"/>
                <w:sz w:val="24"/>
                <w:szCs w:val="24"/>
              </w:rPr>
              <w:fldChar w:fldCharType="end"/>
            </w:r>
          </w:hyperlink>
        </w:p>
        <w:p w14:paraId="3400B803" w14:textId="641EE2FB"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81" w:history="1">
            <w:r w:rsidRPr="000C3F2F">
              <w:rPr>
                <w:rStyle w:val="Hyperlink"/>
                <w:rFonts w:ascii="Arial" w:hAnsi="Arial" w:cs="Arial"/>
                <w:noProof/>
                <w:color w:val="000000" w:themeColor="text1"/>
                <w:sz w:val="24"/>
                <w:szCs w:val="24"/>
              </w:rPr>
              <w:t>4.5 Profitability Index (PI)</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_Toc227925581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20</w:t>
            </w:r>
            <w:r w:rsidRPr="000C3F2F">
              <w:rPr>
                <w:rFonts w:ascii="Arial" w:hAnsi="Arial" w:cs="Arial"/>
                <w:noProof/>
                <w:webHidden/>
                <w:color w:val="000000" w:themeColor="text1"/>
                <w:sz w:val="24"/>
                <w:szCs w:val="24"/>
              </w:rPr>
              <w:fldChar w:fldCharType="end"/>
            </w:r>
          </w:hyperlink>
        </w:p>
        <w:p w14:paraId="1AA02921" w14:textId="04EC3967"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82" w:history="1">
            <w:r w:rsidRPr="000C3F2F">
              <w:rPr>
                <w:rStyle w:val="Hyperlink"/>
                <w:rFonts w:ascii="Arial" w:hAnsi="Arial" w:cs="Arial"/>
                <w:noProof/>
                <w:color w:val="000000" w:themeColor="text1"/>
                <w:sz w:val="24"/>
                <w:szCs w:val="24"/>
              </w:rPr>
              <w:t>4.6 Internal Rate of Return (IRR)</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_Toc227925582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20</w:t>
            </w:r>
            <w:r w:rsidRPr="000C3F2F">
              <w:rPr>
                <w:rFonts w:ascii="Arial" w:hAnsi="Arial" w:cs="Arial"/>
                <w:noProof/>
                <w:webHidden/>
                <w:color w:val="000000" w:themeColor="text1"/>
                <w:sz w:val="24"/>
                <w:szCs w:val="24"/>
              </w:rPr>
              <w:fldChar w:fldCharType="end"/>
            </w:r>
          </w:hyperlink>
        </w:p>
        <w:p w14:paraId="0D5688E5" w14:textId="6B6604D8"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83" w:history="1">
            <w:r w:rsidRPr="000C3F2F">
              <w:rPr>
                <w:rStyle w:val="Hyperlink"/>
                <w:rFonts w:ascii="Arial" w:hAnsi="Arial" w:cs="Arial"/>
                <w:noProof/>
                <w:color w:val="000000" w:themeColor="text1"/>
                <w:sz w:val="24"/>
                <w:szCs w:val="24"/>
              </w:rPr>
              <w:t>4.7 Summary of Appraisal Methods</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_Toc227925583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21</w:t>
            </w:r>
            <w:r w:rsidRPr="000C3F2F">
              <w:rPr>
                <w:rFonts w:ascii="Arial" w:hAnsi="Arial" w:cs="Arial"/>
                <w:noProof/>
                <w:webHidden/>
                <w:color w:val="000000" w:themeColor="text1"/>
                <w:sz w:val="24"/>
                <w:szCs w:val="24"/>
              </w:rPr>
              <w:fldChar w:fldCharType="end"/>
            </w:r>
          </w:hyperlink>
        </w:p>
        <w:p w14:paraId="4BCE6B9E" w14:textId="556C7033"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84" w:history="1">
            <w:r w:rsidRPr="000C3F2F">
              <w:rPr>
                <w:rStyle w:val="Hyperlink"/>
                <w:rFonts w:ascii="Arial" w:hAnsi="Arial" w:cs="Arial"/>
                <w:noProof/>
                <w:color w:val="000000" w:themeColor="text1"/>
                <w:sz w:val="24"/>
                <w:szCs w:val="24"/>
              </w:rPr>
              <w:t>4.8 Project Recommendation and Justification</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_Toc227925584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21</w:t>
            </w:r>
            <w:r w:rsidRPr="000C3F2F">
              <w:rPr>
                <w:rFonts w:ascii="Arial" w:hAnsi="Arial" w:cs="Arial"/>
                <w:noProof/>
                <w:webHidden/>
                <w:color w:val="000000" w:themeColor="text1"/>
                <w:sz w:val="24"/>
                <w:szCs w:val="24"/>
              </w:rPr>
              <w:fldChar w:fldCharType="end"/>
            </w:r>
          </w:hyperlink>
        </w:p>
        <w:p w14:paraId="49036F9A" w14:textId="2BC44CF4" w:rsidR="00CD50D0" w:rsidRPr="000C3F2F" w:rsidRDefault="00CD50D0" w:rsidP="000C3F2F">
          <w:pPr>
            <w:pStyle w:val="TOC2"/>
            <w:tabs>
              <w:tab w:val="right" w:leader="dot" w:pos="9016"/>
            </w:tabs>
            <w:spacing w:line="360" w:lineRule="auto"/>
            <w:jc w:val="both"/>
            <w:rPr>
              <w:rFonts w:ascii="Arial" w:eastAsiaTheme="minorEastAsia" w:hAnsi="Arial" w:cs="Arial"/>
              <w:b w:val="0"/>
              <w:bCs w:val="0"/>
              <w:smallCaps w:val="0"/>
              <w:noProof/>
              <w:color w:val="000000" w:themeColor="text1"/>
              <w:sz w:val="24"/>
              <w:szCs w:val="24"/>
              <w:lang w:eastAsia="en-GB"/>
            </w:rPr>
          </w:pPr>
          <w:hyperlink w:anchor="_Toc227925585" w:history="1">
            <w:r w:rsidRPr="000C3F2F">
              <w:rPr>
                <w:rStyle w:val="Hyperlink"/>
                <w:rFonts w:ascii="Arial" w:hAnsi="Arial" w:cs="Arial"/>
                <w:noProof/>
                <w:color w:val="000000" w:themeColor="text1"/>
                <w:sz w:val="24"/>
                <w:szCs w:val="24"/>
              </w:rPr>
              <w:t>4.9 Capital Rationing: Best Combination up to £100 Million</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_Toc227925585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22</w:t>
            </w:r>
            <w:r w:rsidRPr="000C3F2F">
              <w:rPr>
                <w:rFonts w:ascii="Arial" w:hAnsi="Arial" w:cs="Arial"/>
                <w:noProof/>
                <w:webHidden/>
                <w:color w:val="000000" w:themeColor="text1"/>
                <w:sz w:val="24"/>
                <w:szCs w:val="24"/>
              </w:rPr>
              <w:fldChar w:fldCharType="end"/>
            </w:r>
          </w:hyperlink>
        </w:p>
        <w:p w14:paraId="23DD53AB" w14:textId="4C7DEBB6" w:rsidR="00CD50D0" w:rsidRPr="000C3F2F" w:rsidRDefault="00CD50D0" w:rsidP="000C3F2F">
          <w:pPr>
            <w:pStyle w:val="TOC1"/>
            <w:tabs>
              <w:tab w:val="right" w:leader="dot" w:pos="9016"/>
            </w:tabs>
            <w:spacing w:line="360" w:lineRule="auto"/>
            <w:jc w:val="both"/>
            <w:rPr>
              <w:rFonts w:ascii="Arial" w:eastAsiaTheme="minorEastAsia" w:hAnsi="Arial" w:cs="Arial"/>
              <w:b w:val="0"/>
              <w:bCs w:val="0"/>
              <w:caps w:val="0"/>
              <w:noProof/>
              <w:color w:val="000000" w:themeColor="text1"/>
              <w:sz w:val="24"/>
              <w:szCs w:val="24"/>
              <w:u w:val="none"/>
              <w:lang w:eastAsia="en-GB"/>
            </w:rPr>
          </w:pPr>
          <w:hyperlink w:anchor="_Toc227925586" w:history="1">
            <w:r w:rsidRPr="000C3F2F">
              <w:rPr>
                <w:rStyle w:val="Hyperlink"/>
                <w:rFonts w:ascii="Arial" w:hAnsi="Arial" w:cs="Arial"/>
                <w:noProof/>
                <w:color w:val="000000" w:themeColor="text1"/>
                <w:sz w:val="24"/>
                <w:szCs w:val="24"/>
              </w:rPr>
              <w:t>5. Conclusion</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_Toc227925586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22</w:t>
            </w:r>
            <w:r w:rsidRPr="000C3F2F">
              <w:rPr>
                <w:rFonts w:ascii="Arial" w:hAnsi="Arial" w:cs="Arial"/>
                <w:noProof/>
                <w:webHidden/>
                <w:color w:val="000000" w:themeColor="text1"/>
                <w:sz w:val="24"/>
                <w:szCs w:val="24"/>
              </w:rPr>
              <w:fldChar w:fldCharType="end"/>
            </w:r>
          </w:hyperlink>
        </w:p>
        <w:p w14:paraId="7CDF9019" w14:textId="49E055F9" w:rsidR="00CD50D0" w:rsidRPr="000C3F2F" w:rsidRDefault="00CD50D0" w:rsidP="000C3F2F">
          <w:pPr>
            <w:pStyle w:val="TOC1"/>
            <w:tabs>
              <w:tab w:val="right" w:leader="dot" w:pos="9016"/>
            </w:tabs>
            <w:spacing w:line="360" w:lineRule="auto"/>
            <w:jc w:val="both"/>
            <w:rPr>
              <w:rFonts w:ascii="Arial" w:eastAsiaTheme="minorEastAsia" w:hAnsi="Arial" w:cs="Arial"/>
              <w:b w:val="0"/>
              <w:bCs w:val="0"/>
              <w:caps w:val="0"/>
              <w:noProof/>
              <w:color w:val="000000" w:themeColor="text1"/>
              <w:sz w:val="24"/>
              <w:szCs w:val="24"/>
              <w:u w:val="none"/>
              <w:lang w:eastAsia="en-GB"/>
            </w:rPr>
          </w:pPr>
          <w:hyperlink w:anchor="_Toc227925587" w:history="1">
            <w:r w:rsidRPr="000C3F2F">
              <w:rPr>
                <w:rStyle w:val="Hyperlink"/>
                <w:rFonts w:ascii="Arial" w:hAnsi="Arial" w:cs="Arial"/>
                <w:noProof/>
                <w:color w:val="000000" w:themeColor="text1"/>
                <w:sz w:val="24"/>
                <w:szCs w:val="24"/>
              </w:rPr>
              <w:t>References</w:t>
            </w:r>
            <w:r w:rsidRPr="000C3F2F">
              <w:rPr>
                <w:rFonts w:ascii="Arial" w:hAnsi="Arial" w:cs="Arial"/>
                <w:noProof/>
                <w:webHidden/>
                <w:color w:val="000000" w:themeColor="text1"/>
                <w:sz w:val="24"/>
                <w:szCs w:val="24"/>
              </w:rPr>
              <w:tab/>
            </w:r>
            <w:r w:rsidRPr="000C3F2F">
              <w:rPr>
                <w:rFonts w:ascii="Arial" w:hAnsi="Arial" w:cs="Arial"/>
                <w:noProof/>
                <w:webHidden/>
                <w:color w:val="000000" w:themeColor="text1"/>
                <w:sz w:val="24"/>
                <w:szCs w:val="24"/>
              </w:rPr>
              <w:fldChar w:fldCharType="begin"/>
            </w:r>
            <w:r w:rsidRPr="000C3F2F">
              <w:rPr>
                <w:rFonts w:ascii="Arial" w:hAnsi="Arial" w:cs="Arial"/>
                <w:noProof/>
                <w:webHidden/>
                <w:color w:val="000000" w:themeColor="text1"/>
                <w:sz w:val="24"/>
                <w:szCs w:val="24"/>
              </w:rPr>
              <w:instrText xml:space="preserve"> PAGEREF _Toc227925587 \h </w:instrText>
            </w:r>
            <w:r w:rsidRPr="000C3F2F">
              <w:rPr>
                <w:rFonts w:ascii="Arial" w:hAnsi="Arial" w:cs="Arial"/>
                <w:noProof/>
                <w:webHidden/>
                <w:color w:val="000000" w:themeColor="text1"/>
                <w:sz w:val="24"/>
                <w:szCs w:val="24"/>
              </w:rPr>
            </w:r>
            <w:r w:rsidRPr="000C3F2F">
              <w:rPr>
                <w:rFonts w:ascii="Arial" w:hAnsi="Arial" w:cs="Arial"/>
                <w:noProof/>
                <w:webHidden/>
                <w:color w:val="000000" w:themeColor="text1"/>
                <w:sz w:val="24"/>
                <w:szCs w:val="24"/>
              </w:rPr>
              <w:fldChar w:fldCharType="separate"/>
            </w:r>
            <w:r w:rsidRPr="000C3F2F">
              <w:rPr>
                <w:rFonts w:ascii="Arial" w:hAnsi="Arial" w:cs="Arial"/>
                <w:noProof/>
                <w:webHidden/>
                <w:color w:val="000000" w:themeColor="text1"/>
                <w:sz w:val="24"/>
                <w:szCs w:val="24"/>
              </w:rPr>
              <w:t>24</w:t>
            </w:r>
            <w:r w:rsidRPr="000C3F2F">
              <w:rPr>
                <w:rFonts w:ascii="Arial" w:hAnsi="Arial" w:cs="Arial"/>
                <w:noProof/>
                <w:webHidden/>
                <w:color w:val="000000" w:themeColor="text1"/>
                <w:sz w:val="24"/>
                <w:szCs w:val="24"/>
              </w:rPr>
              <w:fldChar w:fldCharType="end"/>
            </w:r>
          </w:hyperlink>
        </w:p>
        <w:p w14:paraId="7798B95B" w14:textId="27A80C24" w:rsidR="00266CCF" w:rsidRPr="000C3F2F" w:rsidRDefault="00A0719D" w:rsidP="000C3F2F">
          <w:pPr>
            <w:spacing w:line="360" w:lineRule="auto"/>
            <w:jc w:val="both"/>
            <w:rPr>
              <w:rFonts w:ascii="Arial" w:hAnsi="Arial" w:cs="Arial"/>
              <w:color w:val="000000" w:themeColor="text1"/>
            </w:rPr>
          </w:pPr>
          <w:r w:rsidRPr="000C3F2F">
            <w:rPr>
              <w:rFonts w:ascii="Arial" w:hAnsi="Arial" w:cs="Arial"/>
              <w:b/>
              <w:bCs/>
              <w:noProof/>
              <w:color w:val="000000" w:themeColor="text1"/>
            </w:rPr>
            <w:fldChar w:fldCharType="end"/>
          </w:r>
        </w:p>
      </w:sdtContent>
    </w:sdt>
    <w:p w14:paraId="12CB3E40" w14:textId="77777777" w:rsidR="00266CCF" w:rsidRPr="000C3F2F" w:rsidRDefault="00266CCF" w:rsidP="000C3F2F">
      <w:pPr>
        <w:spacing w:line="360" w:lineRule="auto"/>
        <w:jc w:val="both"/>
        <w:rPr>
          <w:rFonts w:ascii="Arial" w:hAnsi="Arial" w:cs="Arial"/>
          <w:color w:val="000000" w:themeColor="text1"/>
        </w:rPr>
      </w:pPr>
    </w:p>
    <w:p w14:paraId="52AE14B2" w14:textId="77777777" w:rsidR="00266CCF" w:rsidRPr="000C3F2F" w:rsidRDefault="00266CCF" w:rsidP="000C3F2F">
      <w:pPr>
        <w:spacing w:line="360" w:lineRule="auto"/>
        <w:jc w:val="both"/>
        <w:rPr>
          <w:rFonts w:ascii="Arial" w:hAnsi="Arial" w:cs="Arial"/>
          <w:color w:val="000000" w:themeColor="text1"/>
        </w:rPr>
      </w:pPr>
    </w:p>
    <w:p w14:paraId="351602E7" w14:textId="77777777" w:rsidR="00266CCF" w:rsidRPr="000C3F2F" w:rsidRDefault="00266CCF" w:rsidP="000C3F2F">
      <w:pPr>
        <w:spacing w:line="360" w:lineRule="auto"/>
        <w:jc w:val="both"/>
        <w:rPr>
          <w:rFonts w:ascii="Arial" w:hAnsi="Arial" w:cs="Arial"/>
          <w:color w:val="000000" w:themeColor="text1"/>
        </w:rPr>
      </w:pPr>
    </w:p>
    <w:p w14:paraId="714702FE" w14:textId="77777777" w:rsidR="00266CCF" w:rsidRPr="000C3F2F" w:rsidRDefault="00266CCF" w:rsidP="000C3F2F">
      <w:pPr>
        <w:spacing w:line="360" w:lineRule="auto"/>
        <w:jc w:val="both"/>
        <w:rPr>
          <w:rFonts w:ascii="Arial" w:hAnsi="Arial" w:cs="Arial"/>
          <w:color w:val="000000" w:themeColor="text1"/>
        </w:rPr>
      </w:pPr>
    </w:p>
    <w:p w14:paraId="6B32887B" w14:textId="77777777" w:rsidR="00266CCF" w:rsidRPr="000C3F2F" w:rsidRDefault="00266CCF" w:rsidP="000C3F2F">
      <w:pPr>
        <w:spacing w:line="360" w:lineRule="auto"/>
        <w:jc w:val="both"/>
        <w:rPr>
          <w:rFonts w:ascii="Arial" w:hAnsi="Arial" w:cs="Arial"/>
          <w:color w:val="000000" w:themeColor="text1"/>
        </w:rPr>
      </w:pPr>
    </w:p>
    <w:p w14:paraId="0E08D669" w14:textId="77777777" w:rsidR="00266CCF" w:rsidRPr="000C3F2F" w:rsidRDefault="00266CCF" w:rsidP="000C3F2F">
      <w:pPr>
        <w:spacing w:line="360" w:lineRule="auto"/>
        <w:jc w:val="both"/>
        <w:rPr>
          <w:rFonts w:ascii="Arial" w:hAnsi="Arial" w:cs="Arial"/>
          <w:color w:val="000000" w:themeColor="text1"/>
        </w:rPr>
      </w:pPr>
    </w:p>
    <w:p w14:paraId="647EC04C" w14:textId="77777777" w:rsidR="00266CCF" w:rsidRPr="000C3F2F" w:rsidRDefault="00266CCF" w:rsidP="000C3F2F">
      <w:pPr>
        <w:spacing w:line="360" w:lineRule="auto"/>
        <w:jc w:val="both"/>
        <w:rPr>
          <w:rFonts w:ascii="Arial" w:hAnsi="Arial" w:cs="Arial"/>
          <w:color w:val="000000" w:themeColor="text1"/>
        </w:rPr>
      </w:pPr>
    </w:p>
    <w:p w14:paraId="4CC256F3" w14:textId="77777777" w:rsidR="00266CCF" w:rsidRPr="000C3F2F" w:rsidRDefault="00266CCF" w:rsidP="000C3F2F">
      <w:pPr>
        <w:spacing w:line="360" w:lineRule="auto"/>
        <w:jc w:val="both"/>
        <w:rPr>
          <w:rFonts w:ascii="Arial" w:hAnsi="Arial" w:cs="Arial"/>
          <w:color w:val="000000" w:themeColor="text1"/>
        </w:rPr>
      </w:pPr>
    </w:p>
    <w:p w14:paraId="358CBA47" w14:textId="77777777" w:rsidR="00266CCF" w:rsidRPr="000C3F2F" w:rsidRDefault="00266CCF" w:rsidP="000C3F2F">
      <w:pPr>
        <w:spacing w:line="360" w:lineRule="auto"/>
        <w:jc w:val="both"/>
        <w:rPr>
          <w:rFonts w:ascii="Arial" w:hAnsi="Arial" w:cs="Arial"/>
          <w:color w:val="000000" w:themeColor="text1"/>
        </w:rPr>
      </w:pPr>
    </w:p>
    <w:p w14:paraId="22E6AFBD" w14:textId="77777777" w:rsidR="00266CCF" w:rsidRPr="000C3F2F" w:rsidRDefault="00266CCF" w:rsidP="000C3F2F">
      <w:pPr>
        <w:spacing w:line="360" w:lineRule="auto"/>
        <w:jc w:val="both"/>
        <w:rPr>
          <w:rFonts w:ascii="Arial" w:hAnsi="Arial" w:cs="Arial"/>
          <w:color w:val="000000" w:themeColor="text1"/>
        </w:rPr>
      </w:pPr>
    </w:p>
    <w:p w14:paraId="579160FD" w14:textId="77777777" w:rsidR="00266CCF" w:rsidRPr="000C3F2F" w:rsidRDefault="00266CCF" w:rsidP="000C3F2F">
      <w:pPr>
        <w:spacing w:line="360" w:lineRule="auto"/>
        <w:jc w:val="both"/>
        <w:rPr>
          <w:rFonts w:ascii="Arial" w:hAnsi="Arial" w:cs="Arial"/>
          <w:color w:val="000000" w:themeColor="text1"/>
        </w:rPr>
      </w:pPr>
    </w:p>
    <w:p w14:paraId="649B509C" w14:textId="77777777" w:rsidR="000C3F2F" w:rsidRDefault="000C3F2F" w:rsidP="000C3F2F">
      <w:pPr>
        <w:pStyle w:val="Heading1"/>
        <w:spacing w:line="360" w:lineRule="auto"/>
        <w:jc w:val="both"/>
        <w:rPr>
          <w:rFonts w:ascii="Arial" w:hAnsi="Arial" w:cs="Arial"/>
          <w:color w:val="000000" w:themeColor="text1"/>
          <w:sz w:val="24"/>
          <w:szCs w:val="24"/>
        </w:rPr>
      </w:pPr>
      <w:bookmarkStart w:id="0" w:name="_Toc227925556"/>
    </w:p>
    <w:p w14:paraId="321D9BC9" w14:textId="77777777" w:rsidR="000C3F2F" w:rsidRDefault="000C3F2F" w:rsidP="000C3F2F"/>
    <w:p w14:paraId="3347C01B" w14:textId="77777777" w:rsidR="000C3F2F" w:rsidRDefault="000C3F2F" w:rsidP="000C3F2F"/>
    <w:p w14:paraId="6BC4A0D9" w14:textId="77777777" w:rsidR="000C3F2F" w:rsidRPr="000C3F2F" w:rsidRDefault="000C3F2F" w:rsidP="000C3F2F"/>
    <w:p w14:paraId="12FE2BC3" w14:textId="2C26B931" w:rsidR="00CB754C" w:rsidRPr="000C3F2F" w:rsidRDefault="00CB754C" w:rsidP="000C3F2F">
      <w:pPr>
        <w:pStyle w:val="Heading1"/>
        <w:spacing w:line="360" w:lineRule="auto"/>
        <w:jc w:val="both"/>
        <w:rPr>
          <w:rFonts w:ascii="Arial" w:hAnsi="Arial" w:cs="Arial"/>
          <w:color w:val="000000" w:themeColor="text1"/>
          <w:sz w:val="24"/>
          <w:szCs w:val="24"/>
        </w:rPr>
      </w:pPr>
      <w:r w:rsidRPr="000C3F2F">
        <w:rPr>
          <w:rFonts w:ascii="Arial" w:hAnsi="Arial" w:cs="Arial"/>
          <w:color w:val="000000" w:themeColor="text1"/>
          <w:sz w:val="24"/>
          <w:szCs w:val="24"/>
        </w:rPr>
        <w:t>Executive Summary</w:t>
      </w:r>
      <w:bookmarkEnd w:id="0"/>
    </w:p>
    <w:p w14:paraId="52F732B4" w14:textId="77777777" w:rsidR="00266CCF" w:rsidRPr="000C3F2F" w:rsidRDefault="00266CCF" w:rsidP="000C3F2F">
      <w:pPr>
        <w:autoSpaceDE w:val="0"/>
        <w:autoSpaceDN w:val="0"/>
        <w:adjustRightInd w:val="0"/>
        <w:spacing w:after="0" w:line="360" w:lineRule="auto"/>
        <w:jc w:val="both"/>
        <w:rPr>
          <w:rFonts w:ascii="Arial" w:hAnsi="Arial" w:cs="Arial"/>
          <w:color w:val="000000" w:themeColor="text1"/>
          <w:kern w:val="0"/>
        </w:rPr>
      </w:pPr>
    </w:p>
    <w:p w14:paraId="62B4C900"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The role of Chief Financial Officer (CFO) in this report is to examine the financial performance of Ford Motor Company in five years (2020-2024) as required by the Board. Ford is a publicly traded automaker (NYSE: F) based in Dearborn, Michigan that competes based on conventional, hybrid, and electric car segments in three strategic areas: Ford Blue (ICE/hybrid), Ford Model e (EV), and Ford Pro (commercial vehicles). Based on solely sourced data, the Annual Reports (10-K) of Ford, the report provides a detailed financial health analysis through ratio analysis, a working capital dynamic analysis, a strategic restructuring plan, and capital investment appraisal using Payback Period (PBP), Accounting Rate of Return (ARR), Net Present Value (NPV), Profitability Index (PI), and Internal Rate of Return (IRR). The analysis shows a company that is recovering well in terms of its operations but limited by the losses making EV segment, high warranty payments, and geopolitical headwinds such as tariff risk.</w:t>
      </w:r>
    </w:p>
    <w:p w14:paraId="224B31B1" w14:textId="715B9D77" w:rsidR="00CD50D0" w:rsidRPr="000C3F2F" w:rsidRDefault="00CB754C" w:rsidP="000C3F2F">
      <w:pPr>
        <w:autoSpaceDE w:val="0"/>
        <w:autoSpaceDN w:val="0"/>
        <w:adjustRightInd w:val="0"/>
        <w:spacing w:after="0" w:line="360" w:lineRule="auto"/>
        <w:jc w:val="both"/>
        <w:rPr>
          <w:rStyle w:val="Heading1Char"/>
          <w:rFonts w:ascii="Arial" w:hAnsi="Arial" w:cs="Arial"/>
          <w:color w:val="000000" w:themeColor="text1"/>
          <w:sz w:val="24"/>
          <w:szCs w:val="24"/>
        </w:rPr>
      </w:pPr>
      <w:r w:rsidRPr="000C3F2F">
        <w:rPr>
          <w:rFonts w:ascii="MS Gothic" w:eastAsia="MS Gothic" w:hAnsi="MS Gothic" w:cs="MS Gothic" w:hint="eastAsia"/>
          <w:color w:val="000000" w:themeColor="text1"/>
          <w:kern w:val="0"/>
        </w:rPr>
        <w:t>   </w:t>
      </w:r>
      <w:r w:rsidRPr="000C3F2F">
        <w:rPr>
          <w:rFonts w:ascii="Arial" w:eastAsia="MS Gothic" w:hAnsi="Arial" w:cs="Arial"/>
          <w:color w:val="000000" w:themeColor="text1"/>
          <w:kern w:val="0"/>
        </w:rPr>
        <w:br/>
      </w:r>
      <w:r w:rsidRPr="000C3F2F">
        <w:rPr>
          <w:rFonts w:ascii="Arial" w:eastAsia="MS Gothic" w:hAnsi="Arial" w:cs="Arial"/>
          <w:color w:val="000000" w:themeColor="text1"/>
          <w:kern w:val="0"/>
        </w:rPr>
        <w:br/>
      </w:r>
    </w:p>
    <w:p w14:paraId="4BF6DC5E" w14:textId="77777777" w:rsidR="00CD50D0" w:rsidRPr="000C3F2F" w:rsidRDefault="00CD50D0" w:rsidP="000C3F2F">
      <w:pPr>
        <w:spacing w:line="360" w:lineRule="auto"/>
        <w:jc w:val="both"/>
        <w:rPr>
          <w:rStyle w:val="Heading1Char"/>
          <w:rFonts w:ascii="Arial" w:hAnsi="Arial" w:cs="Arial"/>
          <w:color w:val="000000" w:themeColor="text1"/>
          <w:sz w:val="24"/>
          <w:szCs w:val="24"/>
        </w:rPr>
      </w:pPr>
      <w:r w:rsidRPr="000C3F2F">
        <w:rPr>
          <w:rStyle w:val="Heading1Char"/>
          <w:rFonts w:ascii="Arial" w:hAnsi="Arial" w:cs="Arial"/>
          <w:color w:val="000000" w:themeColor="text1"/>
          <w:sz w:val="24"/>
          <w:szCs w:val="24"/>
        </w:rPr>
        <w:br w:type="page"/>
      </w:r>
    </w:p>
    <w:p w14:paraId="3BE198E1" w14:textId="39BE134A" w:rsidR="00CB754C" w:rsidRPr="000C3F2F" w:rsidRDefault="00CB754C" w:rsidP="000C3F2F">
      <w:pPr>
        <w:autoSpaceDE w:val="0"/>
        <w:autoSpaceDN w:val="0"/>
        <w:adjustRightInd w:val="0"/>
        <w:spacing w:after="0" w:line="360" w:lineRule="auto"/>
        <w:jc w:val="both"/>
        <w:rPr>
          <w:rFonts w:ascii="Arial" w:hAnsi="Arial" w:cs="Arial"/>
          <w:b/>
          <w:bCs/>
          <w:color w:val="000000" w:themeColor="text1"/>
          <w:kern w:val="0"/>
        </w:rPr>
      </w:pPr>
      <w:bookmarkStart w:id="1" w:name="_Toc227925557"/>
      <w:r w:rsidRPr="000C3F2F">
        <w:rPr>
          <w:rStyle w:val="Heading1Char"/>
          <w:rFonts w:ascii="Arial" w:hAnsi="Arial" w:cs="Arial"/>
          <w:color w:val="000000" w:themeColor="text1"/>
          <w:sz w:val="24"/>
          <w:szCs w:val="24"/>
        </w:rPr>
        <w:lastRenderedPageBreak/>
        <w:t>1. Financial Health Check (2020–2024)</w:t>
      </w:r>
      <w:bookmarkEnd w:id="1"/>
    </w:p>
    <w:p w14:paraId="7DF3FDFB" w14:textId="77777777" w:rsidR="00266CCF" w:rsidRPr="000C3F2F" w:rsidRDefault="00266CCF" w:rsidP="000C3F2F">
      <w:pPr>
        <w:autoSpaceDE w:val="0"/>
        <w:autoSpaceDN w:val="0"/>
        <w:adjustRightInd w:val="0"/>
        <w:spacing w:after="0" w:line="360" w:lineRule="auto"/>
        <w:jc w:val="both"/>
        <w:rPr>
          <w:rFonts w:ascii="Arial" w:hAnsi="Arial" w:cs="Arial"/>
          <w:color w:val="000000" w:themeColor="text1"/>
          <w:kern w:val="0"/>
        </w:rPr>
      </w:pPr>
    </w:p>
    <w:p w14:paraId="58B2BCB0" w14:textId="77777777" w:rsidR="00CB754C" w:rsidRPr="000C3F2F" w:rsidRDefault="00CB754C" w:rsidP="000C3F2F">
      <w:pPr>
        <w:pStyle w:val="Heading2"/>
        <w:spacing w:line="360" w:lineRule="auto"/>
        <w:jc w:val="both"/>
        <w:rPr>
          <w:rFonts w:ascii="Arial" w:hAnsi="Arial" w:cs="Arial"/>
          <w:color w:val="000000" w:themeColor="text1"/>
          <w:sz w:val="24"/>
          <w:szCs w:val="24"/>
        </w:rPr>
      </w:pPr>
      <w:bookmarkStart w:id="2" w:name="_Toc227925558"/>
      <w:r w:rsidRPr="000C3F2F">
        <w:rPr>
          <w:rFonts w:ascii="Arial" w:hAnsi="Arial" w:cs="Arial"/>
          <w:color w:val="000000" w:themeColor="text1"/>
          <w:sz w:val="24"/>
          <w:szCs w:val="24"/>
        </w:rPr>
        <w:t>1.1 Company Overview</w:t>
      </w:r>
      <w:bookmarkEnd w:id="2"/>
    </w:p>
    <w:p w14:paraId="4838C05F" w14:textId="77777777" w:rsidR="00266CCF" w:rsidRPr="000C3F2F" w:rsidRDefault="00266CCF" w:rsidP="000C3F2F">
      <w:pPr>
        <w:autoSpaceDE w:val="0"/>
        <w:autoSpaceDN w:val="0"/>
        <w:adjustRightInd w:val="0"/>
        <w:spacing w:after="0" w:line="360" w:lineRule="auto"/>
        <w:jc w:val="both"/>
        <w:rPr>
          <w:rFonts w:ascii="Arial" w:hAnsi="Arial" w:cs="Arial"/>
          <w:color w:val="000000" w:themeColor="text1"/>
          <w:kern w:val="0"/>
        </w:rPr>
      </w:pPr>
    </w:p>
    <w:p w14:paraId="4FBCD44F" w14:textId="77777777" w:rsidR="00D801D5" w:rsidRDefault="00D801D5" w:rsidP="000C3F2F">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 xml:space="preserve">This is a company overview of </w:t>
      </w:r>
      <w:r w:rsidR="00CB754C" w:rsidRPr="000C3F2F">
        <w:rPr>
          <w:rFonts w:ascii="Arial" w:hAnsi="Arial" w:cs="Arial"/>
          <w:color w:val="000000" w:themeColor="text1"/>
          <w:kern w:val="0"/>
        </w:rPr>
        <w:t xml:space="preserve">Ford Motor Company was established in </w:t>
      </w:r>
      <w:proofErr w:type="gramStart"/>
      <w:r w:rsidR="00CB754C" w:rsidRPr="000C3F2F">
        <w:rPr>
          <w:rFonts w:ascii="Arial" w:hAnsi="Arial" w:cs="Arial"/>
          <w:color w:val="000000" w:themeColor="text1"/>
          <w:kern w:val="0"/>
        </w:rPr>
        <w:t>1903</w:t>
      </w:r>
      <w:proofErr w:type="gramEnd"/>
      <w:r w:rsidR="00CB754C" w:rsidRPr="000C3F2F">
        <w:rPr>
          <w:rFonts w:ascii="Arial" w:hAnsi="Arial" w:cs="Arial"/>
          <w:color w:val="000000" w:themeColor="text1"/>
          <w:kern w:val="0"/>
        </w:rPr>
        <w:t xml:space="preserve"> and it is among the largest motor car producers in the world in terms of revenues. The automaker markets cars under the Ford and Lincoln brands worldwide with the help of its captive financial unit, Ford Motor credit Company (Ford credit). As of 2023, Ford reorganized its reporting into three operating units: Ford Blue (conventional and hybrid), Ford Model e (battery electric vehicles) and Ford Pro (commercial vehicles and software services). The total revenues increased by 9.8 percent, with a compound annual growth of 9.8 percent, between 2020 and 2024, increasing by $127.1 billion to 185.0 billion</w:t>
      </w:r>
      <w:r w:rsidR="00C21BCB" w:rsidRPr="000C3F2F">
        <w:rPr>
          <w:rFonts w:ascii="Arial" w:hAnsi="Arial" w:cs="Arial"/>
          <w:color w:val="000000" w:themeColor="text1"/>
        </w:rPr>
        <w:t xml:space="preserve"> </w:t>
      </w:r>
      <w:r w:rsidR="00C21BCB" w:rsidRPr="000C3F2F">
        <w:rPr>
          <w:rFonts w:ascii="Arial" w:hAnsi="Arial" w:cs="Arial"/>
          <w:color w:val="000000" w:themeColor="text1"/>
          <w:kern w:val="0"/>
        </w:rPr>
        <w:t>(</w:t>
      </w:r>
      <w:proofErr w:type="spellStart"/>
      <w:r w:rsidR="00C21BCB" w:rsidRPr="000C3F2F">
        <w:rPr>
          <w:rFonts w:ascii="Arial" w:hAnsi="Arial" w:cs="Arial"/>
          <w:color w:val="000000" w:themeColor="text1"/>
          <w:kern w:val="0"/>
        </w:rPr>
        <w:t>Pavlínek</w:t>
      </w:r>
      <w:proofErr w:type="spellEnd"/>
      <w:r w:rsidR="00C21BCB" w:rsidRPr="000C3F2F">
        <w:rPr>
          <w:rFonts w:ascii="Arial" w:hAnsi="Arial" w:cs="Arial"/>
          <w:color w:val="000000" w:themeColor="text1"/>
          <w:kern w:val="0"/>
        </w:rPr>
        <w:t>, 2022)</w:t>
      </w:r>
      <w:r w:rsidR="00CB754C" w:rsidRPr="000C3F2F">
        <w:rPr>
          <w:rFonts w:ascii="Arial" w:hAnsi="Arial" w:cs="Arial"/>
          <w:color w:val="000000" w:themeColor="text1"/>
          <w:kern w:val="0"/>
        </w:rPr>
        <w:t>.</w:t>
      </w:r>
    </w:p>
    <w:p w14:paraId="1F7FABFC" w14:textId="1A29C8B2" w:rsidR="00CD50D0" w:rsidRPr="000C3F2F" w:rsidRDefault="00CB754C" w:rsidP="000C3F2F">
      <w:pPr>
        <w:autoSpaceDE w:val="0"/>
        <w:autoSpaceDN w:val="0"/>
        <w:adjustRightInd w:val="0"/>
        <w:spacing w:after="0" w:line="360" w:lineRule="auto"/>
        <w:jc w:val="both"/>
        <w:rPr>
          <w:rStyle w:val="Heading2Char"/>
          <w:rFonts w:ascii="Arial" w:hAnsi="Arial" w:cs="Arial"/>
          <w:color w:val="000000" w:themeColor="text1"/>
          <w:sz w:val="24"/>
          <w:szCs w:val="24"/>
        </w:rPr>
      </w:pPr>
      <w:r w:rsidRPr="000C3F2F">
        <w:rPr>
          <w:rFonts w:ascii="Arial" w:hAnsi="Arial" w:cs="Arial"/>
          <w:color w:val="000000" w:themeColor="text1"/>
          <w:kern w:val="0"/>
        </w:rPr>
        <w:br/>
      </w:r>
    </w:p>
    <w:p w14:paraId="4B38B82B" w14:textId="77777777" w:rsidR="000C3F2F" w:rsidRDefault="00CB754C" w:rsidP="000C3F2F">
      <w:pPr>
        <w:autoSpaceDE w:val="0"/>
        <w:autoSpaceDN w:val="0"/>
        <w:adjustRightInd w:val="0"/>
        <w:spacing w:after="0" w:line="360" w:lineRule="auto"/>
        <w:jc w:val="both"/>
        <w:rPr>
          <w:rStyle w:val="Heading2Char"/>
          <w:rFonts w:ascii="Arial" w:hAnsi="Arial" w:cs="Arial"/>
          <w:color w:val="000000" w:themeColor="text1"/>
          <w:sz w:val="24"/>
          <w:szCs w:val="24"/>
        </w:rPr>
      </w:pPr>
      <w:bookmarkStart w:id="3" w:name="_Toc227925559"/>
      <w:r w:rsidRPr="000C3F2F">
        <w:rPr>
          <w:rStyle w:val="Heading2Char"/>
          <w:rFonts w:ascii="Arial" w:hAnsi="Arial" w:cs="Arial"/>
          <w:color w:val="000000" w:themeColor="text1"/>
          <w:sz w:val="24"/>
          <w:szCs w:val="24"/>
        </w:rPr>
        <w:t>1.2 Income Statement Trends</w:t>
      </w:r>
      <w:bookmarkEnd w:id="3"/>
    </w:p>
    <w:p w14:paraId="2A0E64D0" w14:textId="32ADE580"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br/>
      </w:r>
      <w:r w:rsidRPr="000C3F2F">
        <w:rPr>
          <w:rFonts w:ascii="Arial" w:hAnsi="Arial" w:cs="Arial"/>
          <w:color w:val="000000" w:themeColor="text1"/>
          <w:kern w:val="0"/>
        </w:rPr>
        <w:t> </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548"/>
        <w:gridCol w:w="1440"/>
        <w:gridCol w:w="1440"/>
        <w:gridCol w:w="1440"/>
        <w:gridCol w:w="1440"/>
        <w:gridCol w:w="1440"/>
      </w:tblGrid>
      <w:tr w:rsidR="00CB754C" w:rsidRPr="000C3F2F" w14:paraId="455CB023" w14:textId="77777777">
        <w:tc>
          <w:tcPr>
            <w:tcW w:w="154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53E57D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3BC38C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Total Revenue ($bn)</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6DC1A0B"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 xml:space="preserve">Net Income </w:t>
            </w:r>
            <w:proofErr w:type="spellStart"/>
            <w:r w:rsidRPr="000C3F2F">
              <w:rPr>
                <w:rFonts w:ascii="Arial" w:hAnsi="Arial" w:cs="Arial"/>
                <w:b/>
                <w:bCs/>
                <w:color w:val="000000" w:themeColor="text1"/>
                <w:kern w:val="0"/>
              </w:rPr>
              <w:t>Attr</w:t>
            </w:r>
            <w:proofErr w:type="spellEnd"/>
            <w:r w:rsidRPr="000C3F2F">
              <w:rPr>
                <w:rFonts w:ascii="Arial" w:hAnsi="Arial" w:cs="Arial"/>
                <w:b/>
                <w:bCs/>
                <w:color w:val="000000" w:themeColor="text1"/>
                <w:kern w:val="0"/>
              </w:rPr>
              <w:t>. to Ford ($bn)</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4DFDE5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Net Income Margin (%)</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B62120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Adjusted EBIT ($bn)</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C5AE05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Adjusted EBIT Margin (%)</w:t>
            </w:r>
          </w:p>
        </w:tc>
      </w:tr>
      <w:tr w:rsidR="00CB754C" w:rsidRPr="000C3F2F" w14:paraId="5619A517" w14:textId="77777777">
        <w:tblPrEx>
          <w:tblBorders>
            <w:top w:val="none" w:sz="0" w:space="0" w:color="auto"/>
          </w:tblBorders>
        </w:tblPrEx>
        <w:tc>
          <w:tcPr>
            <w:tcW w:w="154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FDDFC6B"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2020</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229563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127.1</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6DD181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(1.3)</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AF1958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10222D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2.5</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9FFD1A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w:t>
            </w:r>
          </w:p>
        </w:tc>
      </w:tr>
      <w:tr w:rsidR="00CB754C" w:rsidRPr="000C3F2F" w14:paraId="3C673C8C" w14:textId="77777777">
        <w:tblPrEx>
          <w:tblBorders>
            <w:top w:val="none" w:sz="0" w:space="0" w:color="auto"/>
          </w:tblBorders>
        </w:tblPrEx>
        <w:tc>
          <w:tcPr>
            <w:tcW w:w="154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0DF458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2021</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07A8A7C"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136.3</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81F6CF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17.9</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8A5441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13.2%</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731CFF1"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10.0</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D03231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7.3%</w:t>
            </w:r>
          </w:p>
        </w:tc>
      </w:tr>
      <w:tr w:rsidR="00CB754C" w:rsidRPr="000C3F2F" w14:paraId="165DBAEE" w14:textId="77777777">
        <w:tblPrEx>
          <w:tblBorders>
            <w:top w:val="none" w:sz="0" w:space="0" w:color="auto"/>
          </w:tblBorders>
        </w:tblPrEx>
        <w:tc>
          <w:tcPr>
            <w:tcW w:w="154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F8A89F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0DCCBE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158.1</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1868B8D"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1A449A8"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(1.3%)</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6AA9D0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10.4</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A56FE1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6.6%</w:t>
            </w:r>
          </w:p>
        </w:tc>
      </w:tr>
      <w:tr w:rsidR="00CB754C" w:rsidRPr="000C3F2F" w14:paraId="16E3F16F" w14:textId="77777777">
        <w:tblPrEx>
          <w:tblBorders>
            <w:top w:val="none" w:sz="0" w:space="0" w:color="auto"/>
          </w:tblBorders>
        </w:tblPrEx>
        <w:tc>
          <w:tcPr>
            <w:tcW w:w="154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4D8ED6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117E04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176.2</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C03100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4.3</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C8AC46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2.5%</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29D2718"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10.4</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1F1736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5.9%</w:t>
            </w:r>
          </w:p>
        </w:tc>
      </w:tr>
      <w:tr w:rsidR="00CB754C" w:rsidRPr="000C3F2F" w14:paraId="37592342" w14:textId="77777777">
        <w:tc>
          <w:tcPr>
            <w:tcW w:w="154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1B1F4B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2024</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305A53C"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185.0</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AA0D4B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5.9</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70CB211"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3.2%</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D18043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10.2</w:t>
            </w:r>
          </w:p>
        </w:tc>
        <w:tc>
          <w:tcPr>
            <w:tcW w:w="144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D67EF6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5.5%</w:t>
            </w:r>
          </w:p>
        </w:tc>
      </w:tr>
    </w:tbl>
    <w:p w14:paraId="71AA5BB6" w14:textId="77777777" w:rsidR="00CB754C" w:rsidRPr="000C3F2F" w:rsidRDefault="00CB754C" w:rsidP="000C3F2F">
      <w:pPr>
        <w:autoSpaceDE w:val="0"/>
        <w:autoSpaceDN w:val="0"/>
        <w:adjustRightInd w:val="0"/>
        <w:spacing w:after="0" w:line="360" w:lineRule="auto"/>
        <w:jc w:val="both"/>
        <w:rPr>
          <w:rFonts w:ascii="Arial" w:hAnsi="Arial" w:cs="Arial"/>
          <w:i/>
          <w:iCs/>
          <w:color w:val="000000" w:themeColor="text1"/>
          <w:kern w:val="0"/>
        </w:rPr>
      </w:pPr>
      <w:r w:rsidRPr="000C3F2F">
        <w:rPr>
          <w:rFonts w:ascii="Arial" w:hAnsi="Arial" w:cs="Arial"/>
          <w:i/>
          <w:iCs/>
          <w:color w:val="000000" w:themeColor="text1"/>
          <w:kern w:val="0"/>
        </w:rPr>
        <w:t>Sources: Ford Annual Reports 2020–2024</w:t>
      </w:r>
    </w:p>
    <w:p w14:paraId="145EDED9" w14:textId="6B70EEE7" w:rsidR="00266CCF" w:rsidRPr="000C3F2F" w:rsidRDefault="006C69AE" w:rsidP="000C3F2F">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3A310233"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The 2021 figure of net income is grossly inflated by a net unrealised gain of 9.1 billion on Ford investment in Rivian after the IPO of the latter company. Stripping out these special items, adjusted net income was $6.4 billion in 2021, $7.6 billion in 2022, $8.1 billion in 2023, and $7.4 billion in 2024.</w:t>
      </w:r>
    </w:p>
    <w:p w14:paraId="2F8D52EC" w14:textId="544A1C6A"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lastRenderedPageBreak/>
        <w:t xml:space="preserve"> </w:t>
      </w:r>
      <w:r w:rsidR="00BF61E9" w:rsidRPr="000C3F2F">
        <w:rPr>
          <w:rFonts w:ascii="Arial" w:hAnsi="Arial" w:cs="Arial"/>
          <w:color w:val="000000" w:themeColor="text1"/>
          <w:kern w:val="0"/>
        </w:rPr>
        <w:br/>
      </w:r>
      <w:r w:rsidRPr="000C3F2F">
        <w:rPr>
          <w:rFonts w:ascii="Arial" w:hAnsi="Arial" w:cs="Arial"/>
          <w:color w:val="000000" w:themeColor="text1"/>
          <w:kern w:val="0"/>
        </w:rPr>
        <w:t>This is evidenced by the resilient underlying operating base showing a steady Adjusted EBIT of about $10 billion annually since 2021</w:t>
      </w:r>
      <w:r w:rsidR="00C21BCB" w:rsidRPr="000C3F2F">
        <w:rPr>
          <w:rFonts w:ascii="Arial" w:hAnsi="Arial" w:cs="Arial"/>
          <w:color w:val="000000" w:themeColor="text1"/>
        </w:rPr>
        <w:t xml:space="preserve"> </w:t>
      </w:r>
      <w:r w:rsidR="00C21BCB" w:rsidRPr="000C3F2F">
        <w:rPr>
          <w:rFonts w:ascii="Arial" w:hAnsi="Arial" w:cs="Arial"/>
          <w:color w:val="000000" w:themeColor="text1"/>
          <w:kern w:val="0"/>
        </w:rPr>
        <w:t>(Gardner, Sloan and Yoon, 2024)</w:t>
      </w:r>
      <w:r w:rsidRPr="000C3F2F">
        <w:rPr>
          <w:rFonts w:ascii="Arial" w:hAnsi="Arial" w:cs="Arial"/>
          <w:color w:val="000000" w:themeColor="text1"/>
          <w:kern w:val="0"/>
        </w:rPr>
        <w:t>. Nevertheless, in 2023</w:t>
      </w:r>
      <w:r w:rsidR="00C21BCB" w:rsidRPr="000C3F2F">
        <w:rPr>
          <w:rFonts w:ascii="Arial" w:hAnsi="Arial" w:cs="Arial"/>
          <w:color w:val="000000" w:themeColor="text1"/>
          <w:kern w:val="0"/>
        </w:rPr>
        <w:t>-</w:t>
      </w:r>
      <w:r w:rsidRPr="000C3F2F">
        <w:rPr>
          <w:rFonts w:ascii="Arial" w:hAnsi="Arial" w:cs="Arial"/>
          <w:color w:val="000000" w:themeColor="text1"/>
          <w:kern w:val="0"/>
        </w:rPr>
        <w:t>2024, the GAAP net income margin was also skinny (2.5%3.2), indicating a high level of below-the-line charges such as restructuring, pension remeasurement, and write-downs related to EVs</w:t>
      </w:r>
      <w:r w:rsidR="00C21BCB" w:rsidRPr="000C3F2F">
        <w:rPr>
          <w:rFonts w:ascii="Arial" w:hAnsi="Arial" w:cs="Arial"/>
          <w:color w:val="000000" w:themeColor="text1"/>
        </w:rPr>
        <w:t xml:space="preserve"> </w:t>
      </w:r>
      <w:r w:rsidR="00C21BCB" w:rsidRPr="000C3F2F">
        <w:rPr>
          <w:rFonts w:ascii="Arial" w:hAnsi="Arial" w:cs="Arial"/>
          <w:color w:val="000000" w:themeColor="text1"/>
          <w:kern w:val="0"/>
        </w:rPr>
        <w:t>(Ribeiro, Shan and Taylor, 2018)</w:t>
      </w:r>
      <w:r w:rsidRPr="000C3F2F">
        <w:rPr>
          <w:rFonts w:ascii="Arial" w:hAnsi="Arial" w:cs="Arial"/>
          <w:color w:val="000000" w:themeColor="text1"/>
          <w:kern w:val="0"/>
        </w:rPr>
        <w:t>.</w:t>
      </w:r>
    </w:p>
    <w:p w14:paraId="56106408" w14:textId="77777777" w:rsidR="000C3F2F" w:rsidRDefault="00CB754C" w:rsidP="000C3F2F">
      <w:pPr>
        <w:pStyle w:val="Heading2"/>
        <w:spacing w:line="360" w:lineRule="auto"/>
        <w:jc w:val="both"/>
        <w:rPr>
          <w:rFonts w:ascii="Arial" w:hAnsi="Arial" w:cs="Arial"/>
          <w:color w:val="000000" w:themeColor="text1"/>
          <w:sz w:val="24"/>
          <w:szCs w:val="24"/>
        </w:rPr>
      </w:pPr>
      <w:r w:rsidRPr="000C3F2F">
        <w:rPr>
          <w:rFonts w:ascii="Arial" w:hAnsi="Arial" w:cs="Arial"/>
          <w:color w:val="000000" w:themeColor="text1"/>
          <w:sz w:val="24"/>
          <w:szCs w:val="24"/>
        </w:rPr>
        <w:br/>
      </w:r>
      <w:r w:rsidRPr="000C3F2F">
        <w:rPr>
          <w:rFonts w:ascii="Arial" w:hAnsi="Arial" w:cs="Arial"/>
          <w:color w:val="000000" w:themeColor="text1"/>
          <w:sz w:val="24"/>
          <w:szCs w:val="24"/>
        </w:rPr>
        <w:br/>
      </w:r>
      <w:bookmarkStart w:id="4" w:name="_Toc227925560"/>
      <w:r w:rsidRPr="000C3F2F">
        <w:rPr>
          <w:rFonts w:ascii="Arial" w:hAnsi="Arial" w:cs="Arial"/>
          <w:color w:val="000000" w:themeColor="text1"/>
          <w:sz w:val="24"/>
          <w:szCs w:val="24"/>
        </w:rPr>
        <w:t>1.3 Profitability Ratios</w:t>
      </w:r>
      <w:bookmarkEnd w:id="4"/>
    </w:p>
    <w:p w14:paraId="573E438F" w14:textId="0F2879DD" w:rsidR="00CB754C" w:rsidRPr="000C3F2F" w:rsidRDefault="00CB754C" w:rsidP="000C3F2F">
      <w:pPr>
        <w:pStyle w:val="Heading2"/>
        <w:spacing w:line="360" w:lineRule="auto"/>
        <w:jc w:val="both"/>
        <w:rPr>
          <w:rFonts w:ascii="Arial" w:hAnsi="Arial" w:cs="Arial"/>
          <w:color w:val="000000" w:themeColor="text1"/>
          <w:kern w:val="0"/>
          <w:sz w:val="24"/>
          <w:szCs w:val="24"/>
        </w:rPr>
      </w:pPr>
      <w:r w:rsidRPr="000C3F2F">
        <w:rPr>
          <w:rFonts w:ascii="Arial" w:hAnsi="Arial" w:cs="Arial"/>
          <w:color w:val="000000" w:themeColor="text1"/>
          <w:kern w:val="0"/>
          <w:sz w:val="24"/>
          <w:szCs w:val="24"/>
        </w:rPr>
        <w:t>Gross Profit Margin is derived from revenues less cost of sales. Cost of sales rose from $112.8 billion in 2020 to $158.4 billion in 2024.</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836"/>
        <w:gridCol w:w="1728"/>
        <w:gridCol w:w="1728"/>
        <w:gridCol w:w="1728"/>
        <w:gridCol w:w="1728"/>
      </w:tblGrid>
      <w:tr w:rsidR="00CB754C" w:rsidRPr="000C3F2F" w14:paraId="6A11B1E7" w14:textId="77777777">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AB29FE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1AD9B1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Revenue ($m)</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C248FD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Cost of Sales ($m)</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1AED89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Gross Profit ($m)</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BB7ED26"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Gross Margin (%)</w:t>
            </w:r>
          </w:p>
        </w:tc>
      </w:tr>
      <w:tr w:rsidR="00CB754C" w:rsidRPr="000C3F2F" w14:paraId="6AAA7196" w14:textId="77777777">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3E2E8B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2020</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306DA1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127,144</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8E8CEB6"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112,752</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64F04CB"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14,392</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077B011"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11.3%</w:t>
            </w:r>
          </w:p>
        </w:tc>
      </w:tr>
      <w:tr w:rsidR="00CB754C" w:rsidRPr="000C3F2F" w14:paraId="4A40E77A" w14:textId="77777777">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7D4798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2021</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D4741C8"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136,341</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1B3544C"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114,651</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7B5BBC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21,690</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1F0B44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15.9%</w:t>
            </w:r>
          </w:p>
        </w:tc>
      </w:tr>
      <w:tr w:rsidR="00CB754C" w:rsidRPr="000C3F2F" w14:paraId="74F93D1C" w14:textId="77777777">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6FD0B7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4AC928B"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158,057</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B7EA39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134,397</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45650B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23,660</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E6432A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15.0%</w:t>
            </w:r>
          </w:p>
        </w:tc>
      </w:tr>
      <w:tr w:rsidR="00CB754C" w:rsidRPr="000C3F2F" w14:paraId="0DCF26FC" w14:textId="77777777">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8AA5DB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AD95F8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176,191</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032FDDC"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150,550</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F41BAC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25,641</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7A69C8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14.5%</w:t>
            </w:r>
          </w:p>
        </w:tc>
      </w:tr>
      <w:tr w:rsidR="00CB754C" w:rsidRPr="000C3F2F" w14:paraId="16C0C110" w14:textId="77777777">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F173968"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2024</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9023CE6"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184,992</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5E70F8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158,434</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C4BB54B"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26,558</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F76AC6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14.4%</w:t>
            </w:r>
          </w:p>
        </w:tc>
      </w:tr>
    </w:tbl>
    <w:p w14:paraId="53A591F6" w14:textId="77777777" w:rsidR="000C3F2F" w:rsidRDefault="00CB754C" w:rsidP="000C3F2F">
      <w:pPr>
        <w:autoSpaceDE w:val="0"/>
        <w:autoSpaceDN w:val="0"/>
        <w:adjustRightInd w:val="0"/>
        <w:spacing w:after="0" w:line="360" w:lineRule="auto"/>
        <w:jc w:val="both"/>
        <w:rPr>
          <w:rFonts w:ascii="MS Gothic" w:eastAsia="MS Gothic" w:hAnsi="MS Gothic" w:cs="MS Gothic"/>
          <w:color w:val="000000" w:themeColor="text1"/>
          <w:kern w:val="0"/>
        </w:rPr>
      </w:pPr>
      <w:r w:rsidRPr="000C3F2F">
        <w:rPr>
          <w:rFonts w:ascii="Arial" w:hAnsi="Arial" w:cs="Arial"/>
          <w:color w:val="000000" w:themeColor="text1"/>
          <w:kern w:val="0"/>
        </w:rPr>
        <w:t>Sources: Ford Annual Reports 2020-2024</w:t>
      </w:r>
      <w:r w:rsidRPr="000C3F2F">
        <w:rPr>
          <w:rFonts w:ascii="MS Gothic" w:eastAsia="MS Gothic" w:hAnsi="MS Gothic" w:cs="MS Gothic" w:hint="eastAsia"/>
          <w:color w:val="000000" w:themeColor="text1"/>
          <w:kern w:val="0"/>
        </w:rPr>
        <w:t>  </w:t>
      </w:r>
    </w:p>
    <w:p w14:paraId="656EB867"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71559EC1" w14:textId="77777777" w:rsidR="000C3F2F" w:rsidRDefault="000C3F2F" w:rsidP="000C3F2F">
      <w:pPr>
        <w:autoSpaceDE w:val="0"/>
        <w:autoSpaceDN w:val="0"/>
        <w:adjustRightInd w:val="0"/>
        <w:spacing w:after="0" w:line="360" w:lineRule="auto"/>
        <w:jc w:val="both"/>
        <w:rPr>
          <w:rFonts w:ascii="Arial" w:hAnsi="Arial" w:cs="Arial"/>
          <w:color w:val="000000" w:themeColor="text1"/>
          <w:kern w:val="0"/>
        </w:rPr>
      </w:pPr>
    </w:p>
    <w:p w14:paraId="16CA71DC"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The gross margin has improved by a large margin in 2021 (15.9) over 2020 (11.3) as volume bounced back after the pandemic and prices have risen, but has since declined modestly to 14.4% in 2024, due to higher material costs in the EV business and higher warranty accruals</w:t>
      </w:r>
      <w:r w:rsidR="00C21BCB" w:rsidRPr="000C3F2F">
        <w:rPr>
          <w:rFonts w:ascii="Arial" w:hAnsi="Arial" w:cs="Arial"/>
          <w:color w:val="000000" w:themeColor="text1"/>
        </w:rPr>
        <w:t xml:space="preserve"> </w:t>
      </w:r>
      <w:r w:rsidR="00C21BCB" w:rsidRPr="000C3F2F">
        <w:rPr>
          <w:rFonts w:ascii="Arial" w:hAnsi="Arial" w:cs="Arial"/>
          <w:color w:val="000000" w:themeColor="text1"/>
          <w:kern w:val="0"/>
        </w:rPr>
        <w:t>(Kurt et al., 2021)</w:t>
      </w:r>
      <w:r w:rsidRPr="000C3F2F">
        <w:rPr>
          <w:rFonts w:ascii="Arial" w:hAnsi="Arial" w:cs="Arial"/>
          <w:color w:val="000000" w:themeColor="text1"/>
          <w:kern w:val="0"/>
        </w:rPr>
        <w:t>. The warranty and field service accrual amounted to 14.0 billion at year end 2024 (as compared to 9.2 billion at year end 2022 and 11.5 billion at year end 2023) is a major structural cost pressure.</w:t>
      </w:r>
    </w:p>
    <w:p w14:paraId="5BA7FDD1" w14:textId="6F7EC129"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p w14:paraId="56C11A9C" w14:textId="49A8DE00"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xml:space="preserve">Operating Profit Margin: There was a decrease in operating income between 2022 and 2024, where 2022 had a figure of $6.3 billion and 2024 had a figure of 5.2 billion. Operating margin decreased to 3.1 percent (2023) and 2.8 percent (2024) with the </w:t>
      </w:r>
      <w:r w:rsidRPr="000C3F2F">
        <w:rPr>
          <w:rFonts w:ascii="Arial" w:hAnsi="Arial" w:cs="Arial"/>
          <w:color w:val="000000" w:themeColor="text1"/>
          <w:kern w:val="0"/>
        </w:rPr>
        <w:lastRenderedPageBreak/>
        <w:t>major loss of the increasing interest expense of the Ford Credit, the pension expense and losses in EV investment</w:t>
      </w:r>
      <w:r w:rsidR="00C21BCB" w:rsidRPr="000C3F2F">
        <w:rPr>
          <w:rFonts w:ascii="Arial" w:hAnsi="Arial" w:cs="Arial"/>
          <w:color w:val="000000" w:themeColor="text1"/>
        </w:rPr>
        <w:t xml:space="preserve"> </w:t>
      </w:r>
      <w:r w:rsidR="00C21BCB" w:rsidRPr="000C3F2F">
        <w:rPr>
          <w:rFonts w:ascii="Arial" w:hAnsi="Arial" w:cs="Arial"/>
          <w:color w:val="000000" w:themeColor="text1"/>
          <w:kern w:val="0"/>
        </w:rPr>
        <w:t>(Jayathilaka, 2020)</w:t>
      </w:r>
      <w:r w:rsidRPr="000C3F2F">
        <w:rPr>
          <w:rFonts w:ascii="Arial" w:hAnsi="Arial" w:cs="Arial"/>
          <w:color w:val="000000" w:themeColor="text1"/>
          <w:kern w:val="0"/>
        </w:rPr>
        <w:t>.</w:t>
      </w:r>
    </w:p>
    <w:p w14:paraId="4926AAC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w:t>
      </w:r>
    </w:p>
    <w:p w14:paraId="2EC19B84" w14:textId="77777777" w:rsidR="00A0719D"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Return on Equity (ROE):</w:t>
      </w:r>
      <w:r w:rsidRPr="000C3F2F">
        <w:rPr>
          <w:rFonts w:ascii="Arial" w:hAnsi="Arial" w:cs="Arial"/>
          <w:color w:val="000000" w:themeColor="text1"/>
          <w:kern w:val="0"/>
        </w:rPr>
        <w:t xml:space="preserve"> </w:t>
      </w:r>
    </w:p>
    <w:p w14:paraId="5129C8F1" w14:textId="221585FA"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Net income attributable to Ford divided by average equity attributable to Ford:</w:t>
      </w:r>
      <w:r w:rsidRPr="000C3F2F">
        <w:rPr>
          <w:rFonts w:ascii="Arial" w:hAnsi="Arial" w:cs="Arial"/>
          <w:color w:val="000000" w:themeColor="text1"/>
        </w:rPr>
        <w:br/>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CB754C" w:rsidRPr="000C3F2F" w14:paraId="5469B85E"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B0EAE0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D3617C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 xml:space="preserve">Net Income </w:t>
            </w:r>
            <w:proofErr w:type="spellStart"/>
            <w:r w:rsidRPr="000C3F2F">
              <w:rPr>
                <w:rFonts w:ascii="Arial" w:hAnsi="Arial" w:cs="Arial"/>
                <w:b/>
                <w:bCs/>
                <w:color w:val="000000" w:themeColor="text1"/>
                <w:kern w:val="0"/>
              </w:rPr>
              <w:t>Attr</w:t>
            </w:r>
            <w:proofErr w:type="spellEnd"/>
            <w:r w:rsidRPr="000C3F2F">
              <w:rPr>
                <w:rFonts w:ascii="Arial" w:hAnsi="Arial" w:cs="Arial"/>
                <w:b/>
                <w:bCs/>
                <w:color w:val="000000" w:themeColor="text1"/>
                <w:kern w:val="0"/>
              </w:rPr>
              <w:t>. Ford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F3B2F11"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Avg. Equity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C899018"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ROE (%)</w:t>
            </w:r>
          </w:p>
        </w:tc>
      </w:tr>
      <w:tr w:rsidR="00CB754C" w:rsidRPr="000C3F2F" w14:paraId="324AF602"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6D2CB3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FCAA106"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17,937</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B9024E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~39,600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3E4242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45.3%</w:t>
            </w:r>
          </w:p>
        </w:tc>
      </w:tr>
      <w:tr w:rsidR="00CB754C" w:rsidRPr="000C3F2F" w14:paraId="171A04CB"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0CC736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E743DF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(1,981)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C79F6C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~45,900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DFC677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(4.3%)</w:t>
            </w:r>
          </w:p>
        </w:tc>
      </w:tr>
      <w:tr w:rsidR="00CB754C" w:rsidRPr="000C3F2F" w14:paraId="6475163D"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C369AF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5E2D60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4,347</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A3AD45D"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~43,000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DF1E89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10.1%</w:t>
            </w:r>
          </w:p>
        </w:tc>
      </w:tr>
      <w:tr w:rsidR="00CB754C" w:rsidRPr="000C3F2F" w14:paraId="78D33458"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AE3082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2BC08B8"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5,879</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2A76B2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~43,800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BC6E886"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13.4%</w:t>
            </w:r>
          </w:p>
        </w:tc>
      </w:tr>
    </w:tbl>
    <w:p w14:paraId="43803E86"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Computed from Ford Annual Reports</w:t>
      </w:r>
    </w:p>
    <w:p w14:paraId="63A52706"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7EBC73ED" w14:textId="77777777" w:rsidR="000C3F2F" w:rsidRDefault="000C3F2F" w:rsidP="000C3F2F">
      <w:pPr>
        <w:autoSpaceDE w:val="0"/>
        <w:autoSpaceDN w:val="0"/>
        <w:adjustRightInd w:val="0"/>
        <w:spacing w:after="0" w:line="360" w:lineRule="auto"/>
        <w:jc w:val="both"/>
        <w:rPr>
          <w:rFonts w:ascii="Arial" w:hAnsi="Arial" w:cs="Arial"/>
          <w:color w:val="000000" w:themeColor="text1"/>
          <w:kern w:val="0"/>
        </w:rPr>
      </w:pPr>
    </w:p>
    <w:p w14:paraId="6B2B8D8B" w14:textId="4A28150D"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Excluding the Rivian-inflated 2021, the ROE trend shows a recovery from -4.3% in 2022 to 13.4% in 2024. This enhancement indicates increased GAAP earnings fuelled by the outstanding performance and positive income tax credits of Ford Pro.</w:t>
      </w:r>
      <w:r w:rsidRPr="000C3F2F">
        <w:rPr>
          <w:rFonts w:ascii="Arial" w:hAnsi="Arial" w:cs="Arial"/>
          <w:color w:val="000000" w:themeColor="text1"/>
          <w:kern w:val="0"/>
        </w:rPr>
        <w:br/>
      </w:r>
    </w:p>
    <w:p w14:paraId="4671AAB7" w14:textId="77777777" w:rsidR="00F45E9A"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Return on Assets (ROA):</w:t>
      </w:r>
      <w:r w:rsidRPr="000C3F2F">
        <w:rPr>
          <w:rFonts w:ascii="Arial" w:hAnsi="Arial" w:cs="Arial"/>
          <w:color w:val="000000" w:themeColor="text1"/>
          <w:kern w:val="0"/>
        </w:rPr>
        <w:t> Net income divided by average total assets:</w:t>
      </w:r>
    </w:p>
    <w:p w14:paraId="00E1FE31" w14:textId="11AEF750"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CB754C" w:rsidRPr="000C3F2F" w14:paraId="3F0A9132"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8E1587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80BD60C"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Net Income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91F89A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Avg. Total Assets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9F1099C"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ROA (%)</w:t>
            </w:r>
          </w:p>
        </w:tc>
      </w:tr>
      <w:tr w:rsidR="00CB754C" w:rsidRPr="000C3F2F" w14:paraId="1C07E334"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370F7B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FDCFFEC"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(2,152)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C53010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~256,000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75AA8B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(0.8%)</w:t>
            </w:r>
          </w:p>
        </w:tc>
      </w:tr>
      <w:tr w:rsidR="00CB754C" w:rsidRPr="000C3F2F" w14:paraId="2D18FE05"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5A4107D"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2197A01"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4,329</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66A561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~264,600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875DFD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1.6%</w:t>
            </w:r>
          </w:p>
        </w:tc>
      </w:tr>
      <w:tr w:rsidR="00CB754C" w:rsidRPr="000C3F2F" w14:paraId="2D3617C0"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2D5C12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D60165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5,894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A45D64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~279,300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43A575B"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2.1%</w:t>
            </w:r>
          </w:p>
        </w:tc>
      </w:tr>
    </w:tbl>
    <w:p w14:paraId="207B0BB8"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Computed from Ford Annual Reports</w:t>
      </w:r>
    </w:p>
    <w:p w14:paraId="51D708B1"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35935FCF" w14:textId="77777777" w:rsidR="000C3F2F" w:rsidRDefault="000C3F2F" w:rsidP="000C3F2F">
      <w:pPr>
        <w:autoSpaceDE w:val="0"/>
        <w:autoSpaceDN w:val="0"/>
        <w:adjustRightInd w:val="0"/>
        <w:spacing w:after="0" w:line="360" w:lineRule="auto"/>
        <w:jc w:val="both"/>
        <w:rPr>
          <w:rFonts w:ascii="Arial" w:hAnsi="Arial" w:cs="Arial"/>
          <w:color w:val="000000" w:themeColor="text1"/>
          <w:kern w:val="0"/>
        </w:rPr>
      </w:pPr>
    </w:p>
    <w:p w14:paraId="37FA38F5"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This rising ROA in 2022 to 2024 indicates a true earnings recovery, albeit that the asset base is dominated by the finance receivables of the Ford Credit (111.6 billion at the end of 2024) that overstates the denominator.</w:t>
      </w:r>
    </w:p>
    <w:p w14:paraId="3AFF4AAE" w14:textId="71CF4796"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lastRenderedPageBreak/>
        <w:br/>
      </w:r>
    </w:p>
    <w:p w14:paraId="3E7CBAAF" w14:textId="77777777" w:rsidR="00A0719D" w:rsidRPr="000C3F2F" w:rsidRDefault="00A0719D" w:rsidP="000C3F2F">
      <w:pPr>
        <w:pStyle w:val="Heading2"/>
        <w:spacing w:line="360" w:lineRule="auto"/>
        <w:jc w:val="both"/>
        <w:rPr>
          <w:rFonts w:ascii="Arial" w:hAnsi="Arial" w:cs="Arial"/>
          <w:color w:val="000000" w:themeColor="text1"/>
          <w:sz w:val="24"/>
          <w:szCs w:val="24"/>
        </w:rPr>
      </w:pPr>
    </w:p>
    <w:p w14:paraId="2E191F6F" w14:textId="77777777" w:rsidR="00A0719D" w:rsidRPr="000C3F2F" w:rsidRDefault="00A0719D" w:rsidP="000C3F2F">
      <w:pPr>
        <w:pStyle w:val="Heading2"/>
        <w:spacing w:line="360" w:lineRule="auto"/>
        <w:jc w:val="both"/>
        <w:rPr>
          <w:rFonts w:ascii="Arial" w:hAnsi="Arial" w:cs="Arial"/>
          <w:color w:val="000000" w:themeColor="text1"/>
          <w:sz w:val="24"/>
          <w:szCs w:val="24"/>
        </w:rPr>
      </w:pPr>
    </w:p>
    <w:p w14:paraId="7F13F4AB" w14:textId="329FAD83" w:rsidR="00A0719D" w:rsidRPr="000C3F2F" w:rsidRDefault="00CB754C" w:rsidP="000C3F2F">
      <w:pPr>
        <w:pStyle w:val="Heading2"/>
        <w:spacing w:line="360" w:lineRule="auto"/>
        <w:jc w:val="both"/>
        <w:rPr>
          <w:rFonts w:ascii="Arial" w:hAnsi="Arial" w:cs="Arial"/>
          <w:color w:val="000000" w:themeColor="text1"/>
          <w:sz w:val="24"/>
          <w:szCs w:val="24"/>
        </w:rPr>
      </w:pPr>
      <w:bookmarkStart w:id="5" w:name="_Toc227925561"/>
      <w:r w:rsidRPr="000C3F2F">
        <w:rPr>
          <w:rFonts w:ascii="Arial" w:hAnsi="Arial" w:cs="Arial"/>
          <w:color w:val="000000" w:themeColor="text1"/>
          <w:sz w:val="24"/>
          <w:szCs w:val="24"/>
        </w:rPr>
        <w:t>1.4 Liquidity Ratios</w:t>
      </w:r>
      <w:bookmarkEnd w:id="5"/>
    </w:p>
    <w:p w14:paraId="3F99ACBC" w14:textId="01AFAAD0"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Current Ratio</w:t>
      </w:r>
      <w:r w:rsidRPr="000C3F2F">
        <w:rPr>
          <w:rFonts w:ascii="Arial" w:hAnsi="Arial" w:cs="Arial"/>
          <w:color w:val="000000" w:themeColor="text1"/>
          <w:kern w:val="0"/>
        </w:rPr>
        <w:t> (Total Current Assets / Total Current Liabilities):</w:t>
      </w:r>
      <w:r w:rsidRPr="000C3F2F">
        <w:rPr>
          <w:rFonts w:ascii="MS Gothic" w:eastAsia="MS Gothic" w:hAnsi="MS Gothic" w:cs="MS Gothic" w:hint="eastAsia"/>
          <w:color w:val="000000" w:themeColor="text1"/>
          <w:kern w:val="0"/>
        </w:rPr>
        <w:t>  </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CB754C" w:rsidRPr="000C3F2F" w14:paraId="4803CE66"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584773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5DD9D4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Current Assets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1E72D51"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Current Liabilities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CC260AD"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Current Ratio</w:t>
            </w:r>
          </w:p>
        </w:tc>
      </w:tr>
      <w:tr w:rsidR="00CB754C" w:rsidRPr="000C3F2F" w14:paraId="1D1DE1BA"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511FB2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DDC76FC"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96,500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DCD726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90,700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DAA6628"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1.06</w:t>
            </w:r>
          </w:p>
        </w:tc>
      </w:tr>
      <w:tr w:rsidR="00CB754C" w:rsidRPr="000C3F2F" w14:paraId="7205CAC0"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E69643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C35EB3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108,996</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B8E86E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90,727</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5D97261"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1.20</w:t>
            </w:r>
          </w:p>
        </w:tc>
      </w:tr>
      <w:tr w:rsidR="00CB754C" w:rsidRPr="000C3F2F" w14:paraId="65D7B69F"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3402DF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02F830B"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116,476</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9C3069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96,866</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9E01D7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1.20</w:t>
            </w:r>
          </w:p>
        </w:tc>
      </w:tr>
      <w:tr w:rsidR="00CB754C" w:rsidRPr="000C3F2F" w14:paraId="0BB66285"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F85E1C8"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E337E56"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121,481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8828A6D"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101,531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30541B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1.20</w:t>
            </w:r>
          </w:p>
        </w:tc>
      </w:tr>
      <w:tr w:rsidR="00CB754C" w:rsidRPr="000C3F2F" w14:paraId="31AD5BC0"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EEE50C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79D883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124,474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17F2FA6"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106,859</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753B758"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1.16</w:t>
            </w:r>
          </w:p>
        </w:tc>
      </w:tr>
    </w:tbl>
    <w:p w14:paraId="4DD83E17" w14:textId="49BC9180" w:rsidR="000C3F2F" w:rsidRDefault="00CB754C" w:rsidP="000C3F2F">
      <w:pPr>
        <w:autoSpaceDE w:val="0"/>
        <w:autoSpaceDN w:val="0"/>
        <w:adjustRightInd w:val="0"/>
        <w:spacing w:after="0" w:line="360" w:lineRule="auto"/>
        <w:jc w:val="both"/>
        <w:rPr>
          <w:rFonts w:ascii="Arial" w:hAnsi="Arial" w:cs="Arial"/>
          <w:i/>
          <w:iCs/>
          <w:color w:val="000000" w:themeColor="text1"/>
          <w:kern w:val="0"/>
        </w:rPr>
      </w:pPr>
      <w:r w:rsidRPr="000C3F2F">
        <w:rPr>
          <w:rFonts w:ascii="Arial" w:hAnsi="Arial" w:cs="Arial"/>
          <w:i/>
          <w:iCs/>
          <w:color w:val="000000" w:themeColor="text1"/>
          <w:kern w:val="0"/>
        </w:rPr>
        <w:t>Computed from Ford Annual Reports</w:t>
      </w:r>
    </w:p>
    <w:p w14:paraId="054656E8"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06D35007" w14:textId="6226CAFE" w:rsidR="00CB754C" w:rsidRPr="000C3F2F" w:rsidRDefault="006C69AE" w:rsidP="000C3F2F">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br/>
      </w:r>
      <w:r w:rsidR="00CB754C" w:rsidRPr="000C3F2F">
        <w:rPr>
          <w:rFonts w:ascii="Arial" w:hAnsi="Arial" w:cs="Arial"/>
          <w:color w:val="000000" w:themeColor="text1"/>
          <w:kern w:val="0"/>
        </w:rPr>
        <w:t xml:space="preserve">The current ratio has been recorded as being </w:t>
      </w:r>
      <w:proofErr w:type="gramStart"/>
      <w:r w:rsidR="00CB754C" w:rsidRPr="000C3F2F">
        <w:rPr>
          <w:rFonts w:ascii="Arial" w:hAnsi="Arial" w:cs="Arial"/>
          <w:color w:val="000000" w:themeColor="text1"/>
          <w:kern w:val="0"/>
        </w:rPr>
        <w:t>fairly stable</w:t>
      </w:r>
      <w:proofErr w:type="gramEnd"/>
      <w:r w:rsidR="00CB754C" w:rsidRPr="000C3F2F">
        <w:rPr>
          <w:rFonts w:ascii="Arial" w:hAnsi="Arial" w:cs="Arial"/>
          <w:color w:val="000000" w:themeColor="text1"/>
          <w:kern w:val="0"/>
        </w:rPr>
        <w:t xml:space="preserve"> at 1.2x over the period indicating sufficient but not excessive short-term liquidity. It was only slightly worsened to 1.16x in 2024 due to the increase in the short-term debt of Ford Credit (up to $53.2 billion).</w:t>
      </w:r>
      <w:r w:rsidR="00CB754C" w:rsidRPr="000C3F2F">
        <w:rPr>
          <w:rFonts w:ascii="Arial" w:hAnsi="Arial" w:cs="Arial"/>
          <w:color w:val="000000" w:themeColor="text1"/>
          <w:kern w:val="0"/>
        </w:rPr>
        <w:br/>
      </w:r>
    </w:p>
    <w:p w14:paraId="15FD1F48"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i/>
          <w:iCs/>
          <w:color w:val="000000" w:themeColor="text1"/>
          <w:kern w:val="0"/>
        </w:rPr>
        <w:t>Quick Ratio</w:t>
      </w:r>
      <w:r w:rsidRPr="000C3F2F">
        <w:rPr>
          <w:rFonts w:ascii="Arial" w:hAnsi="Arial" w:cs="Arial"/>
          <w:i/>
          <w:iCs/>
          <w:color w:val="000000" w:themeColor="text1"/>
          <w:kern w:val="0"/>
        </w:rPr>
        <w:t> (Current Assets less Inventories</w:t>
      </w:r>
      <w:r w:rsidRPr="000C3F2F">
        <w:rPr>
          <w:rFonts w:ascii="Arial" w:hAnsi="Arial" w:cs="Arial"/>
          <w:color w:val="000000" w:themeColor="text1"/>
          <w:kern w:val="0"/>
        </w:rPr>
        <w:t xml:space="preserve"> / Current Liabilities):</w:t>
      </w:r>
    </w:p>
    <w:p w14:paraId="73B1D27D" w14:textId="2AA5BE3C"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CB754C" w:rsidRPr="000C3F2F" w14:paraId="0E9E25C1"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7E4FD3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6D3384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Current Assets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0226A4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Inventories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35352D8"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Quick Ratio</w:t>
            </w:r>
          </w:p>
        </w:tc>
      </w:tr>
      <w:tr w:rsidR="00CB754C" w:rsidRPr="000C3F2F" w14:paraId="54FC9AC2"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41B053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BA3562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116,476</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42E2F0D"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14,080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ACFE7C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1.05</w:t>
            </w:r>
          </w:p>
        </w:tc>
      </w:tr>
      <w:tr w:rsidR="00CB754C" w:rsidRPr="000C3F2F" w14:paraId="187F6E4D"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9C9E4E8"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15F8FB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121,481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A194DD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15,651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7CC6D0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1.04</w:t>
            </w:r>
          </w:p>
        </w:tc>
      </w:tr>
      <w:tr w:rsidR="00CB754C" w:rsidRPr="000C3F2F" w14:paraId="16C28DD4"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BB741C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0629BB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124,474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1FDDA5D"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14,951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2AECB8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1.03</w:t>
            </w:r>
          </w:p>
        </w:tc>
      </w:tr>
    </w:tbl>
    <w:p w14:paraId="4B412991" w14:textId="77777777" w:rsidR="000C3F2F" w:rsidRDefault="00CB754C" w:rsidP="000C3F2F">
      <w:pPr>
        <w:autoSpaceDE w:val="0"/>
        <w:autoSpaceDN w:val="0"/>
        <w:adjustRightInd w:val="0"/>
        <w:spacing w:after="0" w:line="360" w:lineRule="auto"/>
        <w:jc w:val="both"/>
        <w:rPr>
          <w:rFonts w:ascii="Arial" w:hAnsi="Arial" w:cs="Arial"/>
          <w:i/>
          <w:iCs/>
          <w:color w:val="000000" w:themeColor="text1"/>
          <w:kern w:val="0"/>
        </w:rPr>
      </w:pPr>
      <w:r w:rsidRPr="000C3F2F">
        <w:rPr>
          <w:rFonts w:ascii="Arial" w:hAnsi="Arial" w:cs="Arial"/>
          <w:i/>
          <w:iCs/>
          <w:color w:val="000000" w:themeColor="text1"/>
          <w:kern w:val="0"/>
        </w:rPr>
        <w:t>Computed from Ford Annual Reports</w:t>
      </w:r>
    </w:p>
    <w:p w14:paraId="7680B395"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40C7AFB2" w14:textId="1DE4884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p w14:paraId="47AC038D" w14:textId="2615B9E8"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lastRenderedPageBreak/>
        <w:t>relies, in part, on the conversion of inventories. The inventories significantly decreased by a small margin of 15.7 billion to 15.0 billion in 2024 indicating a positive demand.</w:t>
      </w:r>
      <w:r w:rsidRPr="000C3F2F">
        <w:rPr>
          <w:rFonts w:ascii="Arial" w:hAnsi="Arial" w:cs="Arial"/>
          <w:color w:val="000000" w:themeColor="text1"/>
          <w:kern w:val="0"/>
        </w:rPr>
        <w:br/>
      </w:r>
    </w:p>
    <w:p w14:paraId="2D11016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Cash and Liquidity: Company-level cash and marketable securities (not including Ford Credit) were also strong. At year-end 2023 and 2024, the total cash and equivalents were 24.9 and 22.9 billion respectively. In 2024, the marketable securities stood at $15.4 billion. The liquidity floor of the Company cash set by Ford is above $20 billion, which is in line with its policy set in the balance sheet.</w:t>
      </w:r>
    </w:p>
    <w:p w14:paraId="00709E3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w:t>
      </w:r>
    </w:p>
    <w:p w14:paraId="7B71B7B5" w14:textId="783DF315" w:rsidR="00CB754C" w:rsidRPr="000C3F2F" w:rsidRDefault="00CB754C" w:rsidP="000C3F2F">
      <w:pPr>
        <w:pStyle w:val="Heading2"/>
        <w:spacing w:line="360" w:lineRule="auto"/>
        <w:jc w:val="both"/>
        <w:rPr>
          <w:rFonts w:ascii="Arial" w:hAnsi="Arial" w:cs="Arial"/>
          <w:color w:val="000000" w:themeColor="text1"/>
          <w:sz w:val="24"/>
          <w:szCs w:val="24"/>
        </w:rPr>
      </w:pPr>
      <w:bookmarkStart w:id="6" w:name="_Toc227925562"/>
      <w:r w:rsidRPr="000C3F2F">
        <w:rPr>
          <w:rFonts w:ascii="Arial" w:hAnsi="Arial" w:cs="Arial"/>
          <w:color w:val="000000" w:themeColor="text1"/>
          <w:sz w:val="24"/>
          <w:szCs w:val="24"/>
        </w:rPr>
        <w:t>1.5 Efficiency Ratios</w:t>
      </w:r>
      <w:bookmarkEnd w:id="6"/>
    </w:p>
    <w:p w14:paraId="61055B27" w14:textId="77777777" w:rsidR="000C3F2F" w:rsidRDefault="00CB754C" w:rsidP="000C3F2F">
      <w:pPr>
        <w:autoSpaceDE w:val="0"/>
        <w:autoSpaceDN w:val="0"/>
        <w:adjustRightInd w:val="0"/>
        <w:spacing w:after="0" w:line="360" w:lineRule="auto"/>
        <w:jc w:val="both"/>
        <w:rPr>
          <w:rFonts w:ascii="Arial" w:hAnsi="Arial" w:cs="Arial"/>
          <w:i/>
          <w:iCs/>
          <w:color w:val="000000" w:themeColor="text1"/>
          <w:kern w:val="0"/>
        </w:rPr>
      </w:pPr>
      <w:r w:rsidRPr="000C3F2F">
        <w:rPr>
          <w:rFonts w:ascii="Arial" w:hAnsi="Arial" w:cs="Arial"/>
          <w:i/>
          <w:iCs/>
          <w:color w:val="000000" w:themeColor="text1"/>
          <w:kern w:val="0"/>
        </w:rPr>
        <w:t>Asset Turnover (Revenue / Total Assets):</w:t>
      </w:r>
    </w:p>
    <w:p w14:paraId="54A188E6" w14:textId="2586E0C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CB754C" w:rsidRPr="000C3F2F" w14:paraId="40C6E832"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40DC56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F5A14AC"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Revenue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DD7DCA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Total Assets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D39E30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Asset Turnover</w:t>
            </w:r>
          </w:p>
        </w:tc>
      </w:tr>
      <w:tr w:rsidR="00CB754C" w:rsidRPr="000C3F2F" w14:paraId="485C9F0F"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9C6948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23D4BD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158,057</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492A16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255,884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846349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0.62</w:t>
            </w:r>
          </w:p>
        </w:tc>
      </w:tr>
      <w:tr w:rsidR="00CB754C" w:rsidRPr="000C3F2F" w14:paraId="2E8BB84C"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44ED53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F57A0B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176,191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FBD434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273,310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AC9E60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0.64</w:t>
            </w:r>
          </w:p>
        </w:tc>
      </w:tr>
      <w:tr w:rsidR="00CB754C" w:rsidRPr="000C3F2F" w14:paraId="34798047"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12A163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6A26D2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184,992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0426E1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285,196</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F85A0E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0.65</w:t>
            </w:r>
          </w:p>
        </w:tc>
      </w:tr>
    </w:tbl>
    <w:p w14:paraId="343AE18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Computed from Ford Annual Reports</w:t>
      </w:r>
    </w:p>
    <w:p w14:paraId="427648E6"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6D8AE2AC" w14:textId="19C261AC" w:rsidR="00677BDF" w:rsidRPr="000C3F2F" w:rsidRDefault="00677BDF" w:rsidP="000C3F2F">
      <w:pPr>
        <w:spacing w:line="360" w:lineRule="auto"/>
        <w:jc w:val="both"/>
        <w:rPr>
          <w:rFonts w:ascii="Arial" w:hAnsi="Arial" w:cs="Arial"/>
          <w:color w:val="000000" w:themeColor="text1"/>
        </w:rPr>
      </w:pPr>
    </w:p>
    <w:p w14:paraId="66BF083E"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There is relatively low asset turnover (0.62–0.65x) as is characteristic of a capital-intensive automotive company that has a large captive finance subsidiary. The small increasing tendency is good.</w:t>
      </w:r>
    </w:p>
    <w:p w14:paraId="343DAD36" w14:textId="49AC0D43"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p w14:paraId="68BAE194"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MS Gothic" w:eastAsia="MS Gothic" w:hAnsi="MS Gothic" w:cs="MS Gothic" w:hint="eastAsia"/>
          <w:color w:val="000000" w:themeColor="text1"/>
          <w:kern w:val="0"/>
        </w:rPr>
        <w:t> </w:t>
      </w:r>
      <w:r w:rsidRPr="000C3F2F">
        <w:rPr>
          <w:rFonts w:ascii="Arial" w:hAnsi="Arial" w:cs="Arial"/>
          <w:b/>
          <w:bCs/>
          <w:color w:val="000000" w:themeColor="text1"/>
          <w:kern w:val="0"/>
        </w:rPr>
        <w:t>Inventory Days</w:t>
      </w:r>
      <w:r w:rsidRPr="000C3F2F">
        <w:rPr>
          <w:rFonts w:ascii="Arial" w:hAnsi="Arial" w:cs="Arial"/>
          <w:color w:val="000000" w:themeColor="text1"/>
          <w:kern w:val="0"/>
        </w:rPr>
        <w:t> (Inventories / (Cost of Sales / 365)):</w:t>
      </w:r>
    </w:p>
    <w:p w14:paraId="3D2ABA92" w14:textId="53B8D5FB"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CB754C" w:rsidRPr="000C3F2F" w14:paraId="467DE728"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B445798"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7E132E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Inventories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56B2CE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Cost of Sales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BA650FD"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Inventory Days</w:t>
            </w:r>
          </w:p>
        </w:tc>
      </w:tr>
      <w:tr w:rsidR="00CB754C" w:rsidRPr="000C3F2F" w14:paraId="734FAE85"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719BCED"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171B04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14,080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18582DD"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134,397</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9FA530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38.2 days</w:t>
            </w:r>
          </w:p>
        </w:tc>
      </w:tr>
      <w:tr w:rsidR="00CB754C" w:rsidRPr="000C3F2F" w14:paraId="59317140"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2E71E0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776BF3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15,651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1936DC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150,550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FE8988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37.9 days</w:t>
            </w:r>
          </w:p>
        </w:tc>
      </w:tr>
      <w:tr w:rsidR="00CB754C" w:rsidRPr="000C3F2F" w14:paraId="11D4E72B"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8D2932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163C5B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14,951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BA3C336"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158,434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484B30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34.5 days</w:t>
            </w:r>
          </w:p>
        </w:tc>
      </w:tr>
    </w:tbl>
    <w:p w14:paraId="1519FF1D" w14:textId="77777777" w:rsidR="000C3F2F" w:rsidRDefault="00CB754C" w:rsidP="000C3F2F">
      <w:pPr>
        <w:autoSpaceDE w:val="0"/>
        <w:autoSpaceDN w:val="0"/>
        <w:adjustRightInd w:val="0"/>
        <w:spacing w:after="0" w:line="360" w:lineRule="auto"/>
        <w:jc w:val="both"/>
        <w:rPr>
          <w:rFonts w:ascii="Arial" w:hAnsi="Arial" w:cs="Arial"/>
          <w:i/>
          <w:iCs/>
          <w:color w:val="000000" w:themeColor="text1"/>
          <w:kern w:val="0"/>
        </w:rPr>
      </w:pPr>
      <w:r w:rsidRPr="000C3F2F">
        <w:rPr>
          <w:rFonts w:ascii="Arial" w:hAnsi="Arial" w:cs="Arial"/>
          <w:i/>
          <w:iCs/>
          <w:color w:val="000000" w:themeColor="text1"/>
          <w:kern w:val="0"/>
        </w:rPr>
        <w:t>Computed from Ford Annual Reports</w:t>
      </w:r>
    </w:p>
    <w:p w14:paraId="2A8A83AD" w14:textId="77777777" w:rsidR="000C3F2F" w:rsidRDefault="000C3F2F" w:rsidP="000C3F2F">
      <w:pPr>
        <w:autoSpaceDE w:val="0"/>
        <w:autoSpaceDN w:val="0"/>
        <w:adjustRightInd w:val="0"/>
        <w:spacing w:after="0" w:line="360" w:lineRule="auto"/>
        <w:jc w:val="both"/>
        <w:rPr>
          <w:rFonts w:ascii="Arial" w:hAnsi="Arial" w:cs="Arial"/>
          <w:i/>
          <w:iCs/>
          <w:color w:val="000000" w:themeColor="text1"/>
          <w:kern w:val="0"/>
        </w:rPr>
      </w:pPr>
    </w:p>
    <w:p w14:paraId="3BF42261"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1DD174DD" w14:textId="4ED77D70" w:rsidR="000C3F2F" w:rsidRDefault="006C69AE" w:rsidP="000C3F2F">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br/>
      </w:r>
      <w:r w:rsidR="00CB754C" w:rsidRPr="000C3F2F">
        <w:rPr>
          <w:rFonts w:ascii="Arial" w:hAnsi="Arial" w:cs="Arial"/>
          <w:color w:val="000000" w:themeColor="text1"/>
          <w:kern w:val="0"/>
        </w:rPr>
        <w:t>The 2024 inventory days of 34.5 days are the lowest of the five-year window, which is indicative of more efficient supply chain management and normalisation after the 2021 2022 semiconductor shortage.</w:t>
      </w:r>
    </w:p>
    <w:p w14:paraId="4E8DF3E5" w14:textId="077D1443"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p w14:paraId="09581E81" w14:textId="77777777" w:rsidR="0048313C"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Receivables Days</w:t>
      </w:r>
      <w:r w:rsidRPr="000C3F2F">
        <w:rPr>
          <w:rFonts w:ascii="Arial" w:hAnsi="Arial" w:cs="Arial"/>
          <w:color w:val="000000" w:themeColor="text1"/>
          <w:kern w:val="0"/>
        </w:rPr>
        <w:t> (Trade and Other Receivables / (Revenue / 365)):</w:t>
      </w:r>
    </w:p>
    <w:p w14:paraId="36D26DAF" w14:textId="1496F5E9"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CB754C" w:rsidRPr="000C3F2F" w14:paraId="4C323DE9"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1C6B61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F43FF7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Trade Receivables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EAD89F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Revenue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293D3D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Receivables Days</w:t>
            </w:r>
          </w:p>
        </w:tc>
      </w:tr>
      <w:tr w:rsidR="00CB754C" w:rsidRPr="000C3F2F" w14:paraId="6EB5D7AB"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E7E01F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31D3C6B"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15,729</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3A37B6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158,057</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1C1466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36.3 days</w:t>
            </w:r>
          </w:p>
        </w:tc>
      </w:tr>
      <w:tr w:rsidR="00CB754C" w:rsidRPr="000C3F2F" w14:paraId="65301268"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11FB28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811F6E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15,601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4391B4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176,191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DD7A70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32.3 days</w:t>
            </w:r>
          </w:p>
        </w:tc>
      </w:tr>
      <w:tr w:rsidR="00CB754C" w:rsidRPr="000C3F2F" w14:paraId="2DCAC0D3"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03F0F9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E45548B"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14,723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4C91FA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184,992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2D12D7D"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29.1 days</w:t>
            </w:r>
          </w:p>
        </w:tc>
      </w:tr>
    </w:tbl>
    <w:p w14:paraId="75D1D37A" w14:textId="77777777" w:rsidR="000C3F2F" w:rsidRDefault="00CB754C" w:rsidP="000C3F2F">
      <w:pPr>
        <w:autoSpaceDE w:val="0"/>
        <w:autoSpaceDN w:val="0"/>
        <w:adjustRightInd w:val="0"/>
        <w:spacing w:after="0" w:line="360" w:lineRule="auto"/>
        <w:jc w:val="both"/>
        <w:rPr>
          <w:rFonts w:ascii="Arial" w:hAnsi="Arial" w:cs="Arial"/>
          <w:i/>
          <w:iCs/>
          <w:color w:val="000000" w:themeColor="text1"/>
          <w:kern w:val="0"/>
        </w:rPr>
      </w:pPr>
      <w:r w:rsidRPr="000C3F2F">
        <w:rPr>
          <w:rFonts w:ascii="Arial" w:hAnsi="Arial" w:cs="Arial"/>
          <w:color w:val="000000" w:themeColor="text1"/>
          <w:kern w:val="0"/>
        </w:rPr>
        <w:t> </w:t>
      </w:r>
      <w:r w:rsidRPr="000C3F2F">
        <w:rPr>
          <w:rFonts w:ascii="Arial" w:hAnsi="Arial" w:cs="Arial"/>
          <w:i/>
          <w:iCs/>
          <w:color w:val="000000" w:themeColor="text1"/>
          <w:kern w:val="0"/>
        </w:rPr>
        <w:t>Computed from Ford Annual Reports</w:t>
      </w:r>
    </w:p>
    <w:p w14:paraId="1FD7C446"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56543554" w14:textId="0DAAE2F0"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p w14:paraId="38A7ED53"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xml:space="preserve">The decrease of the </w:t>
      </w:r>
      <w:proofErr w:type="gramStart"/>
      <w:r w:rsidRPr="000C3F2F">
        <w:rPr>
          <w:rFonts w:ascii="Arial" w:hAnsi="Arial" w:cs="Arial"/>
          <w:color w:val="000000" w:themeColor="text1"/>
          <w:kern w:val="0"/>
        </w:rPr>
        <w:t>receivables</w:t>
      </w:r>
      <w:proofErr w:type="gramEnd"/>
      <w:r w:rsidRPr="000C3F2F">
        <w:rPr>
          <w:rFonts w:ascii="Arial" w:hAnsi="Arial" w:cs="Arial"/>
          <w:color w:val="000000" w:themeColor="text1"/>
          <w:kern w:val="0"/>
        </w:rPr>
        <w:t xml:space="preserve"> days by 36.3 to 29.1 days indicates enhancement of the efficiency of collections especially to the cash flow.</w:t>
      </w:r>
    </w:p>
    <w:p w14:paraId="778EAFE4" w14:textId="1D48610C"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p w14:paraId="631B0B25" w14:textId="77777777" w:rsidR="000C3F2F" w:rsidRDefault="00CB754C" w:rsidP="000C3F2F">
      <w:pPr>
        <w:pStyle w:val="Heading2"/>
        <w:spacing w:line="360" w:lineRule="auto"/>
        <w:jc w:val="both"/>
        <w:rPr>
          <w:rFonts w:ascii="Arial" w:hAnsi="Arial" w:cs="Arial"/>
          <w:color w:val="000000" w:themeColor="text1"/>
          <w:sz w:val="24"/>
          <w:szCs w:val="24"/>
        </w:rPr>
      </w:pPr>
      <w:bookmarkStart w:id="7" w:name="_Toc227925563"/>
      <w:r w:rsidRPr="000C3F2F">
        <w:rPr>
          <w:rFonts w:ascii="Arial" w:hAnsi="Arial" w:cs="Arial"/>
          <w:color w:val="000000" w:themeColor="text1"/>
          <w:sz w:val="24"/>
          <w:szCs w:val="24"/>
        </w:rPr>
        <w:t>1.6 Gearing and Leverage Ratios</w:t>
      </w:r>
      <w:bookmarkEnd w:id="7"/>
    </w:p>
    <w:p w14:paraId="37FEB44A" w14:textId="1F87755E" w:rsidR="00CB754C" w:rsidRPr="000C3F2F" w:rsidRDefault="00CB754C" w:rsidP="000C3F2F">
      <w:pPr>
        <w:pStyle w:val="Heading2"/>
        <w:spacing w:line="360" w:lineRule="auto"/>
        <w:jc w:val="both"/>
        <w:rPr>
          <w:rFonts w:ascii="Arial" w:hAnsi="Arial" w:cs="Arial"/>
          <w:color w:val="000000" w:themeColor="text1"/>
          <w:sz w:val="24"/>
          <w:szCs w:val="24"/>
        </w:rPr>
      </w:pPr>
    </w:p>
    <w:p w14:paraId="41575B7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Debt-to-Equity Ratio</w:t>
      </w:r>
      <w:r w:rsidRPr="000C3F2F">
        <w:rPr>
          <w:rFonts w:ascii="Arial" w:hAnsi="Arial" w:cs="Arial"/>
          <w:color w:val="000000" w:themeColor="text1"/>
          <w:kern w:val="0"/>
        </w:rPr>
        <w:t xml:space="preserve"> (Total Long-Term Debt excl. Ford Credit / Total Equity </w:t>
      </w:r>
      <w:proofErr w:type="spellStart"/>
      <w:r w:rsidRPr="000C3F2F">
        <w:rPr>
          <w:rFonts w:ascii="Arial" w:hAnsi="Arial" w:cs="Arial"/>
          <w:color w:val="000000" w:themeColor="text1"/>
          <w:kern w:val="0"/>
        </w:rPr>
        <w:t>attr</w:t>
      </w:r>
      <w:proofErr w:type="spellEnd"/>
      <w:r w:rsidRPr="000C3F2F">
        <w:rPr>
          <w:rFonts w:ascii="Arial" w:hAnsi="Arial" w:cs="Arial"/>
          <w:color w:val="000000" w:themeColor="text1"/>
          <w:kern w:val="0"/>
        </w:rPr>
        <w:t>. Ford):</w:t>
      </w:r>
    </w:p>
    <w:p w14:paraId="69FFCEC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w:t>
      </w:r>
      <w:r w:rsidRPr="000C3F2F">
        <w:rPr>
          <w:rFonts w:ascii="Arial" w:hAnsi="Arial" w:cs="Arial"/>
          <w:color w:val="000000" w:themeColor="text1"/>
          <w:kern w:val="0"/>
        </w:rPr>
        <w:br/>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CB754C" w:rsidRPr="000C3F2F" w14:paraId="76C5BD01"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5ABE7E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EED6E2C"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LT Debt excl. Ford Credit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5A8909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 xml:space="preserve">Equity </w:t>
            </w:r>
            <w:proofErr w:type="spellStart"/>
            <w:r w:rsidRPr="000C3F2F">
              <w:rPr>
                <w:rFonts w:ascii="Arial" w:hAnsi="Arial" w:cs="Arial"/>
                <w:b/>
                <w:bCs/>
                <w:color w:val="000000" w:themeColor="text1"/>
                <w:kern w:val="0"/>
              </w:rPr>
              <w:t>attr</w:t>
            </w:r>
            <w:proofErr w:type="spellEnd"/>
            <w:r w:rsidRPr="000C3F2F">
              <w:rPr>
                <w:rFonts w:ascii="Arial" w:hAnsi="Arial" w:cs="Arial"/>
                <w:b/>
                <w:bCs/>
                <w:color w:val="000000" w:themeColor="text1"/>
                <w:kern w:val="0"/>
              </w:rPr>
              <w:t>. Ford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EBF950B"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Debt/Equity</w:t>
            </w:r>
          </w:p>
        </w:tc>
      </w:tr>
      <w:tr w:rsidR="00CB754C" w:rsidRPr="000C3F2F" w14:paraId="72154804"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AF0D2C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3D359C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17,200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E285C0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48,519</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D5F0A26"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0.35</w:t>
            </w:r>
          </w:p>
        </w:tc>
      </w:tr>
      <w:tr w:rsidR="00CB754C" w:rsidRPr="000C3F2F" w14:paraId="0A2B897A"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578B72B"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317ADE1"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19,200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E7698F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43,242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6D6D16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0.44</w:t>
            </w:r>
          </w:p>
        </w:tc>
      </w:tr>
      <w:tr w:rsidR="00CB754C" w:rsidRPr="000C3F2F" w14:paraId="39D7F9DB"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345BDE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59208D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19,467</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E69675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42,773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CAD27A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0.46</w:t>
            </w:r>
          </w:p>
        </w:tc>
      </w:tr>
      <w:tr w:rsidR="00CB754C" w:rsidRPr="000C3F2F" w14:paraId="48EE71BE"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D99108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lastRenderedPageBreak/>
              <w:t>2024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41B562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18,898</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7C49A2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44,835</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C5A229C"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0.42</w:t>
            </w:r>
          </w:p>
        </w:tc>
      </w:tr>
    </w:tbl>
    <w:p w14:paraId="7C99C079" w14:textId="77777777" w:rsidR="000C3F2F" w:rsidRDefault="00CB754C" w:rsidP="000C3F2F">
      <w:pPr>
        <w:autoSpaceDE w:val="0"/>
        <w:autoSpaceDN w:val="0"/>
        <w:adjustRightInd w:val="0"/>
        <w:spacing w:after="0" w:line="360" w:lineRule="auto"/>
        <w:jc w:val="both"/>
        <w:rPr>
          <w:rFonts w:ascii="Arial" w:hAnsi="Arial" w:cs="Arial"/>
          <w:i/>
          <w:iCs/>
          <w:color w:val="000000" w:themeColor="text1"/>
          <w:kern w:val="0"/>
        </w:rPr>
      </w:pPr>
      <w:r w:rsidRPr="000C3F2F">
        <w:rPr>
          <w:rFonts w:ascii="Arial" w:hAnsi="Arial" w:cs="Arial"/>
          <w:color w:val="000000" w:themeColor="text1"/>
          <w:kern w:val="0"/>
        </w:rPr>
        <w:t>Computed from Ford</w:t>
      </w:r>
      <w:r w:rsidRPr="000C3F2F">
        <w:rPr>
          <w:rFonts w:ascii="Arial" w:hAnsi="Arial" w:cs="Arial"/>
          <w:i/>
          <w:iCs/>
          <w:color w:val="000000" w:themeColor="text1"/>
          <w:kern w:val="0"/>
        </w:rPr>
        <w:t xml:space="preserve"> Annual Reports</w:t>
      </w:r>
    </w:p>
    <w:p w14:paraId="33916D86"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7E8E7344" w14:textId="3179DF3D"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p w14:paraId="675C4254"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xml:space="preserve">The Ford Company long-term debt to equity ratio is </w:t>
      </w:r>
      <w:proofErr w:type="gramStart"/>
      <w:r w:rsidRPr="000C3F2F">
        <w:rPr>
          <w:rFonts w:ascii="Arial" w:hAnsi="Arial" w:cs="Arial"/>
          <w:color w:val="000000" w:themeColor="text1"/>
          <w:kern w:val="0"/>
        </w:rPr>
        <w:t>pretty moderate</w:t>
      </w:r>
      <w:proofErr w:type="gramEnd"/>
      <w:r w:rsidRPr="000C3F2F">
        <w:rPr>
          <w:rFonts w:ascii="Arial" w:hAnsi="Arial" w:cs="Arial"/>
          <w:color w:val="000000" w:themeColor="text1"/>
          <w:kern w:val="0"/>
        </w:rPr>
        <w:t>. It is at 0.42 times in 2024. This is the ratio for the Ford Company. The Ford Company interest expense on its debt not including Ford Credit went down.</w:t>
      </w:r>
    </w:p>
    <w:p w14:paraId="46923F9C"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It was one point three billion dollars, in 2023. Then it became one point one billion dollars in 2024. This shows that the Ford Company is managing its debt in a way. The Ford Company is doing this for its debt excluding Ford Credit.</w:t>
      </w:r>
    </w:p>
    <w:p w14:paraId="39E8F176" w14:textId="3DF3A1C8"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br/>
      </w:r>
    </w:p>
    <w:p w14:paraId="38841C27" w14:textId="51118321"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Interest Coverage Ratio (</w:t>
      </w:r>
      <w:r w:rsidRPr="000C3F2F">
        <w:rPr>
          <w:rFonts w:ascii="Arial" w:hAnsi="Arial" w:cs="Arial"/>
          <w:color w:val="000000" w:themeColor="text1"/>
          <w:kern w:val="0"/>
        </w:rPr>
        <w:t>Adjusted EBIT / Interest Expense excl. Ford Credit):</w:t>
      </w:r>
      <w:r w:rsidR="00BF61E9" w:rsidRPr="000C3F2F">
        <w:rPr>
          <w:rFonts w:ascii="Arial" w:hAnsi="Arial" w:cs="Arial"/>
          <w:color w:val="000000" w:themeColor="text1"/>
          <w:kern w:val="0"/>
        </w:rPr>
        <w:br/>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CB754C" w:rsidRPr="000C3F2F" w14:paraId="37F581E9"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F38C74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042CB9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Adjusted EBIT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D89019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Interest Expense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C0E343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Coverage Ratio</w:t>
            </w:r>
          </w:p>
        </w:tc>
      </w:tr>
      <w:tr w:rsidR="00CB754C" w:rsidRPr="000C3F2F" w14:paraId="29D52CA3"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085AB5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30C52A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10,415</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ACB7CC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1,259</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B7F9DC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8.3x</w:t>
            </w:r>
          </w:p>
        </w:tc>
      </w:tr>
      <w:tr w:rsidR="00CB754C" w:rsidRPr="000C3F2F" w14:paraId="55026020"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21E20BC"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8DABCF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10,416</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A9116F1"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1,302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B29FE0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8.0x</w:t>
            </w:r>
          </w:p>
        </w:tc>
      </w:tr>
      <w:tr w:rsidR="00CB754C" w:rsidRPr="000C3F2F" w14:paraId="019390C7"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72E9DD1"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2692DD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10,208</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811A0C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1,115</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751A0D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9.2x</w:t>
            </w:r>
          </w:p>
        </w:tc>
      </w:tr>
    </w:tbl>
    <w:p w14:paraId="3BD709C5"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Computed from Ford Annual Reports</w:t>
      </w:r>
    </w:p>
    <w:p w14:paraId="6D237B14"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1525D8C5" w14:textId="439E962B"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p w14:paraId="6619D34D"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An interest coverage ratio above 8x is strong, indicating Ford comfortably services its corporate debt. This is in line with investment-grade credit ratings (BBB- / Ba1 / BBB Low) maintained by the major rating agencies.</w:t>
      </w:r>
    </w:p>
    <w:p w14:paraId="67F9B310" w14:textId="07CC2B1C"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p w14:paraId="71576CAD" w14:textId="77777777" w:rsidR="00CB754C" w:rsidRPr="000C3F2F" w:rsidRDefault="00CB754C" w:rsidP="000C3F2F">
      <w:pPr>
        <w:pStyle w:val="Heading2"/>
        <w:spacing w:line="360" w:lineRule="auto"/>
        <w:jc w:val="both"/>
        <w:rPr>
          <w:rFonts w:ascii="Arial" w:hAnsi="Arial" w:cs="Arial"/>
          <w:color w:val="000000" w:themeColor="text1"/>
          <w:sz w:val="24"/>
          <w:szCs w:val="24"/>
        </w:rPr>
      </w:pPr>
      <w:bookmarkStart w:id="8" w:name="_Toc227925564"/>
      <w:r w:rsidRPr="000C3F2F">
        <w:rPr>
          <w:rFonts w:ascii="Arial" w:hAnsi="Arial" w:cs="Arial"/>
          <w:color w:val="000000" w:themeColor="text1"/>
          <w:sz w:val="24"/>
          <w:szCs w:val="24"/>
        </w:rPr>
        <w:t>1.7 Cash Flow Analysis</w:t>
      </w:r>
      <w:bookmarkEnd w:id="8"/>
    </w:p>
    <w:p w14:paraId="4F5CC33D" w14:textId="2C984E4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p w14:paraId="62C0E10F" w14:textId="77777777" w:rsidR="000C3F2F" w:rsidRDefault="00CB754C"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Operating Cash Flow:</w:t>
      </w:r>
    </w:p>
    <w:p w14:paraId="0B1372EF" w14:textId="1C86F90F"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CB754C" w:rsidRPr="000C3F2F" w14:paraId="2FF813D7"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42CF08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B1524C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Net Cash from Operations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530055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Capital Spending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E4AA065"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Free Cash Flow ($m)</w:t>
            </w:r>
          </w:p>
        </w:tc>
      </w:tr>
      <w:tr w:rsidR="00CB754C" w:rsidRPr="000C3F2F" w14:paraId="191BEDC5"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B1DEE1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lastRenderedPageBreak/>
              <w:t>2020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643605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24,269</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1D3B2BD"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(5,742)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17CBAED"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18,527</w:t>
            </w:r>
          </w:p>
        </w:tc>
      </w:tr>
      <w:tr w:rsidR="00CB754C" w:rsidRPr="000C3F2F" w14:paraId="64DA082F"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F7D569C"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67099C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15,787</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8C851D8"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(6,227)</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7F88A3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9,560</w:t>
            </w:r>
          </w:p>
        </w:tc>
      </w:tr>
      <w:tr w:rsidR="00CB754C" w:rsidRPr="000C3F2F" w14:paraId="441EA50C"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B78EE7C"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961C4B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6,853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6C5819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(6,866)</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20A670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(13)</w:t>
            </w:r>
          </w:p>
        </w:tc>
      </w:tr>
      <w:tr w:rsidR="00CB754C" w:rsidRPr="000C3F2F" w14:paraId="29F927EB"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6AE97B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2FF704B"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14,918</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C83D02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(8,236)</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7D5390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6,682</w:t>
            </w:r>
          </w:p>
        </w:tc>
      </w:tr>
      <w:tr w:rsidR="00CB754C" w:rsidRPr="000C3F2F" w14:paraId="369807E8"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67D379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CC97D4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15,423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8D90C0C"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(8,684)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9B02C16"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6,739</w:t>
            </w:r>
          </w:p>
        </w:tc>
      </w:tr>
    </w:tbl>
    <w:p w14:paraId="7ABD5C3D"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Computed from Ford Annual Reports</w:t>
      </w:r>
    </w:p>
    <w:p w14:paraId="0535A076"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017426CD" w14:textId="4D889921"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p w14:paraId="0C0C2CE3"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xml:space="preserve">Note: 2020 operating cash flow was high because of Ford Credit working capital movements. In 2022, 2023, and 2024, company-adjusted free cash flow (excluding Ford Credit) was 9.1, 6.8, and 6.7 billion respectively. Capital expenditure is increasing rapidly - 5.7 billion in 2020 to 8.7 billion in 2024 - as Ford makes a major investment in EV production capacity and the </w:t>
      </w:r>
      <w:proofErr w:type="spellStart"/>
      <w:r w:rsidRPr="000C3F2F">
        <w:rPr>
          <w:rFonts w:ascii="Arial" w:hAnsi="Arial" w:cs="Arial"/>
          <w:color w:val="000000" w:themeColor="text1"/>
          <w:kern w:val="0"/>
        </w:rPr>
        <w:t>BlueOval</w:t>
      </w:r>
      <w:proofErr w:type="spellEnd"/>
      <w:r w:rsidRPr="000C3F2F">
        <w:rPr>
          <w:rFonts w:ascii="Arial" w:hAnsi="Arial" w:cs="Arial"/>
          <w:color w:val="000000" w:themeColor="text1"/>
          <w:kern w:val="0"/>
        </w:rPr>
        <w:t xml:space="preserve"> SK battery joint venture.</w:t>
      </w:r>
    </w:p>
    <w:p w14:paraId="60013FF1" w14:textId="4A22A80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p w14:paraId="2AFEE69B" w14:textId="54724319" w:rsidR="00CB754C" w:rsidRPr="000C3F2F" w:rsidRDefault="00CB754C" w:rsidP="000C3F2F">
      <w:pPr>
        <w:pStyle w:val="Heading2"/>
        <w:spacing w:line="360" w:lineRule="auto"/>
        <w:jc w:val="both"/>
        <w:rPr>
          <w:rFonts w:ascii="Arial" w:hAnsi="Arial" w:cs="Arial"/>
          <w:color w:val="000000" w:themeColor="text1"/>
          <w:sz w:val="24"/>
          <w:szCs w:val="24"/>
        </w:rPr>
      </w:pPr>
      <w:bookmarkStart w:id="9" w:name="_Toc227925565"/>
      <w:r w:rsidRPr="000C3F2F">
        <w:rPr>
          <w:rFonts w:ascii="Arial" w:hAnsi="Arial" w:cs="Arial"/>
          <w:color w:val="000000" w:themeColor="text1"/>
          <w:sz w:val="24"/>
          <w:szCs w:val="24"/>
        </w:rPr>
        <w:t>1.8 Investment Ratios</w:t>
      </w:r>
      <w:bookmarkEnd w:id="9"/>
    </w:p>
    <w:p w14:paraId="0FE1966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Earnings Per Share (Diluted, GAAP):</w:t>
      </w:r>
    </w:p>
    <w:p w14:paraId="5C5311C7"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4428"/>
        <w:gridCol w:w="4320"/>
      </w:tblGrid>
      <w:tr w:rsidR="00CB754C" w:rsidRPr="000C3F2F" w14:paraId="36E2E4DD" w14:textId="77777777">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9DDF9D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3C7E68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Diluted EPS (GAAP)</w:t>
            </w:r>
          </w:p>
        </w:tc>
      </w:tr>
      <w:tr w:rsidR="00CB754C" w:rsidRPr="000C3F2F" w14:paraId="6C2B77CC" w14:textId="77777777">
        <w:tblPrEx>
          <w:tblBorders>
            <w:top w:val="none" w:sz="0" w:space="0" w:color="auto"/>
          </w:tblBorders>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972D1B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2020</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4E54F9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($0.32)</w:t>
            </w:r>
          </w:p>
        </w:tc>
      </w:tr>
      <w:tr w:rsidR="00CB754C" w:rsidRPr="000C3F2F" w14:paraId="6E42E87B" w14:textId="77777777">
        <w:tblPrEx>
          <w:tblBorders>
            <w:top w:val="none" w:sz="0" w:space="0" w:color="auto"/>
          </w:tblBorders>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A9FB76E"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2021</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C4CED9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$4.45</w:t>
            </w:r>
          </w:p>
        </w:tc>
      </w:tr>
      <w:tr w:rsidR="00CB754C" w:rsidRPr="000C3F2F" w14:paraId="6C732EA0" w14:textId="77777777">
        <w:tblPrEx>
          <w:tblBorders>
            <w:top w:val="none" w:sz="0" w:space="0" w:color="auto"/>
          </w:tblBorders>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7DDACD9"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E3CC58B"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($0.49)</w:t>
            </w:r>
          </w:p>
        </w:tc>
      </w:tr>
      <w:tr w:rsidR="00CB754C" w:rsidRPr="000C3F2F" w14:paraId="5A53AAEF" w14:textId="77777777">
        <w:tblPrEx>
          <w:tblBorders>
            <w:top w:val="none" w:sz="0" w:space="0" w:color="auto"/>
          </w:tblBorders>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9D094C2"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1E787DA"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$1.08</w:t>
            </w:r>
          </w:p>
        </w:tc>
      </w:tr>
      <w:tr w:rsidR="00CB754C" w:rsidRPr="000C3F2F" w14:paraId="25C58C92" w14:textId="77777777">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6D16C83"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2024</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B3CC7B0"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$1.46</w:t>
            </w:r>
          </w:p>
        </w:tc>
      </w:tr>
    </w:tbl>
    <w:p w14:paraId="26AE8A84"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w:t>
      </w:r>
    </w:p>
    <w:p w14:paraId="1104BCC1" w14:textId="0DC969C9" w:rsidR="00CB754C"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Sources: Ford Annual Reports</w:t>
      </w:r>
    </w:p>
    <w:p w14:paraId="75597B72"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31BC1239" w14:textId="77777777" w:rsidR="000C3F2F" w:rsidRPr="000C3F2F" w:rsidRDefault="000C3F2F" w:rsidP="000C3F2F">
      <w:pPr>
        <w:autoSpaceDE w:val="0"/>
        <w:autoSpaceDN w:val="0"/>
        <w:adjustRightInd w:val="0"/>
        <w:spacing w:after="0" w:line="360" w:lineRule="auto"/>
        <w:jc w:val="both"/>
        <w:rPr>
          <w:rFonts w:ascii="Arial" w:hAnsi="Arial" w:cs="Arial"/>
          <w:color w:val="000000" w:themeColor="text1"/>
          <w:kern w:val="0"/>
        </w:rPr>
      </w:pPr>
    </w:p>
    <w:p w14:paraId="71C7A423" w14:textId="77777777" w:rsidR="000C3F2F" w:rsidRDefault="00CB754C"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The adjusted diluted EPS — which better reflects underlying performance — was $1.59 (2021), $1.88 (2022), $2.01 (2023), and $1.84 (2024). The minor decline in 2024 is due to EV losses and special charges associated with the cancellation of a planned all-electric three-row SUV programme.</w:t>
      </w:r>
    </w:p>
    <w:p w14:paraId="7DC9E092" w14:textId="12F0C210"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p w14:paraId="091394FD" w14:textId="77777777" w:rsid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lastRenderedPageBreak/>
        <w:t>Dividends Per Share:</w:t>
      </w:r>
      <w:r w:rsidRPr="000C3F2F">
        <w:rPr>
          <w:rFonts w:ascii="Arial" w:hAnsi="Arial" w:cs="Arial"/>
          <w:color w:val="000000" w:themeColor="text1"/>
          <w:kern w:val="0"/>
        </w:rPr>
        <w:t> Dividends were $0.10 per share in 2021, $0.50 in 2022, $1.25 in 2023, and $0.78 in 2024. The supplemental dividends declared in 2022 and 2023 signal management confidence in cash generation</w:t>
      </w:r>
      <w:r w:rsidR="00600C7D" w:rsidRPr="000C3F2F">
        <w:rPr>
          <w:rFonts w:ascii="Arial" w:hAnsi="Arial" w:cs="Arial"/>
          <w:color w:val="000000" w:themeColor="text1"/>
        </w:rPr>
        <w:t xml:space="preserve"> </w:t>
      </w:r>
      <w:r w:rsidR="00600C7D" w:rsidRPr="000C3F2F">
        <w:rPr>
          <w:rFonts w:ascii="Arial" w:hAnsi="Arial" w:cs="Arial"/>
          <w:color w:val="000000" w:themeColor="text1"/>
          <w:kern w:val="0"/>
        </w:rPr>
        <w:t>(Kaplan and Pérez-Cavazos, 2021)</w:t>
      </w:r>
      <w:r w:rsidRPr="000C3F2F">
        <w:rPr>
          <w:rFonts w:ascii="Arial" w:hAnsi="Arial" w:cs="Arial"/>
          <w:color w:val="000000" w:themeColor="text1"/>
          <w:kern w:val="0"/>
        </w:rPr>
        <w:t>, though the lower 2024 payment likely reflects caution regarding tariff headwinds and EV investment needs</w:t>
      </w:r>
      <w:r w:rsidR="00600C7D" w:rsidRPr="000C3F2F">
        <w:rPr>
          <w:rFonts w:ascii="Arial" w:hAnsi="Arial" w:cs="Arial"/>
          <w:color w:val="000000" w:themeColor="text1"/>
        </w:rPr>
        <w:t xml:space="preserve"> </w:t>
      </w:r>
      <w:r w:rsidR="00600C7D" w:rsidRPr="000C3F2F">
        <w:rPr>
          <w:rFonts w:ascii="Arial" w:hAnsi="Arial" w:cs="Arial"/>
          <w:color w:val="000000" w:themeColor="text1"/>
          <w:kern w:val="0"/>
        </w:rPr>
        <w:t>(Lindén et al., 2022)</w:t>
      </w:r>
      <w:r w:rsidRPr="000C3F2F">
        <w:rPr>
          <w:rFonts w:ascii="Arial" w:hAnsi="Arial" w:cs="Arial"/>
          <w:color w:val="000000" w:themeColor="text1"/>
          <w:kern w:val="0"/>
        </w:rPr>
        <w:t>.</w:t>
      </w:r>
    </w:p>
    <w:p w14:paraId="1C249BAD" w14:textId="4F477491"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437501FB" w14:textId="58811AFD" w:rsidR="00AF6302" w:rsidRPr="000C3F2F" w:rsidRDefault="00AF6302" w:rsidP="000C3F2F">
      <w:pPr>
        <w:pStyle w:val="Heading2"/>
        <w:spacing w:line="360" w:lineRule="auto"/>
        <w:jc w:val="both"/>
        <w:rPr>
          <w:rFonts w:ascii="Arial" w:hAnsi="Arial" w:cs="Arial"/>
          <w:color w:val="000000" w:themeColor="text1"/>
          <w:sz w:val="24"/>
          <w:szCs w:val="24"/>
        </w:rPr>
      </w:pPr>
      <w:bookmarkStart w:id="10" w:name="_Toc227925566"/>
      <w:r w:rsidRPr="000C3F2F">
        <w:rPr>
          <w:rFonts w:ascii="Arial" w:hAnsi="Arial" w:cs="Arial"/>
          <w:color w:val="000000" w:themeColor="text1"/>
          <w:sz w:val="24"/>
          <w:szCs w:val="24"/>
        </w:rPr>
        <w:t>1.9 Summary: Strengths, Threats, and Trends</w:t>
      </w:r>
      <w:bookmarkEnd w:id="10"/>
    </w:p>
    <w:p w14:paraId="7AD9D49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Key Strengths:</w:t>
      </w:r>
    </w:p>
    <w:p w14:paraId="11BEBAD2" w14:textId="3AE94150"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 Consistent Adjusted EBIT of ~$10 billion per annum since 2021</w:t>
      </w:r>
    </w:p>
    <w:p w14:paraId="5D11C2B5" w14:textId="6BAA11D5"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w:t>
      </w:r>
      <w:proofErr w:type="gramStart"/>
      <w:r w:rsidRPr="000C3F2F">
        <w:rPr>
          <w:rFonts w:ascii="Arial" w:hAnsi="Arial" w:cs="Arial"/>
          <w:color w:val="000000" w:themeColor="text1"/>
          <w:kern w:val="0"/>
        </w:rPr>
        <w:t>2 )Ford</w:t>
      </w:r>
      <w:proofErr w:type="gramEnd"/>
      <w:r w:rsidRPr="000C3F2F">
        <w:rPr>
          <w:rFonts w:ascii="Arial" w:hAnsi="Arial" w:cs="Arial"/>
          <w:color w:val="000000" w:themeColor="text1"/>
          <w:kern w:val="0"/>
        </w:rPr>
        <w:t xml:space="preserve"> Pro segment generating a record EBIT of $9.0 billion in 2024 on revenues of $66.9 billion</w:t>
      </w:r>
    </w:p>
    <w:p w14:paraId="0D679158" w14:textId="5CA5C008"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 Strong interest coverage ratio (9.2x in 2024) and investment-grade credit ratings</w:t>
      </w:r>
    </w:p>
    <w:p w14:paraId="593F8C8C" w14:textId="0B06B0FA"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 Improving inventory and receivables efficiency trends</w:t>
      </w:r>
    </w:p>
    <w:p w14:paraId="75FFBDCF" w14:textId="5F6142B2"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 Robust Company liquidity floor above $20 billion</w:t>
      </w:r>
    </w:p>
    <w:p w14:paraId="6F219E11"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Key Threats:</w:t>
      </w:r>
    </w:p>
    <w:p w14:paraId="77B9D35B" w14:textId="193D3869"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 Ford Model e segment incurred an EBIT loss of $5.1 billion in 2024, with losses expected to reach $5.0–$5.5 billion in 2025</w:t>
      </w:r>
    </w:p>
    <w:p w14:paraId="2EEE3A87" w14:textId="653A0BFE"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 Warranty cost escalation: accrual up 53% from $9.2 billion (2022) to $14.0 billion (2024)</w:t>
      </w:r>
    </w:p>
    <w:p w14:paraId="04481940" w14:textId="357166EB"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 Potential 25% tariffs on imports from Canada and Mexico noted as a significant earnings risk for 2025</w:t>
      </w:r>
    </w:p>
    <w:p w14:paraId="5CFD554F" w14:textId="3DD21976"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 Adjusted EBIT margin declining from 7.3% (2021) to 5.5% (2024)</w:t>
      </w:r>
    </w:p>
    <w:p w14:paraId="7DBEA637" w14:textId="2C4D9E3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 Pension obligations: global underfunded status of $0.5 billion (2024), with unfunded plans totalling $3.9 billion</w:t>
      </w:r>
    </w:p>
    <w:p w14:paraId="075EA670" w14:textId="77777777" w:rsidR="000C3F2F" w:rsidRDefault="00AF6302" w:rsidP="000C3F2F">
      <w:pPr>
        <w:pStyle w:val="Heading1"/>
        <w:spacing w:line="360" w:lineRule="auto"/>
        <w:jc w:val="both"/>
        <w:rPr>
          <w:rFonts w:ascii="Arial" w:hAnsi="Arial" w:cs="Arial"/>
          <w:color w:val="000000" w:themeColor="text1"/>
          <w:sz w:val="24"/>
          <w:szCs w:val="24"/>
        </w:rPr>
      </w:pPr>
      <w:bookmarkStart w:id="11" w:name="_Toc227925567"/>
      <w:r w:rsidRPr="000C3F2F">
        <w:rPr>
          <w:rFonts w:ascii="MS Gothic" w:eastAsia="MS Gothic" w:hAnsi="MS Gothic" w:cs="MS Gothic" w:hint="eastAsia"/>
          <w:color w:val="000000" w:themeColor="text1"/>
          <w:sz w:val="24"/>
          <w:szCs w:val="24"/>
        </w:rPr>
        <w:t> </w:t>
      </w:r>
      <w:r w:rsidRPr="000C3F2F">
        <w:rPr>
          <w:rFonts w:ascii="Arial" w:hAnsi="Arial" w:cs="Arial"/>
          <w:color w:val="000000" w:themeColor="text1"/>
          <w:sz w:val="24"/>
          <w:szCs w:val="24"/>
        </w:rPr>
        <w:t>2. Working Capital Management Analysis</w:t>
      </w:r>
      <w:bookmarkEnd w:id="11"/>
    </w:p>
    <w:p w14:paraId="6DC7DE0C" w14:textId="527E2888" w:rsidR="00AF6302" w:rsidRPr="000C3F2F" w:rsidRDefault="00AF6302" w:rsidP="000C3F2F">
      <w:pPr>
        <w:pStyle w:val="Heading1"/>
        <w:spacing w:line="360" w:lineRule="auto"/>
        <w:jc w:val="both"/>
        <w:rPr>
          <w:rFonts w:ascii="Arial" w:hAnsi="Arial" w:cs="Arial"/>
          <w:color w:val="000000" w:themeColor="text1"/>
          <w:sz w:val="24"/>
          <w:szCs w:val="24"/>
        </w:rPr>
      </w:pPr>
      <w:bookmarkStart w:id="12" w:name="_Toc227925568"/>
      <w:r w:rsidRPr="000C3F2F">
        <w:rPr>
          <w:rFonts w:ascii="Arial" w:hAnsi="Arial" w:cs="Arial"/>
          <w:color w:val="000000" w:themeColor="text1"/>
          <w:sz w:val="24"/>
          <w:szCs w:val="24"/>
        </w:rPr>
        <w:t>2.1 Cash Operating Cycle</w:t>
      </w:r>
      <w:bookmarkEnd w:id="12"/>
    </w:p>
    <w:p w14:paraId="279E5B4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The cash operating cycle (COC) — also referred to as the cash conversion cycle — measures the time between cash outflows for raw materials and cash inflows from vehicle sales. It is calculated as:</w:t>
      </w:r>
    </w:p>
    <w:p w14:paraId="011FD835" w14:textId="7C976784"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COC = Inventory Days + Receivables Days − Payables Days</w:t>
      </w:r>
    </w:p>
    <w:p w14:paraId="3DB62BF1"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Payables Days (Trade Payables / (Cost of Sales / 365)):</w:t>
      </w:r>
    </w:p>
    <w:p w14:paraId="3B4B948F" w14:textId="77777777" w:rsidR="00CB754C" w:rsidRPr="000C3F2F" w:rsidRDefault="00CB754C" w:rsidP="000C3F2F">
      <w:pPr>
        <w:autoSpaceDE w:val="0"/>
        <w:autoSpaceDN w:val="0"/>
        <w:adjustRightInd w:val="0"/>
        <w:spacing w:after="0" w:line="360" w:lineRule="auto"/>
        <w:jc w:val="both"/>
        <w:rPr>
          <w:rFonts w:ascii="Arial" w:hAnsi="Arial" w:cs="Arial"/>
          <w:color w:val="000000" w:themeColor="text1"/>
          <w:kern w:val="0"/>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AF6302" w:rsidRPr="000C3F2F" w14:paraId="555DE9C9"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CF12F5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BB334F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Payables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503BF5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Cost of Sales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BCF939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Payables Days</w:t>
            </w:r>
          </w:p>
        </w:tc>
      </w:tr>
      <w:tr w:rsidR="00AF6302" w:rsidRPr="000C3F2F" w14:paraId="7B24D8B0"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EDEAD5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FADD7D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25,605</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B3D89FA"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134,397</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2E30AD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69.5 days</w:t>
            </w:r>
          </w:p>
        </w:tc>
      </w:tr>
      <w:tr w:rsidR="00AF6302" w:rsidRPr="000C3F2F" w14:paraId="4A06AFB6"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F99C34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8E692C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25,992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099B76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150,550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41DE5D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63.0 days</w:t>
            </w:r>
          </w:p>
        </w:tc>
      </w:tr>
      <w:tr w:rsidR="00AF6302" w:rsidRPr="000C3F2F" w14:paraId="74CB17E2"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D8FADB5"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C07FBBB"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24,128</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950FBE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158,434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2DC343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55.7 days</w:t>
            </w:r>
          </w:p>
        </w:tc>
      </w:tr>
    </w:tbl>
    <w:p w14:paraId="2E60425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Computed from Ford Annual Reports</w:t>
      </w:r>
    </w:p>
    <w:p w14:paraId="04E1C78B" w14:textId="77777777" w:rsidR="006C69AE" w:rsidRPr="000C3F2F" w:rsidRDefault="00AF6302" w:rsidP="006C69AE">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w:t>
      </w:r>
      <w:r w:rsidR="006C69AE">
        <w:rPr>
          <w:rFonts w:ascii="Arial" w:hAnsi="Arial" w:cs="Arial"/>
          <w:color w:val="000000" w:themeColor="text1"/>
          <w:kern w:val="0"/>
        </w:rPr>
        <w:t>As you can see in table</w:t>
      </w:r>
    </w:p>
    <w:p w14:paraId="3DDF075C" w14:textId="64B0CE06"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836"/>
        <w:gridCol w:w="1728"/>
        <w:gridCol w:w="1728"/>
        <w:gridCol w:w="1728"/>
        <w:gridCol w:w="1728"/>
      </w:tblGrid>
      <w:tr w:rsidR="00AF6302" w:rsidRPr="000C3F2F" w14:paraId="78EF8E71" w14:textId="77777777">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02A2DE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D2F32A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Inventory Days</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6B7450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Receivables Days</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FDFE9E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Payables Days</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C1CD3A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COC (Days)</w:t>
            </w:r>
          </w:p>
        </w:tc>
      </w:tr>
      <w:tr w:rsidR="00AF6302" w:rsidRPr="000C3F2F" w14:paraId="158C0B31" w14:textId="77777777">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93885DB"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873DF5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38.2</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04B58E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36.3</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59E8961"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69.5</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E094AE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5.0</w:t>
            </w:r>
          </w:p>
        </w:tc>
      </w:tr>
      <w:tr w:rsidR="00AF6302" w:rsidRPr="000C3F2F" w14:paraId="3917D9F2" w14:textId="77777777">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89606E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E93BD4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37.9</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4D16C8B"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32.3</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13DCDD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63.0</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B0F680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7.2</w:t>
            </w:r>
          </w:p>
        </w:tc>
      </w:tr>
      <w:tr w:rsidR="00AF6302" w:rsidRPr="000C3F2F" w14:paraId="0BB4A4D7" w14:textId="77777777">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310F23A"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2024</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C2988B1"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34.5</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06DBE2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29.1</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D258FF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55.7</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51041A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7.9</w:t>
            </w:r>
          </w:p>
        </w:tc>
      </w:tr>
    </w:tbl>
    <w:p w14:paraId="4393F9F0" w14:textId="77777777" w:rsid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Computed from Ford Annual Reports</w:t>
      </w:r>
    </w:p>
    <w:p w14:paraId="6DDCB4A9"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2C248820" w14:textId="1EE84475"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1086FA10" w14:textId="6319F03A"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xml:space="preserve">The COC of Ford is exceptionally brief and optimistic, i.e., the company receives the cash of dealers earlier than it </w:t>
      </w:r>
      <w:proofErr w:type="gramStart"/>
      <w:r w:rsidRPr="000C3F2F">
        <w:rPr>
          <w:rFonts w:ascii="Arial" w:hAnsi="Arial" w:cs="Arial"/>
          <w:color w:val="000000" w:themeColor="text1"/>
          <w:kern w:val="0"/>
        </w:rPr>
        <w:t>has to</w:t>
      </w:r>
      <w:proofErr w:type="gramEnd"/>
      <w:r w:rsidRPr="000C3F2F">
        <w:rPr>
          <w:rFonts w:ascii="Arial" w:hAnsi="Arial" w:cs="Arial"/>
          <w:color w:val="000000" w:themeColor="text1"/>
          <w:kern w:val="0"/>
        </w:rPr>
        <w:t xml:space="preserve"> pay the suppliers completely. This is an inherent strength of the automotive wholesale system, in which Ford credit funds the inventory of dealers and Ford collects cash when the parts are shipped wholesale</w:t>
      </w:r>
      <w:r w:rsidR="000976DD" w:rsidRPr="000C3F2F">
        <w:rPr>
          <w:rFonts w:ascii="Arial" w:hAnsi="Arial" w:cs="Arial"/>
          <w:color w:val="000000" w:themeColor="text1"/>
        </w:rPr>
        <w:t xml:space="preserve"> </w:t>
      </w:r>
      <w:r w:rsidR="000976DD" w:rsidRPr="000C3F2F">
        <w:rPr>
          <w:rFonts w:ascii="Arial" w:hAnsi="Arial" w:cs="Arial"/>
          <w:color w:val="000000" w:themeColor="text1"/>
          <w:kern w:val="0"/>
        </w:rPr>
        <w:t>(Lind et al., 2012)</w:t>
      </w:r>
      <w:r w:rsidRPr="000C3F2F">
        <w:rPr>
          <w:rFonts w:ascii="Arial" w:hAnsi="Arial" w:cs="Arial"/>
          <w:color w:val="000000" w:themeColor="text1"/>
          <w:kern w:val="0"/>
        </w:rPr>
        <w:t xml:space="preserve">. Nevertheless, the tendency is alarming: the payables days have decreased to 69.5 to 55.7 </w:t>
      </w:r>
      <w:proofErr w:type="gramStart"/>
      <w:r w:rsidRPr="000C3F2F">
        <w:rPr>
          <w:rFonts w:ascii="Arial" w:hAnsi="Arial" w:cs="Arial"/>
          <w:color w:val="000000" w:themeColor="text1"/>
          <w:kern w:val="0"/>
        </w:rPr>
        <w:t>days</w:t>
      </w:r>
      <w:proofErr w:type="gramEnd"/>
      <w:r w:rsidRPr="000C3F2F">
        <w:rPr>
          <w:rFonts w:ascii="Arial" w:hAnsi="Arial" w:cs="Arial"/>
          <w:color w:val="000000" w:themeColor="text1"/>
          <w:kern w:val="0"/>
        </w:rPr>
        <w:t xml:space="preserve"> and it can be associated with supplier renegotiations and decreased supply chain finance, increasing the working capital load</w:t>
      </w:r>
      <w:r w:rsidR="000976DD" w:rsidRPr="000C3F2F">
        <w:rPr>
          <w:rFonts w:ascii="Arial" w:hAnsi="Arial" w:cs="Arial"/>
          <w:color w:val="000000" w:themeColor="text1"/>
        </w:rPr>
        <w:t xml:space="preserve"> </w:t>
      </w:r>
      <w:r w:rsidR="000976DD" w:rsidRPr="000C3F2F">
        <w:rPr>
          <w:rFonts w:ascii="Arial" w:hAnsi="Arial" w:cs="Arial"/>
          <w:color w:val="000000" w:themeColor="text1"/>
          <w:kern w:val="0"/>
        </w:rPr>
        <w:t>(Gelsomino et al., 2025)</w:t>
      </w:r>
      <w:r w:rsidRPr="000C3F2F">
        <w:rPr>
          <w:rFonts w:ascii="Arial" w:hAnsi="Arial" w:cs="Arial"/>
          <w:color w:val="000000" w:themeColor="text1"/>
          <w:kern w:val="0"/>
        </w:rPr>
        <w:t>.</w:t>
      </w:r>
      <w:r w:rsidRPr="000C3F2F">
        <w:rPr>
          <w:rFonts w:ascii="Arial" w:hAnsi="Arial" w:cs="Arial"/>
          <w:color w:val="000000" w:themeColor="text1"/>
          <w:kern w:val="0"/>
        </w:rPr>
        <w:br/>
      </w:r>
    </w:p>
    <w:p w14:paraId="2533E166" w14:textId="3150A0BD" w:rsidR="00AF6302" w:rsidRPr="000C3F2F" w:rsidRDefault="00AF6302" w:rsidP="000C3F2F">
      <w:pPr>
        <w:pStyle w:val="Heading2"/>
        <w:spacing w:line="360" w:lineRule="auto"/>
        <w:jc w:val="both"/>
        <w:rPr>
          <w:rFonts w:ascii="Arial" w:hAnsi="Arial" w:cs="Arial"/>
          <w:color w:val="000000" w:themeColor="text1"/>
          <w:sz w:val="24"/>
          <w:szCs w:val="24"/>
        </w:rPr>
      </w:pPr>
      <w:bookmarkStart w:id="13" w:name="_Toc227925569"/>
      <w:r w:rsidRPr="000C3F2F">
        <w:rPr>
          <w:rFonts w:ascii="Arial" w:hAnsi="Arial" w:cs="Arial"/>
          <w:color w:val="000000" w:themeColor="text1"/>
          <w:sz w:val="24"/>
          <w:szCs w:val="24"/>
        </w:rPr>
        <w:t>2.2 Working Capital Position</w:t>
      </w:r>
      <w:bookmarkEnd w:id="13"/>
    </w:p>
    <w:p w14:paraId="349D3594" w14:textId="77777777" w:rsid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Net Working Capital (excl. Ford Credit financing items):</w:t>
      </w:r>
    </w:p>
    <w:p w14:paraId="525AD8A0" w14:textId="0E1D35E0"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AF6302" w:rsidRPr="000C3F2F" w14:paraId="3F428675"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235526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2A7494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Current Assets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6B31F6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Current Liabilities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0C8B7DD"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Net Working Capital ($m)</w:t>
            </w:r>
          </w:p>
        </w:tc>
      </w:tr>
      <w:tr w:rsidR="00AF6302" w:rsidRPr="000C3F2F" w14:paraId="7F81E161"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62D02E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7D648CA"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116,476</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2B34F9D"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96,866</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40218E5"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19,610</w:t>
            </w:r>
          </w:p>
        </w:tc>
      </w:tr>
      <w:tr w:rsidR="00AF6302" w:rsidRPr="000C3F2F" w14:paraId="69FB4378"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4B03E6D"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2023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8579C8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121,481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41E064D"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101,531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EE45E1D"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19,950</w:t>
            </w:r>
          </w:p>
        </w:tc>
      </w:tr>
      <w:tr w:rsidR="00AF6302" w:rsidRPr="000C3F2F" w14:paraId="19C05AFC"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75830A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lastRenderedPageBreak/>
              <w:t>2024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D4E68C1"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124,474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4158CE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106,859</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9CB5D1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17,615</w:t>
            </w:r>
          </w:p>
        </w:tc>
      </w:tr>
    </w:tbl>
    <w:p w14:paraId="0B4E94E9" w14:textId="77777777" w:rsid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Computed from Ford Annual Reports</w:t>
      </w:r>
    </w:p>
    <w:p w14:paraId="470BBA98"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036F3E88" w14:textId="60B36BEF"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5DBE97B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Net working capital declined by $2.3 billion in 2024, largely due to Ford Credit's short-term debt growth. This compresses the buffer available for operational needs.</w:t>
      </w:r>
    </w:p>
    <w:p w14:paraId="4DD8791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7046A9E3" w14:textId="77777777" w:rsidR="000C3F2F" w:rsidRDefault="00AF6302" w:rsidP="000C3F2F">
      <w:pPr>
        <w:autoSpaceDE w:val="0"/>
        <w:autoSpaceDN w:val="0"/>
        <w:adjustRightInd w:val="0"/>
        <w:spacing w:after="0" w:line="360" w:lineRule="auto"/>
        <w:jc w:val="both"/>
        <w:rPr>
          <w:rStyle w:val="Heading2Char"/>
          <w:rFonts w:ascii="Arial" w:hAnsi="Arial" w:cs="Arial"/>
          <w:color w:val="000000" w:themeColor="text1"/>
          <w:sz w:val="24"/>
          <w:szCs w:val="24"/>
        </w:rPr>
      </w:pPr>
      <w:bookmarkStart w:id="14" w:name="_Toc227925570"/>
      <w:r w:rsidRPr="000C3F2F">
        <w:rPr>
          <w:rStyle w:val="Heading2Char"/>
          <w:rFonts w:ascii="Arial" w:hAnsi="Arial" w:cs="Arial"/>
          <w:color w:val="000000" w:themeColor="text1"/>
          <w:sz w:val="24"/>
          <w:szCs w:val="24"/>
        </w:rPr>
        <w:t>2.3 Strategies to Improve Liquidity Through Working Capital Reform</w:t>
      </w:r>
      <w:bookmarkEnd w:id="14"/>
    </w:p>
    <w:p w14:paraId="7ABB9C3B" w14:textId="5EF0186B" w:rsidR="00AF6302" w:rsidRPr="000C3F2F" w:rsidRDefault="00AF6302" w:rsidP="000C3F2F">
      <w:pPr>
        <w:autoSpaceDE w:val="0"/>
        <w:autoSpaceDN w:val="0"/>
        <w:adjustRightInd w:val="0"/>
        <w:spacing w:after="0" w:line="360" w:lineRule="auto"/>
        <w:jc w:val="both"/>
        <w:rPr>
          <w:rFonts w:ascii="Arial" w:eastAsia="MS Gothic" w:hAnsi="Arial" w:cs="Arial"/>
          <w:b/>
          <w:bCs/>
          <w:color w:val="000000" w:themeColor="text1"/>
          <w:kern w:val="0"/>
        </w:rPr>
      </w:pPr>
    </w:p>
    <w:p w14:paraId="7BAE306D"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1. Supplier Dynamic Discounting / Supply Chain Finance Reinstatement</w:t>
      </w:r>
    </w:p>
    <w:p w14:paraId="6484CFFD"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3F6C8B00" w14:textId="77777777" w:rsid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xml:space="preserve">The decreasing payables days (69.5 to 55.7 in three years) of Ford indicate that the use of supply chain finance is decreasing. Effective payables days can be reinstated or increased </w:t>
      </w:r>
      <w:proofErr w:type="gramStart"/>
      <w:r w:rsidRPr="000C3F2F">
        <w:rPr>
          <w:rFonts w:ascii="Arial" w:hAnsi="Arial" w:cs="Arial"/>
          <w:color w:val="000000" w:themeColor="text1"/>
          <w:kern w:val="0"/>
        </w:rPr>
        <w:t>by the use of</w:t>
      </w:r>
      <w:proofErr w:type="gramEnd"/>
      <w:r w:rsidRPr="000C3F2F">
        <w:rPr>
          <w:rFonts w:ascii="Arial" w:hAnsi="Arial" w:cs="Arial"/>
          <w:color w:val="000000" w:themeColor="text1"/>
          <w:kern w:val="0"/>
        </w:rPr>
        <w:t xml:space="preserve"> a financial institution supported early payment programme which can extend the effective payables days back to 65-70 days, to free up about estimated 1.5-2.0 billion of working capital.</w:t>
      </w:r>
    </w:p>
    <w:p w14:paraId="562C09A1" w14:textId="4B3449DF" w:rsidR="00AF6302" w:rsidRPr="000C3F2F" w:rsidRDefault="00BF61E9"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br/>
      </w:r>
      <w:r w:rsidR="00AF6302" w:rsidRPr="000C3F2F">
        <w:rPr>
          <w:rFonts w:ascii="Arial" w:hAnsi="Arial" w:cs="Arial"/>
          <w:color w:val="000000" w:themeColor="text1"/>
          <w:kern w:val="0"/>
        </w:rPr>
        <w:t>supply chain finance allows buyers to optimise payment terms without putting a strain on supplier relationships</w:t>
      </w:r>
      <w:r w:rsidR="0048539C" w:rsidRPr="0048539C">
        <w:t xml:space="preserve"> </w:t>
      </w:r>
      <w:r w:rsidR="0048539C" w:rsidRPr="0048539C">
        <w:rPr>
          <w:rFonts w:ascii="Arial" w:hAnsi="Arial" w:cs="Arial"/>
          <w:color w:val="000000" w:themeColor="text1"/>
          <w:kern w:val="0"/>
        </w:rPr>
        <w:t>(Wu et al., 2019)</w:t>
      </w:r>
      <w:r w:rsidR="00AF6302" w:rsidRPr="000C3F2F">
        <w:rPr>
          <w:rFonts w:ascii="Arial" w:hAnsi="Arial" w:cs="Arial"/>
          <w:color w:val="000000" w:themeColor="text1"/>
          <w:kern w:val="0"/>
        </w:rPr>
        <w:t>.</w:t>
      </w:r>
    </w:p>
    <w:p w14:paraId="48345A7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727A54D4"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2. Inventory Optimisation via Demand-Driven Scheduling</w:t>
      </w:r>
    </w:p>
    <w:p w14:paraId="66FC89C1"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p>
    <w:p w14:paraId="5A154612" w14:textId="08010DC3" w:rsidR="00AF6302" w:rsidRPr="000C3F2F" w:rsidRDefault="00AF6302" w:rsidP="000C3F2F">
      <w:pPr>
        <w:autoSpaceDE w:val="0"/>
        <w:autoSpaceDN w:val="0"/>
        <w:adjustRightInd w:val="0"/>
        <w:spacing w:after="0" w:line="360" w:lineRule="auto"/>
        <w:jc w:val="both"/>
        <w:rPr>
          <w:rFonts w:ascii="Arial" w:eastAsia="MS Gothic" w:hAnsi="Arial" w:cs="Arial"/>
          <w:color w:val="000000" w:themeColor="text1"/>
          <w:kern w:val="0"/>
        </w:rPr>
      </w:pPr>
      <w:r w:rsidRPr="000C3F2F">
        <w:rPr>
          <w:rFonts w:ascii="MS Gothic" w:eastAsia="MS Gothic" w:hAnsi="MS Gothic" w:cs="MS Gothic" w:hint="eastAsia"/>
          <w:b/>
          <w:bCs/>
          <w:color w:val="000000" w:themeColor="text1"/>
          <w:kern w:val="0"/>
        </w:rPr>
        <w:t> </w:t>
      </w:r>
      <w:r w:rsidRPr="000C3F2F">
        <w:rPr>
          <w:rFonts w:ascii="Arial" w:hAnsi="Arial" w:cs="Arial"/>
          <w:color w:val="000000" w:themeColor="text1"/>
          <w:kern w:val="0"/>
        </w:rPr>
        <w:t xml:space="preserve">Inventory days of Ford decreased to 34.5 days in 2024, showing improvement. Nevertheless, the normalised accumulation of completed EV stock (which is usually waiting to be updated with software or to receive parts) is a </w:t>
      </w:r>
      <w:proofErr w:type="gramStart"/>
      <w:r w:rsidRPr="000C3F2F">
        <w:rPr>
          <w:rFonts w:ascii="Arial" w:hAnsi="Arial" w:cs="Arial"/>
          <w:color w:val="000000" w:themeColor="text1"/>
          <w:kern w:val="0"/>
        </w:rPr>
        <w:t>risk</w:t>
      </w:r>
      <w:r w:rsidR="0048539C" w:rsidRPr="0048539C">
        <w:rPr>
          <w:rFonts w:ascii="Arial" w:hAnsi="Arial" w:cs="Arial"/>
          <w:color w:val="000000" w:themeColor="text1"/>
          <w:kern w:val="0"/>
        </w:rPr>
        <w:t>(</w:t>
      </w:r>
      <w:proofErr w:type="gramEnd"/>
      <w:r w:rsidR="0048539C" w:rsidRPr="0048539C">
        <w:rPr>
          <w:rFonts w:ascii="Arial" w:hAnsi="Arial" w:cs="Arial"/>
          <w:color w:val="000000" w:themeColor="text1"/>
          <w:kern w:val="0"/>
        </w:rPr>
        <w:t>Yu et al., 2024)</w:t>
      </w:r>
      <w:r w:rsidRPr="000C3F2F">
        <w:rPr>
          <w:rFonts w:ascii="Arial" w:hAnsi="Arial" w:cs="Arial"/>
          <w:color w:val="000000" w:themeColor="text1"/>
          <w:kern w:val="0"/>
        </w:rPr>
        <w:t>. By implementing the principles of just-in-time (JIT) more strictly at EV manufacturing facilities, it is possible to further shorten the inventory by 3-5 days, releasing around 1.3-2.2 billion dollars of cash.</w:t>
      </w:r>
    </w:p>
    <w:p w14:paraId="4FF7BB4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7D2E0085"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3. Ford Credit Distributions and Capital Structure</w:t>
      </w:r>
    </w:p>
    <w:p w14:paraId="31583D05"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p>
    <w:p w14:paraId="68D6E24E" w14:textId="072D9280" w:rsidR="00AF6302" w:rsidRPr="000C3F2F" w:rsidRDefault="00AF6302" w:rsidP="000C3F2F">
      <w:pPr>
        <w:autoSpaceDE w:val="0"/>
        <w:autoSpaceDN w:val="0"/>
        <w:adjustRightInd w:val="0"/>
        <w:spacing w:after="0" w:line="360" w:lineRule="auto"/>
        <w:jc w:val="both"/>
        <w:rPr>
          <w:rFonts w:ascii="Arial" w:eastAsia="MS Gothic" w:hAnsi="Arial" w:cs="Arial"/>
          <w:color w:val="000000" w:themeColor="text1"/>
          <w:kern w:val="0"/>
        </w:rPr>
      </w:pPr>
      <w:r w:rsidRPr="000C3F2F">
        <w:rPr>
          <w:rFonts w:ascii="MS Gothic" w:eastAsia="MS Gothic" w:hAnsi="MS Gothic" w:cs="MS Gothic" w:hint="eastAsia"/>
          <w:color w:val="000000" w:themeColor="text1"/>
          <w:kern w:val="0"/>
        </w:rPr>
        <w:t> </w:t>
      </w:r>
      <w:r w:rsidRPr="000C3F2F">
        <w:rPr>
          <w:rFonts w:ascii="Arial" w:hAnsi="Arial" w:cs="Arial"/>
          <w:color w:val="000000" w:themeColor="text1"/>
          <w:kern w:val="0"/>
        </w:rPr>
        <w:t xml:space="preserve">In 2024, Ford credit made a distribution of $500 million to its parent, compared to a distribution of 2.1 billion in 2022. A less volatile distribution plan - between 1.5 and 2.0 </w:t>
      </w:r>
      <w:r w:rsidRPr="000C3F2F">
        <w:rPr>
          <w:rFonts w:ascii="Arial" w:hAnsi="Arial" w:cs="Arial"/>
          <w:color w:val="000000" w:themeColor="text1"/>
          <w:kern w:val="0"/>
        </w:rPr>
        <w:lastRenderedPageBreak/>
        <w:t>billion per year - would help the parent company working capital status without excessive overloading of the balance sheet of Ford Credit (current leverage 10:1)</w:t>
      </w:r>
      <w:r w:rsidR="0048539C" w:rsidRPr="0048539C">
        <w:t xml:space="preserve"> </w:t>
      </w:r>
      <w:r w:rsidR="0048539C" w:rsidRPr="0048539C">
        <w:rPr>
          <w:rFonts w:ascii="Arial" w:hAnsi="Arial" w:cs="Arial"/>
          <w:color w:val="000000" w:themeColor="text1"/>
          <w:kern w:val="0"/>
        </w:rPr>
        <w:t>(Kim, McConnell and Greenwood, 1977)</w:t>
      </w:r>
      <w:r w:rsidRPr="000C3F2F">
        <w:rPr>
          <w:rFonts w:ascii="Arial" w:hAnsi="Arial" w:cs="Arial"/>
          <w:color w:val="000000" w:themeColor="text1"/>
          <w:kern w:val="0"/>
        </w:rPr>
        <w:t>.</w:t>
      </w:r>
    </w:p>
    <w:p w14:paraId="4392379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16B4AB12"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4. Receivables Acceleration through Digital Invoice Platforms</w:t>
      </w:r>
    </w:p>
    <w:p w14:paraId="4618CD9E"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p>
    <w:p w14:paraId="1881336C" w14:textId="37A6D911" w:rsidR="00CB754C" w:rsidRPr="000C3F2F" w:rsidRDefault="00AF6302" w:rsidP="000C3F2F">
      <w:pPr>
        <w:autoSpaceDE w:val="0"/>
        <w:autoSpaceDN w:val="0"/>
        <w:adjustRightInd w:val="0"/>
        <w:spacing w:after="0" w:line="360" w:lineRule="auto"/>
        <w:jc w:val="both"/>
        <w:rPr>
          <w:rFonts w:ascii="Arial" w:eastAsia="MS Gothic" w:hAnsi="Arial" w:cs="Arial"/>
          <w:color w:val="000000" w:themeColor="text1"/>
          <w:kern w:val="0"/>
        </w:rPr>
      </w:pPr>
      <w:r w:rsidRPr="000C3F2F">
        <w:rPr>
          <w:rFonts w:ascii="MS Gothic" w:eastAsia="MS Gothic" w:hAnsi="MS Gothic" w:cs="MS Gothic" w:hint="eastAsia"/>
          <w:color w:val="000000" w:themeColor="text1"/>
          <w:kern w:val="0"/>
        </w:rPr>
        <w:t> </w:t>
      </w:r>
      <w:r w:rsidRPr="000C3F2F">
        <w:rPr>
          <w:rFonts w:ascii="Arial" w:hAnsi="Arial" w:cs="Arial"/>
          <w:color w:val="000000" w:themeColor="text1"/>
          <w:kern w:val="0"/>
        </w:rPr>
        <w:t xml:space="preserve">The number of days of receivables decreased to </w:t>
      </w:r>
      <w:r w:rsidRPr="0048539C">
        <w:rPr>
          <w:rFonts w:ascii="Arial" w:hAnsi="Arial" w:cs="Arial"/>
          <w:i/>
          <w:iCs/>
          <w:color w:val="000000" w:themeColor="text1"/>
          <w:kern w:val="0"/>
        </w:rPr>
        <w:t xml:space="preserve">29.1 </w:t>
      </w:r>
      <w:proofErr w:type="gramStart"/>
      <w:r w:rsidRPr="0048539C">
        <w:rPr>
          <w:rFonts w:ascii="Arial" w:hAnsi="Arial" w:cs="Arial"/>
          <w:i/>
          <w:iCs/>
          <w:color w:val="000000" w:themeColor="text1"/>
          <w:kern w:val="0"/>
        </w:rPr>
        <w:t>days</w:t>
      </w:r>
      <w:r w:rsidR="0048539C" w:rsidRPr="0048539C">
        <w:rPr>
          <w:rFonts w:ascii="Arial" w:hAnsi="Arial" w:cs="Arial"/>
          <w:color w:val="000000" w:themeColor="text1"/>
          <w:kern w:val="0"/>
        </w:rPr>
        <w:t>(</w:t>
      </w:r>
      <w:proofErr w:type="gramEnd"/>
      <w:r w:rsidR="0048539C" w:rsidRPr="0048539C">
        <w:rPr>
          <w:rFonts w:ascii="Arial" w:hAnsi="Arial" w:cs="Arial"/>
          <w:i/>
          <w:iCs/>
          <w:color w:val="000000" w:themeColor="text1"/>
          <w:kern w:val="0"/>
        </w:rPr>
        <w:t>Ford Annual Reports, 2022–2024)</w:t>
      </w:r>
      <w:r w:rsidRPr="000C3F2F">
        <w:rPr>
          <w:rFonts w:ascii="Arial" w:hAnsi="Arial" w:cs="Arial"/>
          <w:color w:val="000000" w:themeColor="text1"/>
          <w:kern w:val="0"/>
        </w:rPr>
        <w:t>, whereas it can be further reduced by digitalizing the onboarding of dealer payment systems, especially in emerging markets where manual invoice reconciliation slows down collections.</w:t>
      </w:r>
    </w:p>
    <w:p w14:paraId="4486FBCA" w14:textId="77777777" w:rsidR="00AF6302" w:rsidRPr="000C3F2F" w:rsidRDefault="00AF6302" w:rsidP="000C3F2F">
      <w:pPr>
        <w:autoSpaceDE w:val="0"/>
        <w:autoSpaceDN w:val="0"/>
        <w:adjustRightInd w:val="0"/>
        <w:spacing w:after="0" w:line="360" w:lineRule="auto"/>
        <w:jc w:val="both"/>
        <w:rPr>
          <w:rFonts w:ascii="Arial" w:eastAsia="MS Gothic" w:hAnsi="Arial" w:cs="Arial"/>
          <w:color w:val="000000" w:themeColor="text1"/>
          <w:kern w:val="0"/>
        </w:rPr>
      </w:pPr>
    </w:p>
    <w:p w14:paraId="778D6850" w14:textId="77777777" w:rsidR="000C3F2F" w:rsidRDefault="00AF6302" w:rsidP="000C3F2F">
      <w:pPr>
        <w:autoSpaceDE w:val="0"/>
        <w:autoSpaceDN w:val="0"/>
        <w:adjustRightInd w:val="0"/>
        <w:spacing w:after="0" w:line="360" w:lineRule="auto"/>
        <w:jc w:val="both"/>
        <w:rPr>
          <w:rStyle w:val="Heading2Char"/>
          <w:rFonts w:ascii="Arial" w:hAnsi="Arial" w:cs="Arial"/>
          <w:color w:val="000000" w:themeColor="text1"/>
          <w:sz w:val="24"/>
          <w:szCs w:val="24"/>
        </w:rPr>
      </w:pPr>
      <w:r w:rsidRPr="000C3F2F">
        <w:rPr>
          <w:rFonts w:ascii="MS Gothic" w:eastAsia="MS Gothic" w:hAnsi="MS Gothic" w:cs="MS Gothic" w:hint="eastAsia"/>
          <w:b/>
          <w:bCs/>
          <w:color w:val="000000" w:themeColor="text1"/>
          <w:kern w:val="0"/>
        </w:rPr>
        <w:t> </w:t>
      </w:r>
      <w:r w:rsidRPr="000C3F2F">
        <w:rPr>
          <w:rStyle w:val="Heading2Char"/>
          <w:rFonts w:ascii="Arial" w:hAnsi="Arial" w:cs="Arial"/>
          <w:color w:val="000000" w:themeColor="text1"/>
          <w:sz w:val="24"/>
          <w:szCs w:val="24"/>
        </w:rPr>
        <w:t>2.4 Short-Term vs Long-Term Financing Options</w:t>
      </w:r>
    </w:p>
    <w:p w14:paraId="65D9FC8B" w14:textId="06E7C545"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AF6302" w:rsidRPr="000C3F2F" w14:paraId="05510A7E" w14:textId="77777777">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6BA503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Feature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4A4212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Short-Term Financing</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798A07A"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Long-Term Financing</w:t>
            </w:r>
          </w:p>
        </w:tc>
      </w:tr>
      <w:tr w:rsidR="00AF6302" w:rsidRPr="000C3F2F" w14:paraId="1E18BE02" w14:textId="77777777">
        <w:tblPrEx>
          <w:tblBorders>
            <w:top w:val="none" w:sz="0" w:space="0" w:color="auto"/>
          </w:tblBorders>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10C30A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Examples</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BB36F4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Commercial paper, revolving credit facility, overdraft</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DC1C7B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Bond issuance, term loans, equity injection</w:t>
            </w:r>
          </w:p>
        </w:tc>
      </w:tr>
      <w:tr w:rsidR="00AF6302" w:rsidRPr="000C3F2F" w14:paraId="179A046D" w14:textId="77777777">
        <w:tblPrEx>
          <w:tblBorders>
            <w:top w:val="none" w:sz="0" w:space="0" w:color="auto"/>
          </w:tblBorders>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63E217A"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Cost</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8971B7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Lower nominal rate (variable)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8065FE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Higher fixed coupon but predictable</w:t>
            </w:r>
          </w:p>
        </w:tc>
      </w:tr>
      <w:tr w:rsidR="00AF6302" w:rsidRPr="000C3F2F" w14:paraId="193A9BC2" w14:textId="77777777">
        <w:tblPrEx>
          <w:tblBorders>
            <w:top w:val="none" w:sz="0" w:space="0" w:color="auto"/>
          </w:tblBorders>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AA8857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Flexibility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E15051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High — drawn and repaid as needed</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7711B8D"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Lower — covenants and repayment schedules</w:t>
            </w:r>
          </w:p>
        </w:tc>
      </w:tr>
      <w:tr w:rsidR="00AF6302" w:rsidRPr="000C3F2F" w14:paraId="2A5AAB98" w14:textId="77777777">
        <w:tblPrEx>
          <w:tblBorders>
            <w:top w:val="none" w:sz="0" w:space="0" w:color="auto"/>
          </w:tblBorders>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876296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Risk</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81F6301"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Rollover/refinancing risk</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72610A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Fixed obligation regardless of performance</w:t>
            </w:r>
          </w:p>
        </w:tc>
      </w:tr>
      <w:tr w:rsidR="00AF6302" w:rsidRPr="000C3F2F" w14:paraId="0E34DC57" w14:textId="77777777">
        <w:tblPrEx>
          <w:tblBorders>
            <w:top w:val="none" w:sz="0" w:space="0" w:color="auto"/>
          </w:tblBorders>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375AB8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Ford's Position</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442348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$14.9 billion revolving credit facilities</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AE7159B"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$18.9 billion LT debt excl. Ford Credit (2024)</w:t>
            </w:r>
          </w:p>
        </w:tc>
      </w:tr>
      <w:tr w:rsidR="00AF6302" w:rsidRPr="000C3F2F" w14:paraId="40967AB5" w14:textId="77777777">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CF5A0D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Best Use For</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6282A8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Seasonal inventory swings, working capital gaps</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DF44F6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EV capex, plant upgrades, pension de-risking</w:t>
            </w:r>
          </w:p>
        </w:tc>
      </w:tr>
    </w:tbl>
    <w:p w14:paraId="67EE414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w:t>
      </w:r>
    </w:p>
    <w:p w14:paraId="77BE147F"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3A4A29BD" w14:textId="28023528" w:rsidR="00AF6302" w:rsidRPr="000C3F2F" w:rsidRDefault="006C69AE" w:rsidP="000C3F2F">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br/>
      </w:r>
      <w:r w:rsidR="00AF6302" w:rsidRPr="000C3F2F">
        <w:rPr>
          <w:rFonts w:ascii="Arial" w:hAnsi="Arial" w:cs="Arial"/>
          <w:color w:val="000000" w:themeColor="text1"/>
          <w:kern w:val="0"/>
        </w:rPr>
        <w:t xml:space="preserve">The current revolving credit facilities of Ford amount to about 14.9 billion and was </w:t>
      </w:r>
      <w:r w:rsidR="00AF6302" w:rsidRPr="000C3F2F">
        <w:rPr>
          <w:rFonts w:ascii="Arial" w:hAnsi="Arial" w:cs="Arial"/>
          <w:color w:val="000000" w:themeColor="text1"/>
          <w:kern w:val="0"/>
        </w:rPr>
        <w:lastRenderedPageBreak/>
        <w:t>undrawn at the year-end, which is a substantial backstop of short-term liquidity</w:t>
      </w:r>
      <w:r w:rsidR="0048539C" w:rsidRPr="0048539C">
        <w:t xml:space="preserve"> </w:t>
      </w:r>
      <w:r w:rsidR="0048539C">
        <w:t>(Sufi, 2007; Ford Annual Reports, 2024)</w:t>
      </w:r>
      <w:r w:rsidR="00AF6302" w:rsidRPr="000C3F2F">
        <w:rPr>
          <w:rFonts w:ascii="Arial" w:hAnsi="Arial" w:cs="Arial"/>
          <w:color w:val="000000" w:themeColor="text1"/>
          <w:kern w:val="0"/>
        </w:rPr>
        <w:t>. In the case of EV capital expenditure, which the management aims at a range of 8.0 to 9.0 billion in 2025, long-term bond financing is more fitting since the payback period is multi-</w:t>
      </w:r>
      <w:proofErr w:type="spellStart"/>
      <w:r w:rsidR="00E320E1" w:rsidRPr="000C3F2F">
        <w:rPr>
          <w:rFonts w:ascii="Arial" w:hAnsi="Arial" w:cs="Arial"/>
          <w:color w:val="000000" w:themeColor="text1"/>
          <w:kern w:val="0"/>
        </w:rPr>
        <w:t>year,</w:t>
      </w:r>
      <w:r w:rsidR="00AF6302" w:rsidRPr="000C3F2F">
        <w:rPr>
          <w:rFonts w:ascii="Arial" w:hAnsi="Arial" w:cs="Arial"/>
          <w:color w:val="000000" w:themeColor="text1"/>
          <w:kern w:val="0"/>
        </w:rPr>
        <w:t>and</w:t>
      </w:r>
      <w:proofErr w:type="spellEnd"/>
      <w:r w:rsidR="00AF6302" w:rsidRPr="000C3F2F">
        <w:rPr>
          <w:rFonts w:ascii="Arial" w:hAnsi="Arial" w:cs="Arial"/>
          <w:color w:val="000000" w:themeColor="text1"/>
          <w:kern w:val="0"/>
        </w:rPr>
        <w:t xml:space="preserve"> the bond market is currently very strong (BBB-rated by Fitch and S&amp;P).stress that liquidity risk is minimised by matching the period of financing to the period of the asset being financed, which is generally practiced by Ford</w:t>
      </w:r>
      <w:r w:rsidR="0048539C" w:rsidRPr="0048539C">
        <w:t xml:space="preserve"> </w:t>
      </w:r>
      <w:r w:rsidR="0048539C" w:rsidRPr="0048539C">
        <w:rPr>
          <w:rFonts w:ascii="Arial" w:hAnsi="Arial" w:cs="Arial"/>
          <w:color w:val="000000" w:themeColor="text1"/>
          <w:kern w:val="0"/>
        </w:rPr>
        <w:t>(Geelen et al., 2024)</w:t>
      </w:r>
      <w:r w:rsidR="00AF6302" w:rsidRPr="000C3F2F">
        <w:rPr>
          <w:rFonts w:ascii="Arial" w:hAnsi="Arial" w:cs="Arial"/>
          <w:color w:val="000000" w:themeColor="text1"/>
          <w:kern w:val="0"/>
        </w:rPr>
        <w:t>.</w:t>
      </w:r>
    </w:p>
    <w:p w14:paraId="4A300A4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w:t>
      </w:r>
    </w:p>
    <w:p w14:paraId="30083997" w14:textId="77777777" w:rsidR="00AF6302" w:rsidRPr="000C3F2F" w:rsidRDefault="00AF6302" w:rsidP="000C3F2F">
      <w:pPr>
        <w:pStyle w:val="Heading1"/>
        <w:spacing w:line="360" w:lineRule="auto"/>
        <w:jc w:val="both"/>
        <w:rPr>
          <w:rFonts w:ascii="Arial" w:hAnsi="Arial" w:cs="Arial"/>
          <w:color w:val="000000" w:themeColor="text1"/>
          <w:sz w:val="24"/>
          <w:szCs w:val="24"/>
        </w:rPr>
      </w:pPr>
      <w:bookmarkStart w:id="15" w:name="_Toc227925571"/>
      <w:r w:rsidRPr="000C3F2F">
        <w:rPr>
          <w:rFonts w:ascii="Arial" w:hAnsi="Arial" w:cs="Arial"/>
          <w:color w:val="000000" w:themeColor="text1"/>
          <w:sz w:val="24"/>
          <w:szCs w:val="24"/>
        </w:rPr>
        <w:t>3. Strategic Financial Restructuring Plan</w:t>
      </w:r>
      <w:bookmarkEnd w:id="15"/>
    </w:p>
    <w:p w14:paraId="2E6C4FE5"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469614DF" w14:textId="77777777" w:rsidR="00AF6302" w:rsidRPr="000C3F2F" w:rsidRDefault="00AF6302" w:rsidP="000C3F2F">
      <w:pPr>
        <w:pStyle w:val="Heading2"/>
        <w:spacing w:line="360" w:lineRule="auto"/>
        <w:jc w:val="both"/>
        <w:rPr>
          <w:rFonts w:ascii="Arial" w:hAnsi="Arial" w:cs="Arial"/>
          <w:color w:val="000000" w:themeColor="text1"/>
          <w:sz w:val="24"/>
          <w:szCs w:val="24"/>
        </w:rPr>
      </w:pPr>
      <w:bookmarkStart w:id="16" w:name="_Toc227925572"/>
      <w:r w:rsidRPr="000C3F2F">
        <w:rPr>
          <w:rFonts w:ascii="Arial" w:hAnsi="Arial" w:cs="Arial"/>
          <w:color w:val="000000" w:themeColor="text1"/>
          <w:sz w:val="24"/>
          <w:szCs w:val="24"/>
        </w:rPr>
        <w:t>3.1 Context: Why Restructuring Is Needed</w:t>
      </w:r>
      <w:bookmarkEnd w:id="16"/>
    </w:p>
    <w:p w14:paraId="5185FD6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0D3638E2" w14:textId="77777777" w:rsidR="0048539C"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The three-segment model of Ford reveals a basic internal cross-subsidy: Ford Pro will contribute to Ford Model e with its $9.0 billion EBIT in 2024, which will effectively subsidize the $5.1 billion EBIT loss of Ford Model e. Ford Model e will incur about 14.5 billion in cumulative losses over 2023-2025</w:t>
      </w:r>
      <w:r w:rsidR="0048539C">
        <w:t xml:space="preserve"> (Ford Annual Reports, 2023–2024)</w:t>
      </w:r>
      <w:r w:rsidRPr="000C3F2F">
        <w:rPr>
          <w:rFonts w:ascii="Arial" w:hAnsi="Arial" w:cs="Arial"/>
          <w:color w:val="000000" w:themeColor="text1"/>
          <w:kern w:val="0"/>
        </w:rPr>
        <w:t>.</w:t>
      </w:r>
    </w:p>
    <w:p w14:paraId="06AB7FA3" w14:textId="17EB58DF"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Unchecked, this trend poses a threat to the credit ratings, dividend sustainability and efficiency of capital allocation of Ford. Restructuring is thus a strategic requirement and a financial necessity</w:t>
      </w:r>
      <w:r w:rsidR="0048539C" w:rsidRPr="0048539C">
        <w:t xml:space="preserve"> </w:t>
      </w:r>
      <w:r w:rsidR="0048539C" w:rsidRPr="0048539C">
        <w:rPr>
          <w:rFonts w:ascii="Arial" w:hAnsi="Arial" w:cs="Arial"/>
          <w:color w:val="000000" w:themeColor="text1"/>
          <w:kern w:val="0"/>
        </w:rPr>
        <w:t>(Marimuthu, 2009)</w:t>
      </w:r>
      <w:r w:rsidRPr="000C3F2F">
        <w:rPr>
          <w:rFonts w:ascii="Arial" w:hAnsi="Arial" w:cs="Arial"/>
          <w:color w:val="000000" w:themeColor="text1"/>
          <w:kern w:val="0"/>
        </w:rPr>
        <w:t>.</w:t>
      </w:r>
    </w:p>
    <w:p w14:paraId="7D3609D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7C4C54C5" w14:textId="77777777" w:rsidR="00AF6302" w:rsidRPr="000C3F2F" w:rsidRDefault="00AF6302" w:rsidP="000C3F2F">
      <w:pPr>
        <w:pStyle w:val="Heading2"/>
        <w:spacing w:line="360" w:lineRule="auto"/>
        <w:jc w:val="both"/>
        <w:rPr>
          <w:rFonts w:ascii="Arial" w:hAnsi="Arial" w:cs="Arial"/>
          <w:color w:val="000000" w:themeColor="text1"/>
          <w:sz w:val="24"/>
          <w:szCs w:val="24"/>
        </w:rPr>
      </w:pPr>
      <w:bookmarkStart w:id="17" w:name="_Toc227925573"/>
      <w:r w:rsidRPr="000C3F2F">
        <w:rPr>
          <w:rFonts w:ascii="Arial" w:hAnsi="Arial" w:cs="Arial"/>
          <w:color w:val="000000" w:themeColor="text1"/>
          <w:sz w:val="24"/>
          <w:szCs w:val="24"/>
        </w:rPr>
        <w:t>3.2 Restructuring Options</w:t>
      </w:r>
      <w:bookmarkEnd w:id="17"/>
    </w:p>
    <w:p w14:paraId="595DB211"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175D117D"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Option 1: Partial Divestiture / IPO of Ford Pro</w:t>
      </w:r>
    </w:p>
    <w:p w14:paraId="61D7AC2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6874AEEA" w14:textId="0E465BE2"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The jewel in the crown is Ford Pro - in 2024 the revenues and EBIT stand at 66.9 billion and 9.0 billion respectively (EBIT margin: 13.5), which is significantly higher than the average in the Company. Floating 20-25% of Ford Pro in a New York Stock Exchange listing has the potential to create value. Ford Pro has an implied equity value of 90-108 billion at a peer multiple of 10-12x EBIT (similar to peer companies in the industrial/commercial vehicle sector, including CNH Industrial)</w:t>
      </w:r>
      <w:r w:rsidR="004931EF" w:rsidRPr="004931EF">
        <w:t xml:space="preserve"> </w:t>
      </w:r>
      <w:r w:rsidR="004931EF">
        <w:t>(Ford Motor Company, 2024)</w:t>
      </w:r>
      <w:r w:rsidRPr="000C3F2F">
        <w:rPr>
          <w:rFonts w:ascii="Arial" w:hAnsi="Arial" w:cs="Arial"/>
          <w:color w:val="000000" w:themeColor="text1"/>
          <w:kern w:val="0"/>
        </w:rPr>
        <w:t>. The 20</w:t>
      </w:r>
      <w:r w:rsidR="004931EF">
        <w:rPr>
          <w:rFonts w:ascii="Arial" w:hAnsi="Arial" w:cs="Arial"/>
          <w:color w:val="000000" w:themeColor="text1"/>
          <w:kern w:val="0"/>
        </w:rPr>
        <w:t>%</w:t>
      </w:r>
      <w:r w:rsidRPr="000C3F2F">
        <w:rPr>
          <w:rFonts w:ascii="Arial" w:hAnsi="Arial" w:cs="Arial"/>
          <w:color w:val="000000" w:themeColor="text1"/>
          <w:kern w:val="0"/>
        </w:rPr>
        <w:t xml:space="preserve">float would raise between 18 and 21 billion, which would be used to </w:t>
      </w:r>
      <w:r w:rsidRPr="000C3F2F">
        <w:rPr>
          <w:rFonts w:ascii="Arial" w:hAnsi="Arial" w:cs="Arial"/>
          <w:color w:val="000000" w:themeColor="text1"/>
          <w:kern w:val="0"/>
        </w:rPr>
        <w:lastRenderedPageBreak/>
        <w:t xml:space="preserve">finance EV investment without diluting the parent level shareholders of the Ford Motor </w:t>
      </w:r>
      <w:proofErr w:type="gramStart"/>
      <w:r w:rsidRPr="000C3F2F">
        <w:rPr>
          <w:rFonts w:ascii="Arial" w:hAnsi="Arial" w:cs="Arial"/>
          <w:color w:val="000000" w:themeColor="text1"/>
          <w:kern w:val="0"/>
        </w:rPr>
        <w:t>Company</w:t>
      </w:r>
      <w:r w:rsidR="004931EF" w:rsidRPr="004931EF">
        <w:rPr>
          <w:rFonts w:ascii="Arial" w:hAnsi="Arial" w:cs="Arial"/>
          <w:color w:val="000000" w:themeColor="text1"/>
          <w:kern w:val="0"/>
        </w:rPr>
        <w:t>(</w:t>
      </w:r>
      <w:proofErr w:type="gramEnd"/>
      <w:r w:rsidR="004931EF" w:rsidRPr="004931EF">
        <w:rPr>
          <w:rFonts w:ascii="Arial" w:hAnsi="Arial" w:cs="Arial"/>
          <w:color w:val="000000" w:themeColor="text1"/>
          <w:kern w:val="0"/>
        </w:rPr>
        <w:t>Thompson and Apilado, 2009)</w:t>
      </w:r>
      <w:r w:rsidRPr="000C3F2F">
        <w:rPr>
          <w:rFonts w:ascii="Arial" w:hAnsi="Arial" w:cs="Arial"/>
          <w:color w:val="000000" w:themeColor="text1"/>
          <w:kern w:val="0"/>
        </w:rPr>
        <w:t>. report the potential value creation of partial IPOs in the restructuring of conglomerates.</w:t>
      </w:r>
    </w:p>
    <w:p w14:paraId="3FCE452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5F674449"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MS Gothic" w:eastAsia="MS Gothic" w:hAnsi="MS Gothic" w:cs="MS Gothic" w:hint="eastAsia"/>
          <w:color w:val="000000" w:themeColor="text1"/>
          <w:kern w:val="0"/>
        </w:rPr>
        <w:t> </w:t>
      </w:r>
      <w:r w:rsidRPr="000C3F2F">
        <w:rPr>
          <w:rFonts w:ascii="Arial" w:hAnsi="Arial" w:cs="Arial"/>
          <w:b/>
          <w:bCs/>
          <w:color w:val="000000" w:themeColor="text1"/>
          <w:kern w:val="0"/>
        </w:rPr>
        <w:t>Option 2: Equity Injection / Joint Venture for Ford Model</w:t>
      </w:r>
    </w:p>
    <w:p w14:paraId="1553E7F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17B39956" w14:textId="4AF9055F"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xml:space="preserve">Ford has already shown readiness to employ JVs structures - </w:t>
      </w:r>
      <w:proofErr w:type="spellStart"/>
      <w:r w:rsidRPr="000C3F2F">
        <w:rPr>
          <w:rFonts w:ascii="Arial" w:hAnsi="Arial" w:cs="Arial"/>
          <w:color w:val="000000" w:themeColor="text1"/>
          <w:kern w:val="0"/>
        </w:rPr>
        <w:t>BlueOval</w:t>
      </w:r>
      <w:proofErr w:type="spellEnd"/>
      <w:r w:rsidRPr="000C3F2F">
        <w:rPr>
          <w:rFonts w:ascii="Arial" w:hAnsi="Arial" w:cs="Arial"/>
          <w:color w:val="000000" w:themeColor="text1"/>
          <w:kern w:val="0"/>
        </w:rPr>
        <w:t xml:space="preserve"> SK LLC (50 percent joint venture with SK On to produce batteries) had a carrying value of 4.15 billion at the end of 2024</w:t>
      </w:r>
      <w:r w:rsidR="004931EF">
        <w:t>(Ford Motor Company, 2024)</w:t>
      </w:r>
      <w:r w:rsidRPr="000C3F2F">
        <w:rPr>
          <w:rFonts w:ascii="Arial" w:hAnsi="Arial" w:cs="Arial"/>
          <w:color w:val="000000" w:themeColor="text1"/>
          <w:kern w:val="0"/>
        </w:rPr>
        <w:t xml:space="preserve">. Diluting this strategy, such as finding a strategic investor (e.g. a sovereign wealth fund or a large tech partner) by selling them a minority stake in the Ford Model e segment would divide the loss burden of $5 billion/year but keep Ford EV leadership goals. A similar template is the precedent of the </w:t>
      </w:r>
      <w:proofErr w:type="gramStart"/>
      <w:r w:rsidRPr="000C3F2F">
        <w:rPr>
          <w:rFonts w:ascii="Arial" w:hAnsi="Arial" w:cs="Arial"/>
          <w:color w:val="000000" w:themeColor="text1"/>
          <w:kern w:val="0"/>
        </w:rPr>
        <w:t>12 billion-dollar</w:t>
      </w:r>
      <w:proofErr w:type="gramEnd"/>
      <w:r w:rsidRPr="000C3F2F">
        <w:rPr>
          <w:rFonts w:ascii="Arial" w:hAnsi="Arial" w:cs="Arial"/>
          <w:color w:val="000000" w:themeColor="text1"/>
          <w:kern w:val="0"/>
        </w:rPr>
        <w:t xml:space="preserve"> investment of SoftBank in Cruise autonomous vehicles by General Motors. The equity injection of 30% at a low valuation of 10 billion would boost 3 billion dollars and create a positive market </w:t>
      </w:r>
      <w:proofErr w:type="gramStart"/>
      <w:r w:rsidRPr="000C3F2F">
        <w:rPr>
          <w:rFonts w:ascii="Arial" w:hAnsi="Arial" w:cs="Arial"/>
          <w:color w:val="000000" w:themeColor="text1"/>
          <w:kern w:val="0"/>
        </w:rPr>
        <w:t>perception</w:t>
      </w:r>
      <w:r w:rsidR="004931EF" w:rsidRPr="004931EF">
        <w:rPr>
          <w:rFonts w:ascii="Arial" w:hAnsi="Arial" w:cs="Arial"/>
          <w:color w:val="000000" w:themeColor="text1"/>
          <w:kern w:val="0"/>
        </w:rPr>
        <w:t>(</w:t>
      </w:r>
      <w:proofErr w:type="gramEnd"/>
      <w:r w:rsidR="004931EF" w:rsidRPr="004931EF">
        <w:rPr>
          <w:rFonts w:ascii="Arial" w:hAnsi="Arial" w:cs="Arial"/>
          <w:color w:val="000000" w:themeColor="text1"/>
          <w:kern w:val="0"/>
        </w:rPr>
        <w:t>Zhang et al., 2007)</w:t>
      </w:r>
      <w:r w:rsidRPr="000C3F2F">
        <w:rPr>
          <w:rFonts w:ascii="Arial" w:hAnsi="Arial" w:cs="Arial"/>
          <w:color w:val="000000" w:themeColor="text1"/>
          <w:kern w:val="0"/>
        </w:rPr>
        <w:t>.</w:t>
      </w:r>
    </w:p>
    <w:p w14:paraId="600E328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w:t>
      </w:r>
    </w:p>
    <w:p w14:paraId="1BB597C0"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Option 3: Divestiture of Non-Core International Markets</w:t>
      </w:r>
    </w:p>
    <w:p w14:paraId="546C2FBA"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208B5C65" w14:textId="0A2A774D"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xml:space="preserve">Ford already started rationalising its global presence: in 2024, it sold its subsidiary in Denmark and in 2023, Sanand plants in India were sold to Tata </w:t>
      </w:r>
      <w:proofErr w:type="gramStart"/>
      <w:r w:rsidRPr="000C3F2F">
        <w:rPr>
          <w:rFonts w:ascii="Arial" w:hAnsi="Arial" w:cs="Arial"/>
          <w:color w:val="000000" w:themeColor="text1"/>
          <w:kern w:val="0"/>
        </w:rPr>
        <w:t>Motors</w:t>
      </w:r>
      <w:r w:rsidR="004931EF">
        <w:t>(</w:t>
      </w:r>
      <w:proofErr w:type="gramEnd"/>
      <w:r w:rsidR="004931EF">
        <w:t>Ford Motor Company, 2023; Ford Motor Company, 2024)</w:t>
      </w:r>
      <w:r w:rsidRPr="000C3F2F">
        <w:rPr>
          <w:rFonts w:ascii="Arial" w:hAnsi="Arial" w:cs="Arial"/>
          <w:color w:val="000000" w:themeColor="text1"/>
          <w:kern w:val="0"/>
        </w:rPr>
        <w:t xml:space="preserve">. The restructuring costs (which amounted to $1.9 billion in 2023 and 1.2 billion in 2024) would be lower with a more aggressive programme of leaving loss-making markets, especially in China, where Changan Ford has had negative equity </w:t>
      </w:r>
      <w:proofErr w:type="gramStart"/>
      <w:r w:rsidRPr="000C3F2F">
        <w:rPr>
          <w:rFonts w:ascii="Arial" w:hAnsi="Arial" w:cs="Arial"/>
          <w:color w:val="000000" w:themeColor="text1"/>
          <w:kern w:val="0"/>
        </w:rPr>
        <w:t>earnings</w:t>
      </w:r>
      <w:r w:rsidR="004931EF" w:rsidRPr="004931EF">
        <w:rPr>
          <w:rFonts w:ascii="Arial" w:hAnsi="Arial" w:cs="Arial"/>
          <w:color w:val="000000" w:themeColor="text1"/>
          <w:kern w:val="0"/>
        </w:rPr>
        <w:t>(</w:t>
      </w:r>
      <w:proofErr w:type="gramEnd"/>
      <w:r w:rsidR="004931EF" w:rsidRPr="004931EF">
        <w:rPr>
          <w:rFonts w:ascii="Arial" w:hAnsi="Arial" w:cs="Arial"/>
          <w:color w:val="000000" w:themeColor="text1"/>
          <w:kern w:val="0"/>
        </w:rPr>
        <w:t>Feldman, 2016)</w:t>
      </w:r>
      <w:r w:rsidRPr="000C3F2F">
        <w:rPr>
          <w:rFonts w:ascii="Arial" w:hAnsi="Arial" w:cs="Arial"/>
          <w:color w:val="000000" w:themeColor="text1"/>
          <w:kern w:val="0"/>
        </w:rPr>
        <w:t>.</w:t>
      </w:r>
    </w:p>
    <w:p w14:paraId="1A86F3AD"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795904F5" w14:textId="77777777" w:rsidR="00AF6302" w:rsidRPr="000C3F2F" w:rsidRDefault="00AF6302" w:rsidP="000C3F2F">
      <w:pPr>
        <w:pStyle w:val="Heading2"/>
        <w:spacing w:line="360" w:lineRule="auto"/>
        <w:jc w:val="both"/>
        <w:rPr>
          <w:rFonts w:ascii="Arial" w:hAnsi="Arial" w:cs="Arial"/>
          <w:color w:val="000000" w:themeColor="text1"/>
          <w:sz w:val="24"/>
          <w:szCs w:val="24"/>
        </w:rPr>
      </w:pPr>
      <w:bookmarkStart w:id="18" w:name="_Toc227925574"/>
      <w:r w:rsidRPr="000C3F2F">
        <w:rPr>
          <w:rFonts w:ascii="Arial" w:hAnsi="Arial" w:cs="Arial"/>
          <w:color w:val="000000" w:themeColor="text1"/>
          <w:sz w:val="24"/>
          <w:szCs w:val="24"/>
        </w:rPr>
        <w:t>3.3 Impact on Shareholder Value, Debt Structure, and Operational Flexibility</w:t>
      </w:r>
      <w:bookmarkEnd w:id="18"/>
    </w:p>
    <w:p w14:paraId="35AA28C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67202AFB"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MS Gothic" w:eastAsia="MS Gothic" w:hAnsi="MS Gothic" w:cs="MS Gothic" w:hint="eastAsia"/>
          <w:color w:val="000000" w:themeColor="text1"/>
          <w:kern w:val="0"/>
        </w:rPr>
        <w:t> </w:t>
      </w:r>
      <w:r w:rsidRPr="000C3F2F">
        <w:rPr>
          <w:rFonts w:ascii="Arial" w:hAnsi="Arial" w:cs="Arial"/>
          <w:color w:val="000000" w:themeColor="text1"/>
          <w:kern w:val="0"/>
        </w:rPr>
        <w:t>A hybrid solution - Ford Pro partial IPO proceeds of $18 billion issued 50% to invest in EVs and 50% to buy back shares and eliminate debt would:</w:t>
      </w:r>
    </w:p>
    <w:p w14:paraId="581DD93E" w14:textId="6BD07A9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Cut long-term debt of Reduce Company by half, decreasing annual interest payment by about 400-500 million dollars, down to 10 billion.</w:t>
      </w:r>
    </w:p>
    <w:p w14:paraId="0C23F53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Allow share buybacks, which enhance EPS, in aid of the dividend policy.</w:t>
      </w:r>
    </w:p>
    <w:p w14:paraId="57EA7525" w14:textId="589CFA23" w:rsidR="008B1F83"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lastRenderedPageBreak/>
        <w:t>•        Retain operational control of Ford Pro (&gt;75% stake)</w:t>
      </w:r>
    </w:p>
    <w:p w14:paraId="1DA4206F" w14:textId="144660D6" w:rsidR="008B1F83"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Signal strategic visibility to capital markets.</w:t>
      </w:r>
    </w:p>
    <w:p w14:paraId="196F3FE9" w14:textId="40239FD2"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5BF38743" w14:textId="04CA507D"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In 2024, Return on Invested Capital (ROIC) was 9.6% versus an Adjusted ROIC of 12.9</w:t>
      </w:r>
      <w:proofErr w:type="gramStart"/>
      <w:r w:rsidRPr="000C3F2F">
        <w:rPr>
          <w:rFonts w:ascii="Arial" w:hAnsi="Arial" w:cs="Arial"/>
          <w:color w:val="000000" w:themeColor="text1"/>
          <w:kern w:val="0"/>
        </w:rPr>
        <w:t>%</w:t>
      </w:r>
      <w:r w:rsidR="004931EF">
        <w:t>(</w:t>
      </w:r>
      <w:proofErr w:type="gramEnd"/>
      <w:r w:rsidR="004931EF">
        <w:t>Ford Motor Company, 2024)</w:t>
      </w:r>
      <w:r w:rsidRPr="000C3F2F">
        <w:rPr>
          <w:rFonts w:ascii="Arial" w:hAnsi="Arial" w:cs="Arial"/>
          <w:color w:val="000000" w:themeColor="text1"/>
          <w:kern w:val="0"/>
        </w:rPr>
        <w:t xml:space="preserve">. By focusing capital </w:t>
      </w:r>
      <w:proofErr w:type="gramStart"/>
      <w:r w:rsidRPr="000C3F2F">
        <w:rPr>
          <w:rFonts w:ascii="Arial" w:hAnsi="Arial" w:cs="Arial"/>
          <w:color w:val="000000" w:themeColor="text1"/>
          <w:kern w:val="0"/>
        </w:rPr>
        <w:t>in</w:t>
      </w:r>
      <w:proofErr w:type="gramEnd"/>
      <w:r w:rsidRPr="000C3F2F">
        <w:rPr>
          <w:rFonts w:ascii="Arial" w:hAnsi="Arial" w:cs="Arial"/>
          <w:color w:val="000000" w:themeColor="text1"/>
          <w:kern w:val="0"/>
        </w:rPr>
        <w:t xml:space="preserve"> Ford Pro and cutting EV losses, ROIC would increase faster to 1518, which is significantly higher than the estimated WACC of about 1011 at Ford, and would generate shareholder value.</w:t>
      </w:r>
    </w:p>
    <w:p w14:paraId="6203812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28990955" w14:textId="77777777" w:rsidR="00AF6302" w:rsidRPr="000C3F2F" w:rsidRDefault="00AF6302" w:rsidP="000C3F2F">
      <w:pPr>
        <w:pStyle w:val="Heading2"/>
        <w:spacing w:line="360" w:lineRule="auto"/>
        <w:jc w:val="both"/>
        <w:rPr>
          <w:rFonts w:ascii="Arial" w:hAnsi="Arial" w:cs="Arial"/>
          <w:color w:val="000000" w:themeColor="text1"/>
          <w:sz w:val="24"/>
          <w:szCs w:val="24"/>
        </w:rPr>
      </w:pPr>
      <w:bookmarkStart w:id="19" w:name="_Toc227925575"/>
      <w:r w:rsidRPr="000C3F2F">
        <w:rPr>
          <w:rFonts w:ascii="Arial" w:hAnsi="Arial" w:cs="Arial"/>
          <w:color w:val="000000" w:themeColor="text1"/>
          <w:sz w:val="24"/>
          <w:szCs w:val="24"/>
        </w:rPr>
        <w:t>3.4 International and Ethical Considerations</w:t>
      </w:r>
      <w:bookmarkEnd w:id="19"/>
    </w:p>
    <w:p w14:paraId="1665442E" w14:textId="77777777" w:rsidR="00A0719D" w:rsidRPr="000C3F2F" w:rsidRDefault="00A0719D" w:rsidP="000C3F2F">
      <w:pPr>
        <w:autoSpaceDE w:val="0"/>
        <w:autoSpaceDN w:val="0"/>
        <w:adjustRightInd w:val="0"/>
        <w:spacing w:after="0" w:line="360" w:lineRule="auto"/>
        <w:jc w:val="both"/>
        <w:rPr>
          <w:rFonts w:ascii="Arial" w:hAnsi="Arial" w:cs="Arial"/>
          <w:color w:val="000000" w:themeColor="text1"/>
          <w:kern w:val="0"/>
        </w:rPr>
      </w:pPr>
    </w:p>
    <w:p w14:paraId="1207BC40" w14:textId="64E05288"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Currency Risk:</w:t>
      </w:r>
      <w:r w:rsidRPr="000C3F2F">
        <w:rPr>
          <w:rFonts w:ascii="Arial" w:hAnsi="Arial" w:cs="Arial"/>
          <w:color w:val="000000" w:themeColor="text1"/>
          <w:kern w:val="0"/>
        </w:rPr>
        <w:t xml:space="preserve"> Ford earns 32.5% of the revenues outside the United </w:t>
      </w:r>
      <w:proofErr w:type="gramStart"/>
      <w:r w:rsidRPr="000C3F2F">
        <w:rPr>
          <w:rFonts w:ascii="Arial" w:hAnsi="Arial" w:cs="Arial"/>
          <w:color w:val="000000" w:themeColor="text1"/>
          <w:kern w:val="0"/>
        </w:rPr>
        <w:t>States</w:t>
      </w:r>
      <w:r w:rsidR="00333B36">
        <w:t>(</w:t>
      </w:r>
      <w:proofErr w:type="gramEnd"/>
      <w:r w:rsidR="00333B36">
        <w:t>Ford Motor Company, 2024)</w:t>
      </w:r>
      <w:r w:rsidRPr="000C3F2F">
        <w:rPr>
          <w:rFonts w:ascii="Arial" w:hAnsi="Arial" w:cs="Arial"/>
          <w:color w:val="000000" w:themeColor="text1"/>
          <w:kern w:val="0"/>
        </w:rPr>
        <w:t>. An appreciating USD (applicable in case of capital repatriation due to tariffs) would decrease the translated value of foreign earnings. Ford has been using derivative hedging instruments to hedge foreign exchange exposures but structural hedges like matching the cost of production to the currency of revenue (e.g. production in Europe to European markets) are more sustainable over long-</w:t>
      </w:r>
      <w:proofErr w:type="gramStart"/>
      <w:r w:rsidRPr="000C3F2F">
        <w:rPr>
          <w:rFonts w:ascii="Arial" w:hAnsi="Arial" w:cs="Arial"/>
          <w:color w:val="000000" w:themeColor="text1"/>
          <w:kern w:val="0"/>
        </w:rPr>
        <w:t>term</w:t>
      </w:r>
      <w:r w:rsidR="00333B36" w:rsidRPr="00333B36">
        <w:rPr>
          <w:rFonts w:ascii="Arial" w:hAnsi="Arial" w:cs="Arial"/>
          <w:color w:val="000000" w:themeColor="text1"/>
          <w:kern w:val="0"/>
        </w:rPr>
        <w:t>(</w:t>
      </w:r>
      <w:proofErr w:type="spellStart"/>
      <w:proofErr w:type="gramEnd"/>
      <w:r w:rsidR="00333B36" w:rsidRPr="00333B36">
        <w:rPr>
          <w:rFonts w:ascii="Arial" w:hAnsi="Arial" w:cs="Arial"/>
          <w:color w:val="000000" w:themeColor="text1"/>
          <w:kern w:val="0"/>
        </w:rPr>
        <w:t>Alaryani</w:t>
      </w:r>
      <w:proofErr w:type="spellEnd"/>
      <w:r w:rsidR="00333B36" w:rsidRPr="00333B36">
        <w:rPr>
          <w:rFonts w:ascii="Arial" w:hAnsi="Arial" w:cs="Arial"/>
          <w:color w:val="000000" w:themeColor="text1"/>
          <w:kern w:val="0"/>
        </w:rPr>
        <w:t xml:space="preserve"> et al., 2024)</w:t>
      </w:r>
      <w:r w:rsidRPr="000C3F2F">
        <w:rPr>
          <w:rFonts w:ascii="Arial" w:hAnsi="Arial" w:cs="Arial"/>
          <w:color w:val="000000" w:themeColor="text1"/>
          <w:kern w:val="0"/>
        </w:rPr>
        <w:t>.</w:t>
      </w:r>
    </w:p>
    <w:p w14:paraId="29D85DE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4DCDA9D5" w14:textId="74F8CC71"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Taxation:</w:t>
      </w:r>
      <w:r w:rsidRPr="000C3F2F">
        <w:rPr>
          <w:rFonts w:ascii="Arial" w:hAnsi="Arial" w:cs="Arial"/>
          <w:color w:val="000000" w:themeColor="text1"/>
          <w:kern w:val="0"/>
        </w:rPr>
        <w:t xml:space="preserve"> At the end of 2024, Ford had a carrying forward of operating loss of 20.7 billion, and a valuation allowance of 4.2 billion on deferred tax assets</w:t>
      </w:r>
      <w:r w:rsidR="00333B36" w:rsidRPr="00333B36">
        <w:t xml:space="preserve"> </w:t>
      </w:r>
      <w:r w:rsidR="00333B36">
        <w:t>(Ford Motor Company, 2024)</w:t>
      </w:r>
      <w:r w:rsidRPr="000C3F2F">
        <w:rPr>
          <w:rFonts w:ascii="Arial" w:hAnsi="Arial" w:cs="Arial"/>
          <w:color w:val="000000" w:themeColor="text1"/>
          <w:kern w:val="0"/>
        </w:rPr>
        <w:t>. The 2023 corporate restructuring of leasing operations created tax benefits of $610 million</w:t>
      </w:r>
      <w:r w:rsidR="00333B36" w:rsidRPr="00333B36">
        <w:t xml:space="preserve"> </w:t>
      </w:r>
      <w:r w:rsidR="00333B36">
        <w:t>(Ford Motor Company, 2023)</w:t>
      </w:r>
      <w:r w:rsidRPr="000C3F2F">
        <w:rPr>
          <w:rFonts w:ascii="Arial" w:hAnsi="Arial" w:cs="Arial"/>
          <w:color w:val="000000" w:themeColor="text1"/>
          <w:kern w:val="0"/>
        </w:rPr>
        <w:t xml:space="preserve">. Any divestiture should be carefully designed to prevent the incurrence of large capital gains taxes; treaty-protected holding company structures in places like Luxembourg or the Netherlands can maximise tax efficiency and still </w:t>
      </w:r>
      <w:r w:rsidR="00E320E1" w:rsidRPr="000C3F2F">
        <w:rPr>
          <w:rFonts w:ascii="Arial" w:hAnsi="Arial" w:cs="Arial"/>
          <w:color w:val="000000" w:themeColor="text1"/>
          <w:kern w:val="0"/>
        </w:rPr>
        <w:t>follow</w:t>
      </w:r>
      <w:r w:rsidRPr="000C3F2F">
        <w:rPr>
          <w:rFonts w:ascii="Arial" w:hAnsi="Arial" w:cs="Arial"/>
          <w:color w:val="000000" w:themeColor="text1"/>
          <w:kern w:val="0"/>
        </w:rPr>
        <w:t xml:space="preserve"> OECD Pillar Two minimum tax requirements</w:t>
      </w:r>
      <w:r w:rsidR="00333B36" w:rsidRPr="00333B36">
        <w:t xml:space="preserve"> </w:t>
      </w:r>
      <w:r w:rsidR="00333B36" w:rsidRPr="00333B36">
        <w:rPr>
          <w:rFonts w:ascii="Arial" w:hAnsi="Arial" w:cs="Arial"/>
          <w:color w:val="000000" w:themeColor="text1"/>
          <w:kern w:val="0"/>
        </w:rPr>
        <w:t>(OECD, 2021)</w:t>
      </w:r>
      <w:r w:rsidRPr="000C3F2F">
        <w:rPr>
          <w:rFonts w:ascii="Arial" w:hAnsi="Arial" w:cs="Arial"/>
          <w:color w:val="000000" w:themeColor="text1"/>
          <w:kern w:val="0"/>
        </w:rPr>
        <w:t>.</w:t>
      </w:r>
    </w:p>
    <w:p w14:paraId="68A623A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65F92E43" w14:textId="6061B279"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Inflation:</w:t>
      </w:r>
      <w:r w:rsidRPr="000C3F2F">
        <w:rPr>
          <w:rFonts w:ascii="Arial" w:hAnsi="Arial" w:cs="Arial"/>
          <w:color w:val="000000" w:themeColor="text1"/>
          <w:kern w:val="0"/>
        </w:rPr>
        <w:t xml:space="preserve"> The increasing cost of inputs steel, aluminium, lithium, cobalt, has squeezed the gross margins of Ford. This is partially addressed by long-term commodity supply contracts (e.g., the multi-year lithium supply contract that Ford has with </w:t>
      </w:r>
      <w:proofErr w:type="spellStart"/>
      <w:r w:rsidRPr="000C3F2F">
        <w:rPr>
          <w:rFonts w:ascii="Arial" w:hAnsi="Arial" w:cs="Arial"/>
          <w:color w:val="000000" w:themeColor="text1"/>
          <w:kern w:val="0"/>
        </w:rPr>
        <w:t>BlueOval</w:t>
      </w:r>
      <w:proofErr w:type="spellEnd"/>
      <w:r w:rsidRPr="000C3F2F">
        <w:rPr>
          <w:rFonts w:ascii="Arial" w:hAnsi="Arial" w:cs="Arial"/>
          <w:color w:val="000000" w:themeColor="text1"/>
          <w:kern w:val="0"/>
        </w:rPr>
        <w:t xml:space="preserve"> SK)</w:t>
      </w:r>
      <w:r w:rsidR="00333B36" w:rsidRPr="00333B36">
        <w:t xml:space="preserve"> </w:t>
      </w:r>
      <w:r w:rsidR="00333B36">
        <w:t>(Ford Motor Company, 2023; Ford Motor Company, 2024)</w:t>
      </w:r>
      <w:r w:rsidRPr="000C3F2F">
        <w:rPr>
          <w:rFonts w:ascii="Arial" w:hAnsi="Arial" w:cs="Arial"/>
          <w:color w:val="000000" w:themeColor="text1"/>
          <w:kern w:val="0"/>
        </w:rPr>
        <w:t xml:space="preserve">, but inflationary pressures on </w:t>
      </w:r>
      <w:r w:rsidRPr="000C3F2F">
        <w:rPr>
          <w:rFonts w:ascii="Arial" w:hAnsi="Arial" w:cs="Arial"/>
          <w:color w:val="000000" w:themeColor="text1"/>
          <w:kern w:val="0"/>
        </w:rPr>
        <w:lastRenderedPageBreak/>
        <w:t>labour (after UAW and Unifor contracts in 2023) and logistics persist</w:t>
      </w:r>
      <w:r w:rsidR="00333B36" w:rsidRPr="00333B36">
        <w:t xml:space="preserve"> </w:t>
      </w:r>
      <w:r w:rsidR="00333B36">
        <w:t>(Ford Motor Company, 2023; Ford Motor Company, 2024)</w:t>
      </w:r>
      <w:r w:rsidRPr="000C3F2F">
        <w:rPr>
          <w:rFonts w:ascii="Arial" w:hAnsi="Arial" w:cs="Arial"/>
          <w:color w:val="000000" w:themeColor="text1"/>
          <w:kern w:val="0"/>
        </w:rPr>
        <w:t>.</w:t>
      </w:r>
      <w:r w:rsidRPr="000C3F2F">
        <w:rPr>
          <w:rFonts w:ascii="MS Gothic" w:eastAsia="MS Gothic" w:hAnsi="MS Gothic" w:cs="MS Gothic" w:hint="eastAsia"/>
          <w:color w:val="000000" w:themeColor="text1"/>
          <w:kern w:val="0"/>
        </w:rPr>
        <w:t>  </w:t>
      </w:r>
    </w:p>
    <w:p w14:paraId="73F57C8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121AB3DF" w14:textId="6910EFD5"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MS Gothic" w:eastAsia="MS Gothic" w:hAnsi="MS Gothic" w:cs="MS Gothic" w:hint="eastAsia"/>
          <w:b/>
          <w:bCs/>
          <w:color w:val="000000" w:themeColor="text1"/>
          <w:kern w:val="0"/>
        </w:rPr>
        <w:t> </w:t>
      </w:r>
      <w:r w:rsidRPr="000C3F2F">
        <w:rPr>
          <w:rFonts w:ascii="Arial" w:hAnsi="Arial" w:cs="Arial"/>
          <w:b/>
          <w:bCs/>
          <w:color w:val="000000" w:themeColor="text1"/>
          <w:kern w:val="0"/>
        </w:rPr>
        <w:t xml:space="preserve">Corporate Social Responsibility (CSR): </w:t>
      </w:r>
      <w:r w:rsidRPr="000C3F2F">
        <w:rPr>
          <w:rFonts w:ascii="Arial" w:hAnsi="Arial" w:cs="Arial"/>
          <w:color w:val="000000" w:themeColor="text1"/>
          <w:kern w:val="0"/>
        </w:rPr>
        <w:t xml:space="preserve">The total </w:t>
      </w:r>
      <w:proofErr w:type="spellStart"/>
      <w:r w:rsidRPr="000C3F2F">
        <w:rPr>
          <w:rFonts w:ascii="Arial" w:hAnsi="Arial" w:cs="Arial"/>
          <w:color w:val="000000" w:themeColor="text1"/>
          <w:kern w:val="0"/>
        </w:rPr>
        <w:t>ev</w:t>
      </w:r>
      <w:proofErr w:type="spellEnd"/>
      <w:r w:rsidRPr="000C3F2F">
        <w:rPr>
          <w:rFonts w:ascii="Arial" w:hAnsi="Arial" w:cs="Arial"/>
          <w:color w:val="000000" w:themeColor="text1"/>
          <w:kern w:val="0"/>
        </w:rPr>
        <w:t xml:space="preserve"> capital expenditure of $4.7 billion in 2024 (compared to 1.6 billion in 2022) shows that Ford is committed to decarbonisation</w:t>
      </w:r>
      <w:r w:rsidR="00333B36" w:rsidRPr="00333B36">
        <w:t xml:space="preserve"> </w:t>
      </w:r>
      <w:r w:rsidR="00333B36">
        <w:t>(Ford Motor Company, 2022; Ford Motor Company, 2024)</w:t>
      </w:r>
      <w:r w:rsidRPr="000C3F2F">
        <w:rPr>
          <w:rFonts w:ascii="Arial" w:hAnsi="Arial" w:cs="Arial"/>
          <w:color w:val="000000" w:themeColor="text1"/>
          <w:kern w:val="0"/>
        </w:rPr>
        <w:t>. The strategic choice of the company to invest in solid-state batteries and next-generation EV platforms should be offset with the responsible management of the workforce changes, especially in communities where the manufacturing of legacy ICE batteries is being phased out</w:t>
      </w:r>
      <w:r w:rsidR="00333B36" w:rsidRPr="00333B36">
        <w:t xml:space="preserve"> </w:t>
      </w:r>
      <w:r w:rsidR="00333B36">
        <w:t>(Ford Motor Company, 2023; Ford Motor Company, 2024)</w:t>
      </w:r>
      <w:r w:rsidRPr="000C3F2F">
        <w:rPr>
          <w:rFonts w:ascii="Arial" w:hAnsi="Arial" w:cs="Arial"/>
          <w:color w:val="000000" w:themeColor="text1"/>
          <w:kern w:val="0"/>
        </w:rPr>
        <w:t xml:space="preserve">. The involvement of Ford in the UAW in collective bargaining restructuring programmes reflects the social awareness. Any restructuring should be in line with ESG disclosure models like the Task Force on Climate-related Financial Disclosures (TCFD), which are being </w:t>
      </w:r>
      <w:proofErr w:type="gramStart"/>
      <w:r w:rsidRPr="000C3F2F">
        <w:rPr>
          <w:rFonts w:ascii="Arial" w:hAnsi="Arial" w:cs="Arial"/>
          <w:color w:val="000000" w:themeColor="text1"/>
          <w:kern w:val="0"/>
        </w:rPr>
        <w:t>more and more</w:t>
      </w:r>
      <w:proofErr w:type="gramEnd"/>
      <w:r w:rsidRPr="000C3F2F">
        <w:rPr>
          <w:rFonts w:ascii="Arial" w:hAnsi="Arial" w:cs="Arial"/>
          <w:color w:val="000000" w:themeColor="text1"/>
          <w:kern w:val="0"/>
        </w:rPr>
        <w:t xml:space="preserve"> obligatory among institutional investors.</w:t>
      </w:r>
      <w:r w:rsidRPr="000C3F2F">
        <w:rPr>
          <w:rFonts w:ascii="MS Gothic" w:eastAsia="MS Gothic" w:hAnsi="MS Gothic" w:cs="MS Gothic" w:hint="eastAsia"/>
          <w:b/>
          <w:bCs/>
          <w:color w:val="000000" w:themeColor="text1"/>
          <w:kern w:val="0"/>
        </w:rPr>
        <w:t>  </w:t>
      </w:r>
    </w:p>
    <w:p w14:paraId="4BE2700F"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p>
    <w:p w14:paraId="2370B109" w14:textId="25731B13" w:rsidR="00AF6302" w:rsidRPr="000C3F2F" w:rsidRDefault="00AF6302" w:rsidP="000C3F2F">
      <w:pPr>
        <w:pStyle w:val="Heading1"/>
        <w:spacing w:line="360" w:lineRule="auto"/>
        <w:jc w:val="both"/>
        <w:rPr>
          <w:rFonts w:ascii="Arial" w:hAnsi="Arial" w:cs="Arial"/>
          <w:color w:val="000000" w:themeColor="text1"/>
          <w:sz w:val="24"/>
          <w:szCs w:val="24"/>
        </w:rPr>
      </w:pPr>
      <w:bookmarkStart w:id="20" w:name="_Toc227925576"/>
      <w:r w:rsidRPr="000C3F2F">
        <w:rPr>
          <w:rFonts w:ascii="Arial" w:hAnsi="Arial" w:cs="Arial"/>
          <w:color w:val="000000" w:themeColor="text1"/>
          <w:sz w:val="24"/>
          <w:szCs w:val="24"/>
        </w:rPr>
        <w:t>4. Investment Appraisal and Capital Budgeting</w:t>
      </w:r>
      <w:bookmarkEnd w:id="20"/>
    </w:p>
    <w:p w14:paraId="7E4E12DB"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354460F0" w14:textId="77777777" w:rsidR="00AF6302" w:rsidRPr="000C3F2F" w:rsidRDefault="00AF6302" w:rsidP="000C3F2F">
      <w:pPr>
        <w:pStyle w:val="Heading2"/>
        <w:spacing w:line="360" w:lineRule="auto"/>
        <w:jc w:val="both"/>
        <w:rPr>
          <w:rFonts w:ascii="Arial" w:hAnsi="Arial" w:cs="Arial"/>
          <w:color w:val="000000" w:themeColor="text1"/>
          <w:sz w:val="24"/>
          <w:szCs w:val="24"/>
        </w:rPr>
      </w:pPr>
      <w:bookmarkStart w:id="21" w:name="_Toc227925577"/>
      <w:r w:rsidRPr="000C3F2F">
        <w:rPr>
          <w:rFonts w:ascii="Arial" w:hAnsi="Arial" w:cs="Arial"/>
          <w:color w:val="000000" w:themeColor="text1"/>
          <w:sz w:val="24"/>
          <w:szCs w:val="24"/>
        </w:rPr>
        <w:t>4.1 Project Details</w:t>
      </w:r>
      <w:bookmarkEnd w:id="21"/>
    </w:p>
    <w:p w14:paraId="00ED21B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1B47B9A5"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The Board of Ford needs to consider three investment projects which are mutually independent and each has an initial investment of £50 million, net cash inflows over five years with a discount rate of 10 percent and straight-line depreciation to zero.</w:t>
      </w:r>
    </w:p>
    <w:p w14:paraId="29A9BC5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w:t>
      </w:r>
    </w:p>
    <w:tbl>
      <w:tblPr>
        <w:tblW w:w="9275" w:type="dxa"/>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836"/>
        <w:gridCol w:w="2383"/>
        <w:gridCol w:w="2410"/>
        <w:gridCol w:w="2410"/>
        <w:gridCol w:w="236"/>
      </w:tblGrid>
      <w:tr w:rsidR="000C3F2F" w:rsidRPr="000C3F2F" w14:paraId="1449DA58" w14:textId="77777777" w:rsidTr="000C3F2F">
        <w:trPr>
          <w:gridAfter w:val="1"/>
          <w:wAfter w:w="236" w:type="dxa"/>
        </w:trPr>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FAB47CB" w14:textId="77777777" w:rsidR="000C3F2F" w:rsidRPr="000C3F2F" w:rsidRDefault="000C3F2F" w:rsidP="000C3F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rPr>
            </w:pPr>
          </w:p>
        </w:tc>
        <w:tc>
          <w:tcPr>
            <w:tcW w:w="238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8EE300F" w14:textId="77777777" w:rsidR="000C3F2F" w:rsidRPr="000C3F2F" w:rsidRDefault="000C3F2F" w:rsidP="000C3F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rPr>
            </w:pP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4B665ED" w14:textId="77777777" w:rsidR="000C3F2F" w:rsidRPr="000C3F2F" w:rsidRDefault="000C3F2F" w:rsidP="000C3F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rPr>
            </w:pP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470EA98" w14:textId="77777777" w:rsidR="000C3F2F" w:rsidRPr="000C3F2F" w:rsidRDefault="000C3F2F" w:rsidP="000C3F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rPr>
            </w:pPr>
          </w:p>
        </w:tc>
      </w:tr>
      <w:tr w:rsidR="000C3F2F" w:rsidRPr="000C3F2F" w14:paraId="17304D6B" w14:textId="77777777" w:rsidTr="000C3F2F">
        <w:tblPrEx>
          <w:tblBorders>
            <w:top w:val="none" w:sz="0" w:space="0" w:color="auto"/>
          </w:tblBorders>
        </w:tblPrEx>
        <w:trPr>
          <w:gridAfter w:val="1"/>
          <w:wAfter w:w="236" w:type="dxa"/>
        </w:trPr>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04A13F1" w14:textId="77777777" w:rsidR="000C3F2F" w:rsidRPr="000C3F2F" w:rsidRDefault="000C3F2F"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38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4EC0AAC" w14:textId="77777777" w:rsidR="000C3F2F" w:rsidRPr="000C3F2F" w:rsidRDefault="000C3F2F"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Project A NCF (£m)</w:t>
            </w: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E624791" w14:textId="77777777" w:rsidR="000C3F2F" w:rsidRPr="000C3F2F" w:rsidRDefault="000C3F2F"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Project B NCF (£m)</w:t>
            </w: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B6072C6" w14:textId="77777777" w:rsidR="000C3F2F" w:rsidRPr="000C3F2F" w:rsidRDefault="000C3F2F"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Project C NCF (£m)</w:t>
            </w:r>
          </w:p>
        </w:tc>
      </w:tr>
      <w:tr w:rsidR="000C3F2F" w:rsidRPr="000C3F2F" w14:paraId="2C64E87C" w14:textId="77777777" w:rsidTr="000C3F2F">
        <w:tblPrEx>
          <w:tblBorders>
            <w:top w:val="none" w:sz="0" w:space="0" w:color="auto"/>
          </w:tblBorders>
        </w:tblPrEx>
        <w:trPr>
          <w:gridAfter w:val="1"/>
          <w:wAfter w:w="236" w:type="dxa"/>
        </w:trPr>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316BD4A" w14:textId="77777777" w:rsidR="000C3F2F" w:rsidRPr="000C3F2F" w:rsidRDefault="000C3F2F"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w:t>
            </w:r>
          </w:p>
        </w:tc>
        <w:tc>
          <w:tcPr>
            <w:tcW w:w="238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A689B4D" w14:textId="77777777" w:rsidR="000C3F2F" w:rsidRPr="000C3F2F" w:rsidRDefault="000C3F2F"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w:t>
            </w: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A1A7D29" w14:textId="77777777" w:rsidR="000C3F2F" w:rsidRPr="000C3F2F" w:rsidRDefault="000C3F2F"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11</w:t>
            </w: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54083D6" w14:textId="77777777" w:rsidR="000C3F2F" w:rsidRPr="000C3F2F" w:rsidRDefault="000C3F2F"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w:t>
            </w:r>
          </w:p>
        </w:tc>
      </w:tr>
      <w:tr w:rsidR="000C3F2F" w:rsidRPr="000C3F2F" w14:paraId="27833FD9" w14:textId="77777777" w:rsidTr="000C3F2F">
        <w:tblPrEx>
          <w:tblBorders>
            <w:top w:val="none" w:sz="0" w:space="0" w:color="auto"/>
          </w:tblBorders>
        </w:tblPrEx>
        <w:trPr>
          <w:gridAfter w:val="1"/>
          <w:wAfter w:w="236" w:type="dxa"/>
        </w:trPr>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6379E4F" w14:textId="77777777" w:rsidR="000C3F2F" w:rsidRPr="000C3F2F" w:rsidRDefault="000C3F2F"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w:t>
            </w:r>
          </w:p>
        </w:tc>
        <w:tc>
          <w:tcPr>
            <w:tcW w:w="238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EC11E8F" w14:textId="77777777" w:rsidR="000C3F2F" w:rsidRPr="000C3F2F" w:rsidRDefault="000C3F2F"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12</w:t>
            </w: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1BE0FF8" w14:textId="77777777" w:rsidR="000C3F2F" w:rsidRPr="000C3F2F" w:rsidRDefault="000C3F2F"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11</w:t>
            </w: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3776388" w14:textId="77777777" w:rsidR="000C3F2F" w:rsidRPr="000C3F2F" w:rsidRDefault="000C3F2F"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w:t>
            </w:r>
          </w:p>
        </w:tc>
      </w:tr>
      <w:tr w:rsidR="00AF6302" w:rsidRPr="000C3F2F" w14:paraId="1CA0BB19" w14:textId="77777777" w:rsidTr="000C3F2F">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13521C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w:t>
            </w:r>
          </w:p>
        </w:tc>
        <w:tc>
          <w:tcPr>
            <w:tcW w:w="238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E5CAC4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14</w:t>
            </w: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448E37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11</w:t>
            </w: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B4C6D9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w:t>
            </w:r>
          </w:p>
        </w:tc>
        <w:tc>
          <w:tcPr>
            <w:tcW w:w="2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E14BCEE" w14:textId="77777777" w:rsidR="00AF6302" w:rsidRPr="000C3F2F" w:rsidRDefault="00AF6302" w:rsidP="000C3F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rPr>
            </w:pPr>
          </w:p>
        </w:tc>
      </w:tr>
      <w:tr w:rsidR="00AF6302" w:rsidRPr="000C3F2F" w14:paraId="24D6840E" w14:textId="77777777" w:rsidTr="000C3F2F">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D36703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w:t>
            </w:r>
          </w:p>
        </w:tc>
        <w:tc>
          <w:tcPr>
            <w:tcW w:w="238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C7CE34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w:t>
            </w: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E27CBB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11</w:t>
            </w: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7BF432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25</w:t>
            </w:r>
          </w:p>
        </w:tc>
        <w:tc>
          <w:tcPr>
            <w:tcW w:w="2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F7F61C5" w14:textId="77777777" w:rsidR="00AF6302" w:rsidRPr="000C3F2F" w:rsidRDefault="00AF6302" w:rsidP="000C3F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rPr>
            </w:pPr>
          </w:p>
        </w:tc>
      </w:tr>
      <w:tr w:rsidR="00AF6302" w:rsidRPr="000C3F2F" w14:paraId="72D34617" w14:textId="77777777" w:rsidTr="000C3F2F">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494DD7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w:t>
            </w:r>
          </w:p>
        </w:tc>
        <w:tc>
          <w:tcPr>
            <w:tcW w:w="238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E01B41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8</w:t>
            </w: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265B7BB"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11</w:t>
            </w: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3466CC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w:t>
            </w:r>
          </w:p>
        </w:tc>
        <w:tc>
          <w:tcPr>
            <w:tcW w:w="2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FC71090" w14:textId="77777777" w:rsidR="00AF6302" w:rsidRPr="000C3F2F" w:rsidRDefault="00AF6302" w:rsidP="000C3F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rPr>
            </w:pPr>
          </w:p>
        </w:tc>
      </w:tr>
      <w:tr w:rsidR="00AF6302" w:rsidRPr="000C3F2F" w14:paraId="59CE5A6D" w14:textId="77777777" w:rsidTr="000C3F2F">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E34E22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Total</w:t>
            </w:r>
          </w:p>
        </w:tc>
        <w:tc>
          <w:tcPr>
            <w:tcW w:w="238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DD3FCE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54</w:t>
            </w: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89A1FD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55</w:t>
            </w:r>
          </w:p>
        </w:tc>
        <w:tc>
          <w:tcPr>
            <w:tcW w:w="241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BC4EAA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65</w:t>
            </w:r>
          </w:p>
        </w:tc>
        <w:tc>
          <w:tcPr>
            <w:tcW w:w="2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C6AD731" w14:textId="77777777" w:rsidR="00AF6302" w:rsidRPr="000C3F2F" w:rsidRDefault="00AF6302" w:rsidP="000C3F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rPr>
            </w:pPr>
          </w:p>
        </w:tc>
      </w:tr>
    </w:tbl>
    <w:p w14:paraId="5C6FE98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lastRenderedPageBreak/>
        <w:t> </w:t>
      </w:r>
    </w:p>
    <w:p w14:paraId="6B60EA00" w14:textId="2433EBFC"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Annual depreciation for all projects = £50m / 5 = £10m per annum</w:t>
      </w:r>
    </w:p>
    <w:p w14:paraId="52254B97"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141B15A5"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13462A72" w14:textId="77777777" w:rsidR="00AF6302" w:rsidRPr="000C3F2F" w:rsidRDefault="00AF6302" w:rsidP="000C3F2F">
      <w:pPr>
        <w:pStyle w:val="Heading2"/>
        <w:spacing w:line="360" w:lineRule="auto"/>
        <w:jc w:val="both"/>
        <w:rPr>
          <w:rFonts w:ascii="Arial" w:hAnsi="Arial" w:cs="Arial"/>
          <w:color w:val="000000" w:themeColor="text1"/>
          <w:sz w:val="24"/>
          <w:szCs w:val="24"/>
        </w:rPr>
      </w:pPr>
      <w:bookmarkStart w:id="22" w:name="_Toc227925578"/>
      <w:r w:rsidRPr="000C3F2F">
        <w:rPr>
          <w:rFonts w:ascii="Arial" w:hAnsi="Arial" w:cs="Arial"/>
          <w:color w:val="000000" w:themeColor="text1"/>
          <w:sz w:val="24"/>
          <w:szCs w:val="24"/>
        </w:rPr>
        <w:t>4.2 Payback Period (PBP)</w:t>
      </w:r>
      <w:bookmarkEnd w:id="22"/>
    </w:p>
    <w:p w14:paraId="3EBB8E1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05D719CE"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Project A:</w:t>
      </w:r>
    </w:p>
    <w:p w14:paraId="67D8A97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2805A4C4" w14:textId="77777777" w:rsidR="00AF6302" w:rsidRPr="000C3F2F" w:rsidRDefault="00AF6302" w:rsidP="000C3F2F">
      <w:pPr>
        <w:numPr>
          <w:ilvl w:val="0"/>
          <w:numId w:val="1"/>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End Year 1: £10m cumulative → shortfall £40m</w:t>
      </w:r>
    </w:p>
    <w:p w14:paraId="7B8EBE21" w14:textId="77777777" w:rsidR="00AF6302" w:rsidRPr="000C3F2F" w:rsidRDefault="00AF6302" w:rsidP="000C3F2F">
      <w:pPr>
        <w:numPr>
          <w:ilvl w:val="0"/>
          <w:numId w:val="1"/>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End Year 2: £22m cumulative → shortfall £28m</w:t>
      </w:r>
    </w:p>
    <w:p w14:paraId="2E20EA68" w14:textId="77777777" w:rsidR="00AF6302" w:rsidRPr="000C3F2F" w:rsidRDefault="00AF6302" w:rsidP="000C3F2F">
      <w:pPr>
        <w:numPr>
          <w:ilvl w:val="0"/>
          <w:numId w:val="1"/>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End Year 3: £36m cumulative → shortfall £14m</w:t>
      </w:r>
    </w:p>
    <w:p w14:paraId="3FCD5958" w14:textId="77777777" w:rsidR="00AF6302" w:rsidRPr="000C3F2F" w:rsidRDefault="00AF6302" w:rsidP="000C3F2F">
      <w:pPr>
        <w:numPr>
          <w:ilvl w:val="0"/>
          <w:numId w:val="1"/>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End Year 4: £46m cumulative → shortfall £4m</w:t>
      </w:r>
    </w:p>
    <w:p w14:paraId="43E95C56" w14:textId="77777777" w:rsidR="00AF6302" w:rsidRPr="000C3F2F" w:rsidRDefault="00AF6302" w:rsidP="000C3F2F">
      <w:pPr>
        <w:numPr>
          <w:ilvl w:val="0"/>
          <w:numId w:val="1"/>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PBP = 4 + (4/8) = 4.5 years</w:t>
      </w:r>
    </w:p>
    <w:p w14:paraId="6A882123"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Project B:</w:t>
      </w:r>
    </w:p>
    <w:p w14:paraId="23F4DF4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036C2A03" w14:textId="77777777" w:rsidR="00AF6302" w:rsidRPr="000C3F2F" w:rsidRDefault="00AF6302" w:rsidP="000C3F2F">
      <w:pPr>
        <w:numPr>
          <w:ilvl w:val="0"/>
          <w:numId w:val="2"/>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End Year 1: £11m → shortfall £39m</w:t>
      </w:r>
    </w:p>
    <w:p w14:paraId="679476F3" w14:textId="77777777" w:rsidR="00AF6302" w:rsidRPr="000C3F2F" w:rsidRDefault="00AF6302" w:rsidP="000C3F2F">
      <w:pPr>
        <w:numPr>
          <w:ilvl w:val="0"/>
          <w:numId w:val="2"/>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End Year 2: £22m → shortfall £28m</w:t>
      </w:r>
    </w:p>
    <w:p w14:paraId="45A43B84" w14:textId="77777777" w:rsidR="00AF6302" w:rsidRPr="000C3F2F" w:rsidRDefault="00AF6302" w:rsidP="000C3F2F">
      <w:pPr>
        <w:numPr>
          <w:ilvl w:val="0"/>
          <w:numId w:val="2"/>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End Year 3: £33m → shortfall £17m</w:t>
      </w:r>
    </w:p>
    <w:p w14:paraId="488C1EBB" w14:textId="77777777" w:rsidR="00AF6302" w:rsidRPr="000C3F2F" w:rsidRDefault="00AF6302" w:rsidP="000C3F2F">
      <w:pPr>
        <w:numPr>
          <w:ilvl w:val="0"/>
          <w:numId w:val="2"/>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End Year 4: £44m → shortfall £6m</w:t>
      </w:r>
    </w:p>
    <w:p w14:paraId="4283B55D" w14:textId="77777777" w:rsidR="00AF6302" w:rsidRPr="000C3F2F" w:rsidRDefault="00AF6302" w:rsidP="000C3F2F">
      <w:pPr>
        <w:numPr>
          <w:ilvl w:val="0"/>
          <w:numId w:val="2"/>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PBP = 4 + (6/11) = 4.55 years</w:t>
      </w:r>
    </w:p>
    <w:p w14:paraId="51D18AEC"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Project C:</w:t>
      </w:r>
    </w:p>
    <w:p w14:paraId="32F6568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6ECB6D47" w14:textId="77777777" w:rsidR="00AF6302" w:rsidRPr="000C3F2F" w:rsidRDefault="00AF6302" w:rsidP="000C3F2F">
      <w:pPr>
        <w:numPr>
          <w:ilvl w:val="0"/>
          <w:numId w:val="5"/>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End Year 1: £5m → shortfall £45m</w:t>
      </w:r>
    </w:p>
    <w:p w14:paraId="0D2C2C11" w14:textId="77777777" w:rsidR="00AF6302" w:rsidRPr="000C3F2F" w:rsidRDefault="00AF6302" w:rsidP="000C3F2F">
      <w:pPr>
        <w:numPr>
          <w:ilvl w:val="0"/>
          <w:numId w:val="5"/>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End Year 2: £15m → shortfall £35m</w:t>
      </w:r>
    </w:p>
    <w:p w14:paraId="72A3319C" w14:textId="77777777" w:rsidR="00AF6302" w:rsidRPr="000C3F2F" w:rsidRDefault="00AF6302" w:rsidP="000C3F2F">
      <w:pPr>
        <w:numPr>
          <w:ilvl w:val="0"/>
          <w:numId w:val="5"/>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End Year 3: £35m → shortfall £15m</w:t>
      </w:r>
    </w:p>
    <w:p w14:paraId="79B318AB" w14:textId="77777777" w:rsidR="00AF6302" w:rsidRPr="000C3F2F" w:rsidRDefault="00AF6302" w:rsidP="000C3F2F">
      <w:pPr>
        <w:numPr>
          <w:ilvl w:val="0"/>
          <w:numId w:val="5"/>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End Year 4: £60m cumulative → payback within Year 4</w:t>
      </w:r>
    </w:p>
    <w:p w14:paraId="66C640A5" w14:textId="77777777" w:rsidR="00AF6302" w:rsidRPr="000C3F2F" w:rsidRDefault="00AF6302" w:rsidP="000C3F2F">
      <w:pPr>
        <w:numPr>
          <w:ilvl w:val="0"/>
          <w:numId w:val="5"/>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PBP = 3 + (15/25) = 3.6 years</w:t>
      </w:r>
    </w:p>
    <w:p w14:paraId="0E5CD7CC" w14:textId="77777777" w:rsidR="00AF6302" w:rsidRPr="000C3F2F" w:rsidRDefault="00AF6302" w:rsidP="000C3F2F">
      <w:pPr>
        <w:numPr>
          <w:ilvl w:val="0"/>
          <w:numId w:val="5"/>
        </w:numPr>
        <w:autoSpaceDE w:val="0"/>
        <w:autoSpaceDN w:val="0"/>
        <w:adjustRightInd w:val="0"/>
        <w:spacing w:after="0" w:line="360" w:lineRule="auto"/>
        <w:ind w:left="0" w:firstLine="0"/>
        <w:jc w:val="both"/>
        <w:rPr>
          <w:rFonts w:ascii="Arial" w:hAnsi="Arial" w:cs="Arial"/>
          <w:color w:val="000000" w:themeColor="text1"/>
          <w:kern w:val="0"/>
        </w:rPr>
      </w:pPr>
    </w:p>
    <w:p w14:paraId="5EAAE2C4"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PBP Ranking: C (3.6 yrs) &gt; A (4.5 yrs) &gt; B (4.55 yrs)</w:t>
      </w:r>
    </w:p>
    <w:p w14:paraId="1F93F95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5CCA5776" w14:textId="77777777" w:rsidR="00AF6302" w:rsidRPr="000C3F2F" w:rsidRDefault="00AF6302" w:rsidP="000C3F2F">
      <w:pPr>
        <w:pStyle w:val="Heading2"/>
        <w:spacing w:line="360" w:lineRule="auto"/>
        <w:jc w:val="both"/>
        <w:rPr>
          <w:rFonts w:ascii="Arial" w:hAnsi="Arial" w:cs="Arial"/>
          <w:color w:val="000000" w:themeColor="text1"/>
          <w:sz w:val="24"/>
          <w:szCs w:val="24"/>
        </w:rPr>
      </w:pPr>
      <w:bookmarkStart w:id="23" w:name="_Toc227925579"/>
      <w:r w:rsidRPr="000C3F2F">
        <w:rPr>
          <w:rFonts w:ascii="Arial" w:hAnsi="Arial" w:cs="Arial"/>
          <w:color w:val="000000" w:themeColor="text1"/>
          <w:sz w:val="24"/>
          <w:szCs w:val="24"/>
        </w:rPr>
        <w:t>4.3 Accounting Rate of Return (ARR)</w:t>
      </w:r>
      <w:bookmarkEnd w:id="23"/>
    </w:p>
    <w:p w14:paraId="32E959D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598A370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lastRenderedPageBreak/>
        <w:t>ARR = (Average Annual Accounting Profit / Average Investment) × 100</w:t>
      </w:r>
    </w:p>
    <w:p w14:paraId="266E471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Average Investment = (£50m + £0) / 2 = £25m</w:t>
      </w:r>
    </w:p>
    <w:p w14:paraId="6FA8EEC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Annual accounting profit = Annual NCF − Annual depreciation</w:t>
      </w:r>
    </w:p>
    <w:p w14:paraId="5D7BDF6A"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3EDD2A73"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Project A:</w:t>
      </w:r>
    </w:p>
    <w:p w14:paraId="74827D8D"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45B255AB" w14:textId="77777777" w:rsidR="00AF6302" w:rsidRPr="000C3F2F" w:rsidRDefault="00AF6302" w:rsidP="000C3F2F">
      <w:pPr>
        <w:numPr>
          <w:ilvl w:val="0"/>
          <w:numId w:val="6"/>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Average NCF = £54m / 5 = £10.8m</w:t>
      </w:r>
    </w:p>
    <w:p w14:paraId="658D5D6E" w14:textId="77777777" w:rsidR="00AF6302" w:rsidRPr="000C3F2F" w:rsidRDefault="00AF6302" w:rsidP="000C3F2F">
      <w:pPr>
        <w:numPr>
          <w:ilvl w:val="0"/>
          <w:numId w:val="6"/>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Average Accounting Profit = £10.8m − £10m = £0.8m</w:t>
      </w:r>
    </w:p>
    <w:p w14:paraId="7B463CC5" w14:textId="77777777" w:rsidR="00AF6302" w:rsidRPr="000C3F2F" w:rsidRDefault="00AF6302" w:rsidP="000C3F2F">
      <w:pPr>
        <w:numPr>
          <w:ilvl w:val="0"/>
          <w:numId w:val="6"/>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ARR = (0.8 / 25) × 100 = 3.2%</w:t>
      </w:r>
    </w:p>
    <w:p w14:paraId="50963C6A"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Project B:</w:t>
      </w:r>
    </w:p>
    <w:p w14:paraId="1A181581"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2E988919" w14:textId="77777777" w:rsidR="00AF6302" w:rsidRPr="000C3F2F" w:rsidRDefault="00AF6302" w:rsidP="000C3F2F">
      <w:pPr>
        <w:numPr>
          <w:ilvl w:val="0"/>
          <w:numId w:val="7"/>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Average NCF = £55m / 5 = £11.0m</w:t>
      </w:r>
    </w:p>
    <w:p w14:paraId="2CD04EB6" w14:textId="77777777" w:rsidR="00AF6302" w:rsidRPr="000C3F2F" w:rsidRDefault="00AF6302" w:rsidP="000C3F2F">
      <w:pPr>
        <w:numPr>
          <w:ilvl w:val="0"/>
          <w:numId w:val="7"/>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Average Accounting Profit = £11.0m − £10m = £1.0m</w:t>
      </w:r>
    </w:p>
    <w:p w14:paraId="4E6872A9" w14:textId="77777777" w:rsidR="00AF6302" w:rsidRPr="000C3F2F" w:rsidRDefault="00AF6302" w:rsidP="000C3F2F">
      <w:pPr>
        <w:numPr>
          <w:ilvl w:val="0"/>
          <w:numId w:val="7"/>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ARR = (1.0 / 25) × 100 = 4.0%</w:t>
      </w:r>
    </w:p>
    <w:p w14:paraId="18038F5E"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Project C:</w:t>
      </w:r>
    </w:p>
    <w:p w14:paraId="27E00E9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5B9FD80C" w14:textId="77777777" w:rsidR="00AF6302" w:rsidRPr="000C3F2F" w:rsidRDefault="00AF6302" w:rsidP="000C3F2F">
      <w:pPr>
        <w:numPr>
          <w:ilvl w:val="0"/>
          <w:numId w:val="8"/>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Average NCF = £65m / 5 = £13.0m</w:t>
      </w:r>
    </w:p>
    <w:p w14:paraId="1E302877" w14:textId="77777777" w:rsidR="00AF6302" w:rsidRPr="000C3F2F" w:rsidRDefault="00AF6302" w:rsidP="000C3F2F">
      <w:pPr>
        <w:numPr>
          <w:ilvl w:val="0"/>
          <w:numId w:val="8"/>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Average Accounting Profit = £13.0m − £10m = £3.0m</w:t>
      </w:r>
    </w:p>
    <w:p w14:paraId="388D2A7B" w14:textId="77777777" w:rsidR="00AF6302" w:rsidRPr="000C3F2F" w:rsidRDefault="00AF6302" w:rsidP="000C3F2F">
      <w:pPr>
        <w:numPr>
          <w:ilvl w:val="0"/>
          <w:numId w:val="8"/>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ARR = (3.0 / 25) × 100 = 12.0%</w:t>
      </w:r>
    </w:p>
    <w:p w14:paraId="39F96E14" w14:textId="77777777" w:rsidR="00AF6302" w:rsidRPr="000C3F2F" w:rsidRDefault="00AF6302" w:rsidP="000C3F2F">
      <w:pPr>
        <w:numPr>
          <w:ilvl w:val="0"/>
          <w:numId w:val="8"/>
        </w:numPr>
        <w:autoSpaceDE w:val="0"/>
        <w:autoSpaceDN w:val="0"/>
        <w:adjustRightInd w:val="0"/>
        <w:spacing w:after="0" w:line="360" w:lineRule="auto"/>
        <w:ind w:left="0" w:firstLine="0"/>
        <w:jc w:val="both"/>
        <w:rPr>
          <w:rFonts w:ascii="Arial" w:hAnsi="Arial" w:cs="Arial"/>
          <w:color w:val="000000" w:themeColor="text1"/>
          <w:kern w:val="0"/>
        </w:rPr>
      </w:pPr>
    </w:p>
    <w:p w14:paraId="1AA394F1"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ARR Ranking: C (12.0%) &gt; B (4.0%) &gt; A (3.2%)</w:t>
      </w:r>
    </w:p>
    <w:p w14:paraId="07696CB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10959661" w14:textId="77777777" w:rsidR="00AF6302" w:rsidRPr="000C3F2F" w:rsidRDefault="00AF6302" w:rsidP="000C3F2F">
      <w:pPr>
        <w:pStyle w:val="Heading2"/>
        <w:spacing w:line="360" w:lineRule="auto"/>
        <w:jc w:val="both"/>
        <w:rPr>
          <w:rFonts w:ascii="Arial" w:hAnsi="Arial" w:cs="Arial"/>
          <w:color w:val="000000" w:themeColor="text1"/>
          <w:sz w:val="24"/>
          <w:szCs w:val="24"/>
        </w:rPr>
      </w:pPr>
      <w:bookmarkStart w:id="24" w:name="_Toc227925580"/>
      <w:r w:rsidRPr="000C3F2F">
        <w:rPr>
          <w:rFonts w:ascii="Arial" w:hAnsi="Arial" w:cs="Arial"/>
          <w:color w:val="000000" w:themeColor="text1"/>
          <w:sz w:val="24"/>
          <w:szCs w:val="24"/>
        </w:rPr>
        <w:t>4.4 Net Present Value (NPV)</w:t>
      </w:r>
      <w:bookmarkEnd w:id="24"/>
    </w:p>
    <w:p w14:paraId="43E4750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55B6BCE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Discount rate: 10%. Discount factors: Year 1 = 0.909, Year 2 = 0.826, Year 3 = 0.751, Year 4 = 0.683, Year 5 = 0.621.</w:t>
      </w:r>
    </w:p>
    <w:p w14:paraId="2625F92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5E792C6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Project A:</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AF6302" w:rsidRPr="000C3F2F" w14:paraId="48CCB898"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9A9406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D17EF0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NCF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A3AC4CD"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Discount Factor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B9CC8B5"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PV (£m)</w:t>
            </w:r>
          </w:p>
        </w:tc>
      </w:tr>
      <w:tr w:rsidR="00AF6302" w:rsidRPr="000C3F2F" w14:paraId="496B6B00"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0D28E2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8A5A1A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53751D1"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0.909</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64AAA1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9.09</w:t>
            </w:r>
          </w:p>
        </w:tc>
      </w:tr>
      <w:tr w:rsidR="00AF6302" w:rsidRPr="000C3F2F" w14:paraId="12C89712"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8F4BF8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063B645"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C5438F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0.826</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619B1D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9.91</w:t>
            </w:r>
          </w:p>
        </w:tc>
      </w:tr>
      <w:tr w:rsidR="00AF6302" w:rsidRPr="000C3F2F" w14:paraId="344353F8"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4583AB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7D192FD"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E00CE3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0.751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FF34FA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10.51</w:t>
            </w:r>
          </w:p>
        </w:tc>
      </w:tr>
      <w:tr w:rsidR="00AF6302" w:rsidRPr="000C3F2F" w14:paraId="587E3310"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5F921A5"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lastRenderedPageBreak/>
              <w:t>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18C748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45F6B15"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0.683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B9BF11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6.83</w:t>
            </w:r>
          </w:p>
        </w:tc>
      </w:tr>
      <w:tr w:rsidR="00AF6302" w:rsidRPr="000C3F2F" w14:paraId="44F4FFCB"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C79CFF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82B364D"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8</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CCF1B7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0.621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05C6E0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4.97</w:t>
            </w:r>
          </w:p>
        </w:tc>
      </w:tr>
      <w:tr w:rsidR="00AF6302" w:rsidRPr="000C3F2F" w14:paraId="576B872B"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605EA0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Total PV</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BEF31B5" w14:textId="77777777" w:rsidR="00AF6302" w:rsidRPr="000C3F2F" w:rsidRDefault="00AF6302" w:rsidP="000C3F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rPr>
            </w:pP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252C493" w14:textId="77777777" w:rsidR="00AF6302" w:rsidRPr="000C3F2F" w:rsidRDefault="00AF6302" w:rsidP="000C3F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rPr>
            </w:pP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C4BEA6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41.31</w:t>
            </w:r>
          </w:p>
        </w:tc>
      </w:tr>
    </w:tbl>
    <w:p w14:paraId="7BD1B8A4" w14:textId="77777777" w:rsidR="006C69AE" w:rsidRPr="000C3F2F" w:rsidRDefault="00AF6302" w:rsidP="006C69AE">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w:t>
      </w:r>
      <w:r w:rsidR="006C69AE">
        <w:rPr>
          <w:rFonts w:ascii="Arial" w:hAnsi="Arial" w:cs="Arial"/>
          <w:color w:val="000000" w:themeColor="text1"/>
          <w:kern w:val="0"/>
        </w:rPr>
        <w:t>As you can see in table</w:t>
      </w:r>
    </w:p>
    <w:p w14:paraId="532D6718" w14:textId="37A57526"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0FD8E1D5"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NPV (A) = £41.31m − £50m = −£8.69m</w:t>
      </w:r>
    </w:p>
    <w:p w14:paraId="037D669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0E5C6141"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Project B:</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AF6302" w:rsidRPr="000C3F2F" w14:paraId="62EEA403"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90BA8E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F5C22F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NCF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CB5AD7A"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Discount Factor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0CCFC0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PV (£m)</w:t>
            </w:r>
          </w:p>
        </w:tc>
      </w:tr>
      <w:tr w:rsidR="00AF6302" w:rsidRPr="000C3F2F" w14:paraId="092EE11B"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816FBC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4C4EDD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1E4F29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(Annuity factor 10%, 5yr = 3.791)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73BB8D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41.70</w:t>
            </w:r>
          </w:p>
        </w:tc>
      </w:tr>
    </w:tbl>
    <w:p w14:paraId="618BF929"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4937E54F"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p>
    <w:p w14:paraId="7903EC67" w14:textId="33D68EFA"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NPV (B) = £41.70m − £50m = −£8.30m</w:t>
      </w:r>
    </w:p>
    <w:p w14:paraId="258EC245" w14:textId="77777777" w:rsidR="00CB754C" w:rsidRPr="000C3F2F" w:rsidRDefault="00CB754C" w:rsidP="000C3F2F">
      <w:pPr>
        <w:spacing w:line="360" w:lineRule="auto"/>
        <w:jc w:val="both"/>
        <w:rPr>
          <w:rFonts w:ascii="Arial" w:hAnsi="Arial" w:cs="Arial"/>
          <w:color w:val="000000" w:themeColor="text1"/>
        </w:rPr>
      </w:pPr>
    </w:p>
    <w:p w14:paraId="62644AD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Project C:</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AF6302" w:rsidRPr="000C3F2F" w14:paraId="070C729D"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C97908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Year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D8FE83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NCF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4CBDAF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Discount Factor</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B9C524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PV (£m)</w:t>
            </w:r>
          </w:p>
        </w:tc>
      </w:tr>
      <w:tr w:rsidR="00AF6302" w:rsidRPr="000C3F2F" w14:paraId="6FB536F8"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395B33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1086DEB"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B6D814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0.909</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30631E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4.55</w:t>
            </w:r>
          </w:p>
        </w:tc>
      </w:tr>
      <w:tr w:rsidR="00AF6302" w:rsidRPr="000C3F2F" w14:paraId="5B06FDD2"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60AAFF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30CA75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77B7E15"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0.826</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7A0B33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8.26</w:t>
            </w:r>
          </w:p>
        </w:tc>
      </w:tr>
      <w:tr w:rsidR="00AF6302" w:rsidRPr="000C3F2F" w14:paraId="128B8B27"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64442C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3C2657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3BB87A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0.751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C4F200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15.02</w:t>
            </w:r>
          </w:p>
        </w:tc>
      </w:tr>
      <w:tr w:rsidR="00AF6302" w:rsidRPr="000C3F2F" w14:paraId="3160E44F"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E6600E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A3D7E6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25</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427F3A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0.683</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BBA9E8A"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17.08</w:t>
            </w:r>
          </w:p>
        </w:tc>
      </w:tr>
      <w:tr w:rsidR="00AF6302" w:rsidRPr="000C3F2F" w14:paraId="3F918099"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D236BC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2EBDE7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DC2FF4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0.621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CC93F6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3.11</w:t>
            </w:r>
          </w:p>
        </w:tc>
      </w:tr>
      <w:tr w:rsidR="00AF6302" w:rsidRPr="000C3F2F" w14:paraId="7BE2A372"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BFF39E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Total PV</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95E6330" w14:textId="77777777" w:rsidR="00AF6302" w:rsidRPr="000C3F2F" w:rsidRDefault="00AF6302" w:rsidP="000C3F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rPr>
            </w:pP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50FE85A" w14:textId="77777777" w:rsidR="00AF6302" w:rsidRPr="000C3F2F" w:rsidRDefault="00AF6302" w:rsidP="000C3F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rPr>
            </w:pP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E519C3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48.02</w:t>
            </w:r>
          </w:p>
        </w:tc>
      </w:tr>
    </w:tbl>
    <w:p w14:paraId="51E2893D"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3C26FA89"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p>
    <w:p w14:paraId="40A558D4" w14:textId="0064F566"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NPV (C) = £48.02m − £50m = −£1.98m</w:t>
      </w:r>
    </w:p>
    <w:p w14:paraId="6F16876A"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224DA5FE"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NPV Ranking: C (−£1.98m) &gt; B (−£8.30m) &gt; A (−£8.69m)</w:t>
      </w:r>
    </w:p>
    <w:p w14:paraId="4CD8C6FA"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0EABCB33"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Important Note:</w:t>
      </w:r>
      <w:r w:rsidRPr="000C3F2F">
        <w:rPr>
          <w:rFonts w:ascii="Arial" w:hAnsi="Arial" w:cs="Arial"/>
          <w:color w:val="000000" w:themeColor="text1"/>
          <w:kern w:val="0"/>
        </w:rPr>
        <w:t xml:space="preserve"> At a 10% discount rate, all three projects have a negative NPV, that is, none of them destroys or creates value that is above the cost of capital at this hurdle rate. Nevertheless, Project C is the least value-destructive and it is the nearest to break </w:t>
      </w:r>
      <w:r w:rsidRPr="000C3F2F">
        <w:rPr>
          <w:rFonts w:ascii="Arial" w:hAnsi="Arial" w:cs="Arial"/>
          <w:color w:val="000000" w:themeColor="text1"/>
          <w:kern w:val="0"/>
        </w:rPr>
        <w:lastRenderedPageBreak/>
        <w:t xml:space="preserve">even, which implies that it is the most feasible in case the discount rate can be low (e.g. through subsidised green finance of EV-related investments) or the qualitative strategic considerations are </w:t>
      </w:r>
      <w:proofErr w:type="gramStart"/>
      <w:r w:rsidRPr="000C3F2F">
        <w:rPr>
          <w:rFonts w:ascii="Arial" w:hAnsi="Arial" w:cs="Arial"/>
          <w:color w:val="000000" w:themeColor="text1"/>
          <w:kern w:val="0"/>
        </w:rPr>
        <w:t>taken into account</w:t>
      </w:r>
      <w:proofErr w:type="gramEnd"/>
      <w:r w:rsidRPr="000C3F2F">
        <w:rPr>
          <w:rFonts w:ascii="Arial" w:hAnsi="Arial" w:cs="Arial"/>
          <w:color w:val="000000" w:themeColor="text1"/>
          <w:kern w:val="0"/>
        </w:rPr>
        <w:t>.</w:t>
      </w:r>
      <w:r w:rsidRPr="000C3F2F">
        <w:rPr>
          <w:rFonts w:ascii="MS Gothic" w:eastAsia="MS Gothic" w:hAnsi="MS Gothic" w:cs="MS Gothic" w:hint="eastAsia"/>
          <w:b/>
          <w:bCs/>
          <w:color w:val="000000" w:themeColor="text1"/>
          <w:kern w:val="0"/>
        </w:rPr>
        <w:t>  </w:t>
      </w:r>
    </w:p>
    <w:p w14:paraId="45CF2CB3"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p>
    <w:p w14:paraId="17E5C71C" w14:textId="6F9F1AAC" w:rsidR="00AF6302" w:rsidRPr="000C3F2F" w:rsidRDefault="00AF6302" w:rsidP="000C3F2F">
      <w:pPr>
        <w:pStyle w:val="Heading2"/>
        <w:spacing w:line="360" w:lineRule="auto"/>
        <w:jc w:val="both"/>
        <w:rPr>
          <w:rFonts w:ascii="Arial" w:hAnsi="Arial" w:cs="Arial"/>
          <w:color w:val="000000" w:themeColor="text1"/>
          <w:sz w:val="24"/>
          <w:szCs w:val="24"/>
        </w:rPr>
      </w:pPr>
      <w:bookmarkStart w:id="25" w:name="_Toc227925581"/>
      <w:r w:rsidRPr="000C3F2F">
        <w:rPr>
          <w:rFonts w:ascii="Arial" w:hAnsi="Arial" w:cs="Arial"/>
          <w:color w:val="000000" w:themeColor="text1"/>
          <w:sz w:val="24"/>
          <w:szCs w:val="24"/>
        </w:rPr>
        <w:t>4.5 Profitability Index (PI)</w:t>
      </w:r>
      <w:bookmarkEnd w:id="25"/>
    </w:p>
    <w:p w14:paraId="71B2B06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65143BB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PI = (NPV + Initial Investment) / Initial Investment = Total PV / Initial Investment</w:t>
      </w:r>
    </w:p>
    <w:p w14:paraId="4B161BA0"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AF6302" w:rsidRPr="000C3F2F" w14:paraId="56B994D6"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4448ED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Project</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528850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Total PV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E843CDA"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Initial Investment (£m)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21F52D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PI</w:t>
            </w:r>
          </w:p>
        </w:tc>
      </w:tr>
      <w:tr w:rsidR="00AF6302" w:rsidRPr="000C3F2F" w14:paraId="325845D5"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88FBF51"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A</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DAB5DA5"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41.31</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23446E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A90DC1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0.826</w:t>
            </w:r>
          </w:p>
        </w:tc>
      </w:tr>
      <w:tr w:rsidR="00AF6302" w:rsidRPr="000C3F2F" w14:paraId="0D42AE29"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F7BD04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B</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BF2DE3B"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41.70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F44698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E924A8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0.834</w:t>
            </w:r>
          </w:p>
        </w:tc>
      </w:tr>
      <w:tr w:rsidR="00AF6302" w:rsidRPr="000C3F2F" w14:paraId="056AC164"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2201171"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C</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349FEE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48.02</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8C3EDFB"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50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F8D93C5"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0.960</w:t>
            </w:r>
          </w:p>
        </w:tc>
      </w:tr>
    </w:tbl>
    <w:p w14:paraId="7AB7BFD9"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4D4F1FF4"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p>
    <w:p w14:paraId="6B89BE1E" w14:textId="11498A66"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PI Ranking: C (0.960) &gt; B (0.834) &gt; A (0.826)</w:t>
      </w:r>
    </w:p>
    <w:p w14:paraId="5846056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1E4F65D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A PI below 1.0 confirms that all projects fail to return the cost of capital. Project C's PI of 0.960 — the closest to 1.0 — indicates it is the least capital-inefficient.</w:t>
      </w:r>
    </w:p>
    <w:p w14:paraId="112FC995"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67035E0B" w14:textId="77777777" w:rsidR="00AF6302" w:rsidRPr="000C3F2F" w:rsidRDefault="00AF6302" w:rsidP="000C3F2F">
      <w:pPr>
        <w:pStyle w:val="Heading2"/>
        <w:spacing w:line="360" w:lineRule="auto"/>
        <w:jc w:val="both"/>
        <w:rPr>
          <w:rFonts w:ascii="Arial" w:hAnsi="Arial" w:cs="Arial"/>
          <w:color w:val="000000" w:themeColor="text1"/>
          <w:sz w:val="24"/>
          <w:szCs w:val="24"/>
        </w:rPr>
      </w:pPr>
      <w:bookmarkStart w:id="26" w:name="_Toc227925582"/>
      <w:r w:rsidRPr="000C3F2F">
        <w:rPr>
          <w:rFonts w:ascii="Arial" w:hAnsi="Arial" w:cs="Arial"/>
          <w:color w:val="000000" w:themeColor="text1"/>
          <w:sz w:val="24"/>
          <w:szCs w:val="24"/>
        </w:rPr>
        <w:t>4.6 Internal Rate of Return (IRR)</w:t>
      </w:r>
      <w:bookmarkEnd w:id="26"/>
    </w:p>
    <w:p w14:paraId="6624EFBD"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073BC3E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The IRR is the discount rate at which NPV = 0. Using interpolation:</w:t>
      </w:r>
    </w:p>
    <w:p w14:paraId="608DC67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1AD6808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Project A:</w:t>
      </w:r>
      <w:r w:rsidRPr="000C3F2F">
        <w:rPr>
          <w:rFonts w:ascii="MS Gothic" w:eastAsia="MS Gothic" w:hAnsi="MS Gothic" w:cs="MS Gothic" w:hint="eastAsia"/>
          <w:color w:val="000000" w:themeColor="text1"/>
          <w:kern w:val="0"/>
        </w:rPr>
        <w:t> </w:t>
      </w:r>
      <w:r w:rsidRPr="000C3F2F">
        <w:rPr>
          <w:rFonts w:ascii="Arial" w:hAnsi="Arial" w:cs="Arial"/>
          <w:color w:val="000000" w:themeColor="text1"/>
          <w:kern w:val="0"/>
        </w:rPr>
        <w:t>At 10%: NPV = −£8.69m; At 5%: NPV (approx.) = £54m × (4.329) − £50m = −£3.37m+</w:t>
      </w:r>
    </w:p>
    <w:p w14:paraId="320E9E0E" w14:textId="77777777" w:rsidR="00AF6302" w:rsidRPr="000C3F2F" w:rsidRDefault="00AF6302" w:rsidP="000C3F2F">
      <w:pPr>
        <w:numPr>
          <w:ilvl w:val="0"/>
          <w:numId w:val="1"/>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Interpolation: IRR ≈ 5% + [3.37</w:t>
      </w:r>
      <w:proofErr w:type="gramStart"/>
      <w:r w:rsidRPr="000C3F2F">
        <w:rPr>
          <w:rFonts w:ascii="Arial" w:hAnsi="Arial" w:cs="Arial"/>
          <w:color w:val="000000" w:themeColor="text1"/>
          <w:kern w:val="0"/>
        </w:rPr>
        <w:t>/(</w:t>
      </w:r>
      <w:proofErr w:type="gramEnd"/>
      <w:r w:rsidRPr="000C3F2F">
        <w:rPr>
          <w:rFonts w:ascii="Arial" w:hAnsi="Arial" w:cs="Arial"/>
          <w:color w:val="000000" w:themeColor="text1"/>
          <w:kern w:val="0"/>
        </w:rPr>
        <w:t>3.37+8.69)] × 5% ≈ 1.4% (approximation indicating very low return)</w:t>
      </w:r>
    </w:p>
    <w:p w14:paraId="32BCC61E" w14:textId="77777777" w:rsidR="00AF6302" w:rsidRPr="000C3F2F" w:rsidRDefault="00AF6302" w:rsidP="000C3F2F">
      <w:pPr>
        <w:numPr>
          <w:ilvl w:val="0"/>
          <w:numId w:val="1"/>
        </w:numPr>
        <w:autoSpaceDE w:val="0"/>
        <w:autoSpaceDN w:val="0"/>
        <w:adjustRightInd w:val="0"/>
        <w:spacing w:after="0" w:line="360" w:lineRule="auto"/>
        <w:ind w:left="0" w:firstLine="0"/>
        <w:jc w:val="both"/>
        <w:rPr>
          <w:rFonts w:ascii="Arial" w:hAnsi="Arial" w:cs="Arial"/>
          <w:color w:val="000000" w:themeColor="text1"/>
          <w:kern w:val="0"/>
        </w:rPr>
      </w:pPr>
    </w:p>
    <w:p w14:paraId="75D24A1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Project B:</w:t>
      </w:r>
      <w:r w:rsidRPr="000C3F2F">
        <w:rPr>
          <w:rFonts w:ascii="MS Gothic" w:eastAsia="MS Gothic" w:hAnsi="MS Gothic" w:cs="MS Gothic" w:hint="eastAsia"/>
          <w:color w:val="000000" w:themeColor="text1"/>
          <w:kern w:val="0"/>
        </w:rPr>
        <w:t> </w:t>
      </w:r>
      <w:r w:rsidRPr="000C3F2F">
        <w:rPr>
          <w:rFonts w:ascii="Arial" w:hAnsi="Arial" w:cs="Arial"/>
          <w:color w:val="000000" w:themeColor="text1"/>
          <w:kern w:val="0"/>
        </w:rPr>
        <w:t>At 10%: NPV = −£8.30m; At 5%: Total PV = £11m × 4.329 = £47.62m; NPV = −£2.38m</w:t>
      </w:r>
    </w:p>
    <w:p w14:paraId="1F712761" w14:textId="77777777" w:rsidR="00AF6302" w:rsidRPr="000C3F2F" w:rsidRDefault="00AF6302" w:rsidP="000C3F2F">
      <w:pPr>
        <w:numPr>
          <w:ilvl w:val="0"/>
          <w:numId w:val="2"/>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IRR ≈ 5% − [2.38</w:t>
      </w:r>
      <w:proofErr w:type="gramStart"/>
      <w:r w:rsidRPr="000C3F2F">
        <w:rPr>
          <w:rFonts w:ascii="Arial" w:hAnsi="Arial" w:cs="Arial"/>
          <w:color w:val="000000" w:themeColor="text1"/>
          <w:kern w:val="0"/>
        </w:rPr>
        <w:t>/(</w:t>
      </w:r>
      <w:proofErr w:type="gramEnd"/>
      <w:r w:rsidRPr="000C3F2F">
        <w:rPr>
          <w:rFonts w:ascii="Arial" w:hAnsi="Arial" w:cs="Arial"/>
          <w:color w:val="000000" w:themeColor="text1"/>
          <w:kern w:val="0"/>
        </w:rPr>
        <w:t>2.38+8.30)] × 5% = 3.9%</w:t>
      </w:r>
    </w:p>
    <w:p w14:paraId="6DA183BB" w14:textId="77777777" w:rsidR="00AF6302" w:rsidRPr="000C3F2F" w:rsidRDefault="00AF6302" w:rsidP="000C3F2F">
      <w:pPr>
        <w:numPr>
          <w:ilvl w:val="0"/>
          <w:numId w:val="2"/>
        </w:numPr>
        <w:autoSpaceDE w:val="0"/>
        <w:autoSpaceDN w:val="0"/>
        <w:adjustRightInd w:val="0"/>
        <w:spacing w:after="0" w:line="360" w:lineRule="auto"/>
        <w:ind w:left="0" w:firstLine="0"/>
        <w:jc w:val="both"/>
        <w:rPr>
          <w:rFonts w:ascii="Arial" w:hAnsi="Arial" w:cs="Arial"/>
          <w:color w:val="000000" w:themeColor="text1"/>
          <w:kern w:val="0"/>
        </w:rPr>
      </w:pPr>
    </w:p>
    <w:p w14:paraId="5300719B"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Project C:</w:t>
      </w:r>
      <w:r w:rsidRPr="000C3F2F">
        <w:rPr>
          <w:rFonts w:ascii="MS Gothic" w:eastAsia="MS Gothic" w:hAnsi="MS Gothic" w:cs="MS Gothic" w:hint="eastAsia"/>
          <w:color w:val="000000" w:themeColor="text1"/>
          <w:kern w:val="0"/>
        </w:rPr>
        <w:t> </w:t>
      </w:r>
      <w:r w:rsidRPr="000C3F2F">
        <w:rPr>
          <w:rFonts w:ascii="Arial" w:hAnsi="Arial" w:cs="Arial"/>
          <w:color w:val="000000" w:themeColor="text1"/>
          <w:kern w:val="0"/>
        </w:rPr>
        <w:t>At 10%: NPV = −£1.98m; At 8%: Discount factors (0.926, 0.857, 0.794, 0.735, 0.681):</w:t>
      </w:r>
    </w:p>
    <w:p w14:paraId="53131815" w14:textId="77777777" w:rsidR="00AF6302" w:rsidRPr="000C3F2F" w:rsidRDefault="00AF6302" w:rsidP="000C3F2F">
      <w:pPr>
        <w:numPr>
          <w:ilvl w:val="0"/>
          <w:numId w:val="5"/>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PV = 4.63 + 8.57 + 15.88 + 18.38 + 3.41 = £50.87m; NPV at 8% = +£0.87m</w:t>
      </w:r>
    </w:p>
    <w:p w14:paraId="1E8FB021" w14:textId="77777777" w:rsidR="00AF6302" w:rsidRPr="000C3F2F" w:rsidRDefault="00AF6302" w:rsidP="000C3F2F">
      <w:pPr>
        <w:numPr>
          <w:ilvl w:val="0"/>
          <w:numId w:val="5"/>
        </w:numPr>
        <w:autoSpaceDE w:val="0"/>
        <w:autoSpaceDN w:val="0"/>
        <w:adjustRightInd w:val="0"/>
        <w:spacing w:after="0" w:line="360" w:lineRule="auto"/>
        <w:ind w:left="0" w:firstLine="0"/>
        <w:jc w:val="both"/>
        <w:rPr>
          <w:rFonts w:ascii="Arial" w:hAnsi="Arial" w:cs="Arial"/>
          <w:color w:val="000000" w:themeColor="text1"/>
          <w:kern w:val="0"/>
        </w:rPr>
      </w:pPr>
      <w:r w:rsidRPr="000C3F2F">
        <w:rPr>
          <w:rFonts w:ascii="Arial" w:hAnsi="Arial" w:cs="Arial"/>
          <w:color w:val="000000" w:themeColor="text1"/>
          <w:kern w:val="0"/>
        </w:rPr>
        <w:t>IRR ≈ 8% + [0.87</w:t>
      </w:r>
      <w:proofErr w:type="gramStart"/>
      <w:r w:rsidRPr="000C3F2F">
        <w:rPr>
          <w:rFonts w:ascii="Arial" w:hAnsi="Arial" w:cs="Arial"/>
          <w:color w:val="000000" w:themeColor="text1"/>
          <w:kern w:val="0"/>
        </w:rPr>
        <w:t>/(</w:t>
      </w:r>
      <w:proofErr w:type="gramEnd"/>
      <w:r w:rsidRPr="000C3F2F">
        <w:rPr>
          <w:rFonts w:ascii="Arial" w:hAnsi="Arial" w:cs="Arial"/>
          <w:color w:val="000000" w:themeColor="text1"/>
          <w:kern w:val="0"/>
        </w:rPr>
        <w:t>0.87+1.98)] × 2% ≈ 8.6%</w:t>
      </w:r>
    </w:p>
    <w:p w14:paraId="1E8697E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096494F1"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IRR Ranking: C (8.6%) &gt; B (3.9%) &gt; A (1.4%)</w:t>
      </w:r>
    </w:p>
    <w:p w14:paraId="1009D19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72B2A8CE" w14:textId="77777777" w:rsidR="00AF6302" w:rsidRPr="000C3F2F" w:rsidRDefault="00AF6302" w:rsidP="000C3F2F">
      <w:pPr>
        <w:pStyle w:val="Heading2"/>
        <w:spacing w:line="360" w:lineRule="auto"/>
        <w:jc w:val="both"/>
        <w:rPr>
          <w:rFonts w:ascii="Arial" w:hAnsi="Arial" w:cs="Arial"/>
          <w:color w:val="000000" w:themeColor="text1"/>
          <w:sz w:val="24"/>
          <w:szCs w:val="24"/>
        </w:rPr>
      </w:pPr>
      <w:bookmarkStart w:id="27" w:name="_Toc227925583"/>
      <w:r w:rsidRPr="000C3F2F">
        <w:rPr>
          <w:rFonts w:ascii="Arial" w:hAnsi="Arial" w:cs="Arial"/>
          <w:color w:val="000000" w:themeColor="text1"/>
          <w:sz w:val="24"/>
          <w:szCs w:val="24"/>
        </w:rPr>
        <w:t>4.7 Summary of Appraisal Methods</w:t>
      </w:r>
      <w:bookmarkEnd w:id="27"/>
    </w:p>
    <w:p w14:paraId="1B441CA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836"/>
        <w:gridCol w:w="1728"/>
        <w:gridCol w:w="1728"/>
        <w:gridCol w:w="1728"/>
        <w:gridCol w:w="1728"/>
      </w:tblGrid>
      <w:tr w:rsidR="00AF6302" w:rsidRPr="000C3F2F" w14:paraId="66626EB4" w14:textId="77777777">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B02DD1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Method</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7E7ED81"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Project A</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78F5245"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Project B</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053E3D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Project C</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D580FC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Best Project</w:t>
            </w:r>
          </w:p>
        </w:tc>
      </w:tr>
      <w:tr w:rsidR="00AF6302" w:rsidRPr="000C3F2F" w14:paraId="09D91982" w14:textId="77777777">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93DE3C1"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PBP</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657405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4.50 yrs</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C4B887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4.55 yrs</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8C0298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3.60 yrs</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F06257D"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w:t>
            </w:r>
          </w:p>
        </w:tc>
      </w:tr>
      <w:tr w:rsidR="00AF6302" w:rsidRPr="000C3F2F" w14:paraId="462D8C31" w14:textId="77777777">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8B455AF"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ARR</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9480306"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3.2%</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AA8DEF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4.0%</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B7E5EC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12.0%</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A06E93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w:t>
            </w:r>
          </w:p>
        </w:tc>
      </w:tr>
      <w:tr w:rsidR="00AF6302" w:rsidRPr="000C3F2F" w14:paraId="1933F483" w14:textId="77777777">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C6809E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NPV</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E5064B8"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−£8.69m</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D34A81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−£8.30m</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821F5AA"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−£1.98m</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9DA5D2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w:t>
            </w:r>
          </w:p>
        </w:tc>
      </w:tr>
      <w:tr w:rsidR="00AF6302" w:rsidRPr="000C3F2F" w14:paraId="31B5C015" w14:textId="77777777">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938158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PI</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79F21B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0.826</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EDCD6AD"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0.834</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9246E0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0.960</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59F0CAB"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w:t>
            </w:r>
          </w:p>
        </w:tc>
      </w:tr>
      <w:tr w:rsidR="00AF6302" w:rsidRPr="000C3F2F" w14:paraId="1192800B" w14:textId="77777777">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496B5C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IRR</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4C960F3"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1.4%</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C991E32"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3.9%</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9284ECA"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8.6%</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A636124"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w:t>
            </w:r>
          </w:p>
        </w:tc>
      </w:tr>
    </w:tbl>
    <w:p w14:paraId="7647EE1A"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t>As you can see in table</w:t>
      </w:r>
    </w:p>
    <w:p w14:paraId="2D9EB983"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p>
    <w:p w14:paraId="4ACE5245"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 xml:space="preserve">Unanimous recommendation: </w:t>
      </w:r>
    </w:p>
    <w:p w14:paraId="3C46D0EE" w14:textId="3D3F91EF"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Project C is the superior investment across all five appraisal techniques.</w:t>
      </w:r>
    </w:p>
    <w:p w14:paraId="1E981B3A"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03CA1760" w14:textId="77777777" w:rsidR="00AF6302" w:rsidRPr="000C3F2F" w:rsidRDefault="00AF6302" w:rsidP="000C3F2F">
      <w:pPr>
        <w:pStyle w:val="Heading2"/>
        <w:spacing w:line="360" w:lineRule="auto"/>
        <w:jc w:val="both"/>
        <w:rPr>
          <w:rFonts w:ascii="Arial" w:hAnsi="Arial" w:cs="Arial"/>
          <w:color w:val="000000" w:themeColor="text1"/>
          <w:sz w:val="24"/>
          <w:szCs w:val="24"/>
        </w:rPr>
      </w:pPr>
      <w:bookmarkStart w:id="28" w:name="_Toc227925584"/>
      <w:r w:rsidRPr="000C3F2F">
        <w:rPr>
          <w:rFonts w:ascii="Arial" w:hAnsi="Arial" w:cs="Arial"/>
          <w:color w:val="000000" w:themeColor="text1"/>
          <w:sz w:val="24"/>
          <w:szCs w:val="24"/>
        </w:rPr>
        <w:t>4.8 Project Recommendation and Justification</w:t>
      </w:r>
      <w:bookmarkEnd w:id="28"/>
    </w:p>
    <w:p w14:paraId="1512B3EC"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06AFACBB"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r w:rsidRPr="000C3F2F">
        <w:rPr>
          <w:rFonts w:ascii="Arial" w:hAnsi="Arial" w:cs="Arial"/>
          <w:b/>
          <w:bCs/>
          <w:color w:val="000000" w:themeColor="text1"/>
          <w:kern w:val="0"/>
        </w:rPr>
        <w:t>Project C is recommended for the following reasons:</w:t>
      </w:r>
      <w:r w:rsidRPr="000C3F2F">
        <w:rPr>
          <w:rFonts w:ascii="MS Gothic" w:eastAsia="MS Gothic" w:hAnsi="MS Gothic" w:cs="MS Gothic" w:hint="eastAsia"/>
          <w:b/>
          <w:bCs/>
          <w:color w:val="000000" w:themeColor="text1"/>
          <w:kern w:val="0"/>
        </w:rPr>
        <w:t>  </w:t>
      </w:r>
    </w:p>
    <w:p w14:paraId="49C0B4E5" w14:textId="77777777" w:rsidR="00AF6302" w:rsidRPr="000C3F2F" w:rsidRDefault="00AF6302" w:rsidP="000C3F2F">
      <w:pPr>
        <w:autoSpaceDE w:val="0"/>
        <w:autoSpaceDN w:val="0"/>
        <w:adjustRightInd w:val="0"/>
        <w:spacing w:after="0" w:line="360" w:lineRule="auto"/>
        <w:jc w:val="both"/>
        <w:rPr>
          <w:rFonts w:ascii="Arial" w:hAnsi="Arial" w:cs="Arial"/>
          <w:b/>
          <w:bCs/>
          <w:color w:val="000000" w:themeColor="text1"/>
          <w:kern w:val="0"/>
        </w:rPr>
      </w:pPr>
    </w:p>
    <w:p w14:paraId="7AEF7A57" w14:textId="1C8231E4"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1.Minimal payback period (3.6 years) - especially applicable considering the cash flow constraints faced by Ford in the short term because of EV losses and the possible tariff effects. An increased rate of capital repatriation enhances liquidity strength.</w:t>
      </w:r>
    </w:p>
    <w:p w14:paraId="74FA951E"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50354BD9"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2.Highest ARR (12.0) - higher than the WACC of 10-11 estimated by Ford, so it is the only project that can potentially generate value in case of synergies realised or discount rate changed.</w:t>
      </w:r>
    </w:p>
    <w:p w14:paraId="6ED299F1"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lastRenderedPageBreak/>
        <w:t>3.Minimum negative NPV and maximum PI - Project C is the least depreciated in terms of the present value; at a slightly lower discount rate (say 8 percent), the project will have a positive NPV.</w:t>
      </w:r>
    </w:p>
    <w:p w14:paraId="543FCB55"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p>
    <w:p w14:paraId="2068A50B"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4.IRR of 8.6% - nearest to the hurdle rate of all three choices; minor changes in cash flow assumptions (e.g., operational efficiencies, government EV incentives) can take the IRR over 10.</w:t>
      </w:r>
    </w:p>
    <w:p w14:paraId="735149A7"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p>
    <w:p w14:paraId="69905F73" w14:textId="519E8A08"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xml:space="preserve">Project C </w:t>
      </w:r>
      <w:r w:rsidR="00E320E1" w:rsidRPr="000C3F2F">
        <w:rPr>
          <w:rFonts w:ascii="Arial" w:hAnsi="Arial" w:cs="Arial"/>
          <w:color w:val="000000" w:themeColor="text1"/>
          <w:kern w:val="0"/>
        </w:rPr>
        <w:br/>
      </w:r>
      <w:r w:rsidR="00E320E1" w:rsidRPr="000C3F2F">
        <w:rPr>
          <w:rFonts w:ascii="Arial" w:hAnsi="Arial" w:cs="Arial"/>
          <w:color w:val="000000" w:themeColor="text1"/>
          <w:kern w:val="0"/>
        </w:rPr>
        <w:br/>
      </w:r>
      <w:r w:rsidRPr="000C3F2F">
        <w:rPr>
          <w:rFonts w:ascii="Arial" w:hAnsi="Arial" w:cs="Arial"/>
          <w:color w:val="000000" w:themeColor="text1"/>
          <w:kern w:val="0"/>
        </w:rPr>
        <w:t>(large inflows in Years 34) fits the growth trajectory of the Project C well as the commercial vehicle services revenue is projected to increase with subscription penetration, which will give a natural cash flow fit.</w:t>
      </w:r>
    </w:p>
    <w:p w14:paraId="1E4CA1C8" w14:textId="6C33CD6E"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 xml:space="preserve">Non-financial risk factors: The cash flows of the project C in Years 1-2 are low, which is risky in case of the worsening of macroeconomic conditions (e.g., recession, credit tightening). Nevertheless, the cash position of Ford of $22.9 billion and availability of undrawn revolving credit facilities of 14.9 billion gives sufficient buffer to cover the deficit in the initial </w:t>
      </w:r>
      <w:proofErr w:type="gramStart"/>
      <w:r w:rsidRPr="000C3F2F">
        <w:rPr>
          <w:rFonts w:ascii="Arial" w:hAnsi="Arial" w:cs="Arial"/>
          <w:color w:val="000000" w:themeColor="text1"/>
          <w:kern w:val="0"/>
        </w:rPr>
        <w:t>years</w:t>
      </w:r>
      <w:r w:rsidR="00A27700">
        <w:t>(</w:t>
      </w:r>
      <w:proofErr w:type="gramEnd"/>
      <w:r w:rsidR="00A27700">
        <w:t>Ford Motor Company, 2024)</w:t>
      </w:r>
      <w:r w:rsidRPr="000C3F2F">
        <w:rPr>
          <w:rFonts w:ascii="Arial" w:hAnsi="Arial" w:cs="Arial"/>
          <w:color w:val="000000" w:themeColor="text1"/>
          <w:kern w:val="0"/>
        </w:rPr>
        <w:t>. Political risk - especially escalation of tariffs would impact most negatively on Projects A and B, which have a greater cashflow dependence on cross-border supply chains in the short term. The level of demand stability is achieved by customer loyalty and the strength of the Ford Pro commercial brand, which is not seen in more cyclical consumer-facing segments.</w:t>
      </w:r>
      <w:r w:rsidRPr="000C3F2F">
        <w:rPr>
          <w:rFonts w:ascii="MS Gothic" w:eastAsia="MS Gothic" w:hAnsi="MS Gothic" w:cs="MS Gothic" w:hint="eastAsia"/>
          <w:color w:val="000000" w:themeColor="text1"/>
          <w:kern w:val="0"/>
        </w:rPr>
        <w:t>  </w:t>
      </w:r>
    </w:p>
    <w:p w14:paraId="4F747D3B"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p>
    <w:p w14:paraId="62AAB16A" w14:textId="7CE745FA" w:rsidR="00440A2A" w:rsidRPr="000C3F2F" w:rsidRDefault="00440A2A" w:rsidP="000C3F2F">
      <w:pPr>
        <w:pStyle w:val="Heading2"/>
        <w:spacing w:line="360" w:lineRule="auto"/>
        <w:jc w:val="both"/>
        <w:rPr>
          <w:rFonts w:ascii="Arial" w:hAnsi="Arial" w:cs="Arial"/>
          <w:color w:val="000000" w:themeColor="text1"/>
          <w:sz w:val="24"/>
          <w:szCs w:val="24"/>
        </w:rPr>
      </w:pPr>
      <w:bookmarkStart w:id="29" w:name="_Toc227925585"/>
      <w:r w:rsidRPr="000C3F2F">
        <w:rPr>
          <w:rFonts w:ascii="Arial" w:hAnsi="Arial" w:cs="Arial"/>
          <w:color w:val="000000" w:themeColor="text1"/>
          <w:sz w:val="24"/>
          <w:szCs w:val="24"/>
        </w:rPr>
        <w:t>4.9 Capital Rationing: Best Combination up to £100 Million</w:t>
      </w:r>
      <w:bookmarkEnd w:id="29"/>
    </w:p>
    <w:p w14:paraId="53A11733"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p>
    <w:p w14:paraId="49652C43"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With a maximum budget of £100 million and each project requiring £50 million:</w:t>
      </w:r>
    </w:p>
    <w:p w14:paraId="3DC4F0AA"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440A2A" w:rsidRPr="000C3F2F" w14:paraId="4066CE4D"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95FF0BD"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Combination</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0A359CE"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Projects</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5B8F0D5"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Total Investment</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2FBC94F"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b/>
                <w:bCs/>
                <w:color w:val="000000" w:themeColor="text1"/>
                <w:kern w:val="0"/>
              </w:rPr>
              <w:t>Combined NPV</w:t>
            </w:r>
          </w:p>
        </w:tc>
      </w:tr>
      <w:tr w:rsidR="00440A2A" w:rsidRPr="000C3F2F" w14:paraId="52E52A06"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305461A"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A + B</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C5F1D07"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A and B</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7E95742"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£100m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DC53DEB"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−£16.99m</w:t>
            </w:r>
          </w:p>
        </w:tc>
      </w:tr>
      <w:tr w:rsidR="00440A2A" w:rsidRPr="000C3F2F" w14:paraId="22BE0D35" w14:textId="77777777">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C8A1739"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A + C</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8A9C6E4"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A and C</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43FE2DB"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£100m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1EED714"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−£10.67m</w:t>
            </w:r>
          </w:p>
        </w:tc>
      </w:tr>
      <w:tr w:rsidR="00440A2A" w:rsidRPr="000C3F2F" w14:paraId="09A653A9" w14:textId="77777777">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00D7627"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B + C</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F7AB672"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B and C</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1B60C0E"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£100m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FF94A5B"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−£10.28m</w:t>
            </w:r>
          </w:p>
        </w:tc>
      </w:tr>
    </w:tbl>
    <w:p w14:paraId="1C915D80"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p>
    <w:p w14:paraId="7A96E228" w14:textId="77777777" w:rsidR="006C69AE" w:rsidRPr="000C3F2F" w:rsidRDefault="006C69AE" w:rsidP="006C69AE">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lastRenderedPageBreak/>
        <w:t>As you can see in table</w:t>
      </w:r>
    </w:p>
    <w:p w14:paraId="4A63F20C" w14:textId="77777777" w:rsidR="007F21D4" w:rsidRDefault="006C69AE" w:rsidP="000C3F2F">
      <w:pPr>
        <w:autoSpaceDE w:val="0"/>
        <w:autoSpaceDN w:val="0"/>
        <w:adjustRightInd w:val="0"/>
        <w:spacing w:after="0" w:line="360" w:lineRule="auto"/>
        <w:jc w:val="both"/>
        <w:rPr>
          <w:rFonts w:ascii="Arial" w:hAnsi="Arial" w:cs="Arial"/>
          <w:color w:val="000000" w:themeColor="text1"/>
          <w:kern w:val="0"/>
        </w:rPr>
      </w:pPr>
      <w:r>
        <w:rPr>
          <w:rFonts w:ascii="Arial" w:hAnsi="Arial" w:cs="Arial"/>
          <w:color w:val="000000" w:themeColor="text1"/>
          <w:kern w:val="0"/>
        </w:rPr>
        <w:br/>
      </w:r>
      <w:r w:rsidR="007F21D4">
        <w:rPr>
          <w:rFonts w:ascii="Arial" w:hAnsi="Arial" w:cs="Arial"/>
          <w:color w:val="000000" w:themeColor="text1"/>
          <w:kern w:val="0"/>
        </w:rPr>
        <w:t xml:space="preserve">The </w:t>
      </w:r>
      <w:r w:rsidR="00440A2A" w:rsidRPr="000C3F2F">
        <w:rPr>
          <w:rFonts w:ascii="Arial" w:hAnsi="Arial" w:cs="Arial"/>
          <w:color w:val="000000" w:themeColor="text1"/>
          <w:kern w:val="0"/>
        </w:rPr>
        <w:t>Most optimal combination: Projects B + C with a combined NPV of -10.28m is less negative than the A+C (-10.67m) or A+B (-16.99m). By ranking by Profitability Index, C (0.960) is ranked first, then B (0.834). B+C is the best allocation with both C and B chosen in their entirety with the use of £100 million. This mix maximises the payoff per pound of capital invested within the constraints given, and diversifies risk between the low-risk steady annuity profile of Project B and the high-payoff later years of</w:t>
      </w:r>
    </w:p>
    <w:p w14:paraId="4CE442A0" w14:textId="77498E3F"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Project</w:t>
      </w:r>
      <w:r w:rsidR="007F21D4">
        <w:rPr>
          <w:rFonts w:ascii="Arial" w:hAnsi="Arial" w:cs="Arial"/>
          <w:color w:val="000000" w:themeColor="text1"/>
          <w:kern w:val="0"/>
        </w:rPr>
        <w:t xml:space="preserve"> </w:t>
      </w:r>
      <w:r w:rsidRPr="000C3F2F">
        <w:rPr>
          <w:rFonts w:ascii="Arial" w:hAnsi="Arial" w:cs="Arial"/>
          <w:color w:val="000000" w:themeColor="text1"/>
          <w:kern w:val="0"/>
        </w:rPr>
        <w:t>C.</w:t>
      </w:r>
      <w:r w:rsidRPr="000C3F2F">
        <w:rPr>
          <w:rFonts w:ascii="MS Gothic" w:eastAsia="MS Gothic" w:hAnsi="MS Gothic" w:cs="MS Gothic" w:hint="eastAsia"/>
          <w:color w:val="000000" w:themeColor="text1"/>
          <w:kern w:val="0"/>
        </w:rPr>
        <w:t> </w:t>
      </w:r>
      <w:r w:rsidRPr="000C3F2F">
        <w:rPr>
          <w:rFonts w:ascii="MS Gothic" w:eastAsia="MS Gothic" w:hAnsi="MS Gothic" w:cs="MS Gothic" w:hint="eastAsia"/>
          <w:b/>
          <w:bCs/>
          <w:color w:val="000000" w:themeColor="text1"/>
          <w:kern w:val="0"/>
        </w:rPr>
        <w:t>     </w:t>
      </w:r>
    </w:p>
    <w:p w14:paraId="6BDCD1DC" w14:textId="77777777" w:rsidR="00440A2A" w:rsidRPr="000C3F2F" w:rsidRDefault="00440A2A" w:rsidP="000C3F2F">
      <w:pPr>
        <w:autoSpaceDE w:val="0"/>
        <w:autoSpaceDN w:val="0"/>
        <w:adjustRightInd w:val="0"/>
        <w:spacing w:after="0" w:line="360" w:lineRule="auto"/>
        <w:jc w:val="both"/>
        <w:rPr>
          <w:rFonts w:ascii="Arial" w:hAnsi="Arial" w:cs="Arial"/>
          <w:b/>
          <w:bCs/>
          <w:color w:val="000000" w:themeColor="text1"/>
          <w:kern w:val="0"/>
        </w:rPr>
      </w:pPr>
    </w:p>
    <w:p w14:paraId="53FDCA3C" w14:textId="77777777" w:rsidR="00440A2A" w:rsidRPr="000C3F2F" w:rsidRDefault="00440A2A" w:rsidP="000C3F2F">
      <w:pPr>
        <w:autoSpaceDE w:val="0"/>
        <w:autoSpaceDN w:val="0"/>
        <w:adjustRightInd w:val="0"/>
        <w:spacing w:after="0" w:line="360" w:lineRule="auto"/>
        <w:jc w:val="both"/>
        <w:rPr>
          <w:rFonts w:ascii="Arial" w:hAnsi="Arial" w:cs="Arial"/>
          <w:b/>
          <w:bCs/>
          <w:color w:val="000000" w:themeColor="text1"/>
          <w:kern w:val="0"/>
        </w:rPr>
      </w:pPr>
    </w:p>
    <w:p w14:paraId="351682E4" w14:textId="77777777" w:rsidR="00440A2A" w:rsidRPr="000C3F2F" w:rsidRDefault="00440A2A" w:rsidP="000C3F2F">
      <w:pPr>
        <w:autoSpaceDE w:val="0"/>
        <w:autoSpaceDN w:val="0"/>
        <w:adjustRightInd w:val="0"/>
        <w:spacing w:after="0" w:line="360" w:lineRule="auto"/>
        <w:jc w:val="both"/>
        <w:rPr>
          <w:rFonts w:ascii="Arial" w:hAnsi="Arial" w:cs="Arial"/>
          <w:b/>
          <w:bCs/>
          <w:color w:val="000000" w:themeColor="text1"/>
          <w:kern w:val="0"/>
        </w:rPr>
      </w:pPr>
    </w:p>
    <w:p w14:paraId="3D4E5C43" w14:textId="77777777" w:rsidR="00440A2A" w:rsidRPr="000C3F2F" w:rsidRDefault="00440A2A" w:rsidP="000C3F2F">
      <w:pPr>
        <w:autoSpaceDE w:val="0"/>
        <w:autoSpaceDN w:val="0"/>
        <w:adjustRightInd w:val="0"/>
        <w:spacing w:after="0" w:line="360" w:lineRule="auto"/>
        <w:jc w:val="both"/>
        <w:rPr>
          <w:rFonts w:ascii="Arial" w:hAnsi="Arial" w:cs="Arial"/>
          <w:b/>
          <w:bCs/>
          <w:color w:val="000000" w:themeColor="text1"/>
          <w:kern w:val="0"/>
        </w:rPr>
      </w:pPr>
    </w:p>
    <w:p w14:paraId="116BC7AE" w14:textId="77777777" w:rsidR="00440A2A" w:rsidRPr="000C3F2F" w:rsidRDefault="00440A2A" w:rsidP="000C3F2F">
      <w:pPr>
        <w:pStyle w:val="Heading1"/>
        <w:spacing w:line="360" w:lineRule="auto"/>
        <w:jc w:val="both"/>
        <w:rPr>
          <w:rFonts w:ascii="Arial" w:hAnsi="Arial" w:cs="Arial"/>
          <w:color w:val="000000" w:themeColor="text1"/>
          <w:sz w:val="24"/>
          <w:szCs w:val="24"/>
        </w:rPr>
      </w:pPr>
      <w:bookmarkStart w:id="30" w:name="_Toc227925586"/>
      <w:r w:rsidRPr="000C3F2F">
        <w:rPr>
          <w:rFonts w:ascii="Arial" w:hAnsi="Arial" w:cs="Arial"/>
          <w:color w:val="000000" w:themeColor="text1"/>
          <w:sz w:val="24"/>
          <w:szCs w:val="24"/>
        </w:rPr>
        <w:t>5. Conclusion</w:t>
      </w:r>
      <w:bookmarkEnd w:id="30"/>
    </w:p>
    <w:p w14:paraId="6ED8211F" w14:textId="77777777" w:rsidR="00440A2A" w:rsidRPr="000C3F2F" w:rsidRDefault="00440A2A" w:rsidP="000C3F2F">
      <w:pPr>
        <w:autoSpaceDE w:val="0"/>
        <w:autoSpaceDN w:val="0"/>
        <w:adjustRightInd w:val="0"/>
        <w:spacing w:after="0" w:line="360" w:lineRule="auto"/>
        <w:jc w:val="both"/>
        <w:rPr>
          <w:rFonts w:ascii="Arial" w:hAnsi="Arial" w:cs="Arial"/>
          <w:b/>
          <w:bCs/>
          <w:color w:val="000000" w:themeColor="text1"/>
          <w:kern w:val="0"/>
        </w:rPr>
      </w:pPr>
    </w:p>
    <w:p w14:paraId="747B83F7" w14:textId="7E0A6B5F"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Ford Motor Company has a complicated yet a strong financial profile in 2020</w:t>
      </w:r>
      <w:r w:rsidR="00E320E1" w:rsidRPr="000C3F2F">
        <w:rPr>
          <w:rFonts w:ascii="Arial" w:hAnsi="Arial" w:cs="Arial"/>
          <w:color w:val="000000" w:themeColor="text1"/>
          <w:kern w:val="0"/>
        </w:rPr>
        <w:t xml:space="preserve"> - </w:t>
      </w:r>
      <w:r w:rsidRPr="000C3F2F">
        <w:rPr>
          <w:rFonts w:ascii="Arial" w:hAnsi="Arial" w:cs="Arial"/>
          <w:color w:val="000000" w:themeColor="text1"/>
          <w:kern w:val="0"/>
        </w:rPr>
        <w:t>2024. Operational performance - Adjusted EBIT - has been steady at around 10 billion per annum, with the core of Ford Pro growth and profitability. Nevertheless, the GAAP net income is thin, volatile, and susceptible to special items, with the most significant ones being EV losses, pension remeasurement, and Rivian-related investment gains and losses. The cash operating cycle is well controlled with a less than 8 days cycle, however, the deteriorating payables days needs to be addressed with working capital reforms. A partial Ford Pro IPO is the most value-accretive restructuring alternative, which can be used to finance EV investment without compromising the quality of credit. Project C is a clear winner in all five techniques in investment appraisal and should be approved as a separate project or in conjunction with Project B within capital rationing limits.</w:t>
      </w:r>
    </w:p>
    <w:p w14:paraId="4182958A"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p>
    <w:p w14:paraId="0CB84627" w14:textId="77777777" w:rsidR="00AF6302" w:rsidRPr="000C3F2F" w:rsidRDefault="00AF6302" w:rsidP="000C3F2F">
      <w:pPr>
        <w:autoSpaceDE w:val="0"/>
        <w:autoSpaceDN w:val="0"/>
        <w:adjustRightInd w:val="0"/>
        <w:spacing w:after="0" w:line="360" w:lineRule="auto"/>
        <w:jc w:val="both"/>
        <w:rPr>
          <w:rFonts w:ascii="Arial" w:hAnsi="Arial" w:cs="Arial"/>
          <w:color w:val="000000" w:themeColor="text1"/>
          <w:kern w:val="0"/>
        </w:rPr>
      </w:pPr>
    </w:p>
    <w:p w14:paraId="2C30E98E" w14:textId="7AF59B3C" w:rsidR="00440A2A" w:rsidRPr="000C3F2F" w:rsidRDefault="00440A2A" w:rsidP="000C3F2F">
      <w:pPr>
        <w:spacing w:line="360" w:lineRule="auto"/>
        <w:jc w:val="both"/>
        <w:rPr>
          <w:rFonts w:ascii="Arial" w:hAnsi="Arial" w:cs="Arial"/>
          <w:color w:val="000000" w:themeColor="text1"/>
        </w:rPr>
      </w:pPr>
      <w:r w:rsidRPr="000C3F2F">
        <w:rPr>
          <w:rFonts w:ascii="Arial" w:hAnsi="Arial" w:cs="Arial"/>
          <w:color w:val="000000" w:themeColor="text1"/>
        </w:rPr>
        <w:br w:type="page"/>
      </w:r>
    </w:p>
    <w:p w14:paraId="11191530" w14:textId="77777777" w:rsidR="00440A2A" w:rsidRPr="000C3F2F" w:rsidRDefault="00440A2A" w:rsidP="000C3F2F">
      <w:pPr>
        <w:pStyle w:val="Heading1"/>
        <w:spacing w:line="360" w:lineRule="auto"/>
        <w:jc w:val="both"/>
        <w:rPr>
          <w:rFonts w:ascii="Arial" w:hAnsi="Arial" w:cs="Arial"/>
          <w:color w:val="000000" w:themeColor="text1"/>
          <w:sz w:val="24"/>
          <w:szCs w:val="24"/>
        </w:rPr>
      </w:pPr>
      <w:bookmarkStart w:id="31" w:name="_Toc227925587"/>
      <w:r w:rsidRPr="000C3F2F">
        <w:rPr>
          <w:rFonts w:ascii="Arial" w:hAnsi="Arial" w:cs="Arial"/>
          <w:color w:val="000000" w:themeColor="text1"/>
          <w:sz w:val="24"/>
          <w:szCs w:val="24"/>
        </w:rPr>
        <w:lastRenderedPageBreak/>
        <w:t>References</w:t>
      </w:r>
      <w:bookmarkEnd w:id="31"/>
    </w:p>
    <w:p w14:paraId="508884D8"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p>
    <w:p w14:paraId="7FC50713" w14:textId="578335F9" w:rsidR="00440A2A"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Ford Motor Company (2020) </w:t>
      </w:r>
      <w:r w:rsidRPr="000C3F2F">
        <w:rPr>
          <w:rFonts w:ascii="Arial" w:hAnsi="Arial" w:cs="Arial"/>
          <w:i/>
          <w:iCs/>
          <w:color w:val="000000" w:themeColor="text1"/>
          <w:kern w:val="0"/>
        </w:rPr>
        <w:t>Annual Report 2020 (Form 10-K)</w:t>
      </w:r>
      <w:r w:rsidRPr="000C3F2F">
        <w:rPr>
          <w:rFonts w:ascii="Arial" w:hAnsi="Arial" w:cs="Arial"/>
          <w:color w:val="000000" w:themeColor="text1"/>
          <w:kern w:val="0"/>
        </w:rPr>
        <w:t>. Dearborn: Ford Motor Company.</w:t>
      </w:r>
      <w:r w:rsidR="00A27700" w:rsidRPr="00A27700">
        <w:t xml:space="preserve"> </w:t>
      </w:r>
      <w:hyperlink r:id="rId7" w:history="1">
        <w:r w:rsidR="00A27700" w:rsidRPr="00B56576">
          <w:rPr>
            <w:rStyle w:val="Hyperlink"/>
            <w:rFonts w:ascii="Arial" w:hAnsi="Arial" w:cs="Arial"/>
            <w:kern w:val="0"/>
          </w:rPr>
          <w:t>https://www.annualreports.com/Company/ford-motor-company</w:t>
        </w:r>
      </w:hyperlink>
    </w:p>
    <w:p w14:paraId="32A496EC"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p>
    <w:p w14:paraId="44AD6800" w14:textId="7C730E27" w:rsidR="00440A2A"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Ford Motor Company (2021) </w:t>
      </w:r>
      <w:r w:rsidRPr="000C3F2F">
        <w:rPr>
          <w:rFonts w:ascii="Arial" w:hAnsi="Arial" w:cs="Arial"/>
          <w:i/>
          <w:iCs/>
          <w:color w:val="000000" w:themeColor="text1"/>
          <w:kern w:val="0"/>
        </w:rPr>
        <w:t>Annual Report 2021 (Form 10-K)</w:t>
      </w:r>
      <w:r w:rsidRPr="000C3F2F">
        <w:rPr>
          <w:rFonts w:ascii="Arial" w:hAnsi="Arial" w:cs="Arial"/>
          <w:color w:val="000000" w:themeColor="text1"/>
          <w:kern w:val="0"/>
        </w:rPr>
        <w:t>. Dearborn: Ford Motor Company.</w:t>
      </w:r>
      <w:r w:rsidR="00A27700" w:rsidRPr="00A27700">
        <w:t xml:space="preserve"> </w:t>
      </w:r>
      <w:hyperlink r:id="rId8" w:history="1">
        <w:r w:rsidR="00A27700" w:rsidRPr="00B56576">
          <w:rPr>
            <w:rStyle w:val="Hyperlink"/>
            <w:rFonts w:ascii="Arial" w:hAnsi="Arial" w:cs="Arial"/>
            <w:kern w:val="0"/>
          </w:rPr>
          <w:t>https://www.annualreports.com/Company/ford-motor-company</w:t>
        </w:r>
      </w:hyperlink>
    </w:p>
    <w:p w14:paraId="52BA663B"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p>
    <w:p w14:paraId="4B7BAAD4" w14:textId="144D2D7E" w:rsidR="00440A2A"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Ford Motor Company (2022) </w:t>
      </w:r>
      <w:r w:rsidRPr="000C3F2F">
        <w:rPr>
          <w:rFonts w:ascii="Arial" w:hAnsi="Arial" w:cs="Arial"/>
          <w:i/>
          <w:iCs/>
          <w:color w:val="000000" w:themeColor="text1"/>
          <w:kern w:val="0"/>
        </w:rPr>
        <w:t>Annual Report 2022 (Form 10-K)</w:t>
      </w:r>
      <w:r w:rsidRPr="000C3F2F">
        <w:rPr>
          <w:rFonts w:ascii="Arial" w:hAnsi="Arial" w:cs="Arial"/>
          <w:color w:val="000000" w:themeColor="text1"/>
          <w:kern w:val="0"/>
        </w:rPr>
        <w:t>. Dearborn: Ford Motor Company</w:t>
      </w:r>
      <w:r w:rsidR="004931EF">
        <w:rPr>
          <w:rFonts w:ascii="Arial" w:hAnsi="Arial" w:cs="Arial"/>
          <w:color w:val="000000" w:themeColor="text1"/>
          <w:kern w:val="0"/>
        </w:rPr>
        <w:t>.</w:t>
      </w:r>
      <w:r w:rsidR="00A27700" w:rsidRPr="00A27700">
        <w:t xml:space="preserve"> </w:t>
      </w:r>
      <w:hyperlink r:id="rId9" w:history="1">
        <w:r w:rsidR="00A27700" w:rsidRPr="00B56576">
          <w:rPr>
            <w:rStyle w:val="Hyperlink"/>
            <w:rFonts w:ascii="Arial" w:hAnsi="Arial" w:cs="Arial"/>
            <w:kern w:val="0"/>
          </w:rPr>
          <w:t>https://www.annualreports.com/Company/ford-motor-company</w:t>
        </w:r>
      </w:hyperlink>
    </w:p>
    <w:p w14:paraId="56652C69"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p>
    <w:p w14:paraId="62557742" w14:textId="7EA436EE" w:rsidR="00440A2A" w:rsidRDefault="00440A2A" w:rsidP="000C3F2F">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Ford Motor Company (2023) </w:t>
      </w:r>
      <w:r w:rsidRPr="000C3F2F">
        <w:rPr>
          <w:rFonts w:ascii="Arial" w:hAnsi="Arial" w:cs="Arial"/>
          <w:i/>
          <w:iCs/>
          <w:color w:val="000000" w:themeColor="text1"/>
          <w:kern w:val="0"/>
        </w:rPr>
        <w:t>Annual Report 2023 (Form 10-K)</w:t>
      </w:r>
      <w:r w:rsidRPr="000C3F2F">
        <w:rPr>
          <w:rFonts w:ascii="Arial" w:hAnsi="Arial" w:cs="Arial"/>
          <w:color w:val="000000" w:themeColor="text1"/>
          <w:kern w:val="0"/>
        </w:rPr>
        <w:t>. Dearborn: Ford Motor Company.</w:t>
      </w:r>
      <w:r w:rsidR="00A27700" w:rsidRPr="00A27700">
        <w:t xml:space="preserve"> </w:t>
      </w:r>
      <w:hyperlink r:id="rId10" w:history="1">
        <w:r w:rsidR="00A27700" w:rsidRPr="00B56576">
          <w:rPr>
            <w:rStyle w:val="Hyperlink"/>
            <w:rFonts w:ascii="Arial" w:hAnsi="Arial" w:cs="Arial"/>
            <w:kern w:val="0"/>
          </w:rPr>
          <w:t>https://www.annualreports.com/Company/ford-motor-company</w:t>
        </w:r>
      </w:hyperlink>
    </w:p>
    <w:p w14:paraId="0F1F70E4" w14:textId="77777777" w:rsidR="00440A2A" w:rsidRPr="000C3F2F" w:rsidRDefault="00440A2A" w:rsidP="000C3F2F">
      <w:pPr>
        <w:autoSpaceDE w:val="0"/>
        <w:autoSpaceDN w:val="0"/>
        <w:adjustRightInd w:val="0"/>
        <w:spacing w:after="0" w:line="360" w:lineRule="auto"/>
        <w:jc w:val="both"/>
        <w:rPr>
          <w:rFonts w:ascii="Arial" w:hAnsi="Arial" w:cs="Arial"/>
          <w:color w:val="000000" w:themeColor="text1"/>
          <w:kern w:val="0"/>
        </w:rPr>
      </w:pPr>
    </w:p>
    <w:p w14:paraId="34F09E9A" w14:textId="2FBE79CE" w:rsidR="00A27700" w:rsidRDefault="00440A2A" w:rsidP="00A27700">
      <w:pPr>
        <w:autoSpaceDE w:val="0"/>
        <w:autoSpaceDN w:val="0"/>
        <w:adjustRightInd w:val="0"/>
        <w:spacing w:after="0" w:line="360" w:lineRule="auto"/>
        <w:jc w:val="both"/>
        <w:rPr>
          <w:rFonts w:ascii="Arial" w:hAnsi="Arial" w:cs="Arial"/>
          <w:color w:val="000000" w:themeColor="text1"/>
          <w:kern w:val="0"/>
        </w:rPr>
      </w:pPr>
      <w:r w:rsidRPr="000C3F2F">
        <w:rPr>
          <w:rFonts w:ascii="Arial" w:hAnsi="Arial" w:cs="Arial"/>
          <w:color w:val="000000" w:themeColor="text1"/>
          <w:kern w:val="0"/>
        </w:rPr>
        <w:t>Ford Motor Company (2024) </w:t>
      </w:r>
      <w:r w:rsidRPr="000C3F2F">
        <w:rPr>
          <w:rFonts w:ascii="Arial" w:hAnsi="Arial" w:cs="Arial"/>
          <w:i/>
          <w:iCs/>
          <w:color w:val="000000" w:themeColor="text1"/>
          <w:kern w:val="0"/>
        </w:rPr>
        <w:t>Annual Report 2024 (Form 10-K)</w:t>
      </w:r>
      <w:r w:rsidRPr="000C3F2F">
        <w:rPr>
          <w:rFonts w:ascii="Arial" w:hAnsi="Arial" w:cs="Arial"/>
          <w:color w:val="000000" w:themeColor="text1"/>
          <w:kern w:val="0"/>
        </w:rPr>
        <w:t>. Dearborn: Ford Motor Company.</w:t>
      </w:r>
      <w:r w:rsidR="00A27700" w:rsidRPr="00A27700">
        <w:t xml:space="preserve"> </w:t>
      </w:r>
      <w:hyperlink r:id="rId11" w:history="1">
        <w:r w:rsidR="00A27700" w:rsidRPr="00B56576">
          <w:rPr>
            <w:rStyle w:val="Hyperlink"/>
            <w:rFonts w:ascii="Arial" w:hAnsi="Arial" w:cs="Arial"/>
            <w:kern w:val="0"/>
          </w:rPr>
          <w:t>https://www.annualreports.com/Company/ford-motor-company</w:t>
        </w:r>
      </w:hyperlink>
    </w:p>
    <w:p w14:paraId="1C46B5B8" w14:textId="77777777" w:rsidR="00A27700" w:rsidRPr="00A27700" w:rsidRDefault="00A27700" w:rsidP="00A27700">
      <w:pPr>
        <w:autoSpaceDE w:val="0"/>
        <w:autoSpaceDN w:val="0"/>
        <w:adjustRightInd w:val="0"/>
        <w:spacing w:after="0" w:line="360" w:lineRule="auto"/>
        <w:jc w:val="both"/>
        <w:rPr>
          <w:rFonts w:ascii="Arial" w:hAnsi="Arial" w:cs="Arial"/>
          <w:color w:val="000000" w:themeColor="text1"/>
          <w:kern w:val="0"/>
        </w:rPr>
      </w:pPr>
    </w:p>
    <w:p w14:paraId="0E014268" w14:textId="77777777" w:rsidR="00A27700" w:rsidRPr="00A27700" w:rsidRDefault="00A27700" w:rsidP="00A27700">
      <w:pPr>
        <w:spacing w:after="240" w:line="360" w:lineRule="auto"/>
        <w:rPr>
          <w:rFonts w:ascii="Arial" w:eastAsia="Times New Roman" w:hAnsi="Arial" w:cs="Arial"/>
          <w:kern w:val="0"/>
          <w:lang w:eastAsia="en-GB"/>
          <w14:ligatures w14:val="none"/>
        </w:rPr>
      </w:pPr>
      <w:proofErr w:type="spellStart"/>
      <w:r w:rsidRPr="00A27700">
        <w:rPr>
          <w:rFonts w:ascii="Arial" w:eastAsia="Times New Roman" w:hAnsi="Arial" w:cs="Arial"/>
          <w:kern w:val="0"/>
          <w:lang w:eastAsia="en-GB"/>
          <w14:ligatures w14:val="none"/>
        </w:rPr>
        <w:t>Alaryani</w:t>
      </w:r>
      <w:proofErr w:type="spellEnd"/>
      <w:r w:rsidRPr="00A27700">
        <w:rPr>
          <w:rFonts w:ascii="Arial" w:eastAsia="Times New Roman" w:hAnsi="Arial" w:cs="Arial"/>
          <w:kern w:val="0"/>
          <w:lang w:eastAsia="en-GB"/>
          <w14:ligatures w14:val="none"/>
        </w:rPr>
        <w:t xml:space="preserve">, A., Alameri, B., </w:t>
      </w:r>
      <w:proofErr w:type="spellStart"/>
      <w:r w:rsidRPr="00A27700">
        <w:rPr>
          <w:rFonts w:ascii="Arial" w:eastAsia="Times New Roman" w:hAnsi="Arial" w:cs="Arial"/>
          <w:kern w:val="0"/>
          <w:lang w:eastAsia="en-GB"/>
          <w14:ligatures w14:val="none"/>
        </w:rPr>
        <w:t>Alshamsi</w:t>
      </w:r>
      <w:proofErr w:type="spellEnd"/>
      <w:r w:rsidRPr="00A27700">
        <w:rPr>
          <w:rFonts w:ascii="Arial" w:eastAsia="Times New Roman" w:hAnsi="Arial" w:cs="Arial"/>
          <w:kern w:val="0"/>
          <w:lang w:eastAsia="en-GB"/>
          <w14:ligatures w14:val="none"/>
        </w:rPr>
        <w:t xml:space="preserve">, S., </w:t>
      </w:r>
      <w:proofErr w:type="spellStart"/>
      <w:r w:rsidRPr="00A27700">
        <w:rPr>
          <w:rFonts w:ascii="Arial" w:eastAsia="Times New Roman" w:hAnsi="Arial" w:cs="Arial"/>
          <w:kern w:val="0"/>
          <w:lang w:eastAsia="en-GB"/>
          <w14:ligatures w14:val="none"/>
        </w:rPr>
        <w:t>AlGhafli</w:t>
      </w:r>
      <w:proofErr w:type="spellEnd"/>
      <w:r w:rsidRPr="00A27700">
        <w:rPr>
          <w:rFonts w:ascii="Arial" w:eastAsia="Times New Roman" w:hAnsi="Arial" w:cs="Arial"/>
          <w:kern w:val="0"/>
          <w:lang w:eastAsia="en-GB"/>
          <w14:ligatures w14:val="none"/>
        </w:rPr>
        <w:t xml:space="preserve">, Z. and </w:t>
      </w:r>
      <w:proofErr w:type="spellStart"/>
      <w:r w:rsidRPr="00A27700">
        <w:rPr>
          <w:rFonts w:ascii="Arial" w:eastAsia="Times New Roman" w:hAnsi="Arial" w:cs="Arial"/>
          <w:kern w:val="0"/>
          <w:lang w:eastAsia="en-GB"/>
          <w14:ligatures w14:val="none"/>
        </w:rPr>
        <w:t>Nobanee</w:t>
      </w:r>
      <w:proofErr w:type="spellEnd"/>
      <w:r w:rsidRPr="00A27700">
        <w:rPr>
          <w:rFonts w:ascii="Arial" w:eastAsia="Times New Roman" w:hAnsi="Arial" w:cs="Arial"/>
          <w:kern w:val="0"/>
          <w:lang w:eastAsia="en-GB"/>
          <w14:ligatures w14:val="none"/>
        </w:rPr>
        <w:t xml:space="preserve">, H. (2024). Foreign Exchange Exposure and Hedging Strategies: A Case-Based Analysis of MNCs. </w:t>
      </w:r>
      <w:r w:rsidRPr="00A27700">
        <w:rPr>
          <w:rFonts w:ascii="Arial" w:eastAsia="Times New Roman" w:hAnsi="Arial" w:cs="Arial"/>
          <w:i/>
          <w:iCs/>
          <w:kern w:val="0"/>
          <w:lang w:eastAsia="en-GB"/>
          <w14:ligatures w14:val="none"/>
        </w:rPr>
        <w:t>SSRN Electronic Journal</w:t>
      </w:r>
      <w:r w:rsidRPr="00A27700">
        <w:rPr>
          <w:rFonts w:ascii="Arial" w:eastAsia="Times New Roman" w:hAnsi="Arial" w:cs="Arial"/>
          <w:kern w:val="0"/>
          <w:lang w:eastAsia="en-GB"/>
          <w14:ligatures w14:val="none"/>
        </w:rPr>
        <w:t xml:space="preserve">, [online] 1(4).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://doi.org/10.2139/ssrn.4986846</w:t>
      </w:r>
      <w:proofErr w:type="gramEnd"/>
      <w:r w:rsidRPr="00A27700">
        <w:rPr>
          <w:rFonts w:ascii="Arial" w:eastAsia="Times New Roman" w:hAnsi="Arial" w:cs="Arial"/>
          <w:kern w:val="0"/>
          <w:lang w:eastAsia="en-GB"/>
          <w14:ligatures w14:val="none"/>
        </w:rPr>
        <w:t>.</w:t>
      </w:r>
    </w:p>
    <w:p w14:paraId="615D35B1"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Feldman, E. (2016). </w:t>
      </w:r>
      <w:r w:rsidRPr="00A27700">
        <w:rPr>
          <w:rFonts w:ascii="Arial" w:eastAsia="Times New Roman" w:hAnsi="Arial" w:cs="Arial"/>
          <w:i/>
          <w:iCs/>
          <w:kern w:val="0"/>
          <w:lang w:eastAsia="en-GB"/>
          <w14:ligatures w14:val="none"/>
        </w:rPr>
        <w:t>Restructuring and Divestitures Restructuring and Divestitures Restructuring and Divestitures</w:t>
      </w:r>
      <w:r w:rsidRPr="00A27700">
        <w:rPr>
          <w:rFonts w:ascii="Arial" w:eastAsia="Times New Roman" w:hAnsi="Arial" w:cs="Arial"/>
          <w:kern w:val="0"/>
          <w:lang w:eastAsia="en-GB"/>
          <w14:ligatures w14:val="none"/>
        </w:rPr>
        <w:t>. [online] Available at: https://faculty.wharton.upenn.edu/wp-content/uploads/2016/11/Restructuring-and-Divestitures.pdf.</w:t>
      </w:r>
    </w:p>
    <w:p w14:paraId="4FE1C40E"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Gardner, J., Sloan, R.G. and Yoon, J.S. (2024). Distinguishing between recurring and nonrecurring components of earnings using unobserved components </w:t>
      </w:r>
      <w:proofErr w:type="spellStart"/>
      <w:r w:rsidRPr="00A27700">
        <w:rPr>
          <w:rFonts w:ascii="Arial" w:eastAsia="Times New Roman" w:hAnsi="Arial" w:cs="Arial"/>
          <w:kern w:val="0"/>
          <w:lang w:eastAsia="en-GB"/>
          <w14:ligatures w14:val="none"/>
        </w:rPr>
        <w:t>modeling</w:t>
      </w:r>
      <w:proofErr w:type="spellEnd"/>
      <w:r w:rsidRPr="00A27700">
        <w:rPr>
          <w:rFonts w:ascii="Arial" w:eastAsia="Times New Roman" w:hAnsi="Arial" w:cs="Arial"/>
          <w:kern w:val="0"/>
          <w:lang w:eastAsia="en-GB"/>
          <w14:ligatures w14:val="none"/>
        </w:rPr>
        <w:t xml:space="preserve">. </w:t>
      </w:r>
      <w:r w:rsidRPr="00A27700">
        <w:rPr>
          <w:rFonts w:ascii="Arial" w:eastAsia="Times New Roman" w:hAnsi="Arial" w:cs="Arial"/>
          <w:i/>
          <w:iCs/>
          <w:kern w:val="0"/>
          <w:lang w:eastAsia="en-GB"/>
          <w14:ligatures w14:val="none"/>
        </w:rPr>
        <w:t>Journal of Accounting and Economics</w:t>
      </w:r>
      <w:r w:rsidRPr="00A27700">
        <w:rPr>
          <w:rFonts w:ascii="Arial" w:eastAsia="Times New Roman" w:hAnsi="Arial" w:cs="Arial"/>
          <w:kern w:val="0"/>
          <w:lang w:eastAsia="en-GB"/>
          <w14:ligatures w14:val="none"/>
        </w:rPr>
        <w:t xml:space="preserve">, 78(1), pp.101687–101687.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://doi.org/10.1016/j.jacceco.2024.101687</w:t>
      </w:r>
      <w:proofErr w:type="gramEnd"/>
      <w:r w:rsidRPr="00A27700">
        <w:rPr>
          <w:rFonts w:ascii="Arial" w:eastAsia="Times New Roman" w:hAnsi="Arial" w:cs="Arial"/>
          <w:kern w:val="0"/>
          <w:lang w:eastAsia="en-GB"/>
          <w14:ligatures w14:val="none"/>
        </w:rPr>
        <w:t>.</w:t>
      </w:r>
    </w:p>
    <w:p w14:paraId="232B377C"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Geelen, T., Jakub Hajda, Erwan </w:t>
      </w:r>
      <w:proofErr w:type="spellStart"/>
      <w:r w:rsidRPr="00A27700">
        <w:rPr>
          <w:rFonts w:ascii="Arial" w:eastAsia="Times New Roman" w:hAnsi="Arial" w:cs="Arial"/>
          <w:kern w:val="0"/>
          <w:lang w:eastAsia="en-GB"/>
          <w14:ligatures w14:val="none"/>
        </w:rPr>
        <w:t>Morellec</w:t>
      </w:r>
      <w:proofErr w:type="spellEnd"/>
      <w:r w:rsidRPr="00A27700">
        <w:rPr>
          <w:rFonts w:ascii="Arial" w:eastAsia="Times New Roman" w:hAnsi="Arial" w:cs="Arial"/>
          <w:kern w:val="0"/>
          <w:lang w:eastAsia="en-GB"/>
          <w14:ligatures w14:val="none"/>
        </w:rPr>
        <w:t xml:space="preserve"> and Winegar, A. (2024). Asset life, leverage, and debt maturity matching. </w:t>
      </w:r>
      <w:r w:rsidRPr="00A27700">
        <w:rPr>
          <w:rFonts w:ascii="Arial" w:eastAsia="Times New Roman" w:hAnsi="Arial" w:cs="Arial"/>
          <w:i/>
          <w:iCs/>
          <w:kern w:val="0"/>
          <w:lang w:eastAsia="en-GB"/>
          <w14:ligatures w14:val="none"/>
        </w:rPr>
        <w:t>Journal of financial economics</w:t>
      </w:r>
      <w:r w:rsidRPr="00A27700">
        <w:rPr>
          <w:rFonts w:ascii="Arial" w:eastAsia="Times New Roman" w:hAnsi="Arial" w:cs="Arial"/>
          <w:kern w:val="0"/>
          <w:lang w:eastAsia="en-GB"/>
          <w14:ligatures w14:val="none"/>
        </w:rPr>
        <w:t xml:space="preserve">, 154(3), pp.103796–103796.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://doi.org/10.1016/j.jfineco.2024.103796</w:t>
      </w:r>
      <w:proofErr w:type="gramEnd"/>
      <w:r w:rsidRPr="00A27700">
        <w:rPr>
          <w:rFonts w:ascii="Arial" w:eastAsia="Times New Roman" w:hAnsi="Arial" w:cs="Arial"/>
          <w:kern w:val="0"/>
          <w:lang w:eastAsia="en-GB"/>
          <w14:ligatures w14:val="none"/>
        </w:rPr>
        <w:t>.</w:t>
      </w:r>
    </w:p>
    <w:p w14:paraId="4BFC6730"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lastRenderedPageBreak/>
        <w:t xml:space="preserve">Gelsomino, L., Paananen, M., Papadopoulos, S. and Elliot, V. (2025). Reverse factoring: accounting practices in a regulatory vacuum. </w:t>
      </w:r>
      <w:r w:rsidRPr="00A27700">
        <w:rPr>
          <w:rFonts w:ascii="Arial" w:eastAsia="Times New Roman" w:hAnsi="Arial" w:cs="Arial"/>
          <w:i/>
          <w:iCs/>
          <w:kern w:val="0"/>
          <w:lang w:eastAsia="en-GB"/>
          <w14:ligatures w14:val="none"/>
        </w:rPr>
        <w:t>Accounting Forum</w:t>
      </w:r>
      <w:r w:rsidRPr="00A27700">
        <w:rPr>
          <w:rFonts w:ascii="Arial" w:eastAsia="Times New Roman" w:hAnsi="Arial" w:cs="Arial"/>
          <w:kern w:val="0"/>
          <w:lang w:eastAsia="en-GB"/>
          <w14:ligatures w14:val="none"/>
        </w:rPr>
        <w:t xml:space="preserve">, 1(1), pp.1–34.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://doi.org/10.1080/01559982.2025.2509197</w:t>
      </w:r>
      <w:proofErr w:type="gramEnd"/>
      <w:r w:rsidRPr="00A27700">
        <w:rPr>
          <w:rFonts w:ascii="Arial" w:eastAsia="Times New Roman" w:hAnsi="Arial" w:cs="Arial"/>
          <w:kern w:val="0"/>
          <w:lang w:eastAsia="en-GB"/>
          <w14:ligatures w14:val="none"/>
        </w:rPr>
        <w:t>.</w:t>
      </w:r>
    </w:p>
    <w:p w14:paraId="2D0F7FCB"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Jayathilaka, A.K.K.R. (2020). Operating Profit and Net Profit: Measurements of Profitability. </w:t>
      </w:r>
      <w:r w:rsidRPr="00A27700">
        <w:rPr>
          <w:rFonts w:ascii="Arial" w:eastAsia="Times New Roman" w:hAnsi="Arial" w:cs="Arial"/>
          <w:i/>
          <w:iCs/>
          <w:kern w:val="0"/>
          <w:lang w:eastAsia="en-GB"/>
          <w14:ligatures w14:val="none"/>
        </w:rPr>
        <w:t>OALib</w:t>
      </w:r>
      <w:r w:rsidRPr="00A27700">
        <w:rPr>
          <w:rFonts w:ascii="Arial" w:eastAsia="Times New Roman" w:hAnsi="Arial" w:cs="Arial"/>
          <w:kern w:val="0"/>
          <w:lang w:eastAsia="en-GB"/>
          <w14:ligatures w14:val="none"/>
        </w:rPr>
        <w:t>, [online] 07(12), pp.1–11. Available at: https://www.researchgate.net/publication/347873167_Operating_Profit_and_Net_Profit_Measurements_of_Profitability.</w:t>
      </w:r>
    </w:p>
    <w:p w14:paraId="46A6630A"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Kaplan, Z.R. and Pérez-Cavazos, G. (2021). Investment as the opportunity cost of dividend </w:t>
      </w:r>
      <w:proofErr w:type="spellStart"/>
      <w:r w:rsidRPr="00A27700">
        <w:rPr>
          <w:rFonts w:ascii="Arial" w:eastAsia="Times New Roman" w:hAnsi="Arial" w:cs="Arial"/>
          <w:kern w:val="0"/>
          <w:lang w:eastAsia="en-GB"/>
          <w14:ligatures w14:val="none"/>
        </w:rPr>
        <w:t>signaling</w:t>
      </w:r>
      <w:proofErr w:type="spellEnd"/>
      <w:r w:rsidRPr="00A27700">
        <w:rPr>
          <w:rFonts w:ascii="Arial" w:eastAsia="Times New Roman" w:hAnsi="Arial" w:cs="Arial"/>
          <w:kern w:val="0"/>
          <w:lang w:eastAsia="en-GB"/>
          <w14:ligatures w14:val="none"/>
        </w:rPr>
        <w:t xml:space="preserve">. </w:t>
      </w:r>
      <w:r w:rsidRPr="00A27700">
        <w:rPr>
          <w:rFonts w:ascii="Arial" w:eastAsia="Times New Roman" w:hAnsi="Arial" w:cs="Arial"/>
          <w:i/>
          <w:iCs/>
          <w:kern w:val="0"/>
          <w:lang w:eastAsia="en-GB"/>
          <w14:ligatures w14:val="none"/>
        </w:rPr>
        <w:t>The Accounting Review</w:t>
      </w:r>
      <w:r w:rsidRPr="00A27700">
        <w:rPr>
          <w:rFonts w:ascii="Arial" w:eastAsia="Times New Roman" w:hAnsi="Arial" w:cs="Arial"/>
          <w:kern w:val="0"/>
          <w:lang w:eastAsia="en-GB"/>
          <w14:ligatures w14:val="none"/>
        </w:rPr>
        <w:t xml:space="preserve">, 1(1).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://doi.org/10.2308/tar-2019-0313</w:t>
      </w:r>
      <w:proofErr w:type="gramEnd"/>
      <w:r w:rsidRPr="00A27700">
        <w:rPr>
          <w:rFonts w:ascii="Arial" w:eastAsia="Times New Roman" w:hAnsi="Arial" w:cs="Arial"/>
          <w:kern w:val="0"/>
          <w:lang w:eastAsia="en-GB"/>
          <w14:ligatures w14:val="none"/>
        </w:rPr>
        <w:t>.</w:t>
      </w:r>
    </w:p>
    <w:p w14:paraId="78325DBB"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Kim, E.H., McConnell, J.J. and Greenwood, P.R. (1977). CAPITAL STRUCTURE REARRANGEMENTS AND ME-FIRST RULES IN AN EFFICIENT CAPITAL MARKET. </w:t>
      </w:r>
      <w:r w:rsidRPr="00A27700">
        <w:rPr>
          <w:rFonts w:ascii="Arial" w:eastAsia="Times New Roman" w:hAnsi="Arial" w:cs="Arial"/>
          <w:i/>
          <w:iCs/>
          <w:kern w:val="0"/>
          <w:lang w:eastAsia="en-GB"/>
          <w14:ligatures w14:val="none"/>
        </w:rPr>
        <w:t>The Journal of Finance</w:t>
      </w:r>
      <w:r w:rsidRPr="00A27700">
        <w:rPr>
          <w:rFonts w:ascii="Arial" w:eastAsia="Times New Roman" w:hAnsi="Arial" w:cs="Arial"/>
          <w:kern w:val="0"/>
          <w:lang w:eastAsia="en-GB"/>
          <w14:ligatures w14:val="none"/>
        </w:rPr>
        <w:t xml:space="preserve">, 32(3), pp.789–810.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://doi.org/10.1111/j.1540-6261.1977.tb01989.x</w:t>
      </w:r>
      <w:proofErr w:type="gramEnd"/>
      <w:r w:rsidRPr="00A27700">
        <w:rPr>
          <w:rFonts w:ascii="Arial" w:eastAsia="Times New Roman" w:hAnsi="Arial" w:cs="Arial"/>
          <w:kern w:val="0"/>
          <w:lang w:eastAsia="en-GB"/>
          <w14:ligatures w14:val="none"/>
        </w:rPr>
        <w:t>.</w:t>
      </w:r>
    </w:p>
    <w:p w14:paraId="3F42CCBD"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Kurt, D., Pauwels, K., Kurt, A.C. and Srinivasan, S. (2021). The asymmetric effect of warranty payments on firm value: The moderating role of advertising, R&amp;D, and industry concentration. </w:t>
      </w:r>
      <w:r w:rsidRPr="00A27700">
        <w:rPr>
          <w:rFonts w:ascii="Arial" w:eastAsia="Times New Roman" w:hAnsi="Arial" w:cs="Arial"/>
          <w:i/>
          <w:iCs/>
          <w:kern w:val="0"/>
          <w:lang w:eastAsia="en-GB"/>
          <w14:ligatures w14:val="none"/>
        </w:rPr>
        <w:t>International Journal of Research in Marketing</w:t>
      </w:r>
      <w:r w:rsidRPr="00A27700">
        <w:rPr>
          <w:rFonts w:ascii="Arial" w:eastAsia="Times New Roman" w:hAnsi="Arial" w:cs="Arial"/>
          <w:kern w:val="0"/>
          <w:lang w:eastAsia="en-GB"/>
          <w14:ligatures w14:val="none"/>
        </w:rPr>
        <w:t xml:space="preserve">, 38(4), pp.817–837.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://doi.org/10.1016/j.ijresmar.2021.05.002</w:t>
      </w:r>
      <w:proofErr w:type="gramEnd"/>
      <w:r w:rsidRPr="00A27700">
        <w:rPr>
          <w:rFonts w:ascii="Arial" w:eastAsia="Times New Roman" w:hAnsi="Arial" w:cs="Arial"/>
          <w:kern w:val="0"/>
          <w:lang w:eastAsia="en-GB"/>
          <w14:ligatures w14:val="none"/>
        </w:rPr>
        <w:t>.</w:t>
      </w:r>
    </w:p>
    <w:p w14:paraId="00B5479B"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Lind, L., </w:t>
      </w:r>
      <w:proofErr w:type="spellStart"/>
      <w:r w:rsidRPr="00A27700">
        <w:rPr>
          <w:rFonts w:ascii="Arial" w:eastAsia="Times New Roman" w:hAnsi="Arial" w:cs="Arial"/>
          <w:kern w:val="0"/>
          <w:lang w:eastAsia="en-GB"/>
          <w14:ligatures w14:val="none"/>
        </w:rPr>
        <w:t>Pirttilä</w:t>
      </w:r>
      <w:proofErr w:type="spellEnd"/>
      <w:r w:rsidRPr="00A27700">
        <w:rPr>
          <w:rFonts w:ascii="Arial" w:eastAsia="Times New Roman" w:hAnsi="Arial" w:cs="Arial"/>
          <w:kern w:val="0"/>
          <w:lang w:eastAsia="en-GB"/>
          <w14:ligatures w14:val="none"/>
        </w:rPr>
        <w:t xml:space="preserve">, M., </w:t>
      </w:r>
      <w:proofErr w:type="spellStart"/>
      <w:r w:rsidRPr="00A27700">
        <w:rPr>
          <w:rFonts w:ascii="Arial" w:eastAsia="Times New Roman" w:hAnsi="Arial" w:cs="Arial"/>
          <w:kern w:val="0"/>
          <w:lang w:eastAsia="en-GB"/>
          <w14:ligatures w14:val="none"/>
        </w:rPr>
        <w:t>Viskari</w:t>
      </w:r>
      <w:proofErr w:type="spellEnd"/>
      <w:r w:rsidRPr="00A27700">
        <w:rPr>
          <w:rFonts w:ascii="Arial" w:eastAsia="Times New Roman" w:hAnsi="Arial" w:cs="Arial"/>
          <w:kern w:val="0"/>
          <w:lang w:eastAsia="en-GB"/>
          <w14:ligatures w14:val="none"/>
        </w:rPr>
        <w:t xml:space="preserve">, S., Schupp, F. and </w:t>
      </w:r>
      <w:proofErr w:type="spellStart"/>
      <w:r w:rsidRPr="00A27700">
        <w:rPr>
          <w:rFonts w:ascii="Arial" w:eastAsia="Times New Roman" w:hAnsi="Arial" w:cs="Arial"/>
          <w:kern w:val="0"/>
          <w:lang w:eastAsia="en-GB"/>
          <w14:ligatures w14:val="none"/>
        </w:rPr>
        <w:t>Kärri</w:t>
      </w:r>
      <w:proofErr w:type="spellEnd"/>
      <w:r w:rsidRPr="00A27700">
        <w:rPr>
          <w:rFonts w:ascii="Arial" w:eastAsia="Times New Roman" w:hAnsi="Arial" w:cs="Arial"/>
          <w:kern w:val="0"/>
          <w:lang w:eastAsia="en-GB"/>
          <w14:ligatures w14:val="none"/>
        </w:rPr>
        <w:t xml:space="preserve">, T. (2012). Working capital management in the automotive industry: Financial value chain analysis. </w:t>
      </w:r>
      <w:r w:rsidRPr="00A27700">
        <w:rPr>
          <w:rFonts w:ascii="Arial" w:eastAsia="Times New Roman" w:hAnsi="Arial" w:cs="Arial"/>
          <w:i/>
          <w:iCs/>
          <w:kern w:val="0"/>
          <w:lang w:eastAsia="en-GB"/>
          <w14:ligatures w14:val="none"/>
        </w:rPr>
        <w:t>Journal of Purchasing and Supply Management</w:t>
      </w:r>
      <w:r w:rsidRPr="00A27700">
        <w:rPr>
          <w:rFonts w:ascii="Arial" w:eastAsia="Times New Roman" w:hAnsi="Arial" w:cs="Arial"/>
          <w:kern w:val="0"/>
          <w:lang w:eastAsia="en-GB"/>
          <w14:ligatures w14:val="none"/>
        </w:rPr>
        <w:t xml:space="preserve">, 18(2), pp.92–100.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://doi.org/10.1016/j.pursup.2012.04.003</w:t>
      </w:r>
      <w:proofErr w:type="gramEnd"/>
      <w:r w:rsidRPr="00A27700">
        <w:rPr>
          <w:rFonts w:ascii="Arial" w:eastAsia="Times New Roman" w:hAnsi="Arial" w:cs="Arial"/>
          <w:kern w:val="0"/>
          <w:lang w:eastAsia="en-GB"/>
          <w14:ligatures w14:val="none"/>
        </w:rPr>
        <w:t>.</w:t>
      </w:r>
    </w:p>
    <w:p w14:paraId="4588A9B9"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Lindén, A., Lehner, O.M., </w:t>
      </w:r>
      <w:proofErr w:type="spellStart"/>
      <w:r w:rsidRPr="00A27700">
        <w:rPr>
          <w:rFonts w:ascii="Arial" w:eastAsia="Times New Roman" w:hAnsi="Arial" w:cs="Arial"/>
          <w:kern w:val="0"/>
          <w:lang w:eastAsia="en-GB"/>
          <w14:ligatures w14:val="none"/>
        </w:rPr>
        <w:t>Losbichler</w:t>
      </w:r>
      <w:proofErr w:type="spellEnd"/>
      <w:r w:rsidRPr="00A27700">
        <w:rPr>
          <w:rFonts w:ascii="Arial" w:eastAsia="Times New Roman" w:hAnsi="Arial" w:cs="Arial"/>
          <w:kern w:val="0"/>
          <w:lang w:eastAsia="en-GB"/>
          <w14:ligatures w14:val="none"/>
        </w:rPr>
        <w:t xml:space="preserve">, H. and Martikainen, M. (2022). Dividend payout decisions under uncertainty: the ownership influence in the early days of the COVID-19 pandemic in Finland. </w:t>
      </w:r>
      <w:r w:rsidRPr="00A27700">
        <w:rPr>
          <w:rFonts w:ascii="Arial" w:eastAsia="Times New Roman" w:hAnsi="Arial" w:cs="Arial"/>
          <w:i/>
          <w:iCs/>
          <w:kern w:val="0"/>
          <w:lang w:eastAsia="en-GB"/>
          <w14:ligatures w14:val="none"/>
        </w:rPr>
        <w:t>Journal of Applied Accounting Research</w:t>
      </w:r>
      <w:r w:rsidRPr="00A27700">
        <w:rPr>
          <w:rFonts w:ascii="Arial" w:eastAsia="Times New Roman" w:hAnsi="Arial" w:cs="Arial"/>
          <w:kern w:val="0"/>
          <w:lang w:eastAsia="en-GB"/>
          <w14:ligatures w14:val="none"/>
        </w:rPr>
        <w:t xml:space="preserve">, 1(1).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://doi.org/10.1108/jaar-10-2021-0274</w:t>
      </w:r>
      <w:proofErr w:type="gramEnd"/>
      <w:r w:rsidRPr="00A27700">
        <w:rPr>
          <w:rFonts w:ascii="Arial" w:eastAsia="Times New Roman" w:hAnsi="Arial" w:cs="Arial"/>
          <w:kern w:val="0"/>
          <w:lang w:eastAsia="en-GB"/>
          <w14:ligatures w14:val="none"/>
        </w:rPr>
        <w:t>.</w:t>
      </w:r>
    </w:p>
    <w:p w14:paraId="26E402B0"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Marimuthu, M. (2009). Corporate Restructuring, Firm Characteristics and Implications on Capital Structure: An Academic View. </w:t>
      </w:r>
      <w:r w:rsidRPr="00A27700">
        <w:rPr>
          <w:rFonts w:ascii="Arial" w:eastAsia="Times New Roman" w:hAnsi="Arial" w:cs="Arial"/>
          <w:i/>
          <w:iCs/>
          <w:kern w:val="0"/>
          <w:lang w:eastAsia="en-GB"/>
          <w14:ligatures w14:val="none"/>
        </w:rPr>
        <w:t>International Journal of Business and Management</w:t>
      </w:r>
      <w:r w:rsidRPr="00A27700">
        <w:rPr>
          <w:rFonts w:ascii="Arial" w:eastAsia="Times New Roman" w:hAnsi="Arial" w:cs="Arial"/>
          <w:kern w:val="0"/>
          <w:lang w:eastAsia="en-GB"/>
          <w14:ligatures w14:val="none"/>
        </w:rPr>
        <w:t xml:space="preserve">, 4(1).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://doi.org/10.5539/ijbm.v4n1p123</w:t>
      </w:r>
      <w:proofErr w:type="gramEnd"/>
      <w:r w:rsidRPr="00A27700">
        <w:rPr>
          <w:rFonts w:ascii="Arial" w:eastAsia="Times New Roman" w:hAnsi="Arial" w:cs="Arial"/>
          <w:kern w:val="0"/>
          <w:lang w:eastAsia="en-GB"/>
          <w14:ligatures w14:val="none"/>
        </w:rPr>
        <w:t>.</w:t>
      </w:r>
    </w:p>
    <w:p w14:paraId="1447EF22"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lastRenderedPageBreak/>
        <w:t xml:space="preserve">OECD (2021). </w:t>
      </w:r>
      <w:r w:rsidRPr="00A27700">
        <w:rPr>
          <w:rFonts w:ascii="Arial" w:eastAsia="Times New Roman" w:hAnsi="Arial" w:cs="Arial"/>
          <w:i/>
          <w:iCs/>
          <w:kern w:val="0"/>
          <w:lang w:eastAsia="en-GB"/>
          <w14:ligatures w14:val="none"/>
        </w:rPr>
        <w:t>Global Anti-Base Erosion Model Rules (Pillar Two)</w:t>
      </w:r>
      <w:r w:rsidRPr="00A27700">
        <w:rPr>
          <w:rFonts w:ascii="Arial" w:eastAsia="Times New Roman" w:hAnsi="Arial" w:cs="Arial"/>
          <w:kern w:val="0"/>
          <w:lang w:eastAsia="en-GB"/>
          <w14:ligatures w14:val="none"/>
        </w:rPr>
        <w:t>. [online] OECD. Available at: https://www.oecd.org/en/topics/sub-issues/global-minimum-tax/global-anti-base-erosion-model-rules-pillar-two.html.</w:t>
      </w:r>
    </w:p>
    <w:p w14:paraId="26ADB2FC" w14:textId="77777777" w:rsidR="00A27700" w:rsidRPr="00A27700" w:rsidRDefault="00A27700" w:rsidP="00A27700">
      <w:pPr>
        <w:spacing w:after="240" w:line="360" w:lineRule="auto"/>
        <w:rPr>
          <w:rFonts w:ascii="Arial" w:eastAsia="Times New Roman" w:hAnsi="Arial" w:cs="Arial"/>
          <w:kern w:val="0"/>
          <w:lang w:eastAsia="en-GB"/>
          <w14:ligatures w14:val="none"/>
        </w:rPr>
      </w:pPr>
      <w:proofErr w:type="spellStart"/>
      <w:r w:rsidRPr="00A27700">
        <w:rPr>
          <w:rFonts w:ascii="Arial" w:eastAsia="Times New Roman" w:hAnsi="Arial" w:cs="Arial"/>
          <w:kern w:val="0"/>
          <w:lang w:eastAsia="en-GB"/>
          <w14:ligatures w14:val="none"/>
        </w:rPr>
        <w:t>Pavlínek</w:t>
      </w:r>
      <w:proofErr w:type="spellEnd"/>
      <w:r w:rsidRPr="00A27700">
        <w:rPr>
          <w:rFonts w:ascii="Arial" w:eastAsia="Times New Roman" w:hAnsi="Arial" w:cs="Arial"/>
          <w:kern w:val="0"/>
          <w:lang w:eastAsia="en-GB"/>
          <w14:ligatures w14:val="none"/>
        </w:rPr>
        <w:t xml:space="preserve">, P. (2022). Transition of the automotive industry towards electric vehicle production in the east European integrated periphery. </w:t>
      </w:r>
      <w:proofErr w:type="spellStart"/>
      <w:r w:rsidRPr="00A27700">
        <w:rPr>
          <w:rFonts w:ascii="Arial" w:eastAsia="Times New Roman" w:hAnsi="Arial" w:cs="Arial"/>
          <w:i/>
          <w:iCs/>
          <w:kern w:val="0"/>
          <w:lang w:eastAsia="en-GB"/>
          <w14:ligatures w14:val="none"/>
        </w:rPr>
        <w:t>Empirica</w:t>
      </w:r>
      <w:proofErr w:type="spellEnd"/>
      <w:r w:rsidRPr="00A27700">
        <w:rPr>
          <w:rFonts w:ascii="Arial" w:eastAsia="Times New Roman" w:hAnsi="Arial" w:cs="Arial"/>
          <w:kern w:val="0"/>
          <w:lang w:eastAsia="en-GB"/>
          <w14:ligatures w14:val="none"/>
        </w:rPr>
        <w:t xml:space="preserve">, [online] 50(1).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://doi.org/10.1007/s10663-022-09554-9</w:t>
      </w:r>
      <w:proofErr w:type="gramEnd"/>
      <w:r w:rsidRPr="00A27700">
        <w:rPr>
          <w:rFonts w:ascii="Arial" w:eastAsia="Times New Roman" w:hAnsi="Arial" w:cs="Arial"/>
          <w:kern w:val="0"/>
          <w:lang w:eastAsia="en-GB"/>
          <w14:ligatures w14:val="none"/>
        </w:rPr>
        <w:t>.</w:t>
      </w:r>
    </w:p>
    <w:p w14:paraId="70B839E5"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Ribeiro, A., Shan, Y. and Taylor, S.L. (2018). Non-GAAP Earnings and the Earnings Quality Trade-off. </w:t>
      </w:r>
      <w:r w:rsidRPr="00A27700">
        <w:rPr>
          <w:rFonts w:ascii="Arial" w:eastAsia="Times New Roman" w:hAnsi="Arial" w:cs="Arial"/>
          <w:i/>
          <w:iCs/>
          <w:kern w:val="0"/>
          <w:lang w:eastAsia="en-GB"/>
          <w14:ligatures w14:val="none"/>
        </w:rPr>
        <w:t>SSRN Electronic Journal</w:t>
      </w:r>
      <w:r w:rsidRPr="00A27700">
        <w:rPr>
          <w:rFonts w:ascii="Arial" w:eastAsia="Times New Roman" w:hAnsi="Arial" w:cs="Arial"/>
          <w:kern w:val="0"/>
          <w:lang w:eastAsia="en-GB"/>
          <w14:ligatures w14:val="none"/>
        </w:rPr>
        <w:t xml:space="preserve">, 1(1).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://doi.org/10.2139/ssrn.3277318</w:t>
      </w:r>
      <w:proofErr w:type="gramEnd"/>
      <w:r w:rsidRPr="00A27700">
        <w:rPr>
          <w:rFonts w:ascii="Arial" w:eastAsia="Times New Roman" w:hAnsi="Arial" w:cs="Arial"/>
          <w:kern w:val="0"/>
          <w:lang w:eastAsia="en-GB"/>
          <w14:ligatures w14:val="none"/>
        </w:rPr>
        <w:t>.</w:t>
      </w:r>
    </w:p>
    <w:p w14:paraId="669209EA"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Sufi, A. (2007). Bank Lines of Credit in Corporate Finance: An Empirical Analysis. </w:t>
      </w:r>
      <w:r w:rsidRPr="00A27700">
        <w:rPr>
          <w:rFonts w:ascii="Arial" w:eastAsia="Times New Roman" w:hAnsi="Arial" w:cs="Arial"/>
          <w:i/>
          <w:iCs/>
          <w:kern w:val="0"/>
          <w:lang w:eastAsia="en-GB"/>
          <w14:ligatures w14:val="none"/>
        </w:rPr>
        <w:t>Review of Financial Studies</w:t>
      </w:r>
      <w:r w:rsidRPr="00A27700">
        <w:rPr>
          <w:rFonts w:ascii="Arial" w:eastAsia="Times New Roman" w:hAnsi="Arial" w:cs="Arial"/>
          <w:kern w:val="0"/>
          <w:lang w:eastAsia="en-GB"/>
          <w14:ligatures w14:val="none"/>
        </w:rPr>
        <w:t xml:space="preserve">, 22(3), pp.1057–1088.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://doi.org/10.1093/</w:t>
      </w:r>
      <w:proofErr w:type="spellStart"/>
      <w:r w:rsidRPr="00A27700">
        <w:rPr>
          <w:rFonts w:ascii="Arial" w:eastAsia="Times New Roman" w:hAnsi="Arial" w:cs="Arial"/>
          <w:kern w:val="0"/>
          <w:lang w:eastAsia="en-GB"/>
          <w14:ligatures w14:val="none"/>
        </w:rPr>
        <w:t>revfin</w:t>
      </w:r>
      <w:proofErr w:type="spellEnd"/>
      <w:r w:rsidRPr="00A27700">
        <w:rPr>
          <w:rFonts w:ascii="Arial" w:eastAsia="Times New Roman" w:hAnsi="Arial" w:cs="Arial"/>
          <w:kern w:val="0"/>
          <w:lang w:eastAsia="en-GB"/>
          <w14:ligatures w14:val="none"/>
        </w:rPr>
        <w:t>/hhm007</w:t>
      </w:r>
      <w:proofErr w:type="gramEnd"/>
      <w:r w:rsidRPr="00A27700">
        <w:rPr>
          <w:rFonts w:ascii="Arial" w:eastAsia="Times New Roman" w:hAnsi="Arial" w:cs="Arial"/>
          <w:kern w:val="0"/>
          <w:lang w:eastAsia="en-GB"/>
          <w14:ligatures w14:val="none"/>
        </w:rPr>
        <w:t>.</w:t>
      </w:r>
    </w:p>
    <w:p w14:paraId="0B933C4A"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Thompson, T.H. and Apilado, V. (2009). An examination of the impact of equity carve-outs on stockholder and bondholder wealth. </w:t>
      </w:r>
      <w:r w:rsidRPr="00A27700">
        <w:rPr>
          <w:rFonts w:ascii="Arial" w:eastAsia="Times New Roman" w:hAnsi="Arial" w:cs="Arial"/>
          <w:i/>
          <w:iCs/>
          <w:kern w:val="0"/>
          <w:lang w:eastAsia="en-GB"/>
          <w14:ligatures w14:val="none"/>
        </w:rPr>
        <w:t>Journal of Economics and Business</w:t>
      </w:r>
      <w:r w:rsidRPr="00A27700">
        <w:rPr>
          <w:rFonts w:ascii="Arial" w:eastAsia="Times New Roman" w:hAnsi="Arial" w:cs="Arial"/>
          <w:kern w:val="0"/>
          <w:lang w:eastAsia="en-GB"/>
          <w14:ligatures w14:val="none"/>
        </w:rPr>
        <w:t xml:space="preserve">, 61(5), pp.376–391.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://doi.org/10.1016/j.jeconbus.2009.02.001</w:t>
      </w:r>
      <w:proofErr w:type="gramEnd"/>
      <w:r w:rsidRPr="00A27700">
        <w:rPr>
          <w:rFonts w:ascii="Arial" w:eastAsia="Times New Roman" w:hAnsi="Arial" w:cs="Arial"/>
          <w:kern w:val="0"/>
          <w:lang w:eastAsia="en-GB"/>
          <w14:ligatures w14:val="none"/>
        </w:rPr>
        <w:t>.</w:t>
      </w:r>
    </w:p>
    <w:p w14:paraId="2A7C940A"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Wu, Y., Wang, Y., Xu, X. and Chen, X. (2019). Collect payment early, late, or through a third party’s reverse factoring in a supply chain. </w:t>
      </w:r>
      <w:r w:rsidRPr="00A27700">
        <w:rPr>
          <w:rFonts w:ascii="Arial" w:eastAsia="Times New Roman" w:hAnsi="Arial" w:cs="Arial"/>
          <w:i/>
          <w:iCs/>
          <w:kern w:val="0"/>
          <w:lang w:eastAsia="en-GB"/>
          <w14:ligatures w14:val="none"/>
        </w:rPr>
        <w:t>International Journal of Production Economics</w:t>
      </w:r>
      <w:r w:rsidRPr="00A27700">
        <w:rPr>
          <w:rFonts w:ascii="Arial" w:eastAsia="Times New Roman" w:hAnsi="Arial" w:cs="Arial"/>
          <w:kern w:val="0"/>
          <w:lang w:eastAsia="en-GB"/>
          <w14:ligatures w14:val="none"/>
        </w:rPr>
        <w:t xml:space="preserve">, 218(1), pp.245–259.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://doi.org/10.1016/j.ijpe.2019.04.040</w:t>
      </w:r>
      <w:proofErr w:type="gramEnd"/>
      <w:r w:rsidRPr="00A27700">
        <w:rPr>
          <w:rFonts w:ascii="Arial" w:eastAsia="Times New Roman" w:hAnsi="Arial" w:cs="Arial"/>
          <w:kern w:val="0"/>
          <w:lang w:eastAsia="en-GB"/>
          <w14:ligatures w14:val="none"/>
        </w:rPr>
        <w:t>.</w:t>
      </w:r>
    </w:p>
    <w:p w14:paraId="0847FD1B"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Yu, W., Wong, C.Y., Jacobs, M.A. and Chavez, R. (2024). What are the right configurations of just-in-time and just-in-case when supply chain shocks increase? </w:t>
      </w:r>
      <w:r w:rsidRPr="00A27700">
        <w:rPr>
          <w:rFonts w:ascii="Arial" w:eastAsia="Times New Roman" w:hAnsi="Arial" w:cs="Arial"/>
          <w:i/>
          <w:iCs/>
          <w:kern w:val="0"/>
          <w:lang w:eastAsia="en-GB"/>
          <w14:ligatures w14:val="none"/>
        </w:rPr>
        <w:t>International Journal of Production Economics</w:t>
      </w:r>
      <w:r w:rsidRPr="00A27700">
        <w:rPr>
          <w:rFonts w:ascii="Arial" w:eastAsia="Times New Roman" w:hAnsi="Arial" w:cs="Arial"/>
          <w:kern w:val="0"/>
          <w:lang w:eastAsia="en-GB"/>
          <w14:ligatures w14:val="none"/>
        </w:rPr>
        <w:t xml:space="preserve">, 276(2), pp.109352–109352.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://doi.org/10.1016/j.ijpe.2024.109352</w:t>
      </w:r>
      <w:proofErr w:type="gramEnd"/>
      <w:r w:rsidRPr="00A27700">
        <w:rPr>
          <w:rFonts w:ascii="Arial" w:eastAsia="Times New Roman" w:hAnsi="Arial" w:cs="Arial"/>
          <w:kern w:val="0"/>
          <w:lang w:eastAsia="en-GB"/>
          <w14:ligatures w14:val="none"/>
        </w:rPr>
        <w:t>.</w:t>
      </w:r>
    </w:p>
    <w:p w14:paraId="4CC5B47F" w14:textId="77777777" w:rsidR="00A27700" w:rsidRPr="00A27700" w:rsidRDefault="00A27700" w:rsidP="00A27700">
      <w:pPr>
        <w:spacing w:after="240" w:line="360" w:lineRule="auto"/>
        <w:rPr>
          <w:rFonts w:ascii="Arial" w:eastAsia="Times New Roman" w:hAnsi="Arial" w:cs="Arial"/>
          <w:kern w:val="0"/>
          <w:lang w:eastAsia="en-GB"/>
          <w14:ligatures w14:val="none"/>
        </w:rPr>
      </w:pPr>
      <w:r w:rsidRPr="00A27700">
        <w:rPr>
          <w:rFonts w:ascii="Arial" w:eastAsia="Times New Roman" w:hAnsi="Arial" w:cs="Arial"/>
          <w:kern w:val="0"/>
          <w:lang w:eastAsia="en-GB"/>
          <w14:ligatures w14:val="none"/>
        </w:rPr>
        <w:t xml:space="preserve">Zhang, Y., Li, H., Hitt, M.A. and Cui, G. (2007). R&amp;D intensity and international joint venture performance in an emerging market: moderating effects of market focus and ownership structure. </w:t>
      </w:r>
      <w:r w:rsidRPr="00A27700">
        <w:rPr>
          <w:rFonts w:ascii="Arial" w:eastAsia="Times New Roman" w:hAnsi="Arial" w:cs="Arial"/>
          <w:i/>
          <w:iCs/>
          <w:kern w:val="0"/>
          <w:lang w:eastAsia="en-GB"/>
          <w14:ligatures w14:val="none"/>
        </w:rPr>
        <w:t>Journal of International Business Studies</w:t>
      </w:r>
      <w:r w:rsidRPr="00A27700">
        <w:rPr>
          <w:rFonts w:ascii="Arial" w:eastAsia="Times New Roman" w:hAnsi="Arial" w:cs="Arial"/>
          <w:kern w:val="0"/>
          <w:lang w:eastAsia="en-GB"/>
          <w14:ligatures w14:val="none"/>
        </w:rPr>
        <w:t xml:space="preserve">, 38(6), pp.944–960. </w:t>
      </w:r>
      <w:proofErr w:type="spellStart"/>
      <w:proofErr w:type="gramStart"/>
      <w:r w:rsidRPr="00A27700">
        <w:rPr>
          <w:rFonts w:ascii="Arial" w:eastAsia="Times New Roman" w:hAnsi="Arial" w:cs="Arial"/>
          <w:kern w:val="0"/>
          <w:lang w:eastAsia="en-GB"/>
          <w14:ligatures w14:val="none"/>
        </w:rPr>
        <w:t>doi:https</w:t>
      </w:r>
      <w:proofErr w:type="spellEnd"/>
      <w:r w:rsidRPr="00A27700">
        <w:rPr>
          <w:rFonts w:ascii="Arial" w:eastAsia="Times New Roman" w:hAnsi="Arial" w:cs="Arial"/>
          <w:kern w:val="0"/>
          <w:lang w:eastAsia="en-GB"/>
          <w14:ligatures w14:val="none"/>
        </w:rPr>
        <w:t>://doi.org/10.1057/palgrave.jibs.8400301</w:t>
      </w:r>
      <w:proofErr w:type="gramEnd"/>
      <w:r w:rsidRPr="00A27700">
        <w:rPr>
          <w:rFonts w:ascii="Arial" w:eastAsia="Times New Roman" w:hAnsi="Arial" w:cs="Arial"/>
          <w:kern w:val="0"/>
          <w:lang w:eastAsia="en-GB"/>
          <w14:ligatures w14:val="none"/>
        </w:rPr>
        <w:t>.</w:t>
      </w:r>
    </w:p>
    <w:p w14:paraId="3B5138FE" w14:textId="70C61471" w:rsidR="00AF6302" w:rsidRPr="000C3F2F" w:rsidRDefault="00AF6302" w:rsidP="000C3F2F">
      <w:pPr>
        <w:spacing w:line="360" w:lineRule="auto"/>
        <w:jc w:val="both"/>
        <w:rPr>
          <w:rFonts w:ascii="Arial" w:hAnsi="Arial" w:cs="Arial"/>
          <w:color w:val="000000" w:themeColor="text1"/>
        </w:rPr>
      </w:pPr>
    </w:p>
    <w:sectPr w:rsidR="00AF6302" w:rsidRPr="000C3F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45115509"/>
    <w:multiLevelType w:val="hybridMultilevel"/>
    <w:tmpl w:val="0546B122"/>
    <w:lvl w:ilvl="0" w:tplc="37F043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9F4D0B"/>
    <w:multiLevelType w:val="hybridMultilevel"/>
    <w:tmpl w:val="EB18BF6A"/>
    <w:lvl w:ilvl="0" w:tplc="E15C2C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3994111">
    <w:abstractNumId w:val="0"/>
  </w:num>
  <w:num w:numId="2" w16cid:durableId="428351370">
    <w:abstractNumId w:val="1"/>
  </w:num>
  <w:num w:numId="3" w16cid:durableId="962004398">
    <w:abstractNumId w:val="6"/>
  </w:num>
  <w:num w:numId="4" w16cid:durableId="804078719">
    <w:abstractNumId w:val="7"/>
  </w:num>
  <w:num w:numId="5" w16cid:durableId="997272721">
    <w:abstractNumId w:val="2"/>
  </w:num>
  <w:num w:numId="6" w16cid:durableId="72287823">
    <w:abstractNumId w:val="3"/>
  </w:num>
  <w:num w:numId="7" w16cid:durableId="764113315">
    <w:abstractNumId w:val="4"/>
  </w:num>
  <w:num w:numId="8" w16cid:durableId="10966327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F45"/>
    <w:rsid w:val="0006333C"/>
    <w:rsid w:val="000976DD"/>
    <w:rsid w:val="000C3F2F"/>
    <w:rsid w:val="00266CCF"/>
    <w:rsid w:val="00333B36"/>
    <w:rsid w:val="00432A6D"/>
    <w:rsid w:val="00440A2A"/>
    <w:rsid w:val="0048313C"/>
    <w:rsid w:val="0048539C"/>
    <w:rsid w:val="004931EF"/>
    <w:rsid w:val="004E0627"/>
    <w:rsid w:val="005825A0"/>
    <w:rsid w:val="00600C7D"/>
    <w:rsid w:val="00677BDF"/>
    <w:rsid w:val="006C69AE"/>
    <w:rsid w:val="006D2F45"/>
    <w:rsid w:val="007F21D4"/>
    <w:rsid w:val="00811C17"/>
    <w:rsid w:val="008B1F83"/>
    <w:rsid w:val="00A0719D"/>
    <w:rsid w:val="00A27700"/>
    <w:rsid w:val="00A45934"/>
    <w:rsid w:val="00AF6302"/>
    <w:rsid w:val="00BF61E9"/>
    <w:rsid w:val="00C21BCB"/>
    <w:rsid w:val="00CB754C"/>
    <w:rsid w:val="00CD50D0"/>
    <w:rsid w:val="00D801D5"/>
    <w:rsid w:val="00DA03A9"/>
    <w:rsid w:val="00E320E1"/>
    <w:rsid w:val="00F15862"/>
    <w:rsid w:val="00F45E9A"/>
    <w:rsid w:val="00F60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A74D24"/>
  <w15:chartTrackingRefBased/>
  <w15:docId w15:val="{867849F1-00A5-7246-98D1-6B027FB8A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F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2F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2F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F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F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F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F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F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F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F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D2F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2F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F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F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F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F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F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F45"/>
    <w:rPr>
      <w:rFonts w:eastAsiaTheme="majorEastAsia" w:cstheme="majorBidi"/>
      <w:color w:val="272727" w:themeColor="text1" w:themeTint="D8"/>
    </w:rPr>
  </w:style>
  <w:style w:type="paragraph" w:styleId="Title">
    <w:name w:val="Title"/>
    <w:basedOn w:val="Normal"/>
    <w:next w:val="Normal"/>
    <w:link w:val="TitleChar"/>
    <w:uiPriority w:val="10"/>
    <w:qFormat/>
    <w:rsid w:val="006D2F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F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F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F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F45"/>
    <w:pPr>
      <w:spacing w:before="160"/>
      <w:jc w:val="center"/>
    </w:pPr>
    <w:rPr>
      <w:i/>
      <w:iCs/>
      <w:color w:val="404040" w:themeColor="text1" w:themeTint="BF"/>
    </w:rPr>
  </w:style>
  <w:style w:type="character" w:customStyle="1" w:styleId="QuoteChar">
    <w:name w:val="Quote Char"/>
    <w:basedOn w:val="DefaultParagraphFont"/>
    <w:link w:val="Quote"/>
    <w:uiPriority w:val="29"/>
    <w:rsid w:val="006D2F45"/>
    <w:rPr>
      <w:i/>
      <w:iCs/>
      <w:color w:val="404040" w:themeColor="text1" w:themeTint="BF"/>
    </w:rPr>
  </w:style>
  <w:style w:type="paragraph" w:styleId="ListParagraph">
    <w:name w:val="List Paragraph"/>
    <w:basedOn w:val="Normal"/>
    <w:uiPriority w:val="34"/>
    <w:qFormat/>
    <w:rsid w:val="006D2F45"/>
    <w:pPr>
      <w:ind w:left="720"/>
      <w:contextualSpacing/>
    </w:pPr>
  </w:style>
  <w:style w:type="character" w:styleId="IntenseEmphasis">
    <w:name w:val="Intense Emphasis"/>
    <w:basedOn w:val="DefaultParagraphFont"/>
    <w:uiPriority w:val="21"/>
    <w:qFormat/>
    <w:rsid w:val="006D2F45"/>
    <w:rPr>
      <w:i/>
      <w:iCs/>
      <w:color w:val="0F4761" w:themeColor="accent1" w:themeShade="BF"/>
    </w:rPr>
  </w:style>
  <w:style w:type="paragraph" w:styleId="IntenseQuote">
    <w:name w:val="Intense Quote"/>
    <w:basedOn w:val="Normal"/>
    <w:next w:val="Normal"/>
    <w:link w:val="IntenseQuoteChar"/>
    <w:uiPriority w:val="30"/>
    <w:qFormat/>
    <w:rsid w:val="006D2F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F45"/>
    <w:rPr>
      <w:i/>
      <w:iCs/>
      <w:color w:val="0F4761" w:themeColor="accent1" w:themeShade="BF"/>
    </w:rPr>
  </w:style>
  <w:style w:type="character" w:styleId="IntenseReference">
    <w:name w:val="Intense Reference"/>
    <w:basedOn w:val="DefaultParagraphFont"/>
    <w:uiPriority w:val="32"/>
    <w:qFormat/>
    <w:rsid w:val="006D2F45"/>
    <w:rPr>
      <w:b/>
      <w:bCs/>
      <w:smallCaps/>
      <w:color w:val="0F4761" w:themeColor="accent1" w:themeShade="BF"/>
      <w:spacing w:val="5"/>
    </w:rPr>
  </w:style>
  <w:style w:type="paragraph" w:styleId="TOCHeading">
    <w:name w:val="TOC Heading"/>
    <w:basedOn w:val="Heading1"/>
    <w:next w:val="Normal"/>
    <w:uiPriority w:val="39"/>
    <w:unhideWhenUsed/>
    <w:qFormat/>
    <w:rsid w:val="00A0719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0719D"/>
    <w:pPr>
      <w:spacing w:before="360" w:after="360"/>
    </w:pPr>
    <w:rPr>
      <w:b/>
      <w:bCs/>
      <w:caps/>
      <w:sz w:val="22"/>
      <w:szCs w:val="22"/>
      <w:u w:val="single"/>
    </w:rPr>
  </w:style>
  <w:style w:type="paragraph" w:styleId="TOC2">
    <w:name w:val="toc 2"/>
    <w:basedOn w:val="Normal"/>
    <w:next w:val="Normal"/>
    <w:autoRedefine/>
    <w:uiPriority w:val="39"/>
    <w:unhideWhenUsed/>
    <w:rsid w:val="00A0719D"/>
    <w:pPr>
      <w:spacing w:after="0"/>
    </w:pPr>
    <w:rPr>
      <w:b/>
      <w:bCs/>
      <w:smallCaps/>
      <w:sz w:val="22"/>
      <w:szCs w:val="22"/>
    </w:rPr>
  </w:style>
  <w:style w:type="character" w:styleId="Hyperlink">
    <w:name w:val="Hyperlink"/>
    <w:basedOn w:val="DefaultParagraphFont"/>
    <w:uiPriority w:val="99"/>
    <w:unhideWhenUsed/>
    <w:rsid w:val="00A0719D"/>
    <w:rPr>
      <w:color w:val="467886" w:themeColor="hyperlink"/>
      <w:u w:val="single"/>
    </w:rPr>
  </w:style>
  <w:style w:type="paragraph" w:styleId="TOC3">
    <w:name w:val="toc 3"/>
    <w:basedOn w:val="Normal"/>
    <w:next w:val="Normal"/>
    <w:autoRedefine/>
    <w:uiPriority w:val="39"/>
    <w:semiHidden/>
    <w:unhideWhenUsed/>
    <w:rsid w:val="00A0719D"/>
    <w:pPr>
      <w:spacing w:after="0"/>
    </w:pPr>
    <w:rPr>
      <w:smallCaps/>
      <w:sz w:val="22"/>
      <w:szCs w:val="22"/>
    </w:rPr>
  </w:style>
  <w:style w:type="paragraph" w:styleId="TOC4">
    <w:name w:val="toc 4"/>
    <w:basedOn w:val="Normal"/>
    <w:next w:val="Normal"/>
    <w:autoRedefine/>
    <w:uiPriority w:val="39"/>
    <w:semiHidden/>
    <w:unhideWhenUsed/>
    <w:rsid w:val="00A0719D"/>
    <w:pPr>
      <w:spacing w:after="0"/>
    </w:pPr>
    <w:rPr>
      <w:sz w:val="22"/>
      <w:szCs w:val="22"/>
    </w:rPr>
  </w:style>
  <w:style w:type="paragraph" w:styleId="TOC5">
    <w:name w:val="toc 5"/>
    <w:basedOn w:val="Normal"/>
    <w:next w:val="Normal"/>
    <w:autoRedefine/>
    <w:uiPriority w:val="39"/>
    <w:semiHidden/>
    <w:unhideWhenUsed/>
    <w:rsid w:val="00A0719D"/>
    <w:pPr>
      <w:spacing w:after="0"/>
    </w:pPr>
    <w:rPr>
      <w:sz w:val="22"/>
      <w:szCs w:val="22"/>
    </w:rPr>
  </w:style>
  <w:style w:type="paragraph" w:styleId="TOC6">
    <w:name w:val="toc 6"/>
    <w:basedOn w:val="Normal"/>
    <w:next w:val="Normal"/>
    <w:autoRedefine/>
    <w:uiPriority w:val="39"/>
    <w:semiHidden/>
    <w:unhideWhenUsed/>
    <w:rsid w:val="00A0719D"/>
    <w:pPr>
      <w:spacing w:after="0"/>
    </w:pPr>
    <w:rPr>
      <w:sz w:val="22"/>
      <w:szCs w:val="22"/>
    </w:rPr>
  </w:style>
  <w:style w:type="paragraph" w:styleId="TOC7">
    <w:name w:val="toc 7"/>
    <w:basedOn w:val="Normal"/>
    <w:next w:val="Normal"/>
    <w:autoRedefine/>
    <w:uiPriority w:val="39"/>
    <w:semiHidden/>
    <w:unhideWhenUsed/>
    <w:rsid w:val="00A0719D"/>
    <w:pPr>
      <w:spacing w:after="0"/>
    </w:pPr>
    <w:rPr>
      <w:sz w:val="22"/>
      <w:szCs w:val="22"/>
    </w:rPr>
  </w:style>
  <w:style w:type="paragraph" w:styleId="TOC8">
    <w:name w:val="toc 8"/>
    <w:basedOn w:val="Normal"/>
    <w:next w:val="Normal"/>
    <w:autoRedefine/>
    <w:uiPriority w:val="39"/>
    <w:semiHidden/>
    <w:unhideWhenUsed/>
    <w:rsid w:val="00A0719D"/>
    <w:pPr>
      <w:spacing w:after="0"/>
    </w:pPr>
    <w:rPr>
      <w:sz w:val="22"/>
      <w:szCs w:val="22"/>
    </w:rPr>
  </w:style>
  <w:style w:type="paragraph" w:styleId="TOC9">
    <w:name w:val="toc 9"/>
    <w:basedOn w:val="Normal"/>
    <w:next w:val="Normal"/>
    <w:autoRedefine/>
    <w:uiPriority w:val="39"/>
    <w:semiHidden/>
    <w:unhideWhenUsed/>
    <w:rsid w:val="00A0719D"/>
    <w:pPr>
      <w:spacing w:after="0"/>
    </w:pPr>
    <w:rPr>
      <w:sz w:val="22"/>
      <w:szCs w:val="22"/>
    </w:rPr>
  </w:style>
  <w:style w:type="character" w:styleId="Emphasis">
    <w:name w:val="Emphasis"/>
    <w:basedOn w:val="DefaultParagraphFont"/>
    <w:uiPriority w:val="20"/>
    <w:qFormat/>
    <w:rsid w:val="0048539C"/>
    <w:rPr>
      <w:i/>
      <w:iCs/>
    </w:rPr>
  </w:style>
  <w:style w:type="paragraph" w:styleId="NormalWeb">
    <w:name w:val="Normal (Web)"/>
    <w:basedOn w:val="Normal"/>
    <w:uiPriority w:val="99"/>
    <w:semiHidden/>
    <w:unhideWhenUsed/>
    <w:rsid w:val="00A2770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A277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nualreports.com/Company/ford-motor-compan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annualreports.com/Company/ford-motor-company"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nnualreports.com/Company/ford-motor-company" TargetMode="External"/><Relationship Id="rId5" Type="http://schemas.openxmlformats.org/officeDocument/2006/relationships/webSettings" Target="webSettings.xml"/><Relationship Id="rId10" Type="http://schemas.openxmlformats.org/officeDocument/2006/relationships/hyperlink" Target="https://www.annualreports.com/Company/ford-motor-company" TargetMode="External"/><Relationship Id="rId4" Type="http://schemas.openxmlformats.org/officeDocument/2006/relationships/settings" Target="settings.xml"/><Relationship Id="rId9" Type="http://schemas.openxmlformats.org/officeDocument/2006/relationships/hyperlink" Target="https://www.annualreports.com/Company/ford-motor-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DFC5CB-E503-3041-A997-A141250BE8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30</Pages>
  <Words>6124</Words>
  <Characters>34911</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Tirth Ghanshyambhai Patel (2522415)</dc:creator>
  <cp:keywords/>
  <dc:description/>
  <cp:lastModifiedBy>Tirth Ghanshyambhai Patel (2522415)</cp:lastModifiedBy>
  <cp:revision>43</cp:revision>
  <dcterms:created xsi:type="dcterms:W3CDTF">2026-04-24T09:49:00Z</dcterms:created>
  <dcterms:modified xsi:type="dcterms:W3CDTF">2026-04-24T12:53:00Z</dcterms:modified>
</cp:coreProperties>
</file>