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3E065" w14:textId="77777777" w:rsidR="00C41C4B" w:rsidRPr="00C41C4B" w:rsidRDefault="00C41C4B" w:rsidP="00C41C4B">
      <w:pPr>
        <w:jc w:val="right"/>
        <w:rPr>
          <w:b/>
          <w:bCs/>
        </w:rPr>
      </w:pPr>
      <w:r w:rsidRPr="00C41C4B">
        <w:rPr>
          <w:b/>
          <w:bCs/>
        </w:rPr>
        <w:drawing>
          <wp:inline distT="0" distB="0" distL="0" distR="0" wp14:anchorId="6D2A3339" wp14:editId="5889AC1E">
            <wp:extent cx="3162300" cy="2019300"/>
            <wp:effectExtent l="0" t="0" r="0" b="0"/>
            <wp:docPr id="4" name="Picture 2" descr="A logo of a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logo of a university of wales&#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2300" cy="2019300"/>
                    </a:xfrm>
                    <a:prstGeom prst="rect">
                      <a:avLst/>
                    </a:prstGeom>
                    <a:noFill/>
                    <a:ln>
                      <a:noFill/>
                    </a:ln>
                  </pic:spPr>
                </pic:pic>
              </a:graphicData>
            </a:graphic>
          </wp:inline>
        </w:drawing>
      </w:r>
    </w:p>
    <w:p w14:paraId="4EF45DE1" w14:textId="1CC3A650" w:rsidR="00C41C4B" w:rsidRPr="00C41C4B" w:rsidRDefault="00C41C4B" w:rsidP="00C41C4B">
      <w:pPr>
        <w:spacing w:line="360" w:lineRule="auto"/>
        <w:jc w:val="center"/>
        <w:rPr>
          <w:rFonts w:ascii="Arial" w:hAnsi="Arial" w:cs="Arial"/>
          <w:b/>
          <w:bCs/>
          <w:sz w:val="22"/>
          <w:szCs w:val="22"/>
        </w:rPr>
      </w:pPr>
      <w:r w:rsidRPr="00C41C4B">
        <w:rPr>
          <w:rFonts w:ascii="Arial" w:hAnsi="Arial" w:cs="Arial"/>
          <w:b/>
          <w:bCs/>
          <w:sz w:val="22"/>
          <w:szCs w:val="22"/>
        </w:rPr>
        <w:t xml:space="preserve">Module Title: </w:t>
      </w:r>
      <w:r w:rsidRPr="00C04E52">
        <w:rPr>
          <w:rFonts w:ascii="Arial" w:hAnsi="Arial" w:cs="Arial"/>
          <w:sz w:val="22"/>
          <w:szCs w:val="22"/>
        </w:rPr>
        <w:t>Psychology in Health and Social Care</w:t>
      </w:r>
    </w:p>
    <w:p w14:paraId="0FC25CC1" w14:textId="4DC73EC1" w:rsidR="00C41C4B" w:rsidRPr="00C41C4B" w:rsidRDefault="00C41C4B" w:rsidP="00C41C4B">
      <w:pPr>
        <w:spacing w:line="360" w:lineRule="auto"/>
        <w:jc w:val="center"/>
        <w:rPr>
          <w:rFonts w:ascii="Arial" w:hAnsi="Arial" w:cs="Arial"/>
          <w:b/>
          <w:bCs/>
          <w:sz w:val="22"/>
          <w:szCs w:val="22"/>
        </w:rPr>
      </w:pPr>
      <w:r w:rsidRPr="00C41C4B">
        <w:rPr>
          <w:rFonts w:ascii="Arial" w:hAnsi="Arial" w:cs="Arial"/>
          <w:b/>
          <w:bCs/>
          <w:sz w:val="22"/>
          <w:szCs w:val="22"/>
        </w:rPr>
        <w:t xml:space="preserve">Module Number: </w:t>
      </w:r>
      <w:r w:rsidRPr="00C41C4B">
        <w:rPr>
          <w:rFonts w:ascii="Arial" w:hAnsi="Arial" w:cs="Arial"/>
          <w:sz w:val="22"/>
          <w:szCs w:val="22"/>
        </w:rPr>
        <w:t>LCHS40</w:t>
      </w:r>
      <w:r w:rsidRPr="00C04E52">
        <w:rPr>
          <w:rFonts w:ascii="Arial" w:hAnsi="Arial" w:cs="Arial"/>
          <w:sz w:val="22"/>
          <w:szCs w:val="22"/>
        </w:rPr>
        <w:t>10</w:t>
      </w:r>
    </w:p>
    <w:p w14:paraId="2E6D0DB0" w14:textId="77777777" w:rsidR="00C41C4B" w:rsidRPr="00C41C4B" w:rsidRDefault="00C41C4B" w:rsidP="00C41C4B">
      <w:pPr>
        <w:spacing w:line="360" w:lineRule="auto"/>
        <w:jc w:val="center"/>
        <w:rPr>
          <w:rFonts w:ascii="Arial" w:hAnsi="Arial" w:cs="Arial"/>
          <w:b/>
          <w:bCs/>
          <w:sz w:val="22"/>
          <w:szCs w:val="22"/>
        </w:rPr>
      </w:pPr>
      <w:r w:rsidRPr="00C41C4B">
        <w:rPr>
          <w:rFonts w:ascii="Arial" w:hAnsi="Arial" w:cs="Arial"/>
          <w:b/>
          <w:bCs/>
          <w:sz w:val="22"/>
          <w:szCs w:val="22"/>
        </w:rPr>
        <w:t xml:space="preserve">Student Name: </w:t>
      </w:r>
      <w:r w:rsidRPr="00C41C4B">
        <w:rPr>
          <w:rFonts w:ascii="Arial" w:hAnsi="Arial" w:cs="Arial"/>
          <w:sz w:val="22"/>
          <w:szCs w:val="22"/>
        </w:rPr>
        <w:t>Amy O'Sullivan</w:t>
      </w:r>
    </w:p>
    <w:p w14:paraId="28B2EDE8" w14:textId="77777777" w:rsidR="00C41C4B" w:rsidRPr="00C41C4B" w:rsidRDefault="00C41C4B" w:rsidP="00C41C4B">
      <w:pPr>
        <w:spacing w:line="360" w:lineRule="auto"/>
        <w:jc w:val="center"/>
        <w:rPr>
          <w:rFonts w:ascii="Arial" w:hAnsi="Arial" w:cs="Arial"/>
          <w:b/>
          <w:bCs/>
          <w:sz w:val="22"/>
          <w:szCs w:val="22"/>
        </w:rPr>
      </w:pPr>
      <w:r w:rsidRPr="00C41C4B">
        <w:rPr>
          <w:rFonts w:ascii="Arial" w:hAnsi="Arial" w:cs="Arial"/>
          <w:b/>
          <w:bCs/>
          <w:sz w:val="22"/>
          <w:szCs w:val="22"/>
        </w:rPr>
        <w:t xml:space="preserve">Student ID: </w:t>
      </w:r>
      <w:r w:rsidRPr="00C41C4B">
        <w:rPr>
          <w:rFonts w:ascii="Arial" w:hAnsi="Arial" w:cs="Arial"/>
          <w:sz w:val="22"/>
          <w:szCs w:val="22"/>
        </w:rPr>
        <w:t>2430590</w:t>
      </w:r>
    </w:p>
    <w:p w14:paraId="735DB65E" w14:textId="28727644" w:rsidR="00C41C4B" w:rsidRPr="00C41C4B" w:rsidRDefault="00C41C4B" w:rsidP="00C41C4B">
      <w:pPr>
        <w:spacing w:line="360" w:lineRule="auto"/>
        <w:jc w:val="center"/>
        <w:rPr>
          <w:rFonts w:ascii="Arial" w:hAnsi="Arial" w:cs="Arial"/>
          <w:b/>
          <w:bCs/>
          <w:sz w:val="22"/>
          <w:szCs w:val="22"/>
        </w:rPr>
      </w:pPr>
      <w:r w:rsidRPr="00C41C4B">
        <w:rPr>
          <w:rFonts w:ascii="Arial" w:hAnsi="Arial" w:cs="Arial"/>
          <w:b/>
          <w:bCs/>
          <w:sz w:val="22"/>
          <w:szCs w:val="22"/>
        </w:rPr>
        <w:t>Lecturer’s Name:</w:t>
      </w:r>
    </w:p>
    <w:p w14:paraId="7D5B5B15" w14:textId="77777777" w:rsidR="00C41C4B" w:rsidRPr="00C04E52" w:rsidRDefault="00C41C4B" w:rsidP="00C41C4B">
      <w:pPr>
        <w:spacing w:line="360" w:lineRule="auto"/>
        <w:jc w:val="center"/>
        <w:rPr>
          <w:rFonts w:ascii="Arial" w:hAnsi="Arial" w:cs="Arial"/>
          <w:b/>
          <w:bCs/>
          <w:sz w:val="22"/>
          <w:szCs w:val="22"/>
        </w:rPr>
      </w:pPr>
      <w:r w:rsidRPr="00C41C4B">
        <w:rPr>
          <w:rFonts w:ascii="Arial" w:hAnsi="Arial" w:cs="Arial"/>
          <w:b/>
          <w:bCs/>
          <w:sz w:val="22"/>
          <w:szCs w:val="22"/>
        </w:rPr>
        <w:t xml:space="preserve">Assignment 2: </w:t>
      </w:r>
      <w:r w:rsidRPr="00C41C4B">
        <w:rPr>
          <w:rFonts w:ascii="Arial" w:hAnsi="Arial" w:cs="Arial"/>
          <w:sz w:val="22"/>
          <w:szCs w:val="22"/>
        </w:rPr>
        <w:t>Written Task</w:t>
      </w:r>
    </w:p>
    <w:p w14:paraId="2A6374E5" w14:textId="77777777" w:rsidR="00C41C4B" w:rsidRPr="00C04E52" w:rsidRDefault="00C41C4B" w:rsidP="00C41C4B">
      <w:pPr>
        <w:spacing w:line="360" w:lineRule="auto"/>
        <w:jc w:val="center"/>
        <w:rPr>
          <w:rFonts w:ascii="Arial" w:hAnsi="Arial" w:cs="Arial"/>
          <w:b/>
          <w:bCs/>
          <w:sz w:val="22"/>
          <w:szCs w:val="22"/>
        </w:rPr>
      </w:pPr>
    </w:p>
    <w:p w14:paraId="189D2A76" w14:textId="77777777" w:rsidR="00C41C4B" w:rsidRPr="00C04E52" w:rsidRDefault="00C41C4B" w:rsidP="00C41C4B">
      <w:pPr>
        <w:spacing w:line="360" w:lineRule="auto"/>
        <w:jc w:val="center"/>
        <w:rPr>
          <w:rFonts w:ascii="Arial" w:hAnsi="Arial" w:cs="Arial"/>
          <w:b/>
          <w:bCs/>
          <w:sz w:val="22"/>
          <w:szCs w:val="22"/>
        </w:rPr>
      </w:pPr>
    </w:p>
    <w:p w14:paraId="2A6DA641" w14:textId="77777777" w:rsidR="00C41C4B" w:rsidRPr="00C04E52" w:rsidRDefault="00C41C4B" w:rsidP="00C41C4B">
      <w:pPr>
        <w:spacing w:line="360" w:lineRule="auto"/>
        <w:jc w:val="center"/>
        <w:rPr>
          <w:rFonts w:ascii="Arial" w:hAnsi="Arial" w:cs="Arial"/>
          <w:b/>
          <w:bCs/>
          <w:sz w:val="22"/>
          <w:szCs w:val="22"/>
        </w:rPr>
      </w:pPr>
    </w:p>
    <w:p w14:paraId="65D07972" w14:textId="77777777" w:rsidR="00C41C4B" w:rsidRPr="00C04E52" w:rsidRDefault="00C41C4B" w:rsidP="00C41C4B">
      <w:pPr>
        <w:spacing w:line="360" w:lineRule="auto"/>
        <w:jc w:val="center"/>
        <w:rPr>
          <w:rFonts w:ascii="Arial" w:hAnsi="Arial" w:cs="Arial"/>
          <w:b/>
          <w:bCs/>
          <w:sz w:val="22"/>
          <w:szCs w:val="22"/>
        </w:rPr>
      </w:pPr>
    </w:p>
    <w:p w14:paraId="0B87D458" w14:textId="77777777" w:rsidR="00C41C4B" w:rsidRPr="00C04E52" w:rsidRDefault="00C41C4B" w:rsidP="00C41C4B">
      <w:pPr>
        <w:spacing w:line="360" w:lineRule="auto"/>
        <w:jc w:val="center"/>
        <w:rPr>
          <w:rFonts w:ascii="Arial" w:hAnsi="Arial" w:cs="Arial"/>
          <w:b/>
          <w:bCs/>
          <w:sz w:val="22"/>
          <w:szCs w:val="22"/>
        </w:rPr>
      </w:pPr>
    </w:p>
    <w:p w14:paraId="4C583279" w14:textId="77777777" w:rsidR="00C41C4B" w:rsidRPr="00C04E52" w:rsidRDefault="00C41C4B" w:rsidP="00C41C4B">
      <w:pPr>
        <w:spacing w:line="360" w:lineRule="auto"/>
        <w:jc w:val="center"/>
        <w:rPr>
          <w:rFonts w:ascii="Arial" w:hAnsi="Arial" w:cs="Arial"/>
          <w:b/>
          <w:bCs/>
          <w:sz w:val="22"/>
          <w:szCs w:val="22"/>
        </w:rPr>
      </w:pPr>
    </w:p>
    <w:p w14:paraId="6CA3C016" w14:textId="77777777" w:rsidR="00C41C4B" w:rsidRPr="00C04E52" w:rsidRDefault="00C41C4B" w:rsidP="00C41C4B">
      <w:pPr>
        <w:spacing w:line="360" w:lineRule="auto"/>
        <w:jc w:val="center"/>
        <w:rPr>
          <w:rFonts w:ascii="Arial" w:hAnsi="Arial" w:cs="Arial"/>
          <w:b/>
          <w:bCs/>
          <w:sz w:val="22"/>
          <w:szCs w:val="22"/>
        </w:rPr>
      </w:pPr>
    </w:p>
    <w:p w14:paraId="39DA13C6" w14:textId="77777777" w:rsidR="00C41C4B" w:rsidRPr="00C04E52" w:rsidRDefault="00C41C4B" w:rsidP="00C41C4B">
      <w:pPr>
        <w:spacing w:line="360" w:lineRule="auto"/>
        <w:jc w:val="center"/>
        <w:rPr>
          <w:rFonts w:ascii="Arial" w:hAnsi="Arial" w:cs="Arial"/>
          <w:b/>
          <w:bCs/>
          <w:sz w:val="22"/>
          <w:szCs w:val="22"/>
        </w:rPr>
      </w:pPr>
    </w:p>
    <w:p w14:paraId="5F30BA8D" w14:textId="77777777" w:rsidR="00C41C4B" w:rsidRDefault="00C41C4B" w:rsidP="00C41C4B">
      <w:pPr>
        <w:spacing w:line="360" w:lineRule="auto"/>
        <w:jc w:val="center"/>
        <w:rPr>
          <w:rFonts w:ascii="Arial" w:hAnsi="Arial" w:cs="Arial"/>
          <w:b/>
          <w:bCs/>
          <w:sz w:val="22"/>
          <w:szCs w:val="22"/>
        </w:rPr>
      </w:pPr>
    </w:p>
    <w:p w14:paraId="56FDC848" w14:textId="77777777" w:rsidR="00C04E52" w:rsidRPr="00C04E52" w:rsidRDefault="00C04E52" w:rsidP="00C41C4B">
      <w:pPr>
        <w:spacing w:line="360" w:lineRule="auto"/>
        <w:jc w:val="center"/>
        <w:rPr>
          <w:rFonts w:ascii="Arial" w:hAnsi="Arial" w:cs="Arial"/>
          <w:b/>
          <w:bCs/>
          <w:sz w:val="22"/>
          <w:szCs w:val="22"/>
        </w:rPr>
      </w:pPr>
    </w:p>
    <w:p w14:paraId="042C13B3" w14:textId="77777777" w:rsidR="00C41C4B" w:rsidRPr="00C04E52" w:rsidRDefault="00C41C4B" w:rsidP="00C41C4B">
      <w:pPr>
        <w:spacing w:line="360" w:lineRule="auto"/>
        <w:jc w:val="center"/>
        <w:rPr>
          <w:rFonts w:ascii="Arial" w:hAnsi="Arial" w:cs="Arial"/>
          <w:b/>
          <w:bCs/>
          <w:sz w:val="22"/>
          <w:szCs w:val="22"/>
        </w:rPr>
      </w:pPr>
    </w:p>
    <w:p w14:paraId="01F7C58D" w14:textId="77777777" w:rsidR="00C41C4B" w:rsidRPr="00C04E52" w:rsidRDefault="00C41C4B" w:rsidP="00C41C4B">
      <w:pPr>
        <w:spacing w:line="360" w:lineRule="auto"/>
        <w:jc w:val="center"/>
        <w:rPr>
          <w:rFonts w:ascii="Arial" w:hAnsi="Arial" w:cs="Arial"/>
          <w:b/>
          <w:bCs/>
          <w:sz w:val="22"/>
          <w:szCs w:val="22"/>
        </w:rPr>
      </w:pPr>
    </w:p>
    <w:p w14:paraId="70C73FF9" w14:textId="77777777" w:rsidR="00C41C4B" w:rsidRPr="00C41C4B" w:rsidRDefault="00C41C4B" w:rsidP="00C41C4B">
      <w:pPr>
        <w:spacing w:line="360" w:lineRule="auto"/>
        <w:jc w:val="center"/>
        <w:rPr>
          <w:rFonts w:ascii="Arial" w:hAnsi="Arial" w:cs="Arial"/>
          <w:b/>
          <w:bCs/>
          <w:sz w:val="22"/>
          <w:szCs w:val="22"/>
        </w:rPr>
      </w:pPr>
    </w:p>
    <w:p w14:paraId="162A46E4" w14:textId="45D03EAA" w:rsidR="00C41C4B" w:rsidRPr="00C04E52" w:rsidRDefault="00C41C4B" w:rsidP="00C41C4B">
      <w:pPr>
        <w:spacing w:line="360" w:lineRule="auto"/>
        <w:rPr>
          <w:rFonts w:ascii="Arial" w:hAnsi="Arial" w:cs="Arial"/>
          <w:sz w:val="22"/>
          <w:szCs w:val="22"/>
        </w:rPr>
      </w:pPr>
      <w:r w:rsidRPr="00C41C4B">
        <w:rPr>
          <w:rFonts w:ascii="Arial" w:hAnsi="Arial" w:cs="Arial"/>
          <w:b/>
          <w:bCs/>
          <w:sz w:val="22"/>
          <w:szCs w:val="22"/>
        </w:rPr>
        <w:lastRenderedPageBreak/>
        <w:t>Title: Using Psychological Theories to Support Older Adults with Dementia in a Care Home Setting</w:t>
      </w:r>
    </w:p>
    <w:p w14:paraId="782FD9AF" w14:textId="77777777" w:rsidR="00C04E52" w:rsidRPr="00C41C4B" w:rsidRDefault="00C04E52" w:rsidP="00C41C4B">
      <w:pPr>
        <w:spacing w:line="360" w:lineRule="auto"/>
        <w:rPr>
          <w:rFonts w:ascii="Arial" w:hAnsi="Arial" w:cs="Arial"/>
          <w:sz w:val="22"/>
          <w:szCs w:val="22"/>
        </w:rPr>
      </w:pPr>
    </w:p>
    <w:p w14:paraId="6EEE60E8" w14:textId="77777777" w:rsidR="00C41C4B" w:rsidRPr="00C41C4B" w:rsidRDefault="00C41C4B" w:rsidP="00C41C4B">
      <w:pPr>
        <w:spacing w:line="360" w:lineRule="auto"/>
        <w:rPr>
          <w:rFonts w:ascii="Arial" w:hAnsi="Arial" w:cs="Arial"/>
          <w:b/>
          <w:bCs/>
          <w:sz w:val="22"/>
          <w:szCs w:val="22"/>
        </w:rPr>
      </w:pPr>
      <w:r w:rsidRPr="00C41C4B">
        <w:rPr>
          <w:rFonts w:ascii="Arial" w:hAnsi="Arial" w:cs="Arial"/>
          <w:b/>
          <w:bCs/>
          <w:sz w:val="22"/>
          <w:szCs w:val="22"/>
        </w:rPr>
        <w:t>Introduction</w:t>
      </w:r>
    </w:p>
    <w:p w14:paraId="4A089A71" w14:textId="77777777"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Older adulthood is a stage of life that brings significant psychological, social and biological changes. For many people aged 65 and over, these changes are further shaped by long-term health conditions such as dementia. In dementia care homes, staff support residents who may experience memory loss, confusion, mood changes and a reduced sense of independence on a daily basis. Understanding why these changes occur, and how older adults make sense of them, can help health and social care professionals provide more compassionate, person-centred care.</w:t>
      </w:r>
    </w:p>
    <w:p w14:paraId="4719CC20" w14:textId="6AD20DFB"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This report is aimed at health and social care professionals working with older adults in a dementia care home. It uses two psychological theories  Erikson’s Psychosocial Theory (Stage 8: Integrity vs Despair) and Cognitive Reserve Theory to explain key aspects of adult development and behaviour in later life. The report outlines each theory, applies them to the context of dementia care, and critically discusses how they can guide practice in supporting residents with psychological needs, including low mood, anxiety, distress and changes in identity (NICE, 2022).</w:t>
      </w:r>
    </w:p>
    <w:p w14:paraId="43B8B0C1" w14:textId="176F3379" w:rsidR="00C41C4B" w:rsidRPr="00C41C4B" w:rsidRDefault="00C41C4B" w:rsidP="00C41C4B">
      <w:pPr>
        <w:spacing w:line="360" w:lineRule="auto"/>
        <w:rPr>
          <w:rFonts w:ascii="Arial" w:hAnsi="Arial" w:cs="Arial"/>
          <w:sz w:val="22"/>
          <w:szCs w:val="22"/>
        </w:rPr>
      </w:pPr>
    </w:p>
    <w:p w14:paraId="1F61C0BF" w14:textId="77777777" w:rsidR="00C41C4B" w:rsidRPr="00C41C4B" w:rsidRDefault="00C41C4B" w:rsidP="00C41C4B">
      <w:pPr>
        <w:spacing w:line="360" w:lineRule="auto"/>
        <w:rPr>
          <w:rFonts w:ascii="Arial" w:hAnsi="Arial" w:cs="Arial"/>
          <w:b/>
          <w:bCs/>
          <w:sz w:val="22"/>
          <w:szCs w:val="22"/>
        </w:rPr>
      </w:pPr>
      <w:r w:rsidRPr="00C41C4B">
        <w:rPr>
          <w:rFonts w:ascii="Arial" w:hAnsi="Arial" w:cs="Arial"/>
          <w:b/>
          <w:bCs/>
          <w:sz w:val="22"/>
          <w:szCs w:val="22"/>
        </w:rPr>
        <w:t>Erikson’s Psychosocial Theory (Stage 8: Integrity vs Despair)</w:t>
      </w:r>
    </w:p>
    <w:p w14:paraId="042C10B2" w14:textId="15B9966E"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Erikson’s Psychosocial Theory proposes that individuals pass through eight stages of development from infancy to late adulthood, each characterised by a central psychological conflict (Erikson, 1995). The final stage, Integrity vs Despair, is associated with older age. At this point in the lifespan, people look back on their experiences, relationships and achievements, and ask themselves whether they have lived a meaningful life. If they feel a sense of satisfaction, contribution and acceptance, they are more likely to experience integrity a feeling of wholeness, wisdom and peace. If they feel that their life has been wasted, or they focus heavily on regrets, losses and missed opportunities, they may experience despair, which can lead to sadness, anger, hopelessness or fear of death.</w:t>
      </w:r>
    </w:p>
    <w:p w14:paraId="29891DB6" w14:textId="77777777"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 xml:space="preserve">In the context of dementia care, this stage can be particularly complex. Many residents have difficulty recalling specific events, recognising family members, or understanding where they are. This can interrupt the natural process of life review and create feelings of confusion or distress (Alzheimer’s Society, 2023). Moving into a care home also represents a major </w:t>
      </w:r>
      <w:r w:rsidRPr="00C41C4B">
        <w:rPr>
          <w:rFonts w:ascii="Arial" w:hAnsi="Arial" w:cs="Arial"/>
          <w:sz w:val="22"/>
          <w:szCs w:val="22"/>
        </w:rPr>
        <w:lastRenderedPageBreak/>
        <w:t>transition. Older adults may grieve the loss of their home, routines, roles and independence, which can trigger feelings linked to despair, such as frustration, withdrawal or a sense of worthlessness.</w:t>
      </w:r>
    </w:p>
    <w:p w14:paraId="0C458691" w14:textId="77777777"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Erikson’s theory reminds care workers that older adults are not defined solely by their diagnosis. They have personal histories, identities, values and achievements that remain important, even when memory and communication are affected. When staff take time to understand a resident’s background, preferences and relationships, they are supporting that person’s sense of integrity. By contrast, practices that ignore individuality or treat residents as tasks to be completed can increase feelings of despair and loss of identity (Kitwood, 1997).</w:t>
      </w:r>
    </w:p>
    <w:p w14:paraId="62482C09" w14:textId="0BCCAEF0" w:rsidR="00C41C4B" w:rsidRPr="00C41C4B" w:rsidRDefault="00C41C4B" w:rsidP="00C41C4B">
      <w:pPr>
        <w:spacing w:line="360" w:lineRule="auto"/>
        <w:rPr>
          <w:rFonts w:ascii="Arial" w:hAnsi="Arial" w:cs="Arial"/>
          <w:sz w:val="22"/>
          <w:szCs w:val="22"/>
        </w:rPr>
      </w:pPr>
    </w:p>
    <w:p w14:paraId="05CE3A6D" w14:textId="77777777" w:rsidR="00C41C4B" w:rsidRPr="00C41C4B" w:rsidRDefault="00C41C4B" w:rsidP="00C41C4B">
      <w:pPr>
        <w:spacing w:line="360" w:lineRule="auto"/>
        <w:rPr>
          <w:rFonts w:ascii="Arial" w:hAnsi="Arial" w:cs="Arial"/>
          <w:b/>
          <w:bCs/>
          <w:sz w:val="22"/>
          <w:szCs w:val="22"/>
        </w:rPr>
      </w:pPr>
      <w:r w:rsidRPr="00C41C4B">
        <w:rPr>
          <w:rFonts w:ascii="Arial" w:hAnsi="Arial" w:cs="Arial"/>
          <w:b/>
          <w:bCs/>
          <w:sz w:val="22"/>
          <w:szCs w:val="22"/>
        </w:rPr>
        <w:t>Cognitive Reserve Theory</w:t>
      </w:r>
    </w:p>
    <w:p w14:paraId="53A42351" w14:textId="77777777"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Cognitive Reserve Theory focuses on how the brain copes with ageing and neurological damage. It suggests that people who have engaged in mentally stimulating activities, education, complex work roles and rich social interactions over their lifetime may develop a “reserve” that helps them cope better with the effects of dementia for longer (Stern, 2012). This does not prevent dementia, but it may delay the point at which symptoms become noticeable in daily life.</w:t>
      </w:r>
    </w:p>
    <w:p w14:paraId="5AEBAB59" w14:textId="77777777"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In a dementia care home, staff often see the consequences of reduced cognitive reserve and the progression of dementia. Residents may experience short-term memory loss, difficulty processing information, disorientation in time and place, problems with language and decision-making, and changes in personality or behaviour (NHS, 2023). These changes can lead to practical difficulties, such as forgetting to eat, getting lost in the building, or becoming distressed when routines are disrupted. They also affect psychological health: residents may feel anxious, frightened, embarrassed or frustrated when they cannot remember or express what they want.</w:t>
      </w:r>
    </w:p>
    <w:p w14:paraId="1E1955C4" w14:textId="77777777"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Cognitive Reserve Theory helps professionals understand that these difficulties are not due to a lack of effort or “stubbornness”, but to structural changes in the brain. It also highlights the importance of continued mental and social stimulation, even after a dementia diagnosis. Activities such as music, conversation, reminiscence, gentle games and sensory stimulation can help residents use their remaining abilities and maintain a sense of pleasure and connection (NICE, 2022). Structured routines, clear information and supportive communication can reduce the cognitive load on residents and help them feel safer (NHS England, 2022).</w:t>
      </w:r>
    </w:p>
    <w:p w14:paraId="4CFC1146" w14:textId="465FF0C6" w:rsidR="00C41C4B" w:rsidRPr="00C41C4B" w:rsidRDefault="00C41C4B" w:rsidP="00C41C4B">
      <w:pPr>
        <w:spacing w:line="360" w:lineRule="auto"/>
        <w:rPr>
          <w:rFonts w:ascii="Arial" w:hAnsi="Arial" w:cs="Arial"/>
          <w:sz w:val="22"/>
          <w:szCs w:val="22"/>
        </w:rPr>
      </w:pPr>
    </w:p>
    <w:p w14:paraId="7D2F98CC" w14:textId="77777777" w:rsidR="00C41C4B" w:rsidRPr="00C41C4B" w:rsidRDefault="00C41C4B" w:rsidP="00C41C4B">
      <w:pPr>
        <w:spacing w:line="360" w:lineRule="auto"/>
        <w:rPr>
          <w:rFonts w:ascii="Arial" w:hAnsi="Arial" w:cs="Arial"/>
          <w:b/>
          <w:bCs/>
          <w:sz w:val="22"/>
          <w:szCs w:val="22"/>
        </w:rPr>
      </w:pPr>
      <w:r w:rsidRPr="00C41C4B">
        <w:rPr>
          <w:rFonts w:ascii="Arial" w:hAnsi="Arial" w:cs="Arial"/>
          <w:b/>
          <w:bCs/>
          <w:sz w:val="22"/>
          <w:szCs w:val="22"/>
        </w:rPr>
        <w:t>Application of Theories in a Dementia Care Home</w:t>
      </w:r>
    </w:p>
    <w:p w14:paraId="2605B94E" w14:textId="77777777"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Both Erikson’s Psychosocial Theory and Cognitive Reserve Theory can be directly applied in dementia care homes to improve support for residents experiencing psychological distress. They offer a framework for understanding why certain behaviours occur and how staff can respond in ways that protect dignity and wellbeing.</w:t>
      </w:r>
    </w:p>
    <w:p w14:paraId="44A2AE17" w14:textId="77777777"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One key area of application is life-story and reminiscence work. Drawing on Erikson, encouraging residents to talk about earlier life experiences – through photos, music, cultural objects or family visits – can support a sense of identity and continuity. Life-story books and memory boxes allow residents to connect with parts of their past, even when recent memory is impaired (SCIE, 2020). This can reduce anxiety, promote positive emotions and strengthen relationships between staff and residents. However, professionals must also be sensitive, as some memories may trigger sadness or trauma. Staff need training in how to gently redirect or comfort residents if reminiscence becomes distressing.</w:t>
      </w:r>
    </w:p>
    <w:p w14:paraId="2FFD9082" w14:textId="6DF262D7"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Cognitive Reserve Theory underlines the value of everyday cognitive and social stimulation. In practice, this might involve offering group activities such as singing, light exercise, simple board games or discussion groups, tailored to residents’ abilities. Even small interactions  sharing a joke, commenting on the weather, or involving residents in simple tasks like folding towels  can support cognitive engagement and emotional connection (NHS England, 2022). Staff should avoid doing everything for residents when they can still participate in parts of activities, as this can reduce self-esteem and increase dependence.</w:t>
      </w:r>
    </w:p>
    <w:p w14:paraId="2D9D9123" w14:textId="77777777"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Communication is another important area where these theories apply. Residents with dementia may find it difficult to follow complex instructions or process large amounts of information. Staff can support cognitive reserve by using short sentences, one instruction at a time, visual prompts and a calm tone of voice (NICE, 2022). From an Eriksonian perspective, validating a resident’s feelings – for example, saying “I can see you are worried, let’s sit together for a moment” – helps reduce despair and builds trust. Correcting or arguing with a confused resident may increase distress, whereas gentle reassurance and distraction often work better (Alzheimer’s Society, 2023).</w:t>
      </w:r>
    </w:p>
    <w:p w14:paraId="10D5B140" w14:textId="77777777"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The physical and social environment of the care home can also be shaped by these theories. Clear signs, contrasting colours, clocks and calendars, and personalised bedroom doors can support orientation and independence (SCIE, 2020). Quiet, comfortable spaces for rest, alongside areas for safe social interaction, allow residents to choose between stimulation and calm. This respects their autonomy and supports psychological needs.</w:t>
      </w:r>
    </w:p>
    <w:p w14:paraId="70FDAD4D" w14:textId="77777777"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lastRenderedPageBreak/>
        <w:t>Despite these benefits, there are also challenges in applying theory to practice. Care homes are often busy, understaffed environments, and time pressures can limit opportunities for meaningful conversation or activities (Skills for Care, 2022). Some residents may be at very advanced stages of dementia and have limited ability to engage verbally. In these cases, staff must rely more on non-verbal communication, appropriate touch, facial expression and tone, which requires skill and confidence. There can also be emotional strain on staff, who may feel sad or helpless when witnessing residents’ decline. Without support, this can lead to burnout, which reduces the quality of care.</w:t>
      </w:r>
    </w:p>
    <w:p w14:paraId="4EEE66FF" w14:textId="188CDB25"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To manage these challenges, organisations need to invest in training, reflective practice and supervision. Regular training on dementia, communication skills and psychological theories can build staff confidence and competence. Reflective discussions  individually or in groups  give workers a chance to process their emotions, share strategies and learn from each other (Jasper, 2013). Good leadership and a positive team culture are also essential so that theory-informed, person-centred care is seen as a shared responsibility rather than an optional extra.</w:t>
      </w:r>
    </w:p>
    <w:p w14:paraId="2AF22093" w14:textId="06C6CA85" w:rsidR="00C41C4B" w:rsidRPr="00C41C4B" w:rsidRDefault="00C41C4B" w:rsidP="00C41C4B">
      <w:pPr>
        <w:spacing w:line="360" w:lineRule="auto"/>
        <w:rPr>
          <w:rFonts w:ascii="Arial" w:hAnsi="Arial" w:cs="Arial"/>
          <w:sz w:val="22"/>
          <w:szCs w:val="22"/>
        </w:rPr>
      </w:pPr>
    </w:p>
    <w:p w14:paraId="25D87C5F" w14:textId="77777777" w:rsidR="00C41C4B" w:rsidRPr="00C41C4B" w:rsidRDefault="00C41C4B" w:rsidP="00C41C4B">
      <w:pPr>
        <w:spacing w:line="360" w:lineRule="auto"/>
        <w:rPr>
          <w:rFonts w:ascii="Arial" w:hAnsi="Arial" w:cs="Arial"/>
          <w:b/>
          <w:bCs/>
          <w:sz w:val="22"/>
          <w:szCs w:val="22"/>
        </w:rPr>
      </w:pPr>
      <w:r w:rsidRPr="00C41C4B">
        <w:rPr>
          <w:rFonts w:ascii="Arial" w:hAnsi="Arial" w:cs="Arial"/>
          <w:b/>
          <w:bCs/>
          <w:sz w:val="22"/>
          <w:szCs w:val="22"/>
        </w:rPr>
        <w:t>Conclusion</w:t>
      </w:r>
    </w:p>
    <w:p w14:paraId="7D282199" w14:textId="77777777"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In summary, psychological theories can offer valuable insight into the experiences of older adults living with dementia in care homes. Erikson’s Psychosocial Theory emphasises the importance of identity, life review and emotional acceptance in later life, reminding professionals that residents need recognition, validation and opportunities to maintain a sense of integrity. Cognitive Reserve Theory explains how lifelong experiences shape the brain’s ability to cope with dementia, and highlights why continued mental and social stimulation, clear communication and supportive environments are so important.</w:t>
      </w:r>
    </w:p>
    <w:p w14:paraId="079DE9AA" w14:textId="77777777"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When applied thoughtfully, these theories can guide health and social care professionals in understanding behaviour, planning activities, communicating effectively and supporting residents’ psychological health. Although there are practical challenges, especially in busy care home settings, using theory-informed, person-centred approaches can enhance wellbeing, protect dignity and improve the overall quality of care for older adults living with dementia.</w:t>
      </w:r>
    </w:p>
    <w:p w14:paraId="3768A09B" w14:textId="77777777" w:rsidR="00784100" w:rsidRPr="00C04E52" w:rsidRDefault="00784100" w:rsidP="00C41C4B">
      <w:pPr>
        <w:spacing w:line="360" w:lineRule="auto"/>
        <w:rPr>
          <w:rFonts w:ascii="Arial" w:hAnsi="Arial" w:cs="Arial"/>
          <w:sz w:val="22"/>
          <w:szCs w:val="22"/>
        </w:rPr>
      </w:pPr>
    </w:p>
    <w:p w14:paraId="412BD0DB" w14:textId="77777777" w:rsidR="00C04E52" w:rsidRDefault="00C04E52" w:rsidP="00C41C4B">
      <w:pPr>
        <w:spacing w:line="360" w:lineRule="auto"/>
        <w:rPr>
          <w:rFonts w:ascii="Arial" w:hAnsi="Arial" w:cs="Arial"/>
          <w:sz w:val="22"/>
          <w:szCs w:val="22"/>
        </w:rPr>
      </w:pPr>
    </w:p>
    <w:p w14:paraId="510B9A06" w14:textId="77777777" w:rsidR="00C04E52" w:rsidRPr="00C04E52" w:rsidRDefault="00C04E52" w:rsidP="00C41C4B">
      <w:pPr>
        <w:spacing w:line="360" w:lineRule="auto"/>
        <w:rPr>
          <w:rFonts w:ascii="Arial" w:hAnsi="Arial" w:cs="Arial"/>
          <w:sz w:val="22"/>
          <w:szCs w:val="22"/>
        </w:rPr>
      </w:pPr>
    </w:p>
    <w:p w14:paraId="65963954" w14:textId="72E6ADEF" w:rsidR="00C41C4B" w:rsidRPr="00C04E52" w:rsidRDefault="00C41C4B" w:rsidP="00C41C4B">
      <w:pPr>
        <w:spacing w:line="360" w:lineRule="auto"/>
        <w:rPr>
          <w:rFonts w:ascii="Arial" w:hAnsi="Arial" w:cs="Arial"/>
          <w:b/>
          <w:bCs/>
          <w:sz w:val="22"/>
          <w:szCs w:val="22"/>
        </w:rPr>
      </w:pPr>
      <w:r w:rsidRPr="00C41C4B">
        <w:rPr>
          <w:rFonts w:ascii="Arial" w:hAnsi="Arial" w:cs="Arial"/>
          <w:b/>
          <w:bCs/>
          <w:sz w:val="22"/>
          <w:szCs w:val="22"/>
        </w:rPr>
        <w:lastRenderedPageBreak/>
        <w:t xml:space="preserve">Reference List </w:t>
      </w:r>
    </w:p>
    <w:p w14:paraId="53085BE4" w14:textId="77777777" w:rsidR="00C04E52" w:rsidRPr="00C41C4B" w:rsidRDefault="00C04E52" w:rsidP="00C41C4B">
      <w:pPr>
        <w:spacing w:line="360" w:lineRule="auto"/>
        <w:rPr>
          <w:rFonts w:ascii="Arial" w:hAnsi="Arial" w:cs="Arial"/>
          <w:b/>
          <w:bCs/>
          <w:sz w:val="22"/>
          <w:szCs w:val="22"/>
        </w:rPr>
      </w:pPr>
    </w:p>
    <w:p w14:paraId="4F223F34" w14:textId="02BA2787"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 xml:space="preserve">Alzheimer’s Society (2023) </w:t>
      </w:r>
      <w:r w:rsidRPr="00C41C4B">
        <w:rPr>
          <w:rFonts w:ascii="Arial" w:hAnsi="Arial" w:cs="Arial"/>
          <w:i/>
          <w:iCs/>
          <w:sz w:val="22"/>
          <w:szCs w:val="22"/>
        </w:rPr>
        <w:t>Dementia: Symptoms and support</w:t>
      </w:r>
      <w:r w:rsidRPr="00C41C4B">
        <w:rPr>
          <w:rFonts w:ascii="Arial" w:hAnsi="Arial" w:cs="Arial"/>
          <w:sz w:val="22"/>
          <w:szCs w:val="22"/>
        </w:rPr>
        <w:t xml:space="preserve">. Available at: </w:t>
      </w:r>
      <w:hyperlink r:id="rId6" w:tgtFrame="_new" w:history="1">
        <w:r w:rsidRPr="00C41C4B">
          <w:rPr>
            <w:rStyle w:val="Hyperlink"/>
            <w:rFonts w:ascii="Arial" w:hAnsi="Arial" w:cs="Arial"/>
            <w:sz w:val="22"/>
            <w:szCs w:val="22"/>
          </w:rPr>
          <w:t>https://www.alzheimers.org.uk</w:t>
        </w:r>
      </w:hyperlink>
      <w:r w:rsidRPr="00C41C4B">
        <w:rPr>
          <w:rFonts w:ascii="Arial" w:hAnsi="Arial" w:cs="Arial"/>
          <w:sz w:val="22"/>
          <w:szCs w:val="22"/>
        </w:rPr>
        <w:t xml:space="preserve"> (Accessed: </w:t>
      </w:r>
      <w:r w:rsidR="00C04E52" w:rsidRPr="00C04E52">
        <w:rPr>
          <w:rFonts w:ascii="Arial" w:hAnsi="Arial" w:cs="Arial"/>
          <w:sz w:val="22"/>
          <w:szCs w:val="22"/>
        </w:rPr>
        <w:t>1</w:t>
      </w:r>
      <w:r w:rsidRPr="00C41C4B">
        <w:rPr>
          <w:rFonts w:ascii="Arial" w:hAnsi="Arial" w:cs="Arial"/>
          <w:sz w:val="22"/>
          <w:szCs w:val="22"/>
        </w:rPr>
        <w:t>4 December 2025).</w:t>
      </w:r>
    </w:p>
    <w:p w14:paraId="6FDF991C" w14:textId="77777777"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 xml:space="preserve">Erikson, E.H. (1995) </w:t>
      </w:r>
      <w:r w:rsidRPr="00C41C4B">
        <w:rPr>
          <w:rFonts w:ascii="Arial" w:hAnsi="Arial" w:cs="Arial"/>
          <w:i/>
          <w:iCs/>
          <w:sz w:val="22"/>
          <w:szCs w:val="22"/>
        </w:rPr>
        <w:t>The Life Cycle Completed</w:t>
      </w:r>
      <w:r w:rsidRPr="00C41C4B">
        <w:rPr>
          <w:rFonts w:ascii="Arial" w:hAnsi="Arial" w:cs="Arial"/>
          <w:sz w:val="22"/>
          <w:szCs w:val="22"/>
        </w:rPr>
        <w:t>. New York: W.W. Norton.</w:t>
      </w:r>
    </w:p>
    <w:p w14:paraId="7001C499" w14:textId="77777777"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 xml:space="preserve">Jasper, M. (2013) </w:t>
      </w:r>
      <w:r w:rsidRPr="00C41C4B">
        <w:rPr>
          <w:rFonts w:ascii="Arial" w:hAnsi="Arial" w:cs="Arial"/>
          <w:i/>
          <w:iCs/>
          <w:sz w:val="22"/>
          <w:szCs w:val="22"/>
        </w:rPr>
        <w:t>Beginning Reflective Practice</w:t>
      </w:r>
      <w:r w:rsidRPr="00C41C4B">
        <w:rPr>
          <w:rFonts w:ascii="Arial" w:hAnsi="Arial" w:cs="Arial"/>
          <w:sz w:val="22"/>
          <w:szCs w:val="22"/>
        </w:rPr>
        <w:t>. Cheltenham: Nelson Thornes.</w:t>
      </w:r>
    </w:p>
    <w:p w14:paraId="0EE0247C" w14:textId="77777777"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 xml:space="preserve">Kitwood, T. (1997) </w:t>
      </w:r>
      <w:r w:rsidRPr="00C41C4B">
        <w:rPr>
          <w:rFonts w:ascii="Arial" w:hAnsi="Arial" w:cs="Arial"/>
          <w:i/>
          <w:iCs/>
          <w:sz w:val="22"/>
          <w:szCs w:val="22"/>
        </w:rPr>
        <w:t>Dementia Reconsidered: The Person Comes First</w:t>
      </w:r>
      <w:r w:rsidRPr="00C41C4B">
        <w:rPr>
          <w:rFonts w:ascii="Arial" w:hAnsi="Arial" w:cs="Arial"/>
          <w:sz w:val="22"/>
          <w:szCs w:val="22"/>
        </w:rPr>
        <w:t>. Buckingham: Open University Press.</w:t>
      </w:r>
    </w:p>
    <w:p w14:paraId="47E4691C" w14:textId="3A8B1686"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 xml:space="preserve">NHS (2023) </w:t>
      </w:r>
      <w:r w:rsidRPr="00C41C4B">
        <w:rPr>
          <w:rFonts w:ascii="Arial" w:hAnsi="Arial" w:cs="Arial"/>
          <w:i/>
          <w:iCs/>
          <w:sz w:val="22"/>
          <w:szCs w:val="22"/>
        </w:rPr>
        <w:t>Living with dementia: Guidance for carers</w:t>
      </w:r>
      <w:r w:rsidRPr="00C41C4B">
        <w:rPr>
          <w:rFonts w:ascii="Arial" w:hAnsi="Arial" w:cs="Arial"/>
          <w:sz w:val="22"/>
          <w:szCs w:val="22"/>
        </w:rPr>
        <w:t xml:space="preserve">. Available at: </w:t>
      </w:r>
      <w:hyperlink r:id="rId7" w:tgtFrame="_new" w:history="1">
        <w:r w:rsidRPr="00C41C4B">
          <w:rPr>
            <w:rStyle w:val="Hyperlink"/>
            <w:rFonts w:ascii="Arial" w:hAnsi="Arial" w:cs="Arial"/>
            <w:sz w:val="22"/>
            <w:szCs w:val="22"/>
          </w:rPr>
          <w:t>https://www.nhs.uk</w:t>
        </w:r>
      </w:hyperlink>
      <w:r w:rsidRPr="00C41C4B">
        <w:rPr>
          <w:rFonts w:ascii="Arial" w:hAnsi="Arial" w:cs="Arial"/>
          <w:sz w:val="22"/>
          <w:szCs w:val="22"/>
        </w:rPr>
        <w:t xml:space="preserve"> (Accessed: </w:t>
      </w:r>
      <w:r w:rsidR="00C04E52" w:rsidRPr="00C04E52">
        <w:rPr>
          <w:rFonts w:ascii="Arial" w:hAnsi="Arial" w:cs="Arial"/>
          <w:sz w:val="22"/>
          <w:szCs w:val="22"/>
        </w:rPr>
        <w:t>1</w:t>
      </w:r>
      <w:r w:rsidRPr="00C41C4B">
        <w:rPr>
          <w:rFonts w:ascii="Arial" w:hAnsi="Arial" w:cs="Arial"/>
          <w:sz w:val="22"/>
          <w:szCs w:val="22"/>
        </w:rPr>
        <w:t>4 December 2025).</w:t>
      </w:r>
    </w:p>
    <w:p w14:paraId="20A13CA1" w14:textId="6AF99362"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 xml:space="preserve">NHS England (2022) </w:t>
      </w:r>
      <w:r w:rsidRPr="00C41C4B">
        <w:rPr>
          <w:rFonts w:ascii="Arial" w:hAnsi="Arial" w:cs="Arial"/>
          <w:i/>
          <w:iCs/>
          <w:sz w:val="22"/>
          <w:szCs w:val="22"/>
        </w:rPr>
        <w:t>Improving dementia care: Person-centred approaches</w:t>
      </w:r>
      <w:r w:rsidRPr="00C41C4B">
        <w:rPr>
          <w:rFonts w:ascii="Arial" w:hAnsi="Arial" w:cs="Arial"/>
          <w:sz w:val="22"/>
          <w:szCs w:val="22"/>
        </w:rPr>
        <w:t xml:space="preserve">. Available at: </w:t>
      </w:r>
      <w:hyperlink r:id="rId8" w:tgtFrame="_new" w:history="1">
        <w:r w:rsidRPr="00C41C4B">
          <w:rPr>
            <w:rStyle w:val="Hyperlink"/>
            <w:rFonts w:ascii="Arial" w:hAnsi="Arial" w:cs="Arial"/>
            <w:sz w:val="22"/>
            <w:szCs w:val="22"/>
          </w:rPr>
          <w:t>https://www.england.nhs.uk</w:t>
        </w:r>
      </w:hyperlink>
      <w:r w:rsidRPr="00C41C4B">
        <w:rPr>
          <w:rFonts w:ascii="Arial" w:hAnsi="Arial" w:cs="Arial"/>
          <w:sz w:val="22"/>
          <w:szCs w:val="22"/>
        </w:rPr>
        <w:t xml:space="preserve"> (Accessed: </w:t>
      </w:r>
      <w:r w:rsidR="00C04E52" w:rsidRPr="00C04E52">
        <w:rPr>
          <w:rFonts w:ascii="Arial" w:hAnsi="Arial" w:cs="Arial"/>
          <w:sz w:val="22"/>
          <w:szCs w:val="22"/>
        </w:rPr>
        <w:t>13</w:t>
      </w:r>
      <w:r w:rsidRPr="00C41C4B">
        <w:rPr>
          <w:rFonts w:ascii="Arial" w:hAnsi="Arial" w:cs="Arial"/>
          <w:sz w:val="22"/>
          <w:szCs w:val="22"/>
        </w:rPr>
        <w:t xml:space="preserve"> December 2025).</w:t>
      </w:r>
    </w:p>
    <w:p w14:paraId="649F9DB7" w14:textId="5DE79614"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 xml:space="preserve">NICE (2022) </w:t>
      </w:r>
      <w:r w:rsidRPr="00C41C4B">
        <w:rPr>
          <w:rFonts w:ascii="Arial" w:hAnsi="Arial" w:cs="Arial"/>
          <w:i/>
          <w:iCs/>
          <w:sz w:val="22"/>
          <w:szCs w:val="22"/>
        </w:rPr>
        <w:t>Dementia: Assessment, management and support for people living with dementia and their carers</w:t>
      </w:r>
      <w:r w:rsidRPr="00C41C4B">
        <w:rPr>
          <w:rFonts w:ascii="Arial" w:hAnsi="Arial" w:cs="Arial"/>
          <w:sz w:val="22"/>
          <w:szCs w:val="22"/>
        </w:rPr>
        <w:t xml:space="preserve">. Available at: </w:t>
      </w:r>
      <w:hyperlink r:id="rId9" w:tgtFrame="_new" w:history="1">
        <w:r w:rsidRPr="00C41C4B">
          <w:rPr>
            <w:rStyle w:val="Hyperlink"/>
            <w:rFonts w:ascii="Arial" w:hAnsi="Arial" w:cs="Arial"/>
            <w:sz w:val="22"/>
            <w:szCs w:val="22"/>
          </w:rPr>
          <w:t>https://www.nice.org.uk</w:t>
        </w:r>
      </w:hyperlink>
      <w:r w:rsidRPr="00C41C4B">
        <w:rPr>
          <w:rFonts w:ascii="Arial" w:hAnsi="Arial" w:cs="Arial"/>
          <w:sz w:val="22"/>
          <w:szCs w:val="22"/>
        </w:rPr>
        <w:t xml:space="preserve"> (Accessed: </w:t>
      </w:r>
      <w:r w:rsidR="00C04E52" w:rsidRPr="00C04E52">
        <w:rPr>
          <w:rFonts w:ascii="Arial" w:hAnsi="Arial" w:cs="Arial"/>
          <w:sz w:val="22"/>
          <w:szCs w:val="22"/>
        </w:rPr>
        <w:t>13</w:t>
      </w:r>
      <w:r w:rsidRPr="00C41C4B">
        <w:rPr>
          <w:rFonts w:ascii="Arial" w:hAnsi="Arial" w:cs="Arial"/>
          <w:sz w:val="22"/>
          <w:szCs w:val="22"/>
        </w:rPr>
        <w:t xml:space="preserve"> December 2025).</w:t>
      </w:r>
    </w:p>
    <w:p w14:paraId="5A725C48" w14:textId="18755B9A"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 xml:space="preserve">SCIE (2020) </w:t>
      </w:r>
      <w:r w:rsidRPr="00C41C4B">
        <w:rPr>
          <w:rFonts w:ascii="Arial" w:hAnsi="Arial" w:cs="Arial"/>
          <w:i/>
          <w:iCs/>
          <w:sz w:val="22"/>
          <w:szCs w:val="22"/>
        </w:rPr>
        <w:t>Supporting people with dementia in care homes</w:t>
      </w:r>
      <w:r w:rsidRPr="00C41C4B">
        <w:rPr>
          <w:rFonts w:ascii="Arial" w:hAnsi="Arial" w:cs="Arial"/>
          <w:sz w:val="22"/>
          <w:szCs w:val="22"/>
        </w:rPr>
        <w:t xml:space="preserve">. Available at: </w:t>
      </w:r>
      <w:hyperlink r:id="rId10" w:tgtFrame="_new" w:history="1">
        <w:r w:rsidRPr="00C41C4B">
          <w:rPr>
            <w:rStyle w:val="Hyperlink"/>
            <w:rFonts w:ascii="Arial" w:hAnsi="Arial" w:cs="Arial"/>
            <w:sz w:val="22"/>
            <w:szCs w:val="22"/>
          </w:rPr>
          <w:t>https://www.scie.org.uk</w:t>
        </w:r>
      </w:hyperlink>
      <w:r w:rsidRPr="00C41C4B">
        <w:rPr>
          <w:rFonts w:ascii="Arial" w:hAnsi="Arial" w:cs="Arial"/>
          <w:sz w:val="22"/>
          <w:szCs w:val="22"/>
        </w:rPr>
        <w:t xml:space="preserve"> (Accessed: </w:t>
      </w:r>
      <w:r w:rsidR="00C04E52" w:rsidRPr="00C04E52">
        <w:rPr>
          <w:rFonts w:ascii="Arial" w:hAnsi="Arial" w:cs="Arial"/>
          <w:sz w:val="22"/>
          <w:szCs w:val="22"/>
        </w:rPr>
        <w:t>1</w:t>
      </w:r>
      <w:r w:rsidRPr="00C41C4B">
        <w:rPr>
          <w:rFonts w:ascii="Arial" w:hAnsi="Arial" w:cs="Arial"/>
          <w:sz w:val="22"/>
          <w:szCs w:val="22"/>
        </w:rPr>
        <w:t>4 December 2025).</w:t>
      </w:r>
    </w:p>
    <w:p w14:paraId="704B1816" w14:textId="51A8D34B"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 xml:space="preserve">Skills for Care (2022) </w:t>
      </w:r>
      <w:r w:rsidRPr="00C41C4B">
        <w:rPr>
          <w:rFonts w:ascii="Arial" w:hAnsi="Arial" w:cs="Arial"/>
          <w:i/>
          <w:iCs/>
          <w:sz w:val="22"/>
          <w:szCs w:val="22"/>
        </w:rPr>
        <w:t>Dementia and the adult social care workforce</w:t>
      </w:r>
      <w:r w:rsidRPr="00C41C4B">
        <w:rPr>
          <w:rFonts w:ascii="Arial" w:hAnsi="Arial" w:cs="Arial"/>
          <w:sz w:val="22"/>
          <w:szCs w:val="22"/>
        </w:rPr>
        <w:t xml:space="preserve">. Available at: </w:t>
      </w:r>
      <w:hyperlink r:id="rId11" w:tgtFrame="_new" w:history="1">
        <w:r w:rsidRPr="00C41C4B">
          <w:rPr>
            <w:rStyle w:val="Hyperlink"/>
            <w:rFonts w:ascii="Arial" w:hAnsi="Arial" w:cs="Arial"/>
            <w:sz w:val="22"/>
            <w:szCs w:val="22"/>
          </w:rPr>
          <w:t>https://www.skillsforcare.org.uk</w:t>
        </w:r>
      </w:hyperlink>
      <w:r w:rsidRPr="00C41C4B">
        <w:rPr>
          <w:rFonts w:ascii="Arial" w:hAnsi="Arial" w:cs="Arial"/>
          <w:sz w:val="22"/>
          <w:szCs w:val="22"/>
        </w:rPr>
        <w:t xml:space="preserve"> (Accessed: </w:t>
      </w:r>
      <w:r w:rsidR="00C04E52" w:rsidRPr="00C04E52">
        <w:rPr>
          <w:rFonts w:ascii="Arial" w:hAnsi="Arial" w:cs="Arial"/>
          <w:sz w:val="22"/>
          <w:szCs w:val="22"/>
        </w:rPr>
        <w:t>15</w:t>
      </w:r>
      <w:r w:rsidRPr="00C41C4B">
        <w:rPr>
          <w:rFonts w:ascii="Arial" w:hAnsi="Arial" w:cs="Arial"/>
          <w:sz w:val="22"/>
          <w:szCs w:val="22"/>
        </w:rPr>
        <w:t xml:space="preserve"> December 2025).</w:t>
      </w:r>
    </w:p>
    <w:p w14:paraId="0BE7ED58" w14:textId="77777777" w:rsidR="00C41C4B" w:rsidRPr="00C41C4B" w:rsidRDefault="00C41C4B" w:rsidP="00C41C4B">
      <w:pPr>
        <w:spacing w:line="360" w:lineRule="auto"/>
        <w:rPr>
          <w:rFonts w:ascii="Arial" w:hAnsi="Arial" w:cs="Arial"/>
          <w:sz w:val="22"/>
          <w:szCs w:val="22"/>
        </w:rPr>
      </w:pPr>
      <w:r w:rsidRPr="00C41C4B">
        <w:rPr>
          <w:rFonts w:ascii="Arial" w:hAnsi="Arial" w:cs="Arial"/>
          <w:sz w:val="22"/>
          <w:szCs w:val="22"/>
        </w:rPr>
        <w:t xml:space="preserve">Stern, Y. (2012) ‘Cognitive reserve in ageing and Alzheimer’s disease’, </w:t>
      </w:r>
      <w:r w:rsidRPr="00C41C4B">
        <w:rPr>
          <w:rFonts w:ascii="Arial" w:hAnsi="Arial" w:cs="Arial"/>
          <w:i/>
          <w:iCs/>
          <w:sz w:val="22"/>
          <w:szCs w:val="22"/>
        </w:rPr>
        <w:t>The Lancet Neurology</w:t>
      </w:r>
      <w:r w:rsidRPr="00C41C4B">
        <w:rPr>
          <w:rFonts w:ascii="Arial" w:hAnsi="Arial" w:cs="Arial"/>
          <w:sz w:val="22"/>
          <w:szCs w:val="22"/>
        </w:rPr>
        <w:t>, 11(11), pp. 1006–1012.</w:t>
      </w:r>
    </w:p>
    <w:p w14:paraId="0BE1AD54" w14:textId="77777777" w:rsidR="00C41C4B" w:rsidRDefault="00C41C4B"/>
    <w:sectPr w:rsidR="00C41C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51E69"/>
    <w:multiLevelType w:val="multilevel"/>
    <w:tmpl w:val="9E3CC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898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690"/>
    <w:rsid w:val="002163BD"/>
    <w:rsid w:val="005D6690"/>
    <w:rsid w:val="00784100"/>
    <w:rsid w:val="00AA47D4"/>
    <w:rsid w:val="00C04E52"/>
    <w:rsid w:val="00C41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EADF3"/>
  <w15:chartTrackingRefBased/>
  <w15:docId w15:val="{81211A62-E4B9-479B-BB8B-2182C4DA2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66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66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66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66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66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66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66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66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66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66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66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66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66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66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66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66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66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6690"/>
    <w:rPr>
      <w:rFonts w:eastAsiaTheme="majorEastAsia" w:cstheme="majorBidi"/>
      <w:color w:val="272727" w:themeColor="text1" w:themeTint="D8"/>
    </w:rPr>
  </w:style>
  <w:style w:type="paragraph" w:styleId="Title">
    <w:name w:val="Title"/>
    <w:basedOn w:val="Normal"/>
    <w:next w:val="Normal"/>
    <w:link w:val="TitleChar"/>
    <w:uiPriority w:val="10"/>
    <w:qFormat/>
    <w:rsid w:val="005D66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66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66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66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6690"/>
    <w:pPr>
      <w:spacing w:before="160"/>
      <w:jc w:val="center"/>
    </w:pPr>
    <w:rPr>
      <w:i/>
      <w:iCs/>
      <w:color w:val="404040" w:themeColor="text1" w:themeTint="BF"/>
    </w:rPr>
  </w:style>
  <w:style w:type="character" w:customStyle="1" w:styleId="QuoteChar">
    <w:name w:val="Quote Char"/>
    <w:basedOn w:val="DefaultParagraphFont"/>
    <w:link w:val="Quote"/>
    <w:uiPriority w:val="29"/>
    <w:rsid w:val="005D6690"/>
    <w:rPr>
      <w:i/>
      <w:iCs/>
      <w:color w:val="404040" w:themeColor="text1" w:themeTint="BF"/>
    </w:rPr>
  </w:style>
  <w:style w:type="paragraph" w:styleId="ListParagraph">
    <w:name w:val="List Paragraph"/>
    <w:basedOn w:val="Normal"/>
    <w:uiPriority w:val="34"/>
    <w:qFormat/>
    <w:rsid w:val="005D6690"/>
    <w:pPr>
      <w:ind w:left="720"/>
      <w:contextualSpacing/>
    </w:pPr>
  </w:style>
  <w:style w:type="character" w:styleId="IntenseEmphasis">
    <w:name w:val="Intense Emphasis"/>
    <w:basedOn w:val="DefaultParagraphFont"/>
    <w:uiPriority w:val="21"/>
    <w:qFormat/>
    <w:rsid w:val="005D6690"/>
    <w:rPr>
      <w:i/>
      <w:iCs/>
      <w:color w:val="0F4761" w:themeColor="accent1" w:themeShade="BF"/>
    </w:rPr>
  </w:style>
  <w:style w:type="paragraph" w:styleId="IntenseQuote">
    <w:name w:val="Intense Quote"/>
    <w:basedOn w:val="Normal"/>
    <w:next w:val="Normal"/>
    <w:link w:val="IntenseQuoteChar"/>
    <w:uiPriority w:val="30"/>
    <w:qFormat/>
    <w:rsid w:val="005D66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6690"/>
    <w:rPr>
      <w:i/>
      <w:iCs/>
      <w:color w:val="0F4761" w:themeColor="accent1" w:themeShade="BF"/>
    </w:rPr>
  </w:style>
  <w:style w:type="character" w:styleId="IntenseReference">
    <w:name w:val="Intense Reference"/>
    <w:basedOn w:val="DefaultParagraphFont"/>
    <w:uiPriority w:val="32"/>
    <w:qFormat/>
    <w:rsid w:val="005D6690"/>
    <w:rPr>
      <w:b/>
      <w:bCs/>
      <w:smallCaps/>
      <w:color w:val="0F4761" w:themeColor="accent1" w:themeShade="BF"/>
      <w:spacing w:val="5"/>
    </w:rPr>
  </w:style>
  <w:style w:type="character" w:styleId="Hyperlink">
    <w:name w:val="Hyperlink"/>
    <w:basedOn w:val="DefaultParagraphFont"/>
    <w:uiPriority w:val="99"/>
    <w:unhideWhenUsed/>
    <w:rsid w:val="005D6690"/>
    <w:rPr>
      <w:color w:val="467886" w:themeColor="hyperlink"/>
      <w:u w:val="single"/>
    </w:rPr>
  </w:style>
  <w:style w:type="character" w:styleId="UnresolvedMention">
    <w:name w:val="Unresolved Mention"/>
    <w:basedOn w:val="DefaultParagraphFont"/>
    <w:uiPriority w:val="99"/>
    <w:semiHidden/>
    <w:unhideWhenUsed/>
    <w:rsid w:val="005D66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hs.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lzheimers.org.uk" TargetMode="External"/><Relationship Id="rId11" Type="http://schemas.openxmlformats.org/officeDocument/2006/relationships/hyperlink" Target="https://www.skillsforcare.org.uk" TargetMode="External"/><Relationship Id="rId5" Type="http://schemas.openxmlformats.org/officeDocument/2006/relationships/image" Target="media/image1.jpeg"/><Relationship Id="rId10" Type="http://schemas.openxmlformats.org/officeDocument/2006/relationships/hyperlink" Target="https://www.scie.org.uk" TargetMode="External"/><Relationship Id="rId4" Type="http://schemas.openxmlformats.org/officeDocument/2006/relationships/webSettings" Target="webSettings.xml"/><Relationship Id="rId9" Type="http://schemas.openxmlformats.org/officeDocument/2006/relationships/hyperlink" Target="https://www.nic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1768</Words>
  <Characters>10078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Judge</dc:creator>
  <cp:keywords/>
  <dc:description/>
  <cp:lastModifiedBy>Sabrina Judge</cp:lastModifiedBy>
  <cp:revision>1</cp:revision>
  <dcterms:created xsi:type="dcterms:W3CDTF">2025-12-01T22:48:00Z</dcterms:created>
  <dcterms:modified xsi:type="dcterms:W3CDTF">2025-12-01T23:15:00Z</dcterms:modified>
</cp:coreProperties>
</file>