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2CD" w:rsidRDefault="0064084D" w:rsidP="0064084D">
      <w:pPr>
        <w:pStyle w:val="Title"/>
        <w:jc w:val="center"/>
        <w:rPr>
          <w:u w:val="single"/>
        </w:rPr>
      </w:pPr>
      <w:proofErr w:type="spellStart"/>
      <w:r w:rsidRPr="0064084D">
        <w:rPr>
          <w:u w:val="single"/>
        </w:rPr>
        <w:t>Chem</w:t>
      </w:r>
      <w:proofErr w:type="spellEnd"/>
      <w:r w:rsidRPr="0064084D">
        <w:rPr>
          <w:u w:val="single"/>
        </w:rPr>
        <w:t xml:space="preserve"> report</w:t>
      </w:r>
    </w:p>
    <w:p w:rsidR="0064084D" w:rsidRDefault="0064084D" w:rsidP="0064084D"/>
    <w:p w:rsidR="0064084D" w:rsidRDefault="0064084D" w:rsidP="0064084D">
      <w:pPr>
        <w:pStyle w:val="Subtitle"/>
        <w:rPr>
          <w:u w:val="single"/>
        </w:rPr>
      </w:pPr>
      <w:r w:rsidRPr="0064084D">
        <w:rPr>
          <w:u w:val="single"/>
        </w:rPr>
        <w:t>Contents:</w:t>
      </w:r>
      <w:r>
        <w:rPr>
          <w:u w:val="single"/>
        </w:rPr>
        <w:t xml:space="preserve"> </w:t>
      </w:r>
    </w:p>
    <w:p w:rsidR="0064084D" w:rsidRDefault="0064084D" w:rsidP="0064084D">
      <w:pPr>
        <w:pStyle w:val="NoSpacing"/>
        <w:numPr>
          <w:ilvl w:val="0"/>
          <w:numId w:val="2"/>
        </w:numPr>
      </w:pPr>
      <w:r>
        <w:t>Introduction</w:t>
      </w:r>
    </w:p>
    <w:p w:rsidR="0064084D" w:rsidRDefault="0064084D" w:rsidP="0064084D">
      <w:pPr>
        <w:pStyle w:val="NoSpacing"/>
        <w:numPr>
          <w:ilvl w:val="0"/>
          <w:numId w:val="2"/>
        </w:numPr>
      </w:pPr>
      <w:r>
        <w:t>Method</w:t>
      </w:r>
    </w:p>
    <w:p w:rsidR="00CF4349" w:rsidRDefault="008B438E" w:rsidP="00CF4349">
      <w:pPr>
        <w:pStyle w:val="NoSpacing"/>
        <w:numPr>
          <w:ilvl w:val="0"/>
          <w:numId w:val="2"/>
        </w:numPr>
      </w:pPr>
      <w:r>
        <w:t>Research</w:t>
      </w:r>
    </w:p>
    <w:p w:rsidR="008B438E" w:rsidRDefault="008B438E" w:rsidP="0064084D">
      <w:pPr>
        <w:pStyle w:val="NoSpacing"/>
        <w:numPr>
          <w:ilvl w:val="0"/>
          <w:numId w:val="2"/>
        </w:numPr>
      </w:pPr>
      <w:r>
        <w:t>Discussion</w:t>
      </w:r>
    </w:p>
    <w:p w:rsidR="00CF4349" w:rsidRDefault="008B438E" w:rsidP="00CF4349">
      <w:pPr>
        <w:pStyle w:val="NoSpacing"/>
        <w:numPr>
          <w:ilvl w:val="0"/>
          <w:numId w:val="2"/>
        </w:numPr>
      </w:pPr>
      <w:r>
        <w:t>Conclusion</w:t>
      </w:r>
    </w:p>
    <w:p w:rsidR="00CF4349" w:rsidRDefault="00CF4349" w:rsidP="00CF4349">
      <w:pPr>
        <w:pStyle w:val="NoSpacing"/>
      </w:pPr>
    </w:p>
    <w:p w:rsidR="008B438E" w:rsidRPr="008B438E" w:rsidRDefault="008B438E" w:rsidP="008B438E">
      <w:pPr>
        <w:pStyle w:val="Subtitle"/>
        <w:rPr>
          <w:u w:val="single"/>
        </w:rPr>
      </w:pPr>
      <w:r w:rsidRPr="008B438E">
        <w:rPr>
          <w:u w:val="single"/>
        </w:rPr>
        <w:t>Introduction:</w:t>
      </w:r>
    </w:p>
    <w:p w:rsidR="008B438E" w:rsidRDefault="0048438B" w:rsidP="008B438E">
      <w:pPr>
        <w:pStyle w:val="NoSpacing"/>
        <w:rPr>
          <w:rFonts w:cstheme="minorHAnsi"/>
        </w:rPr>
      </w:pPr>
      <w:r>
        <w:t xml:space="preserve">The following is a top-level report looking into the design and functionality of a military hand grenade. </w:t>
      </w:r>
      <w:r w:rsidR="00E0351E">
        <w:t>The main areas of focus will be the selection of a</w:t>
      </w:r>
      <w:r w:rsidR="00555E89">
        <w:t xml:space="preserve"> timing (Delay), primary</w:t>
      </w:r>
      <w:r w:rsidR="00E0351E">
        <w:t xml:space="preserve"> and main charge explosive</w:t>
      </w:r>
      <w:r w:rsidR="001F4DE8">
        <w:t xml:space="preserve"> with the purpose being to give alternate design for a modern grenade. For each stage, initial research into different composition </w:t>
      </w:r>
      <w:proofErr w:type="gramStart"/>
      <w:r w:rsidR="008F7541">
        <w:t>will be done</w:t>
      </w:r>
      <w:proofErr w:type="gramEnd"/>
      <w:r w:rsidR="008F7541">
        <w:t xml:space="preserve"> </w:t>
      </w:r>
      <w:r w:rsidR="001F4DE8">
        <w:t xml:space="preserve">before one is selected and analysed in further detail including </w:t>
      </w:r>
      <w:r w:rsidR="001F4DE8">
        <w:rPr>
          <w:rFonts w:cstheme="minorHAnsi"/>
        </w:rPr>
        <w:t xml:space="preserve">∆H, </w:t>
      </w:r>
      <w:proofErr w:type="spellStart"/>
      <w:r w:rsidR="001F4DE8">
        <w:rPr>
          <w:rFonts w:cstheme="minorHAnsi"/>
        </w:rPr>
        <w:t>exothermicity</w:t>
      </w:r>
      <w:proofErr w:type="spellEnd"/>
      <w:r w:rsidR="001F4DE8">
        <w:rPr>
          <w:rFonts w:cstheme="minorHAnsi"/>
        </w:rPr>
        <w:t xml:space="preserve"> and any safety concerns that composition may pose.</w:t>
      </w:r>
    </w:p>
    <w:p w:rsidR="008F7541" w:rsidRDefault="008F7541" w:rsidP="008B438E">
      <w:pPr>
        <w:pStyle w:val="NoSpacing"/>
        <w:rPr>
          <w:rFonts w:cstheme="minorHAnsi"/>
        </w:rPr>
      </w:pPr>
    </w:p>
    <w:p w:rsidR="008F7541" w:rsidRDefault="008F7541" w:rsidP="008F7541">
      <w:pPr>
        <w:pStyle w:val="Subtitle"/>
        <w:rPr>
          <w:u w:val="single"/>
        </w:rPr>
      </w:pPr>
      <w:r w:rsidRPr="008F7541">
        <w:rPr>
          <w:u w:val="single"/>
        </w:rPr>
        <w:t>Method:</w:t>
      </w:r>
    </w:p>
    <w:p w:rsidR="008F7541" w:rsidRDefault="008F7541" w:rsidP="008F7541">
      <w:pPr>
        <w:pStyle w:val="NoSpacing"/>
      </w:pPr>
      <w:r>
        <w:t xml:space="preserve">The method of research for each stage will involve looking at different compositions and </w:t>
      </w:r>
      <w:r w:rsidR="00BE7866">
        <w:t>their</w:t>
      </w:r>
      <w:r>
        <w:t xml:space="preserve"> key properties for the given stage.</w:t>
      </w:r>
      <w:r w:rsidR="00555E89" w:rsidRPr="00555E89">
        <w:t xml:space="preserve"> </w:t>
      </w:r>
      <w:r w:rsidR="00555E89">
        <w:t>A timing composition needs to be looked at in terms of delay as too short or too long and the device won’t function as intended however the amount of composition to achieve the given delay must also be investigated as a grenade couldn’t be thrown if it required 5kg of delay comp jus</w:t>
      </w:r>
      <w:r w:rsidR="00555E89">
        <w:t>t to achieve a 10 second delay.</w:t>
      </w:r>
      <w:r>
        <w:t xml:space="preserve"> For priming, compositions it is important that they have an ease of ignition and</w:t>
      </w:r>
      <w:r w:rsidR="00BE7866">
        <w:t xml:space="preserve"> can</w:t>
      </w:r>
      <w:r>
        <w:t xml:space="preserve"> support train otherwise the device would not ignite or function</w:t>
      </w:r>
      <w:r w:rsidR="00BE7866">
        <w:t xml:space="preserve"> </w:t>
      </w:r>
      <w:r w:rsidR="00555E89">
        <w:t>however,</w:t>
      </w:r>
      <w:r w:rsidR="00BE7866">
        <w:t xml:space="preserve"> the method of ignition </w:t>
      </w:r>
      <w:proofErr w:type="gramStart"/>
      <w:r w:rsidR="00BE7866">
        <w:t xml:space="preserve">must also be </w:t>
      </w:r>
      <w:r w:rsidR="00555E89">
        <w:t>considered</w:t>
      </w:r>
      <w:proofErr w:type="gramEnd"/>
      <w:r w:rsidR="00555E89">
        <w:t>,</w:t>
      </w:r>
      <w:r w:rsidR="00BE7866">
        <w:t xml:space="preserve"> as accidental ignition of the composition could prove catastrophic</w:t>
      </w:r>
      <w:r>
        <w:t>. The main charge is the simplest to investigate, as the only two major factors are explosive power and stability, this is because you want the device to have the most destructive potential you can without the risk that it will simply ignite whist being carried by a soldier.</w:t>
      </w:r>
    </w:p>
    <w:p w:rsidR="00BE7866" w:rsidRDefault="00BE7866" w:rsidP="008F7541">
      <w:pPr>
        <w:pStyle w:val="NoSpacing"/>
      </w:pPr>
    </w:p>
    <w:p w:rsidR="00BE7866" w:rsidRDefault="00BE7866" w:rsidP="00BE7866">
      <w:pPr>
        <w:pStyle w:val="Subtitle"/>
        <w:rPr>
          <w:u w:val="single"/>
        </w:rPr>
      </w:pPr>
      <w:r w:rsidRPr="00BE7866">
        <w:rPr>
          <w:u w:val="single"/>
        </w:rPr>
        <w:t>Research:</w:t>
      </w:r>
    </w:p>
    <w:p w:rsidR="00BE7866" w:rsidRDefault="00BE7866" w:rsidP="00BE7866">
      <w:pPr>
        <w:pStyle w:val="NoSpacing"/>
      </w:pPr>
      <w:r>
        <w:t>In this section we will go though each of the required stages and identify possible compositions for each one as well as looking at their properties to help determine the best on for the final design.</w:t>
      </w:r>
    </w:p>
    <w:p w:rsidR="00BE7866" w:rsidRPr="00BE7866" w:rsidRDefault="00BE7866" w:rsidP="00BE7866">
      <w:pPr>
        <w:pStyle w:val="NoSpacing"/>
        <w:rPr>
          <w:u w:val="single"/>
        </w:rPr>
      </w:pPr>
    </w:p>
    <w:p w:rsidR="00BE7866" w:rsidRDefault="00555E89" w:rsidP="00555E89">
      <w:pPr>
        <w:pStyle w:val="Subtitle"/>
        <w:rPr>
          <w:u w:val="single"/>
        </w:rPr>
      </w:pPr>
      <w:r>
        <w:rPr>
          <w:u w:val="single"/>
        </w:rPr>
        <w:t>Timing composition:</w:t>
      </w:r>
    </w:p>
    <w:p w:rsidR="006E0D95" w:rsidRDefault="00431BD9" w:rsidP="00555E89">
      <w:pPr>
        <w:pStyle w:val="NoSpacing"/>
        <w:rPr>
          <w:rFonts w:cstheme="minorHAnsi"/>
          <w:shd w:val="clear" w:color="auto" w:fill="FFFFFF"/>
        </w:rPr>
      </w:pPr>
      <w:r>
        <w:t>The L109A1</w:t>
      </w:r>
      <w:r w:rsidR="00555E89">
        <w:t xml:space="preserve"> is the primary fragmentation grenade of the British army and has a delay fuse of between 3 and 4 seconds </w:t>
      </w:r>
      <w:sdt>
        <w:sdtPr>
          <w:id w:val="-428281715"/>
          <w:citation/>
        </w:sdtPr>
        <w:sdtContent>
          <w:r w:rsidR="00555E89">
            <w:fldChar w:fldCharType="begin"/>
          </w:r>
          <w:r w:rsidR="00774B7A">
            <w:instrText xml:space="preserve">CITATION Jul20 \l 2057 </w:instrText>
          </w:r>
          <w:r w:rsidR="00555E89">
            <w:fldChar w:fldCharType="separate"/>
          </w:r>
          <w:r w:rsidR="00774B7A" w:rsidRPr="00774B7A">
            <w:rPr>
              <w:noProof/>
            </w:rPr>
            <w:t>[1]</w:t>
          </w:r>
          <w:r w:rsidR="00555E89">
            <w:fldChar w:fldCharType="end"/>
          </w:r>
        </w:sdtContent>
      </w:sdt>
      <w:r>
        <w:t xml:space="preserve"> so we want a composition that produces the same time delay.</w:t>
      </w:r>
      <w:r w:rsidR="00814866">
        <w:t xml:space="preserve"> The first possible composition is </w:t>
      </w:r>
      <w:r w:rsidR="00814866" w:rsidRPr="00814866">
        <w:rPr>
          <w:rFonts w:cstheme="minorHAnsi"/>
          <w:shd w:val="clear" w:color="auto" w:fill="FFFFFF"/>
        </w:rPr>
        <w:t>Lead(2+) silicate</w:t>
      </w:r>
      <w:r w:rsidR="006E0D95">
        <w:rPr>
          <w:rFonts w:cstheme="minorHAnsi"/>
          <w:shd w:val="clear" w:color="auto" w:fill="FFFFFF"/>
        </w:rPr>
        <w:t xml:space="preserve"> which has a burn rate of 1.5-2 cm/s</w:t>
      </w:r>
      <w:r w:rsidR="002C1EF7">
        <w:rPr>
          <w:rFonts w:cstheme="minorHAnsi"/>
          <w:shd w:val="clear" w:color="auto" w:fill="FFFFFF"/>
        </w:rPr>
        <w:t xml:space="preserve"> </w:t>
      </w:r>
      <w:sdt>
        <w:sdtPr>
          <w:rPr>
            <w:rFonts w:cstheme="minorHAnsi"/>
            <w:shd w:val="clear" w:color="auto" w:fill="FFFFFF"/>
          </w:rPr>
          <w:id w:val="663978921"/>
          <w:citation/>
        </w:sdtPr>
        <w:sdtContent>
          <w:r w:rsidR="002C1EF7">
            <w:rPr>
              <w:rFonts w:cstheme="minorHAnsi"/>
              <w:shd w:val="clear" w:color="auto" w:fill="FFFFFF"/>
            </w:rPr>
            <w:fldChar w:fldCharType="begin"/>
          </w:r>
          <w:r w:rsidR="002C1EF7">
            <w:rPr>
              <w:rFonts w:cstheme="minorHAnsi"/>
              <w:shd w:val="clear" w:color="auto" w:fill="FFFFFF"/>
            </w:rPr>
            <w:instrText xml:space="preserve"> CITATION Nat20 \l 2057 </w:instrText>
          </w:r>
          <w:r w:rsidR="002C1EF7">
            <w:rPr>
              <w:rFonts w:cstheme="minorHAnsi"/>
              <w:shd w:val="clear" w:color="auto" w:fill="FFFFFF"/>
            </w:rPr>
            <w:fldChar w:fldCharType="separate"/>
          </w:r>
          <w:r w:rsidR="002C1EF7" w:rsidRPr="002C1EF7">
            <w:rPr>
              <w:rFonts w:cstheme="minorHAnsi"/>
              <w:noProof/>
              <w:shd w:val="clear" w:color="auto" w:fill="FFFFFF"/>
            </w:rPr>
            <w:t>[2]</w:t>
          </w:r>
          <w:r w:rsidR="002C1EF7">
            <w:rPr>
              <w:rFonts w:cstheme="minorHAnsi"/>
              <w:shd w:val="clear" w:color="auto" w:fill="FFFFFF"/>
            </w:rPr>
            <w:fldChar w:fldCharType="end"/>
          </w:r>
        </w:sdtContent>
      </w:sdt>
      <w:r w:rsidR="006E0D95">
        <w:rPr>
          <w:rFonts w:cstheme="minorHAnsi"/>
          <w:shd w:val="clear" w:color="auto" w:fill="FFFFFF"/>
        </w:rPr>
        <w:t xml:space="preserve"> meaning you would need 6cm of composition to reach the same delay as the L109A1. This size would be po</w:t>
      </w:r>
      <w:r w:rsidR="002C1EF7">
        <w:rPr>
          <w:rFonts w:cstheme="minorHAnsi"/>
          <w:shd w:val="clear" w:color="auto" w:fill="FFFFFF"/>
        </w:rPr>
        <w:t xml:space="preserve">ssible to fit inside a grenade however, the design arrangement of the delay may need to be changed to a coil instead of a stead fuse as to minimise the area used whilst still maintaining the needed length to provide adequate delay. </w:t>
      </w:r>
    </w:p>
    <w:p w:rsidR="002C1EF7" w:rsidRDefault="002C1EF7" w:rsidP="00555E89">
      <w:pPr>
        <w:pStyle w:val="NoSpacing"/>
        <w:rPr>
          <w:rFonts w:cstheme="minorHAnsi"/>
          <w:shd w:val="clear" w:color="auto" w:fill="FFFFFF"/>
        </w:rPr>
      </w:pPr>
    </w:p>
    <w:p w:rsidR="002C1EF7" w:rsidRDefault="002C1EF7" w:rsidP="00555E89">
      <w:pPr>
        <w:pStyle w:val="NoSpacing"/>
      </w:pPr>
      <w:r>
        <w:rPr>
          <w:rFonts w:cstheme="minorHAnsi"/>
          <w:shd w:val="clear" w:color="auto" w:fill="FFFFFF"/>
        </w:rPr>
        <w:t xml:space="preserve">The second possible composition I research was a mixture </w:t>
      </w:r>
      <w:proofErr w:type="gramStart"/>
      <w:r>
        <w:rPr>
          <w:rFonts w:cstheme="minorHAnsi"/>
          <w:shd w:val="clear" w:color="auto" w:fill="FFFFFF"/>
        </w:rPr>
        <w:t xml:space="preserve">of </w:t>
      </w:r>
      <w:proofErr w:type="gramEnd"/>
      <m:oMath>
        <m:r>
          <w:rPr>
            <w:rFonts w:ascii="Cambria Math" w:hAnsi="Cambria Math" w:cstheme="minorHAnsi"/>
            <w:shd w:val="clear" w:color="auto" w:fill="FFFFFF"/>
          </w:rPr>
          <m:t>Si/Bi</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sidR="002663DE">
        <w:rPr>
          <w:rFonts w:eastAsiaTheme="minorEastAsia" w:cstheme="minorHAnsi"/>
          <w:shd w:val="clear" w:color="auto" w:fill="FFFFFF"/>
        </w:rPr>
        <w:t xml:space="preserve">. By altering the ratios of these three </w:t>
      </w:r>
      <w:proofErr w:type="gramStart"/>
      <w:r w:rsidR="002663DE">
        <w:rPr>
          <w:rFonts w:eastAsiaTheme="minorEastAsia" w:cstheme="minorHAnsi"/>
          <w:shd w:val="clear" w:color="auto" w:fill="FFFFFF"/>
        </w:rPr>
        <w:t>chemicals</w:t>
      </w:r>
      <w:proofErr w:type="gramEnd"/>
      <w:r w:rsidR="002663DE">
        <w:rPr>
          <w:rFonts w:eastAsiaTheme="minorEastAsia" w:cstheme="minorHAnsi"/>
          <w:shd w:val="clear" w:color="auto" w:fill="FFFFFF"/>
        </w:rPr>
        <w:t xml:space="preserve"> you can produce a timing composition with different burn rates. </w:t>
      </w:r>
      <w:proofErr w:type="gramStart"/>
      <w:r w:rsidR="002663DE">
        <w:rPr>
          <w:rFonts w:eastAsiaTheme="minorEastAsia" w:cstheme="minorHAnsi"/>
          <w:shd w:val="clear" w:color="auto" w:fill="FFFFFF"/>
        </w:rPr>
        <w:t xml:space="preserve">The ratios I researched are 30/50/20, which according to the </w:t>
      </w:r>
      <w:r w:rsidR="002663DE">
        <w:t>Environmentally Benign Pyrotechnic Delays</w:t>
      </w:r>
      <w:r w:rsidR="002663DE">
        <w:t xml:space="preserve"> paper given at the 38</w:t>
      </w:r>
      <w:r w:rsidR="002663DE" w:rsidRPr="002663DE">
        <w:rPr>
          <w:vertAlign w:val="superscript"/>
        </w:rPr>
        <w:t>th</w:t>
      </w:r>
      <w:r w:rsidR="002663DE">
        <w:t xml:space="preserve"> </w:t>
      </w:r>
      <w:r w:rsidR="002663DE">
        <w:t>International Pyrotechnics Seminar</w:t>
      </w:r>
      <w:r w:rsidR="002663DE">
        <w:t xml:space="preserve"> </w:t>
      </w:r>
      <w:sdt>
        <w:sdtPr>
          <w:id w:val="491379229"/>
          <w:citation/>
        </w:sdtPr>
        <w:sdtContent>
          <w:r w:rsidR="002663DE">
            <w:fldChar w:fldCharType="begin"/>
          </w:r>
          <w:r w:rsidR="002663DE">
            <w:instrText xml:space="preserve"> CITATION Jay12 \l 2057 </w:instrText>
          </w:r>
          <w:r w:rsidR="002663DE">
            <w:fldChar w:fldCharType="separate"/>
          </w:r>
          <w:r w:rsidR="002663DE" w:rsidRPr="002663DE">
            <w:rPr>
              <w:noProof/>
            </w:rPr>
            <w:t>[3]</w:t>
          </w:r>
          <w:r w:rsidR="002663DE">
            <w:fldChar w:fldCharType="end"/>
          </w:r>
        </w:sdtContent>
      </w:sdt>
      <w:r w:rsidR="002663DE">
        <w:t xml:space="preserve"> this particular ratio gives a delay of </w:t>
      </w:r>
      <w:r w:rsidR="002663DE">
        <w:lastRenderedPageBreak/>
        <w:t>1.41</w:t>
      </w:r>
      <w:r w:rsidR="00BB51B6">
        <w:t xml:space="preserve">s/cm. </w:t>
      </w:r>
      <w:r w:rsidR="002663DE">
        <w:t>Meaning we would only need 2.5cm to achieve the required delay, this is a great reduction in size compared to the previous composition and would be able to fit easily within a grenade without any modification to fuse design.</w:t>
      </w:r>
      <w:proofErr w:type="gramEnd"/>
    </w:p>
    <w:p w:rsidR="00BB51B6" w:rsidRDefault="00BB51B6" w:rsidP="00555E89">
      <w:pPr>
        <w:pStyle w:val="NoSpacing"/>
      </w:pPr>
    </w:p>
    <w:p w:rsidR="00BB51B6" w:rsidRDefault="00BB51B6" w:rsidP="00555E89">
      <w:pPr>
        <w:pStyle w:val="NoSpacing"/>
      </w:pPr>
      <w:r>
        <w:t xml:space="preserve">The final composition I researched was the most common found in </w:t>
      </w:r>
      <w:r w:rsidR="001A43EC">
        <w:t xml:space="preserve">fireworks, Black match. Black match is typically made of black powder coated in dextrin or less commonly gum Arabic. The typical burn rate for black match is 2.5 cm/s </w:t>
      </w:r>
      <w:sdt>
        <w:sdtPr>
          <w:id w:val="-1235551544"/>
          <w:citation/>
        </w:sdtPr>
        <w:sdtContent>
          <w:r w:rsidR="00CA6DB4">
            <w:fldChar w:fldCharType="begin"/>
          </w:r>
          <w:r w:rsidR="00CA6DB4">
            <w:instrText xml:space="preserve"> CITATION Pyr20 \l 2057 </w:instrText>
          </w:r>
          <w:r w:rsidR="00CA6DB4">
            <w:fldChar w:fldCharType="separate"/>
          </w:r>
          <w:r w:rsidR="00CA6DB4" w:rsidRPr="00CA6DB4">
            <w:rPr>
              <w:noProof/>
            </w:rPr>
            <w:t>[4]</w:t>
          </w:r>
          <w:r w:rsidR="00CA6DB4">
            <w:fldChar w:fldCharType="end"/>
          </w:r>
        </w:sdtContent>
      </w:sdt>
      <w:r w:rsidR="00CA6DB4">
        <w:t xml:space="preserve"> </w:t>
      </w:r>
      <w:r w:rsidR="001A43EC">
        <w:t xml:space="preserve">this would require 10cm to achieve the needed delay. </w:t>
      </w:r>
      <w:r w:rsidR="00CF4349">
        <w:t>Similar to the lead silicate this would require a small amount of redesigning for the grenades fuse mechanism as 10cm would not fit in a standard grenade.</w:t>
      </w:r>
    </w:p>
    <w:p w:rsidR="00CF4349" w:rsidRDefault="00CF4349" w:rsidP="00555E89">
      <w:pPr>
        <w:pStyle w:val="NoSpacing"/>
      </w:pPr>
    </w:p>
    <w:p w:rsidR="00CF4349" w:rsidRDefault="00CF4349" w:rsidP="00CF4349">
      <w:pPr>
        <w:pStyle w:val="Subtitle"/>
        <w:rPr>
          <w:u w:val="single"/>
          <w:shd w:val="clear" w:color="auto" w:fill="FFFFFF"/>
        </w:rPr>
      </w:pPr>
      <w:r w:rsidRPr="00CF4349">
        <w:rPr>
          <w:u w:val="single"/>
          <w:shd w:val="clear" w:color="auto" w:fill="FFFFFF"/>
        </w:rPr>
        <w:t>Priming composition:</w:t>
      </w:r>
    </w:p>
    <w:p w:rsidR="00CF4349" w:rsidRDefault="00E64961" w:rsidP="00CF4349">
      <w:pPr>
        <w:pStyle w:val="NoSpacing"/>
      </w:pPr>
      <w:r>
        <w:t xml:space="preserve">Priming composition are used to ignite the main charge from the fuse as most secondary explosives need significant energy to cause them to detonate. The first composition I researched was Lead </w:t>
      </w:r>
      <w:proofErr w:type="spellStart"/>
      <w:proofErr w:type="gramStart"/>
      <w:r>
        <w:t>Azide</w:t>
      </w:r>
      <w:proofErr w:type="spellEnd"/>
      <w:r>
        <w:t>,</w:t>
      </w:r>
      <w:proofErr w:type="gramEnd"/>
      <w:r>
        <w:t xml:space="preserve"> </w:t>
      </w:r>
      <w:r w:rsidR="00CA6DB4">
        <w:t xml:space="preserve">this has an ignition temperature of 350C and ignition energy of 7millijoules or after a fall of 6 inches </w:t>
      </w:r>
      <w:sdt>
        <w:sdtPr>
          <w:id w:val="756399021"/>
          <w:citation/>
        </w:sdtPr>
        <w:sdtContent>
          <w:r w:rsidR="00CA6DB4">
            <w:fldChar w:fldCharType="begin"/>
          </w:r>
          <w:r w:rsidR="00CA6DB4">
            <w:instrText xml:space="preserve"> CITATION Jam \l 2057 </w:instrText>
          </w:r>
          <w:r w:rsidR="00CA6DB4">
            <w:fldChar w:fldCharType="separate"/>
          </w:r>
          <w:r w:rsidR="00CA6DB4" w:rsidRPr="00CA6DB4">
            <w:rPr>
              <w:noProof/>
            </w:rPr>
            <w:t>[5]</w:t>
          </w:r>
          <w:r w:rsidR="00CA6DB4">
            <w:fldChar w:fldCharType="end"/>
          </w:r>
        </w:sdtContent>
      </w:sdt>
      <w:r w:rsidR="00CA6DB4">
        <w:t xml:space="preserve">. This composition has a good temperature of ignition and is unlikely to be ignited ambient temperature; the energy required in low but </w:t>
      </w:r>
      <w:proofErr w:type="gramStart"/>
      <w:r w:rsidR="00CA6DB4">
        <w:t>could be mitigated</w:t>
      </w:r>
      <w:proofErr w:type="gramEnd"/>
      <w:r w:rsidR="00CA6DB4">
        <w:t xml:space="preserve"> by insolation so a static charge would not ignite the compound. The shortfall distance would need to </w:t>
      </w:r>
      <w:proofErr w:type="gramStart"/>
      <w:r w:rsidR="00CA6DB4">
        <w:t>be mitigated</w:t>
      </w:r>
      <w:proofErr w:type="gramEnd"/>
      <w:r w:rsidR="00CA6DB4">
        <w:t xml:space="preserve"> to prevent accidental or premature ignition of the device.</w:t>
      </w:r>
    </w:p>
    <w:p w:rsidR="00CA6DB4" w:rsidRDefault="00CA6DB4" w:rsidP="00CF4349">
      <w:pPr>
        <w:pStyle w:val="NoSpacing"/>
      </w:pPr>
    </w:p>
    <w:p w:rsidR="00CA6DB4" w:rsidRDefault="00CA6DB4" w:rsidP="00CF4349">
      <w:pPr>
        <w:pStyle w:val="NoSpacing"/>
      </w:pPr>
      <w:r>
        <w:t xml:space="preserve">The second priming composition I researched was silver </w:t>
      </w:r>
      <w:proofErr w:type="spellStart"/>
      <w:r>
        <w:t>azide</w:t>
      </w:r>
      <w:proofErr w:type="spellEnd"/>
      <w:r>
        <w:t>,</w:t>
      </w:r>
      <w:r w:rsidR="004701D7">
        <w:t xml:space="preserve"> t</w:t>
      </w:r>
      <w:r w:rsidR="00DB2608">
        <w:t xml:space="preserve">his has an ignition temperature of 250C </w:t>
      </w:r>
      <w:sdt>
        <w:sdtPr>
          <w:id w:val="1636597214"/>
          <w:citation/>
        </w:sdtPr>
        <w:sdtContent>
          <w:r w:rsidR="00DB2608">
            <w:fldChar w:fldCharType="begin"/>
          </w:r>
          <w:r w:rsidR="00DB2608">
            <w:instrText xml:space="preserve"> CITATION Mar03 \l 2057 </w:instrText>
          </w:r>
          <w:r w:rsidR="00DB2608">
            <w:fldChar w:fldCharType="separate"/>
          </w:r>
          <w:r w:rsidR="00DB2608" w:rsidRPr="00DB2608">
            <w:rPr>
              <w:noProof/>
            </w:rPr>
            <w:t>[6]</w:t>
          </w:r>
          <w:r w:rsidR="00DB2608">
            <w:fldChar w:fldCharType="end"/>
          </w:r>
        </w:sdtContent>
      </w:sdt>
      <w:r w:rsidR="00DB2608">
        <w:t xml:space="preserve">. The composition is also very sensitive to both static and friction so would need the same mitigation measures as the previously mentioned lead </w:t>
      </w:r>
      <w:proofErr w:type="spellStart"/>
      <w:r w:rsidR="00DB2608">
        <w:t>azide</w:t>
      </w:r>
      <w:proofErr w:type="spellEnd"/>
      <w:r w:rsidR="00DB2608">
        <w:t xml:space="preserve">. The overall activation energy is lower than lead </w:t>
      </w:r>
      <w:proofErr w:type="spellStart"/>
      <w:r w:rsidR="00DB2608">
        <w:t>azide</w:t>
      </w:r>
      <w:proofErr w:type="spellEnd"/>
      <w:r w:rsidR="00DB2608">
        <w:t xml:space="preserve"> but still high enough that environmental heat </w:t>
      </w:r>
      <w:proofErr w:type="gramStart"/>
      <w:r w:rsidR="00DB2608">
        <w:t>shouldn’t</w:t>
      </w:r>
      <w:proofErr w:type="gramEnd"/>
      <w:r w:rsidR="00DB2608">
        <w:t xml:space="preserve"> prove to be an issue in premature detonation.</w:t>
      </w:r>
    </w:p>
    <w:p w:rsidR="005F17FC" w:rsidRDefault="005F17FC" w:rsidP="00CF4349">
      <w:pPr>
        <w:pStyle w:val="NoSpacing"/>
      </w:pPr>
    </w:p>
    <w:p w:rsidR="005F17FC" w:rsidRDefault="005F17FC" w:rsidP="00CF4349">
      <w:pPr>
        <w:pStyle w:val="NoSpacing"/>
      </w:pPr>
      <w:r>
        <w:t xml:space="preserve">The final priming composition I investigated was mercury fulminate, this composition has a much lower ignition temperature than the previous two mentioned at only 170C but due to impurities can start as low as 100C </w:t>
      </w:r>
      <w:sdt>
        <w:sdtPr>
          <w:id w:val="-1553615376"/>
          <w:citation/>
        </w:sdtPr>
        <w:sdtContent>
          <w:r>
            <w:fldChar w:fldCharType="begin"/>
          </w:r>
          <w:r>
            <w:instrText xml:space="preserve"> CITATION WEG33 \l 2057 </w:instrText>
          </w:r>
          <w:r>
            <w:fldChar w:fldCharType="separate"/>
          </w:r>
          <w:r w:rsidRPr="005F17FC">
            <w:rPr>
              <w:noProof/>
            </w:rPr>
            <w:t>[7]</w:t>
          </w:r>
          <w:r>
            <w:fldChar w:fldCharType="end"/>
          </w:r>
        </w:sdtContent>
      </w:sdt>
      <w:r>
        <w:t xml:space="preserve">. The lower temperature of ignition could lead to accidental ignition due to environmental factors as temperatures of 100C inside a metal container </w:t>
      </w:r>
      <w:proofErr w:type="gramStart"/>
      <w:r>
        <w:t>could be achieved</w:t>
      </w:r>
      <w:proofErr w:type="gramEnd"/>
      <w:r>
        <w:t xml:space="preserve"> under direct sunlight </w:t>
      </w:r>
      <w:r w:rsidR="00B344C2">
        <w:t>in desert conditions where current military operations are underway.</w:t>
      </w:r>
    </w:p>
    <w:p w:rsidR="00B344C2" w:rsidRDefault="00B344C2" w:rsidP="00CF4349">
      <w:pPr>
        <w:pStyle w:val="NoSpacing"/>
      </w:pPr>
    </w:p>
    <w:p w:rsidR="00B344C2" w:rsidRDefault="00B344C2" w:rsidP="00B344C2">
      <w:pPr>
        <w:pStyle w:val="Subtitle"/>
        <w:rPr>
          <w:u w:val="single"/>
        </w:rPr>
      </w:pPr>
      <w:r w:rsidRPr="00B344C2">
        <w:rPr>
          <w:u w:val="single"/>
        </w:rPr>
        <w:t xml:space="preserve">Main Charge composition: </w:t>
      </w:r>
    </w:p>
    <w:p w:rsidR="00B344C2" w:rsidRDefault="00B344C2" w:rsidP="00B344C2">
      <w:pPr>
        <w:pStyle w:val="NoSpacing"/>
      </w:pPr>
      <w:r>
        <w:t>The main charge of an explosive device is where the majority of its de</w:t>
      </w:r>
      <w:r w:rsidR="00F62C08">
        <w:t>structive potential comes from because of this you want a composition that has a high power index. The first com</w:t>
      </w:r>
      <w:r w:rsidR="00A92D1C">
        <w:t xml:space="preserve">position I looked into was TNT, which has a relative explosive power of 95 </w:t>
      </w:r>
      <w:r w:rsidR="00C06F50">
        <w:t>and detonation velocity of 6950m/s. It</w:t>
      </w:r>
      <w:r w:rsidR="00A92D1C">
        <w:t xml:space="preserve"> is </w:t>
      </w:r>
      <w:r w:rsidR="00153B1B">
        <w:t xml:space="preserve">also </w:t>
      </w:r>
      <w:r w:rsidR="00A92D1C">
        <w:t xml:space="preserve">insensitive to both friction and shock </w:t>
      </w:r>
      <w:sdt>
        <w:sdtPr>
          <w:id w:val="-1118829479"/>
          <w:citation/>
        </w:sdtPr>
        <w:sdtContent>
          <w:r w:rsidR="00A92D1C">
            <w:fldChar w:fldCharType="begin"/>
          </w:r>
          <w:r w:rsidR="00A92D1C">
            <w:instrText xml:space="preserve"> CITATION IPC00 \l 2057 </w:instrText>
          </w:r>
          <w:r w:rsidR="00A92D1C">
            <w:fldChar w:fldCharType="separate"/>
          </w:r>
          <w:r w:rsidR="00A92D1C" w:rsidRPr="00A92D1C">
            <w:rPr>
              <w:noProof/>
            </w:rPr>
            <w:t>[8]</w:t>
          </w:r>
          <w:r w:rsidR="00A92D1C">
            <w:fldChar w:fldCharType="end"/>
          </w:r>
        </w:sdtContent>
      </w:sdt>
      <w:r w:rsidR="00A92D1C">
        <w:t xml:space="preserve"> making it a very stable compound. This stability is useful, as you do not want the large quantities inside a grenade to detonate accidentally. It also does not detonate until 240C </w:t>
      </w:r>
      <w:sdt>
        <w:sdtPr>
          <w:id w:val="-2142022490"/>
          <w:citation/>
        </w:sdtPr>
        <w:sdtContent>
          <w:r w:rsidR="00A92D1C">
            <w:fldChar w:fldCharType="begin"/>
          </w:r>
          <w:r w:rsidR="00A92D1C">
            <w:instrText xml:space="preserve"> CITATION IPC00 \l 2057 </w:instrText>
          </w:r>
          <w:r w:rsidR="00A92D1C">
            <w:fldChar w:fldCharType="separate"/>
          </w:r>
          <w:r w:rsidR="00A92D1C" w:rsidRPr="00A92D1C">
            <w:rPr>
              <w:noProof/>
            </w:rPr>
            <w:t>[8]</w:t>
          </w:r>
          <w:r w:rsidR="00A92D1C">
            <w:fldChar w:fldCharType="end"/>
          </w:r>
        </w:sdtContent>
      </w:sdt>
      <w:r w:rsidR="00A92D1C">
        <w:t xml:space="preserve"> meaning it </w:t>
      </w:r>
      <w:proofErr w:type="gramStart"/>
      <w:r w:rsidR="00A92D1C">
        <w:t>will not be set off</w:t>
      </w:r>
      <w:proofErr w:type="gramEnd"/>
      <w:r w:rsidR="00A92D1C">
        <w:t xml:space="preserve"> by environmental temperature whilst inside storage container.</w:t>
      </w:r>
    </w:p>
    <w:p w:rsidR="00A92D1C" w:rsidRDefault="00A92D1C" w:rsidP="00B344C2">
      <w:pPr>
        <w:pStyle w:val="NoSpacing"/>
      </w:pPr>
    </w:p>
    <w:p w:rsidR="00A92D1C" w:rsidRDefault="00A92D1C" w:rsidP="00B344C2">
      <w:pPr>
        <w:pStyle w:val="NoSpacing"/>
      </w:pPr>
      <w:r>
        <w:t xml:space="preserve">The second main charge I investigated was </w:t>
      </w:r>
      <w:r w:rsidR="00C06F50">
        <w:t xml:space="preserve">HMX, which has a relative explosive power of 160, significantly higher than that of TNT. </w:t>
      </w:r>
      <w:r w:rsidR="00153B1B">
        <w:t>HMX also has a velocity of detonation of 9124m/s more than 2000m/s greater than that of TNT meaning it would impart a lot more energy onto its target leading to greater destructive potential.</w:t>
      </w:r>
      <w:r w:rsidR="00F52EE2">
        <w:t xml:space="preserve"> The temperature of ignition 279C</w:t>
      </w:r>
      <w:r w:rsidR="00E91203">
        <w:t xml:space="preserve"> </w:t>
      </w:r>
      <w:sdt>
        <w:sdtPr>
          <w:id w:val="-1974434622"/>
          <w:citation/>
        </w:sdtPr>
        <w:sdtContent>
          <w:r w:rsidR="00774B7A">
            <w:fldChar w:fldCharType="begin"/>
          </w:r>
          <w:r w:rsidR="00774B7A">
            <w:instrText xml:space="preserve"> CITATION Che20 \l 2057 </w:instrText>
          </w:r>
          <w:r w:rsidR="00774B7A">
            <w:fldChar w:fldCharType="separate"/>
          </w:r>
          <w:r w:rsidR="00774B7A" w:rsidRPr="00774B7A">
            <w:rPr>
              <w:noProof/>
            </w:rPr>
            <w:t>[9]</w:t>
          </w:r>
          <w:r w:rsidR="00774B7A">
            <w:fldChar w:fldCharType="end"/>
          </w:r>
        </w:sdtContent>
      </w:sdt>
      <w:r w:rsidR="00F52EE2">
        <w:t xml:space="preserve"> giving it the highest activation energy requirement.</w:t>
      </w:r>
      <w:r w:rsidR="00153B1B">
        <w:t xml:space="preserve"> The down side of this greater power is an increase in sensitivity, </w:t>
      </w:r>
      <w:proofErr w:type="spellStart"/>
      <w:r w:rsidR="00153B1B">
        <w:t>where as</w:t>
      </w:r>
      <w:proofErr w:type="spellEnd"/>
      <w:r w:rsidR="00153B1B">
        <w:t xml:space="preserve"> TNT is completely insensitive HMX has a low sensitivity to both shock and friction. This could cause it to detonate prematurely however due to it still being a low sensitivity the change of this happening is very unlikely.</w:t>
      </w:r>
    </w:p>
    <w:p w:rsidR="00153B1B" w:rsidRDefault="00153B1B" w:rsidP="00B344C2">
      <w:pPr>
        <w:pStyle w:val="NoSpacing"/>
      </w:pPr>
    </w:p>
    <w:p w:rsidR="00153B1B" w:rsidRDefault="00153B1B" w:rsidP="00B344C2">
      <w:pPr>
        <w:pStyle w:val="NoSpacing"/>
      </w:pPr>
      <w:r>
        <w:lastRenderedPageBreak/>
        <w:t xml:space="preserve">The final composition I research was RDX, coming from the same family group as </w:t>
      </w:r>
      <w:proofErr w:type="gramStart"/>
      <w:r>
        <w:t>HMX,</w:t>
      </w:r>
      <w:proofErr w:type="gramEnd"/>
      <w:r>
        <w:t xml:space="preserve"> RDX has the highest relative explosive power of 170 and the second highest </w:t>
      </w:r>
      <w:r w:rsidR="00F52EE2">
        <w:t>detonation velocity at 7900 m/s of the compounds I looked at. Its temperature</w:t>
      </w:r>
      <w:r w:rsidR="00E91203">
        <w:t xml:space="preserve"> of ignition is 260</w:t>
      </w:r>
      <w:r w:rsidR="00F52EE2">
        <w:t>C</w:t>
      </w:r>
      <w:r w:rsidR="00E91203">
        <w:t xml:space="preserve"> </w:t>
      </w:r>
      <w:sdt>
        <w:sdtPr>
          <w:id w:val="1302429239"/>
          <w:citation/>
        </w:sdtPr>
        <w:sdtContent>
          <w:r w:rsidR="00E91203">
            <w:fldChar w:fldCharType="begin"/>
          </w:r>
          <w:r w:rsidR="00E91203">
            <w:instrText xml:space="preserve"> CITATION The20 \l 2057 </w:instrText>
          </w:r>
          <w:r w:rsidR="00E91203">
            <w:fldChar w:fldCharType="separate"/>
          </w:r>
          <w:r w:rsidR="00E91203" w:rsidRPr="00E91203">
            <w:rPr>
              <w:noProof/>
            </w:rPr>
            <w:t>[9]</w:t>
          </w:r>
          <w:r w:rsidR="00E91203">
            <w:fldChar w:fldCharType="end"/>
          </w:r>
        </w:sdtContent>
      </w:sdt>
      <w:r w:rsidR="00E91203">
        <w:t xml:space="preserve"> giving a low activation energy but due to stability will only burn instead of detonate unless set of by a primary explosive first</w:t>
      </w:r>
      <w:r w:rsidR="00F52EE2">
        <w:t>. Being part of the HMX family RDX also has low sensitivity to both shock and friction instead of being completely insensitive however as it’s only low the chance of accidental detonation is unlikely.</w:t>
      </w:r>
    </w:p>
    <w:p w:rsidR="00E91203" w:rsidRDefault="00E91203" w:rsidP="00B344C2">
      <w:pPr>
        <w:pStyle w:val="NoSpacing"/>
      </w:pPr>
    </w:p>
    <w:p w:rsidR="00E91203" w:rsidRDefault="00774B7A" w:rsidP="00774B7A">
      <w:pPr>
        <w:pStyle w:val="Subtitle"/>
        <w:rPr>
          <w:u w:val="single"/>
        </w:rPr>
      </w:pPr>
      <w:r w:rsidRPr="00774B7A">
        <w:rPr>
          <w:u w:val="single"/>
        </w:rPr>
        <w:t>Discussion:</w:t>
      </w:r>
    </w:p>
    <w:p w:rsidR="00EB39F3" w:rsidRDefault="00774B7A" w:rsidP="00774B7A">
      <w:pPr>
        <w:pStyle w:val="NoSpacing"/>
        <w:rPr>
          <w:rFonts w:eastAsiaTheme="minorEastAsia" w:cstheme="minorHAnsi"/>
          <w:shd w:val="clear" w:color="auto" w:fill="FFFFFF"/>
        </w:rPr>
      </w:pPr>
      <w:r>
        <w:t xml:space="preserve">After looking over all the research, I decided on the explosive train of </w:t>
      </w:r>
      <m:oMath>
        <m:r>
          <w:rPr>
            <w:rFonts w:ascii="Cambria Math" w:hAnsi="Cambria Math" w:cstheme="minorHAnsi"/>
            <w:shd w:val="clear" w:color="auto" w:fill="FFFFFF"/>
          </w:rPr>
          <m:t>Si/Bi</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Pr>
          <w:rFonts w:eastAsiaTheme="minorEastAsia" w:cstheme="minorHAnsi"/>
          <w:shd w:val="clear" w:color="auto" w:fill="FFFFFF"/>
        </w:rPr>
        <w:t xml:space="preserve"> as my delay, Lead </w:t>
      </w:r>
      <w:proofErr w:type="spellStart"/>
      <w:r>
        <w:rPr>
          <w:rFonts w:eastAsiaTheme="minorEastAsia" w:cstheme="minorHAnsi"/>
          <w:shd w:val="clear" w:color="auto" w:fill="FFFFFF"/>
        </w:rPr>
        <w:t>azide</w:t>
      </w:r>
      <w:proofErr w:type="spellEnd"/>
      <w:r>
        <w:rPr>
          <w:rFonts w:eastAsiaTheme="minorEastAsia" w:cstheme="minorHAnsi"/>
          <w:shd w:val="clear" w:color="auto" w:fill="FFFFFF"/>
        </w:rPr>
        <w:t xml:space="preserve"> as my primer and RDX as my main charge. I chose </w:t>
      </w:r>
      <m:oMath>
        <m:r>
          <w:rPr>
            <w:rFonts w:ascii="Cambria Math" w:hAnsi="Cambria Math" w:cstheme="minorHAnsi"/>
            <w:shd w:val="clear" w:color="auto" w:fill="FFFFFF"/>
          </w:rPr>
          <m:t>Si/Bi</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Pr>
          <w:rFonts w:eastAsiaTheme="minorEastAsia" w:cstheme="minorHAnsi"/>
          <w:shd w:val="clear" w:color="auto" w:fill="FFFFFF"/>
        </w:rPr>
        <w:t xml:space="preserve"> as it has the slowest burn rate and there for less </w:t>
      </w:r>
      <w:proofErr w:type="gramStart"/>
      <w:r>
        <w:rPr>
          <w:rFonts w:eastAsiaTheme="minorEastAsia" w:cstheme="minorHAnsi"/>
          <w:shd w:val="clear" w:color="auto" w:fill="FFFFFF"/>
        </w:rPr>
        <w:t>is needed</w:t>
      </w:r>
      <w:proofErr w:type="gramEnd"/>
      <w:r>
        <w:rPr>
          <w:rFonts w:eastAsiaTheme="minorEastAsia" w:cstheme="minorHAnsi"/>
          <w:shd w:val="clear" w:color="auto" w:fill="FFFFFF"/>
        </w:rPr>
        <w:t xml:space="preserve"> compared to the other two options, this would allow a device to contain more main charge improving its overall destructive capability. </w:t>
      </w:r>
      <w:r>
        <w:rPr>
          <w:rFonts w:eastAsiaTheme="minorEastAsia" w:cstheme="minorHAnsi"/>
          <w:shd w:val="clear" w:color="auto" w:fill="FFFFFF"/>
        </w:rPr>
        <w:t xml:space="preserve">Lead </w:t>
      </w:r>
      <w:proofErr w:type="spellStart"/>
      <w:r>
        <w:rPr>
          <w:rFonts w:eastAsiaTheme="minorEastAsia" w:cstheme="minorHAnsi"/>
          <w:shd w:val="clear" w:color="auto" w:fill="FFFFFF"/>
        </w:rPr>
        <w:t>azide</w:t>
      </w:r>
      <w:proofErr w:type="spellEnd"/>
      <w:r>
        <w:rPr>
          <w:rFonts w:eastAsiaTheme="minorEastAsia" w:cstheme="minorHAnsi"/>
          <w:shd w:val="clear" w:color="auto" w:fill="FFFFFF"/>
        </w:rPr>
        <w:t xml:space="preserve"> was chosen as my primer </w:t>
      </w:r>
      <w:r w:rsidR="00234D41">
        <w:rPr>
          <w:rFonts w:eastAsiaTheme="minorEastAsia" w:cstheme="minorHAnsi"/>
          <w:shd w:val="clear" w:color="auto" w:fill="FFFFFF"/>
        </w:rPr>
        <w:t xml:space="preserve">because it was the most stable and although the activation energy is </w:t>
      </w:r>
      <w:r w:rsidR="00A96936">
        <w:rPr>
          <w:rFonts w:eastAsiaTheme="minorEastAsia" w:cstheme="minorHAnsi"/>
          <w:shd w:val="clear" w:color="auto" w:fill="FFFFFF"/>
        </w:rPr>
        <w:t>higher,</w:t>
      </w:r>
      <w:r w:rsidR="00234D41">
        <w:rPr>
          <w:rFonts w:eastAsiaTheme="minorEastAsia" w:cstheme="minorHAnsi"/>
          <w:shd w:val="clear" w:color="auto" w:fill="FFFFFF"/>
        </w:rPr>
        <w:t xml:space="preserve"> </w:t>
      </w:r>
      <w:proofErr w:type="gramStart"/>
      <w:r w:rsidR="00234D41">
        <w:rPr>
          <w:rFonts w:eastAsiaTheme="minorEastAsia" w:cstheme="minorHAnsi"/>
          <w:shd w:val="clear" w:color="auto" w:fill="FFFFFF"/>
        </w:rPr>
        <w:t>it’s</w:t>
      </w:r>
      <w:proofErr w:type="gramEnd"/>
      <w:r w:rsidR="00234D41">
        <w:rPr>
          <w:rFonts w:eastAsiaTheme="minorEastAsia" w:cstheme="minorHAnsi"/>
          <w:shd w:val="clear" w:color="auto" w:fill="FFFFFF"/>
        </w:rPr>
        <w:t xml:space="preserve"> still achievable with the delay composition chosen. </w:t>
      </w:r>
      <w:r w:rsidR="00A96936">
        <w:rPr>
          <w:rFonts w:eastAsiaTheme="minorEastAsia" w:cstheme="minorHAnsi"/>
          <w:shd w:val="clear" w:color="auto" w:fill="FFFFFF"/>
        </w:rPr>
        <w:t>RDX was my choice for a main charge composition as it has both a high relative explosive power and is insensitive. HMX may have been able to produce a greater velocity of detonation but had both lower power and was more sensitive leading RDX to be the clear choice.</w:t>
      </w:r>
    </w:p>
    <w:p w:rsidR="00EB39F3" w:rsidRDefault="00EB39F3" w:rsidP="00774B7A">
      <w:pPr>
        <w:pStyle w:val="NoSpacing"/>
        <w:rPr>
          <w:rFonts w:eastAsiaTheme="minorEastAsia" w:cstheme="minorHAnsi"/>
          <w:shd w:val="clear" w:color="auto" w:fill="FFFFFF"/>
        </w:rPr>
      </w:pPr>
    </w:p>
    <w:p w:rsidR="00EB39F3" w:rsidRDefault="00EB39F3" w:rsidP="00EB39F3">
      <w:pPr>
        <w:pStyle w:val="Subtitle"/>
        <w:rPr>
          <w:u w:val="single"/>
        </w:rPr>
      </w:pPr>
      <m:oMath>
        <m:r>
          <w:rPr>
            <w:rFonts w:ascii="Cambria Math" w:hAnsi="Cambria Math"/>
            <w:u w:val="single"/>
            <w:shd w:val="clear" w:color="auto" w:fill="FFFFFF"/>
          </w:rPr>
          <m:t>Si</m:t>
        </m:r>
        <m:r>
          <m:rPr>
            <m:sty m:val="p"/>
          </m:rPr>
          <w:rPr>
            <w:rFonts w:ascii="Cambria Math" w:hAnsi="Cambria Math"/>
            <w:u w:val="single"/>
            <w:shd w:val="clear" w:color="auto" w:fill="FFFFFF"/>
          </w:rPr>
          <m:t>/</m:t>
        </m:r>
        <m:r>
          <w:rPr>
            <w:rFonts w:ascii="Cambria Math" w:hAnsi="Cambria Math"/>
            <w:u w:val="single"/>
            <w:shd w:val="clear" w:color="auto" w:fill="FFFFFF"/>
          </w:rPr>
          <m:t>Bi</m:t>
        </m:r>
        <m:sSub>
          <m:sSubPr>
            <m:ctrlPr>
              <w:rPr>
                <w:rFonts w:ascii="Cambria Math" w:eastAsiaTheme="minorHAnsi" w:hAnsi="Cambria Math"/>
                <w:color w:val="auto"/>
                <w:spacing w:val="0"/>
                <w:u w:val="single"/>
                <w:shd w:val="clear" w:color="auto" w:fill="FFFFFF"/>
              </w:rPr>
            </m:ctrlPr>
          </m:sSubPr>
          <m:e>
            <m:r>
              <w:rPr>
                <w:rFonts w:ascii="Cambria Math" w:hAnsi="Cambria Math"/>
                <w:u w:val="single"/>
                <w:shd w:val="clear" w:color="auto" w:fill="FFFFFF"/>
              </w:rPr>
              <m:t>O</m:t>
            </m:r>
          </m:e>
          <m:sub>
            <m:r>
              <m:rPr>
                <m:sty m:val="p"/>
              </m:rPr>
              <w:rPr>
                <w:rFonts w:ascii="Cambria Math" w:hAnsi="Cambria Math"/>
                <w:u w:val="single"/>
                <w:shd w:val="clear" w:color="auto" w:fill="FFFFFF"/>
              </w:rPr>
              <m:t>3</m:t>
            </m:r>
          </m:sub>
        </m:sSub>
        <m:r>
          <m:rPr>
            <m:sty m:val="p"/>
          </m:rPr>
          <w:rPr>
            <w:rFonts w:ascii="Cambria Math" w:hAnsi="Cambria Math"/>
            <w:u w:val="single"/>
            <w:shd w:val="clear" w:color="auto" w:fill="FFFFFF"/>
          </w:rPr>
          <m:t xml:space="preserve">/ </m:t>
        </m:r>
        <m:r>
          <w:rPr>
            <w:rFonts w:ascii="Cambria Math" w:hAnsi="Cambria Math"/>
            <w:u w:val="single"/>
            <w:shd w:val="clear" w:color="auto" w:fill="FFFFFF"/>
          </w:rPr>
          <m:t>S</m:t>
        </m:r>
        <m:sSub>
          <m:sSubPr>
            <m:ctrlPr>
              <w:rPr>
                <w:rFonts w:ascii="Cambria Math" w:eastAsiaTheme="minorHAnsi" w:hAnsi="Cambria Math"/>
                <w:color w:val="auto"/>
                <w:spacing w:val="0"/>
                <w:u w:val="single"/>
                <w:shd w:val="clear" w:color="auto" w:fill="FFFFFF"/>
              </w:rPr>
            </m:ctrlPr>
          </m:sSubPr>
          <m:e>
            <m:r>
              <w:rPr>
                <w:rFonts w:ascii="Cambria Math" w:hAnsi="Cambria Math"/>
                <w:u w:val="single"/>
                <w:shd w:val="clear" w:color="auto" w:fill="FFFFFF"/>
              </w:rPr>
              <m:t>b</m:t>
            </m:r>
          </m:e>
          <m:sub>
            <m:r>
              <m:rPr>
                <m:sty m:val="p"/>
              </m:rPr>
              <w:rPr>
                <w:rFonts w:ascii="Cambria Math" w:hAnsi="Cambria Math"/>
                <w:u w:val="single"/>
                <w:shd w:val="clear" w:color="auto" w:fill="FFFFFF"/>
              </w:rPr>
              <m:t>2</m:t>
            </m:r>
          </m:sub>
        </m:sSub>
        <m:sSub>
          <m:sSubPr>
            <m:ctrlPr>
              <w:rPr>
                <w:rFonts w:ascii="Cambria Math" w:hAnsi="Cambria Math"/>
                <w:u w:val="single"/>
              </w:rPr>
            </m:ctrlPr>
          </m:sSubPr>
          <m:e>
            <m:r>
              <w:rPr>
                <w:rFonts w:ascii="Cambria Math" w:hAnsi="Cambria Math"/>
                <w:u w:val="single"/>
              </w:rPr>
              <m:t>O</m:t>
            </m:r>
          </m:e>
          <m:sub>
            <m:r>
              <m:rPr>
                <m:sty m:val="p"/>
              </m:rPr>
              <w:rPr>
                <w:rFonts w:ascii="Cambria Math" w:hAnsi="Cambria Math"/>
                <w:u w:val="single"/>
              </w:rPr>
              <m:t>3</m:t>
            </m:r>
          </m:sub>
        </m:sSub>
      </m:oMath>
      <w:r w:rsidRPr="00EB39F3">
        <w:rPr>
          <w:u w:val="single"/>
        </w:rPr>
        <w:t>:</w:t>
      </w:r>
    </w:p>
    <w:p w:rsidR="00EB39F3" w:rsidRDefault="00EB39F3" w:rsidP="00EB39F3"/>
    <w:p w:rsidR="00EB39F3" w:rsidRDefault="00EB39F3" w:rsidP="00EB39F3">
      <w:pPr>
        <w:pStyle w:val="Subtitle"/>
        <w:rPr>
          <w:u w:val="single"/>
        </w:rPr>
      </w:pPr>
      <w:r w:rsidRPr="00EB39F3">
        <w:rPr>
          <w:u w:val="single"/>
        </w:rPr>
        <w:t xml:space="preserve">Lead </w:t>
      </w:r>
      <w:proofErr w:type="spellStart"/>
      <w:r w:rsidRPr="00EB39F3">
        <w:rPr>
          <w:u w:val="single"/>
        </w:rPr>
        <w:t>azide</w:t>
      </w:r>
      <w:proofErr w:type="spellEnd"/>
      <w:r w:rsidRPr="00EB39F3">
        <w:rPr>
          <w:u w:val="single"/>
        </w:rPr>
        <w:t>:</w:t>
      </w:r>
    </w:p>
    <w:p w:rsidR="00EB39F3" w:rsidRDefault="00EB39F3" w:rsidP="00EB39F3">
      <w:pPr>
        <w:pStyle w:val="NoSpacing"/>
      </w:pPr>
      <w:r>
        <w:t>The energy release from lead cones from the creation of nitrogen,</w:t>
      </w:r>
      <w:r w:rsidR="00961B72">
        <w:t xml:space="preserve"> below is the reaction of lead </w:t>
      </w:r>
      <w:proofErr w:type="spellStart"/>
      <w:r w:rsidR="00961B72">
        <w:t>azide</w:t>
      </w:r>
      <w:proofErr w:type="spellEnd"/>
      <w:r w:rsidR="00961B72">
        <w:t xml:space="preserve"> when heated to ignition point.</w:t>
      </w:r>
    </w:p>
    <w:p w:rsidR="00EB39F3" w:rsidRDefault="00EB39F3" w:rsidP="00EB39F3">
      <w:pPr>
        <w:pStyle w:val="NoSpacing"/>
        <w:rPr>
          <w:rStyle w:val="fs4"/>
          <w:rFonts w:ascii="ff3" w:hAnsi="ff3"/>
          <w:color w:val="000000"/>
          <w:spacing w:val="39"/>
          <w:position w:val="-13"/>
          <w:sz w:val="12"/>
          <w:szCs w:val="45"/>
          <w:shd w:val="clear" w:color="auto" w:fill="FFFFFF"/>
        </w:rPr>
      </w:pPr>
      <w:proofErr w:type="spellStart"/>
      <w:proofErr w:type="gramStart"/>
      <w:r w:rsidRPr="00EB39F3">
        <w:rPr>
          <w:rFonts w:ascii="ff3" w:hAnsi="ff3"/>
          <w:color w:val="000000"/>
          <w:spacing w:val="3"/>
          <w:sz w:val="31"/>
          <w:szCs w:val="65"/>
          <w:shd w:val="clear" w:color="auto" w:fill="FFFFFF"/>
        </w:rPr>
        <w:t>Pb</w:t>
      </w:r>
      <w:proofErr w:type="spellEnd"/>
      <w:r w:rsidRPr="00EB39F3">
        <w:rPr>
          <w:rStyle w:val="ff5"/>
          <w:rFonts w:ascii="ff5" w:hAnsi="ff5"/>
          <w:color w:val="000000"/>
          <w:spacing w:val="1"/>
          <w:sz w:val="31"/>
          <w:szCs w:val="65"/>
          <w:shd w:val="clear" w:color="auto" w:fill="FFFFFF"/>
        </w:rPr>
        <w:t>(</w:t>
      </w:r>
      <w:proofErr w:type="gramEnd"/>
      <w:r w:rsidRPr="00EB39F3">
        <w:rPr>
          <w:rStyle w:val="ff5"/>
          <w:rFonts w:ascii="ff5" w:hAnsi="ff5"/>
          <w:color w:val="000000"/>
          <w:spacing w:val="1"/>
          <w:sz w:val="31"/>
          <w:szCs w:val="65"/>
          <w:shd w:val="clear" w:color="auto" w:fill="FFFFFF"/>
        </w:rPr>
        <w:t>N</w:t>
      </w:r>
      <w:r w:rsidRPr="00EB39F3">
        <w:rPr>
          <w:rStyle w:val="fs4"/>
          <w:rFonts w:ascii="ff3" w:hAnsi="ff3"/>
          <w:color w:val="000000"/>
          <w:spacing w:val="32"/>
          <w:position w:val="-13"/>
          <w:sz w:val="12"/>
          <w:szCs w:val="45"/>
          <w:shd w:val="clear" w:color="auto" w:fill="FFFFFF"/>
        </w:rPr>
        <w:t>3</w:t>
      </w:r>
      <w:r w:rsidRPr="00EB39F3">
        <w:rPr>
          <w:rStyle w:val="ff5"/>
          <w:rFonts w:ascii="ff5" w:hAnsi="ff5"/>
          <w:color w:val="000000"/>
          <w:spacing w:val="1"/>
          <w:sz w:val="31"/>
          <w:szCs w:val="65"/>
          <w:shd w:val="clear" w:color="auto" w:fill="FFFFFF"/>
        </w:rPr>
        <w:t>)</w:t>
      </w:r>
      <w:r w:rsidRPr="00EB39F3">
        <w:rPr>
          <w:rStyle w:val="fs4"/>
          <w:rFonts w:ascii="ff3" w:hAnsi="ff3"/>
          <w:color w:val="000000"/>
          <w:spacing w:val="212"/>
          <w:position w:val="-13"/>
          <w:sz w:val="12"/>
          <w:szCs w:val="45"/>
          <w:shd w:val="clear" w:color="auto" w:fill="FFFFFF"/>
        </w:rPr>
        <w:t>2</w:t>
      </w:r>
      <w:r w:rsidRPr="00EB39F3">
        <w:rPr>
          <w:rStyle w:val="ff4"/>
          <w:rFonts w:ascii="ff4" w:hAnsi="ff4"/>
          <w:color w:val="000000"/>
          <w:spacing w:val="181"/>
          <w:sz w:val="31"/>
          <w:szCs w:val="65"/>
          <w:shd w:val="clear" w:color="auto" w:fill="FFFFFF"/>
        </w:rPr>
        <w:t>→</w:t>
      </w:r>
      <w:proofErr w:type="spellStart"/>
      <w:r w:rsidRPr="00EB39F3">
        <w:rPr>
          <w:rStyle w:val="ws37"/>
          <w:rFonts w:ascii="ff3" w:hAnsi="ff3"/>
          <w:color w:val="000000"/>
          <w:spacing w:val="3"/>
          <w:sz w:val="31"/>
          <w:szCs w:val="65"/>
          <w:shd w:val="clear" w:color="auto" w:fill="FFFFFF"/>
        </w:rPr>
        <w:t>Pb</w:t>
      </w:r>
      <w:proofErr w:type="spellEnd"/>
      <w:r w:rsidRPr="00EB39F3">
        <w:rPr>
          <w:rStyle w:val="ws37"/>
          <w:rFonts w:ascii="ff3" w:hAnsi="ff3"/>
          <w:color w:val="000000"/>
          <w:spacing w:val="3"/>
          <w:sz w:val="31"/>
          <w:szCs w:val="65"/>
          <w:shd w:val="clear" w:color="auto" w:fill="FFFFFF"/>
        </w:rPr>
        <w:t xml:space="preserve"> </w:t>
      </w:r>
      <w:r w:rsidRPr="00EB39F3">
        <w:rPr>
          <w:rStyle w:val="ff4"/>
          <w:rFonts w:ascii="ff4" w:hAnsi="ff4"/>
          <w:color w:val="000000"/>
          <w:spacing w:val="145"/>
          <w:sz w:val="31"/>
          <w:szCs w:val="65"/>
          <w:shd w:val="clear" w:color="auto" w:fill="FFFFFF"/>
        </w:rPr>
        <w:t>+</w:t>
      </w:r>
      <w:r w:rsidRPr="00EB39F3">
        <w:rPr>
          <w:rStyle w:val="ls9"/>
          <w:rFonts w:ascii="ff3" w:hAnsi="ff3"/>
          <w:color w:val="000000"/>
          <w:sz w:val="31"/>
          <w:szCs w:val="65"/>
          <w:shd w:val="clear" w:color="auto" w:fill="FFFFFF"/>
        </w:rPr>
        <w:t>3</w:t>
      </w:r>
      <w:r w:rsidRPr="00EB39F3">
        <w:rPr>
          <w:rStyle w:val="ff5"/>
          <w:rFonts w:ascii="ff5" w:hAnsi="ff5"/>
          <w:color w:val="000000"/>
          <w:sz w:val="31"/>
          <w:szCs w:val="65"/>
          <w:shd w:val="clear" w:color="auto" w:fill="FFFFFF"/>
        </w:rPr>
        <w:t>N</w:t>
      </w:r>
      <w:r w:rsidRPr="00EB39F3">
        <w:rPr>
          <w:rStyle w:val="fs4"/>
          <w:rFonts w:ascii="ff3" w:hAnsi="ff3"/>
          <w:color w:val="000000"/>
          <w:spacing w:val="39"/>
          <w:position w:val="-13"/>
          <w:sz w:val="12"/>
          <w:szCs w:val="45"/>
          <w:shd w:val="clear" w:color="auto" w:fill="FFFFFF"/>
        </w:rPr>
        <w:t>2</w:t>
      </w:r>
    </w:p>
    <w:p w:rsidR="00EB39F3" w:rsidRDefault="00EB39F3" w:rsidP="00EB39F3">
      <w:pPr>
        <w:pStyle w:val="NoSpacing"/>
      </w:pPr>
      <w:r>
        <w:t xml:space="preserve">When heated the lead </w:t>
      </w:r>
      <w:proofErr w:type="spellStart"/>
      <w:r>
        <w:t>azide</w:t>
      </w:r>
      <w:proofErr w:type="spellEnd"/>
      <w:r>
        <w:t xml:space="preserve"> breaks down leaving pure lead and producing nitrogen gas.</w:t>
      </w:r>
    </w:p>
    <w:p w:rsidR="00EB39F3" w:rsidRDefault="00EB39F3" w:rsidP="00EB39F3">
      <w:pPr>
        <w:pStyle w:val="NoSpacing"/>
      </w:pPr>
    </w:p>
    <w:p w:rsidR="00EB39F3" w:rsidRDefault="00D83193" w:rsidP="00EB39F3">
      <w:pPr>
        <w:pStyle w:val="NoSpacing"/>
        <w:rPr>
          <w:rFonts w:cstheme="minorHAnsi"/>
          <w:shd w:val="clear" w:color="auto" w:fill="FFFFFF"/>
        </w:rPr>
      </w:pPr>
      <w:r>
        <w:rPr>
          <w:rFonts w:cstheme="minorHAnsi"/>
          <w:shd w:val="clear" w:color="auto" w:fill="FFFFFF"/>
        </w:rPr>
        <w:t>Δ</w:t>
      </w:r>
      <w:r w:rsidRPr="00D83193">
        <w:rPr>
          <w:rFonts w:cstheme="minorHAnsi"/>
          <w:shd w:val="clear" w:color="auto" w:fill="FFFFFF"/>
        </w:rPr>
        <w:t>H</w:t>
      </w:r>
      <w:r>
        <w:rPr>
          <w:rFonts w:ascii="Cambria Math" w:hAnsi="Cambria Math" w:cs="Cambria Math"/>
          <w:shd w:val="clear" w:color="auto" w:fill="FFFFFF"/>
          <w:vertAlign w:val="superscript"/>
        </w:rPr>
        <w:t xml:space="preserve"> </w:t>
      </w:r>
      <w:r>
        <w:rPr>
          <w:rFonts w:cstheme="minorHAnsi"/>
          <w:shd w:val="clear" w:color="auto" w:fill="FFFFFF"/>
        </w:rPr>
        <w:t xml:space="preserve">469Kj </w:t>
      </w:r>
      <w:proofErr w:type="spellStart"/>
      <w:r>
        <w:rPr>
          <w:rFonts w:cstheme="minorHAnsi"/>
          <w:shd w:val="clear" w:color="auto" w:fill="FFFFFF"/>
        </w:rPr>
        <w:t>mo</w:t>
      </w:r>
      <w:proofErr w:type="spellEnd"/>
      <m:oMath>
        <m:sSup>
          <m:sSupPr>
            <m:ctrlPr>
              <w:rPr>
                <w:rFonts w:ascii="Cambria Math" w:hAnsi="Cambria Math" w:cstheme="minorHAnsi"/>
                <w:i/>
                <w:shd w:val="clear" w:color="auto" w:fill="FFFFFF"/>
              </w:rPr>
            </m:ctrlPr>
          </m:sSupPr>
          <m:e>
            <m:r>
              <w:rPr>
                <w:rFonts w:ascii="Cambria Math" w:hAnsi="Cambria Math" w:cstheme="minorHAnsi"/>
                <w:shd w:val="clear" w:color="auto" w:fill="FFFFFF"/>
              </w:rPr>
              <m:t>l</m:t>
            </m:r>
          </m:e>
          <m:sup>
            <m:r>
              <w:rPr>
                <w:rFonts w:ascii="Cambria Math" w:hAnsi="Cambria Math" w:cstheme="minorHAnsi"/>
                <w:shd w:val="clear" w:color="auto" w:fill="FFFFFF"/>
              </w:rPr>
              <m:t>-1</m:t>
            </m:r>
          </m:sup>
        </m:sSup>
      </m:oMath>
      <w:r>
        <w:rPr>
          <w:rFonts w:cstheme="minorHAnsi"/>
          <w:shd w:val="clear" w:color="auto" w:fill="FFFFFF"/>
        </w:rPr>
        <w:t xml:space="preserve"> = 0 + 0</w:t>
      </w:r>
    </w:p>
    <w:p w:rsidR="00D83193" w:rsidRDefault="00D83193" w:rsidP="00EB39F3">
      <w:pPr>
        <w:pStyle w:val="NoSpacing"/>
        <w:rPr>
          <w:rFonts w:cstheme="minorHAnsi"/>
          <w:shd w:val="clear" w:color="auto" w:fill="FFFFFF"/>
        </w:rPr>
      </w:pPr>
    </w:p>
    <w:p w:rsidR="00D83193" w:rsidRDefault="00D83193" w:rsidP="00EB39F3">
      <w:pPr>
        <w:pStyle w:val="NoSpacing"/>
        <w:rPr>
          <w:rFonts w:cstheme="minorHAnsi"/>
          <w:shd w:val="clear" w:color="auto" w:fill="FFFFFF"/>
        </w:rPr>
      </w:pPr>
      <w:r>
        <w:rPr>
          <w:rFonts w:cstheme="minorHAnsi"/>
          <w:shd w:val="clear" w:color="auto" w:fill="FFFFFF"/>
        </w:rPr>
        <w:t xml:space="preserve">= -469Kj </w:t>
      </w:r>
      <w:proofErr w:type="spellStart"/>
      <w:r w:rsidR="00F80715">
        <w:rPr>
          <w:rFonts w:cstheme="minorHAnsi"/>
          <w:shd w:val="clear" w:color="auto" w:fill="FFFFFF"/>
        </w:rPr>
        <w:t>mo</w:t>
      </w:r>
      <w:proofErr w:type="spellEnd"/>
      <m:oMath>
        <m:sSup>
          <m:sSupPr>
            <m:ctrlPr>
              <w:rPr>
                <w:rFonts w:ascii="Cambria Math" w:hAnsi="Cambria Math" w:cstheme="minorHAnsi"/>
                <w:i/>
                <w:shd w:val="clear" w:color="auto" w:fill="FFFFFF"/>
              </w:rPr>
            </m:ctrlPr>
          </m:sSupPr>
          <m:e>
            <m:r>
              <w:rPr>
                <w:rFonts w:ascii="Cambria Math" w:hAnsi="Cambria Math" w:cstheme="minorHAnsi"/>
                <w:shd w:val="clear" w:color="auto" w:fill="FFFFFF"/>
              </w:rPr>
              <m:t>l</m:t>
            </m:r>
          </m:e>
          <m:sup>
            <m:r>
              <w:rPr>
                <w:rFonts w:ascii="Cambria Math" w:hAnsi="Cambria Math" w:cstheme="minorHAnsi"/>
                <w:shd w:val="clear" w:color="auto" w:fill="FFFFFF"/>
              </w:rPr>
              <m:t>-1</m:t>
            </m:r>
          </m:sup>
        </m:sSup>
      </m:oMath>
    </w:p>
    <w:p w:rsidR="00D83193" w:rsidRDefault="0067470E" w:rsidP="00EB39F3">
      <w:pPr>
        <w:pStyle w:val="NoSpacing"/>
        <w:rPr>
          <w:rFonts w:cstheme="minorHAnsi"/>
          <w:shd w:val="clear" w:color="auto" w:fill="FFFFFF"/>
        </w:rPr>
      </w:pPr>
      <w:r>
        <w:rPr>
          <w:rFonts w:cstheme="minorHAnsi"/>
          <w:shd w:val="clear" w:color="auto" w:fill="FFFFFF"/>
        </w:rPr>
        <w:t xml:space="preserve">Lead </w:t>
      </w:r>
      <w:proofErr w:type="spellStart"/>
      <w:r>
        <w:rPr>
          <w:rFonts w:cstheme="minorHAnsi"/>
          <w:shd w:val="clear" w:color="auto" w:fill="FFFFFF"/>
        </w:rPr>
        <w:t>azide</w:t>
      </w:r>
      <w:proofErr w:type="spellEnd"/>
      <w:r>
        <w:rPr>
          <w:rFonts w:cstheme="minorHAnsi"/>
          <w:shd w:val="clear" w:color="auto" w:fill="FFFFFF"/>
        </w:rPr>
        <w:t xml:space="preserve"> has a molecular weight of 291g/</w:t>
      </w:r>
      <w:proofErr w:type="spellStart"/>
      <w:r>
        <w:rPr>
          <w:rFonts w:cstheme="minorHAnsi"/>
          <w:shd w:val="clear" w:color="auto" w:fill="FFFFFF"/>
        </w:rPr>
        <w:t>mol</w:t>
      </w:r>
      <w:proofErr w:type="spellEnd"/>
      <w:r>
        <w:rPr>
          <w:rFonts w:cstheme="minorHAnsi"/>
          <w:shd w:val="clear" w:color="auto" w:fill="FFFFFF"/>
        </w:rPr>
        <w:t xml:space="preserve"> and proves to be insoluble in water </w:t>
      </w:r>
      <w:sdt>
        <w:sdtPr>
          <w:rPr>
            <w:rFonts w:cstheme="minorHAnsi"/>
            <w:shd w:val="clear" w:color="auto" w:fill="FFFFFF"/>
          </w:rPr>
          <w:id w:val="1752543091"/>
          <w:citation/>
        </w:sdtPr>
        <w:sdtContent>
          <w:r>
            <w:rPr>
              <w:rFonts w:cstheme="minorHAnsi"/>
              <w:shd w:val="clear" w:color="auto" w:fill="FFFFFF"/>
            </w:rPr>
            <w:fldChar w:fldCharType="begin"/>
          </w:r>
          <w:r>
            <w:rPr>
              <w:rFonts w:cstheme="minorHAnsi"/>
              <w:shd w:val="clear" w:color="auto" w:fill="FFFFFF"/>
            </w:rPr>
            <w:instrText xml:space="preserve"> CITATION Pub20 \l 2057 </w:instrText>
          </w:r>
          <w:r>
            <w:rPr>
              <w:rFonts w:cstheme="minorHAnsi"/>
              <w:shd w:val="clear" w:color="auto" w:fill="FFFFFF"/>
            </w:rPr>
            <w:fldChar w:fldCharType="separate"/>
          </w:r>
          <w:r w:rsidRPr="0067470E">
            <w:rPr>
              <w:rFonts w:cstheme="minorHAnsi"/>
              <w:noProof/>
              <w:shd w:val="clear" w:color="auto" w:fill="FFFFFF"/>
            </w:rPr>
            <w:t>[11]</w:t>
          </w:r>
          <w:r>
            <w:rPr>
              <w:rFonts w:cstheme="minorHAnsi"/>
              <w:shd w:val="clear" w:color="auto" w:fill="FFFFFF"/>
            </w:rPr>
            <w:fldChar w:fldCharType="end"/>
          </w:r>
        </w:sdtContent>
      </w:sdt>
      <w:r>
        <w:rPr>
          <w:rFonts w:cstheme="minorHAnsi"/>
          <w:shd w:val="clear" w:color="auto" w:fill="FFFFFF"/>
        </w:rPr>
        <w:t xml:space="preserve">. Due to its simple </w:t>
      </w:r>
      <w:r w:rsidR="00F80715">
        <w:rPr>
          <w:rFonts w:cstheme="minorHAnsi"/>
          <w:shd w:val="clear" w:color="auto" w:fill="FFFFFF"/>
        </w:rPr>
        <w:t xml:space="preserve">chemical </w:t>
      </w:r>
      <w:r>
        <w:rPr>
          <w:rFonts w:cstheme="minorHAnsi"/>
          <w:shd w:val="clear" w:color="auto" w:fill="FFFFFF"/>
        </w:rPr>
        <w:t xml:space="preserve">nature and resistance to water it can be stored safely for a long time as long as </w:t>
      </w:r>
      <w:proofErr w:type="gramStart"/>
      <w:r>
        <w:rPr>
          <w:rFonts w:cstheme="minorHAnsi"/>
          <w:shd w:val="clear" w:color="auto" w:fill="FFFFFF"/>
        </w:rPr>
        <w:t>its</w:t>
      </w:r>
      <w:proofErr w:type="gramEnd"/>
      <w:r>
        <w:rPr>
          <w:rFonts w:cstheme="minorHAnsi"/>
          <w:shd w:val="clear" w:color="auto" w:fill="FFFFFF"/>
        </w:rPr>
        <w:t xml:space="preserve"> kept</w:t>
      </w:r>
      <w:r w:rsidR="00F80715">
        <w:rPr>
          <w:rFonts w:cstheme="minorHAnsi"/>
          <w:shd w:val="clear" w:color="auto" w:fill="FFFFFF"/>
        </w:rPr>
        <w:t xml:space="preserve"> physical</w:t>
      </w:r>
      <w:r>
        <w:rPr>
          <w:rFonts w:cstheme="minorHAnsi"/>
          <w:shd w:val="clear" w:color="auto" w:fill="FFFFFF"/>
        </w:rPr>
        <w:t xml:space="preserve"> stable. This is due to its very high sensitivity to shock, if allowed to fall it may explode so should be stored at the bottom of any storage facility and kept away from possible electoral sources. The performance of lead </w:t>
      </w:r>
      <w:proofErr w:type="spellStart"/>
      <w:r>
        <w:rPr>
          <w:rFonts w:cstheme="minorHAnsi"/>
          <w:shd w:val="clear" w:color="auto" w:fill="FFFFFF"/>
        </w:rPr>
        <w:t>azide</w:t>
      </w:r>
      <w:proofErr w:type="spellEnd"/>
      <w:r>
        <w:rPr>
          <w:rFonts w:cstheme="minorHAnsi"/>
          <w:shd w:val="clear" w:color="auto" w:fill="FFFFFF"/>
        </w:rPr>
        <w:t xml:space="preserve"> </w:t>
      </w:r>
      <w:proofErr w:type="gramStart"/>
      <w:r>
        <w:rPr>
          <w:rFonts w:cstheme="minorHAnsi"/>
          <w:shd w:val="clear" w:color="auto" w:fill="FFFFFF"/>
        </w:rPr>
        <w:t>has not been known</w:t>
      </w:r>
      <w:proofErr w:type="gramEnd"/>
      <w:r>
        <w:rPr>
          <w:rFonts w:cstheme="minorHAnsi"/>
          <w:shd w:val="clear" w:color="auto" w:fill="FFFFFF"/>
        </w:rPr>
        <w:t xml:space="preserve"> to reduce over time so is ideal for a device that may be used rarely and stored for a long time. </w:t>
      </w:r>
    </w:p>
    <w:p w:rsidR="0067470E" w:rsidRDefault="0067470E" w:rsidP="00EB39F3">
      <w:pPr>
        <w:pStyle w:val="NoSpacing"/>
        <w:rPr>
          <w:rFonts w:cstheme="minorHAnsi"/>
          <w:shd w:val="clear" w:color="auto" w:fill="FFFFFF"/>
        </w:rPr>
      </w:pPr>
    </w:p>
    <w:p w:rsidR="0067470E" w:rsidRDefault="0067470E" w:rsidP="00EB39F3">
      <w:pPr>
        <w:pStyle w:val="NoSpacing"/>
        <w:rPr>
          <w:rFonts w:cstheme="minorHAnsi"/>
          <w:shd w:val="clear" w:color="auto" w:fill="FFFFFF"/>
        </w:rPr>
      </w:pPr>
      <w:r>
        <w:rPr>
          <w:rFonts w:cstheme="minorHAnsi"/>
          <w:shd w:val="clear" w:color="auto" w:fill="FFFFFF"/>
        </w:rPr>
        <w:t xml:space="preserve">Lead </w:t>
      </w:r>
      <w:proofErr w:type="spellStart"/>
      <w:r>
        <w:rPr>
          <w:rFonts w:cstheme="minorHAnsi"/>
          <w:shd w:val="clear" w:color="auto" w:fill="FFFFFF"/>
        </w:rPr>
        <w:t>azide</w:t>
      </w:r>
      <w:proofErr w:type="spellEnd"/>
      <w:r>
        <w:rPr>
          <w:rFonts w:cstheme="minorHAnsi"/>
          <w:shd w:val="clear" w:color="auto" w:fill="FFFFFF"/>
        </w:rPr>
        <w:t xml:space="preserve"> </w:t>
      </w:r>
      <w:proofErr w:type="gramStart"/>
      <w:r>
        <w:rPr>
          <w:rFonts w:cstheme="minorHAnsi"/>
          <w:shd w:val="clear" w:color="auto" w:fill="FFFFFF"/>
        </w:rPr>
        <w:t>is produced</w:t>
      </w:r>
      <w:proofErr w:type="gramEnd"/>
      <w:r>
        <w:rPr>
          <w:rFonts w:cstheme="minorHAnsi"/>
          <w:shd w:val="clear" w:color="auto" w:fill="FFFFFF"/>
        </w:rPr>
        <w:t xml:space="preserve"> constantly by the reaction of lead nitrate or acetate with sodium </w:t>
      </w:r>
      <w:proofErr w:type="spellStart"/>
      <w:r>
        <w:rPr>
          <w:rFonts w:cstheme="minorHAnsi"/>
          <w:shd w:val="clear" w:color="auto" w:fill="FFFFFF"/>
        </w:rPr>
        <w:t>azide</w:t>
      </w:r>
      <w:proofErr w:type="spellEnd"/>
      <w:r>
        <w:rPr>
          <w:rFonts w:cstheme="minorHAnsi"/>
          <w:shd w:val="clear" w:color="auto" w:fill="FFFFFF"/>
        </w:rPr>
        <w:t xml:space="preserve"> under </w:t>
      </w:r>
      <w:r>
        <w:rPr>
          <w:rFonts w:ascii="Segoe UI" w:hAnsi="Segoe UI" w:cs="Segoe UI"/>
          <w:color w:val="212121"/>
          <w:shd w:val="clear" w:color="auto" w:fill="FFFFFF"/>
        </w:rPr>
        <w:t>basic conditions to avoid formation of </w:t>
      </w:r>
      <w:proofErr w:type="spellStart"/>
      <w:r w:rsidRPr="0067470E">
        <w:rPr>
          <w:rFonts w:ascii="Segoe UI" w:hAnsi="Segoe UI" w:cs="Segoe UI"/>
          <w:shd w:val="clear" w:color="auto" w:fill="FFFFFF"/>
        </w:rPr>
        <w:t>hydrazoic</w:t>
      </w:r>
      <w:proofErr w:type="spellEnd"/>
      <w:r w:rsidRPr="0067470E">
        <w:rPr>
          <w:rFonts w:ascii="Segoe UI" w:hAnsi="Segoe UI" w:cs="Segoe UI"/>
          <w:shd w:val="clear" w:color="auto" w:fill="FFFFFF"/>
        </w:rPr>
        <w:t xml:space="preserve"> acid</w:t>
      </w:r>
      <w:r>
        <w:rPr>
          <w:rFonts w:ascii="Segoe UI" w:hAnsi="Segoe UI" w:cs="Segoe UI"/>
          <w:color w:val="212121"/>
          <w:shd w:val="clear" w:color="auto" w:fill="FFFFFF"/>
        </w:rPr>
        <w:t xml:space="preserve">, which explodes </w:t>
      </w:r>
      <w:r>
        <w:rPr>
          <w:rFonts w:ascii="Segoe UI" w:hAnsi="Segoe UI" w:cs="Segoe UI"/>
          <w:color w:val="212121"/>
          <w:shd w:val="clear" w:color="auto" w:fill="FFFFFF"/>
        </w:rPr>
        <w:t xml:space="preserve">readily. </w:t>
      </w:r>
      <w:proofErr w:type="gramStart"/>
      <w:r w:rsidRPr="0067470E">
        <w:rPr>
          <w:rFonts w:cstheme="minorHAnsi"/>
          <w:shd w:val="clear" w:color="auto" w:fill="FFFFFF"/>
        </w:rPr>
        <w:t>he</w:t>
      </w:r>
      <w:proofErr w:type="gramEnd"/>
      <w:r w:rsidRPr="0067470E">
        <w:rPr>
          <w:rFonts w:cstheme="minorHAnsi"/>
          <w:shd w:val="clear" w:color="auto" w:fill="FFFFFF"/>
        </w:rPr>
        <w:t xml:space="preserve"> crystal size must be carefully controlled, large crystals being dangerous, by controlling the stirring and by using wetting agents. Demineralized </w:t>
      </w:r>
      <w:r w:rsidRPr="0067470E">
        <w:rPr>
          <w:rFonts w:cstheme="minorHAnsi"/>
          <w:shd w:val="clear" w:color="auto" w:fill="FFFFFF"/>
        </w:rPr>
        <w:t>water</w:t>
      </w:r>
      <w:r w:rsidRPr="0067470E">
        <w:rPr>
          <w:rFonts w:cstheme="minorHAnsi"/>
          <w:shd w:val="clear" w:color="auto" w:fill="FFFFFF"/>
        </w:rPr>
        <w:t> </w:t>
      </w:r>
      <w:proofErr w:type="gramStart"/>
      <w:r w:rsidRPr="0067470E">
        <w:rPr>
          <w:rFonts w:cstheme="minorHAnsi"/>
          <w:shd w:val="clear" w:color="auto" w:fill="FFFFFF"/>
        </w:rPr>
        <w:t>must be used</w:t>
      </w:r>
      <w:proofErr w:type="gramEnd"/>
      <w:r w:rsidRPr="0067470E">
        <w:rPr>
          <w:rFonts w:cstheme="minorHAnsi"/>
          <w:shd w:val="clear" w:color="auto" w:fill="FFFFFF"/>
        </w:rPr>
        <w:t>. With thickeners such as </w:t>
      </w:r>
      <w:r w:rsidRPr="0067470E">
        <w:rPr>
          <w:rFonts w:cstheme="minorHAnsi"/>
          <w:shd w:val="clear" w:color="auto" w:fill="FFFFFF"/>
        </w:rPr>
        <w:t>dextrin</w:t>
      </w:r>
      <w:r w:rsidRPr="0067470E">
        <w:rPr>
          <w:rFonts w:cstheme="minorHAnsi"/>
          <w:shd w:val="clear" w:color="auto" w:fill="FFFFFF"/>
        </w:rPr>
        <w:t>, </w:t>
      </w:r>
      <w:r w:rsidRPr="0067470E">
        <w:rPr>
          <w:rFonts w:cstheme="minorHAnsi"/>
          <w:shd w:val="clear" w:color="auto" w:fill="FFFFFF"/>
        </w:rPr>
        <w:t xml:space="preserve">sodium </w:t>
      </w:r>
      <w:proofErr w:type="spellStart"/>
      <w:r w:rsidRPr="0067470E">
        <w:rPr>
          <w:rFonts w:cstheme="minorHAnsi"/>
          <w:shd w:val="clear" w:color="auto" w:fill="FFFFFF"/>
        </w:rPr>
        <w:t>carboxymethylcellulose</w:t>
      </w:r>
      <w:proofErr w:type="spellEnd"/>
      <w:r w:rsidRPr="0067470E">
        <w:rPr>
          <w:rFonts w:cstheme="minorHAnsi"/>
          <w:shd w:val="clear" w:color="auto" w:fill="FFFFFF"/>
        </w:rPr>
        <w:t>, or </w:t>
      </w:r>
      <w:proofErr w:type="gramStart"/>
      <w:r w:rsidRPr="0067470E">
        <w:rPr>
          <w:rFonts w:cstheme="minorHAnsi"/>
          <w:shd w:val="clear" w:color="auto" w:fill="FFFFFF"/>
        </w:rPr>
        <w:t>poly(</w:t>
      </w:r>
      <w:proofErr w:type="gramEnd"/>
      <w:r w:rsidRPr="0067470E">
        <w:rPr>
          <w:rFonts w:cstheme="minorHAnsi"/>
          <w:shd w:val="clear" w:color="auto" w:fill="FFFFFF"/>
        </w:rPr>
        <w:t>vinyl alcohol)</w:t>
      </w:r>
      <w:r w:rsidRPr="0067470E">
        <w:rPr>
          <w:rFonts w:cstheme="minorHAnsi"/>
          <w:shd w:val="clear" w:color="auto" w:fill="FFFFFF"/>
        </w:rPr>
        <w:t>, purities from 92% to 99% are possible, the former containing 3% </w:t>
      </w:r>
      <w:r w:rsidRPr="0067470E">
        <w:rPr>
          <w:rFonts w:cstheme="minorHAnsi"/>
          <w:shd w:val="clear" w:color="auto" w:fill="FFFFFF"/>
        </w:rPr>
        <w:t>dextrin</w:t>
      </w:r>
      <w:r w:rsidRPr="0067470E">
        <w:rPr>
          <w:rFonts w:cstheme="minorHAnsi"/>
          <w:shd w:val="clear" w:color="auto" w:fill="FFFFFF"/>
        </w:rPr>
        <w:t xml:space="preserve"> and 4 - 5% </w:t>
      </w:r>
      <w:proofErr w:type="spellStart"/>
      <w:r w:rsidRPr="0067470E">
        <w:rPr>
          <w:rFonts w:cstheme="minorHAnsi"/>
          <w:shd w:val="clear" w:color="auto" w:fill="FFFFFF"/>
        </w:rPr>
        <w:t>Pb</w:t>
      </w:r>
      <w:proofErr w:type="spellEnd"/>
      <w:r w:rsidRPr="0067470E">
        <w:rPr>
          <w:rFonts w:cstheme="minorHAnsi"/>
          <w:shd w:val="clear" w:color="auto" w:fill="FFFFFF"/>
        </w:rPr>
        <w:t>(OH)2.</w:t>
      </w:r>
      <w:r>
        <w:rPr>
          <w:rFonts w:cstheme="minorHAnsi"/>
          <w:shd w:val="clear" w:color="auto" w:fill="FFFFFF"/>
        </w:rPr>
        <w:t xml:space="preserve"> </w:t>
      </w:r>
      <w:sdt>
        <w:sdtPr>
          <w:rPr>
            <w:rFonts w:cstheme="minorHAnsi"/>
            <w:shd w:val="clear" w:color="auto" w:fill="FFFFFF"/>
          </w:rPr>
          <w:id w:val="2146078206"/>
          <w:citation/>
        </w:sdtPr>
        <w:sdtContent>
          <w:r>
            <w:rPr>
              <w:rFonts w:cstheme="minorHAnsi"/>
              <w:shd w:val="clear" w:color="auto" w:fill="FFFFFF"/>
            </w:rPr>
            <w:fldChar w:fldCharType="begin"/>
          </w:r>
          <w:r>
            <w:rPr>
              <w:rFonts w:cstheme="minorHAnsi"/>
              <w:shd w:val="clear" w:color="auto" w:fill="FFFFFF"/>
            </w:rPr>
            <w:instrText xml:space="preserve"> CITATION Pub20 \l 2057 </w:instrText>
          </w:r>
          <w:r>
            <w:rPr>
              <w:rFonts w:cstheme="minorHAnsi"/>
              <w:shd w:val="clear" w:color="auto" w:fill="FFFFFF"/>
            </w:rPr>
            <w:fldChar w:fldCharType="separate"/>
          </w:r>
          <w:r w:rsidRPr="0067470E">
            <w:rPr>
              <w:rFonts w:cstheme="minorHAnsi"/>
              <w:noProof/>
              <w:shd w:val="clear" w:color="auto" w:fill="FFFFFF"/>
            </w:rPr>
            <w:t>[11]</w:t>
          </w:r>
          <w:r>
            <w:rPr>
              <w:rFonts w:cstheme="minorHAnsi"/>
              <w:shd w:val="clear" w:color="auto" w:fill="FFFFFF"/>
            </w:rPr>
            <w:fldChar w:fldCharType="end"/>
          </w:r>
        </w:sdtContent>
      </w:sdt>
    </w:p>
    <w:p w:rsidR="00961B72" w:rsidRDefault="00961B72" w:rsidP="00EB39F3">
      <w:pPr>
        <w:pStyle w:val="NoSpacing"/>
        <w:rPr>
          <w:rFonts w:cstheme="minorHAnsi"/>
          <w:shd w:val="clear" w:color="auto" w:fill="FFFFFF"/>
        </w:rPr>
      </w:pPr>
    </w:p>
    <w:p w:rsidR="00961B72" w:rsidRDefault="00961B72" w:rsidP="00961B72">
      <w:pPr>
        <w:pStyle w:val="Subtitle"/>
        <w:rPr>
          <w:u w:val="single"/>
          <w:shd w:val="clear" w:color="auto" w:fill="FFFFFF"/>
        </w:rPr>
      </w:pPr>
      <w:r w:rsidRPr="00961B72">
        <w:rPr>
          <w:u w:val="single"/>
          <w:shd w:val="clear" w:color="auto" w:fill="FFFFFF"/>
        </w:rPr>
        <w:t>RDX:</w:t>
      </w:r>
    </w:p>
    <w:p w:rsidR="00961B72" w:rsidRDefault="00961B72" w:rsidP="00961B72">
      <w:r>
        <w:t xml:space="preserve">The decomposition of RDX </w:t>
      </w:r>
      <w:proofErr w:type="spellStart"/>
      <w:r>
        <w:t>can not</w:t>
      </w:r>
      <w:proofErr w:type="spellEnd"/>
      <w:r>
        <w:t xml:space="preserve"> fully oxides everything during the explosion as it does not contain enough oxygen and its only when exposed to the atmosphere that it can react fully. Below is the equation for the decomposition of purely RDX without extra atmospheric oxygen.</w:t>
      </w:r>
    </w:p>
    <w:p w:rsidR="00961B72" w:rsidRDefault="00961B72" w:rsidP="00961B72">
      <w:pPr>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3</m:t>
            </m:r>
          </m:sub>
        </m:sSub>
        <m:sSub>
          <m:sSubPr>
            <m:ctrlPr>
              <w:rPr>
                <w:rFonts w:ascii="Cambria Math" w:hAnsi="Cambria Math"/>
                <w:i/>
              </w:rPr>
            </m:ctrlPr>
          </m:sSubPr>
          <m:e>
            <m:r>
              <w:rPr>
                <w:rFonts w:ascii="Cambria Math" w:hAnsi="Cambria Math"/>
              </w:rPr>
              <m:t>H</m:t>
            </m:r>
          </m:e>
          <m:sub>
            <m:r>
              <w:rPr>
                <w:rFonts w:ascii="Cambria Math" w:hAnsi="Cambria Math"/>
              </w:rPr>
              <m:t>6</m:t>
            </m:r>
          </m:sub>
        </m:sSub>
        <m:sSub>
          <m:sSubPr>
            <m:ctrlPr>
              <w:rPr>
                <w:rFonts w:ascii="Cambria Math" w:hAnsi="Cambria Math"/>
                <w:i/>
              </w:rPr>
            </m:ctrlPr>
          </m:sSubPr>
          <m:e>
            <m:r>
              <w:rPr>
                <w:rFonts w:ascii="Cambria Math" w:hAnsi="Cambria Math"/>
              </w:rPr>
              <m:t>N</m:t>
            </m:r>
          </m:e>
          <m:sub>
            <m:r>
              <w:rPr>
                <w:rFonts w:ascii="Cambria Math" w:hAnsi="Cambria Math"/>
              </w:rPr>
              <m:t>6</m:t>
            </m:r>
          </m:sub>
        </m:sSub>
        <m:sSub>
          <m:sSubPr>
            <m:ctrlPr>
              <w:rPr>
                <w:rFonts w:ascii="Cambria Math" w:hAnsi="Cambria Math"/>
                <w:i/>
              </w:rPr>
            </m:ctrlPr>
          </m:sSubPr>
          <m:e>
            <m:r>
              <w:rPr>
                <w:rFonts w:ascii="Cambria Math" w:hAnsi="Cambria Math"/>
              </w:rPr>
              <m:t>O</m:t>
            </m:r>
          </m:e>
          <m:sub>
            <m:r>
              <w:rPr>
                <w:rFonts w:ascii="Cambria Math" w:hAnsi="Cambria Math"/>
              </w:rPr>
              <m:t>6</m:t>
            </m:r>
          </m:sub>
        </m:sSub>
        <m:r>
          <w:rPr>
            <w:rFonts w:ascii="Cambria Math" w:hAnsi="Cambria Math"/>
          </w:rPr>
          <m:t xml:space="preserve"> →3CO+3</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O+3</m:t>
        </m:r>
        <m:sSub>
          <m:sSubPr>
            <m:ctrlPr>
              <w:rPr>
                <w:rFonts w:ascii="Cambria Math" w:hAnsi="Cambria Math"/>
                <w:i/>
              </w:rPr>
            </m:ctrlPr>
          </m:sSubPr>
          <m:e>
            <m:r>
              <w:rPr>
                <w:rFonts w:ascii="Cambria Math" w:hAnsi="Cambria Math"/>
              </w:rPr>
              <m:t>N</m:t>
            </m:r>
          </m:e>
          <m:sub>
            <m:r>
              <w:rPr>
                <w:rFonts w:ascii="Cambria Math" w:hAnsi="Cambria Math"/>
              </w:rPr>
              <m:t>2</m:t>
            </m:r>
          </m:sub>
        </m:sSub>
      </m:oMath>
      <w:r>
        <w:rPr>
          <w:rFonts w:eastAsiaTheme="minorEastAsia"/>
        </w:rPr>
        <w:t xml:space="preserve"> </w:t>
      </w:r>
    </w:p>
    <w:p w:rsidR="00961B72" w:rsidRDefault="00961B72" w:rsidP="00961B72">
      <w:pPr>
        <w:rPr>
          <w:rFonts w:ascii="Arial" w:hAnsi="Arial" w:cs="Arial"/>
          <w:color w:val="202124"/>
          <w:shd w:val="clear" w:color="auto" w:fill="FFFFFF"/>
        </w:rPr>
      </w:pPr>
      <w:r>
        <w:rPr>
          <w:rFonts w:cstheme="minorHAnsi"/>
          <w:shd w:val="clear" w:color="auto" w:fill="FFFFFF"/>
        </w:rPr>
        <w:t>Δ</w:t>
      </w:r>
      <w:r w:rsidRPr="00D83193">
        <w:rPr>
          <w:rFonts w:cstheme="minorHAnsi"/>
          <w:shd w:val="clear" w:color="auto" w:fill="FFFFFF"/>
        </w:rPr>
        <w:t>H</w:t>
      </w:r>
      <w:r>
        <w:rPr>
          <w:rFonts w:ascii="Arial" w:hAnsi="Arial" w:cs="Arial"/>
          <w:color w:val="202124"/>
          <w:shd w:val="clear" w:color="auto" w:fill="FFFFFF"/>
        </w:rPr>
        <w:t xml:space="preserve"> </w:t>
      </w:r>
      <w:r>
        <w:rPr>
          <w:rFonts w:ascii="Arial" w:hAnsi="Arial" w:cs="Arial"/>
          <w:color w:val="202124"/>
          <w:shd w:val="clear" w:color="auto" w:fill="FFFFFF"/>
        </w:rPr>
        <w:t>209.165 kJ/</w:t>
      </w:r>
      <w:proofErr w:type="spellStart"/>
      <w:r>
        <w:rPr>
          <w:rFonts w:ascii="Arial" w:hAnsi="Arial" w:cs="Arial"/>
          <w:color w:val="202124"/>
          <w:shd w:val="clear" w:color="auto" w:fill="FFFFFF"/>
        </w:rPr>
        <w:t>mol</w:t>
      </w:r>
      <w:proofErr w:type="spellEnd"/>
      <w:r>
        <w:rPr>
          <w:rFonts w:ascii="Arial" w:hAnsi="Arial" w:cs="Arial"/>
          <w:color w:val="202124"/>
          <w:shd w:val="clear" w:color="auto" w:fill="FFFFFF"/>
        </w:rPr>
        <w:t xml:space="preserve"> = 3*(-113.804) + 3*(-286.299) + 0</w:t>
      </w:r>
    </w:p>
    <w:p w:rsidR="00961B72" w:rsidRDefault="00F80715" w:rsidP="00961B72">
      <w:pPr>
        <w:rPr>
          <w:rFonts w:ascii="Arial" w:hAnsi="Arial" w:cs="Arial"/>
          <w:color w:val="202124"/>
          <w:shd w:val="clear" w:color="auto" w:fill="FFFFFF"/>
        </w:rPr>
      </w:pPr>
      <w:r>
        <w:rPr>
          <w:rFonts w:ascii="Arial" w:hAnsi="Arial" w:cs="Arial"/>
          <w:color w:val="202124"/>
          <w:shd w:val="clear" w:color="auto" w:fill="FFFFFF"/>
        </w:rPr>
        <w:t>209.165 = -1200.309</w:t>
      </w:r>
    </w:p>
    <w:p w:rsidR="00F80715" w:rsidRDefault="00F80715" w:rsidP="00961B72">
      <w:pPr>
        <w:rPr>
          <w:rFonts w:ascii="Arial" w:hAnsi="Arial" w:cs="Arial"/>
          <w:color w:val="202124"/>
          <w:shd w:val="clear" w:color="auto" w:fill="FFFFFF"/>
        </w:rPr>
      </w:pPr>
      <w:r>
        <w:rPr>
          <w:rFonts w:ascii="Arial" w:hAnsi="Arial" w:cs="Arial"/>
          <w:color w:val="202124"/>
          <w:shd w:val="clear" w:color="auto" w:fill="FFFFFF"/>
        </w:rPr>
        <w:t xml:space="preserve">= -1409.474 </w:t>
      </w:r>
      <w:r>
        <w:rPr>
          <w:rFonts w:ascii="Arial" w:hAnsi="Arial" w:cs="Arial"/>
          <w:color w:val="202124"/>
          <w:shd w:val="clear" w:color="auto" w:fill="FFFFFF"/>
        </w:rPr>
        <w:t>kJ/</w:t>
      </w:r>
      <w:proofErr w:type="spellStart"/>
      <w:r>
        <w:rPr>
          <w:rFonts w:ascii="Arial" w:hAnsi="Arial" w:cs="Arial"/>
          <w:color w:val="202124"/>
          <w:shd w:val="clear" w:color="auto" w:fill="FFFFFF"/>
        </w:rPr>
        <w:t>mol</w:t>
      </w:r>
      <w:proofErr w:type="spellEnd"/>
    </w:p>
    <w:p w:rsidR="00F80715" w:rsidRPr="00961B72" w:rsidRDefault="00F80715" w:rsidP="00961B72">
      <w:pPr>
        <w:rPr>
          <w:rFonts w:cstheme="minorHAnsi"/>
          <w:color w:val="202124"/>
          <w:shd w:val="clear" w:color="auto" w:fill="FFFFFF"/>
        </w:rPr>
      </w:pPr>
      <w:bookmarkStart w:id="0" w:name="_GoBack"/>
      <w:bookmarkEnd w:id="0"/>
    </w:p>
    <w:sectPr w:rsidR="00F80715" w:rsidRPr="00961B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BC1" w:rsidRDefault="00841BC1" w:rsidP="002663DE">
      <w:pPr>
        <w:spacing w:after="0" w:line="240" w:lineRule="auto"/>
      </w:pPr>
      <w:r>
        <w:separator/>
      </w:r>
    </w:p>
  </w:endnote>
  <w:endnote w:type="continuationSeparator" w:id="0">
    <w:p w:rsidR="00841BC1" w:rsidRDefault="00841BC1" w:rsidP="0026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3">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BC1" w:rsidRDefault="00841BC1" w:rsidP="002663DE">
      <w:pPr>
        <w:spacing w:after="0" w:line="240" w:lineRule="auto"/>
      </w:pPr>
      <w:r>
        <w:separator/>
      </w:r>
    </w:p>
  </w:footnote>
  <w:footnote w:type="continuationSeparator" w:id="0">
    <w:p w:rsidR="00841BC1" w:rsidRDefault="00841BC1" w:rsidP="00266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EA7500"/>
    <w:multiLevelType w:val="hybridMultilevel"/>
    <w:tmpl w:val="B16ABF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D2345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C0834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84D"/>
    <w:rsid w:val="000E52EF"/>
    <w:rsid w:val="00153B1B"/>
    <w:rsid w:val="001A43EC"/>
    <w:rsid w:val="001F4DE8"/>
    <w:rsid w:val="00234D41"/>
    <w:rsid w:val="002663DE"/>
    <w:rsid w:val="002C1EF7"/>
    <w:rsid w:val="00431BD9"/>
    <w:rsid w:val="004701D7"/>
    <w:rsid w:val="0048438B"/>
    <w:rsid w:val="00555E89"/>
    <w:rsid w:val="005F17FC"/>
    <w:rsid w:val="0064084D"/>
    <w:rsid w:val="0067470E"/>
    <w:rsid w:val="006E0D95"/>
    <w:rsid w:val="00774B7A"/>
    <w:rsid w:val="007C7B95"/>
    <w:rsid w:val="00814866"/>
    <w:rsid w:val="00841BC1"/>
    <w:rsid w:val="008B438E"/>
    <w:rsid w:val="008F7541"/>
    <w:rsid w:val="00961B72"/>
    <w:rsid w:val="00A92D1C"/>
    <w:rsid w:val="00A96936"/>
    <w:rsid w:val="00B344C2"/>
    <w:rsid w:val="00BB51B6"/>
    <w:rsid w:val="00BE7866"/>
    <w:rsid w:val="00C06F50"/>
    <w:rsid w:val="00CA6DB4"/>
    <w:rsid w:val="00CF4349"/>
    <w:rsid w:val="00D83193"/>
    <w:rsid w:val="00DB2608"/>
    <w:rsid w:val="00E0351E"/>
    <w:rsid w:val="00E64961"/>
    <w:rsid w:val="00E91203"/>
    <w:rsid w:val="00EB39F3"/>
    <w:rsid w:val="00F52EE2"/>
    <w:rsid w:val="00F62C08"/>
    <w:rsid w:val="00F80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BCD35"/>
  <w15:chartTrackingRefBased/>
  <w15:docId w15:val="{58F43948-C8B3-4191-AF66-0E72AF1D0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08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8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084D"/>
    <w:rPr>
      <w:rFonts w:eastAsiaTheme="minorEastAsia"/>
      <w:color w:val="5A5A5A" w:themeColor="text1" w:themeTint="A5"/>
      <w:spacing w:val="15"/>
    </w:rPr>
  </w:style>
  <w:style w:type="paragraph" w:styleId="NoSpacing">
    <w:name w:val="No Spacing"/>
    <w:uiPriority w:val="1"/>
    <w:qFormat/>
    <w:rsid w:val="0064084D"/>
    <w:pPr>
      <w:spacing w:after="0" w:line="240" w:lineRule="auto"/>
    </w:pPr>
  </w:style>
  <w:style w:type="character" w:styleId="PlaceholderText">
    <w:name w:val="Placeholder Text"/>
    <w:basedOn w:val="DefaultParagraphFont"/>
    <w:uiPriority w:val="99"/>
    <w:semiHidden/>
    <w:rsid w:val="002663DE"/>
    <w:rPr>
      <w:color w:val="808080"/>
    </w:rPr>
  </w:style>
  <w:style w:type="paragraph" w:styleId="Header">
    <w:name w:val="header"/>
    <w:basedOn w:val="Normal"/>
    <w:link w:val="HeaderChar"/>
    <w:uiPriority w:val="99"/>
    <w:unhideWhenUsed/>
    <w:rsid w:val="00266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3DE"/>
  </w:style>
  <w:style w:type="paragraph" w:styleId="Footer">
    <w:name w:val="footer"/>
    <w:basedOn w:val="Normal"/>
    <w:link w:val="FooterChar"/>
    <w:uiPriority w:val="99"/>
    <w:unhideWhenUsed/>
    <w:rsid w:val="00266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3DE"/>
  </w:style>
  <w:style w:type="character" w:customStyle="1" w:styleId="ff5">
    <w:name w:val="ff5"/>
    <w:basedOn w:val="DefaultParagraphFont"/>
    <w:rsid w:val="00EB39F3"/>
  </w:style>
  <w:style w:type="character" w:customStyle="1" w:styleId="fs4">
    <w:name w:val="fs4"/>
    <w:basedOn w:val="DefaultParagraphFont"/>
    <w:rsid w:val="00EB39F3"/>
  </w:style>
  <w:style w:type="character" w:customStyle="1" w:styleId="ff4">
    <w:name w:val="ff4"/>
    <w:basedOn w:val="DefaultParagraphFont"/>
    <w:rsid w:val="00EB39F3"/>
  </w:style>
  <w:style w:type="character" w:customStyle="1" w:styleId="ws37">
    <w:name w:val="ws37"/>
    <w:basedOn w:val="DefaultParagraphFont"/>
    <w:rsid w:val="00EB39F3"/>
  </w:style>
  <w:style w:type="character" w:customStyle="1" w:styleId="ls9">
    <w:name w:val="ls9"/>
    <w:basedOn w:val="DefaultParagraphFont"/>
    <w:rsid w:val="00EB39F3"/>
  </w:style>
  <w:style w:type="character" w:styleId="Hyperlink">
    <w:name w:val="Hyperlink"/>
    <w:basedOn w:val="DefaultParagraphFont"/>
    <w:uiPriority w:val="99"/>
    <w:semiHidden/>
    <w:unhideWhenUsed/>
    <w:rsid w:val="006747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8663">
      <w:bodyDiv w:val="1"/>
      <w:marLeft w:val="0"/>
      <w:marRight w:val="0"/>
      <w:marTop w:val="0"/>
      <w:marBottom w:val="0"/>
      <w:divBdr>
        <w:top w:val="none" w:sz="0" w:space="0" w:color="auto"/>
        <w:left w:val="none" w:sz="0" w:space="0" w:color="auto"/>
        <w:bottom w:val="none" w:sz="0" w:space="0" w:color="auto"/>
        <w:right w:val="none" w:sz="0" w:space="0" w:color="auto"/>
      </w:divBdr>
    </w:div>
    <w:div w:id="214006729">
      <w:bodyDiv w:val="1"/>
      <w:marLeft w:val="0"/>
      <w:marRight w:val="0"/>
      <w:marTop w:val="0"/>
      <w:marBottom w:val="0"/>
      <w:divBdr>
        <w:top w:val="none" w:sz="0" w:space="0" w:color="auto"/>
        <w:left w:val="none" w:sz="0" w:space="0" w:color="auto"/>
        <w:bottom w:val="none" w:sz="0" w:space="0" w:color="auto"/>
        <w:right w:val="none" w:sz="0" w:space="0" w:color="auto"/>
      </w:divBdr>
    </w:div>
    <w:div w:id="319044261">
      <w:bodyDiv w:val="1"/>
      <w:marLeft w:val="0"/>
      <w:marRight w:val="0"/>
      <w:marTop w:val="0"/>
      <w:marBottom w:val="0"/>
      <w:divBdr>
        <w:top w:val="none" w:sz="0" w:space="0" w:color="auto"/>
        <w:left w:val="none" w:sz="0" w:space="0" w:color="auto"/>
        <w:bottom w:val="none" w:sz="0" w:space="0" w:color="auto"/>
        <w:right w:val="none" w:sz="0" w:space="0" w:color="auto"/>
      </w:divBdr>
    </w:div>
    <w:div w:id="466818881">
      <w:bodyDiv w:val="1"/>
      <w:marLeft w:val="0"/>
      <w:marRight w:val="0"/>
      <w:marTop w:val="0"/>
      <w:marBottom w:val="0"/>
      <w:divBdr>
        <w:top w:val="none" w:sz="0" w:space="0" w:color="auto"/>
        <w:left w:val="none" w:sz="0" w:space="0" w:color="auto"/>
        <w:bottom w:val="none" w:sz="0" w:space="0" w:color="auto"/>
        <w:right w:val="none" w:sz="0" w:space="0" w:color="auto"/>
      </w:divBdr>
    </w:div>
    <w:div w:id="572400606">
      <w:bodyDiv w:val="1"/>
      <w:marLeft w:val="0"/>
      <w:marRight w:val="0"/>
      <w:marTop w:val="0"/>
      <w:marBottom w:val="0"/>
      <w:divBdr>
        <w:top w:val="none" w:sz="0" w:space="0" w:color="auto"/>
        <w:left w:val="none" w:sz="0" w:space="0" w:color="auto"/>
        <w:bottom w:val="none" w:sz="0" w:space="0" w:color="auto"/>
        <w:right w:val="none" w:sz="0" w:space="0" w:color="auto"/>
      </w:divBdr>
    </w:div>
    <w:div w:id="574239179">
      <w:bodyDiv w:val="1"/>
      <w:marLeft w:val="0"/>
      <w:marRight w:val="0"/>
      <w:marTop w:val="0"/>
      <w:marBottom w:val="0"/>
      <w:divBdr>
        <w:top w:val="none" w:sz="0" w:space="0" w:color="auto"/>
        <w:left w:val="none" w:sz="0" w:space="0" w:color="auto"/>
        <w:bottom w:val="none" w:sz="0" w:space="0" w:color="auto"/>
        <w:right w:val="none" w:sz="0" w:space="0" w:color="auto"/>
      </w:divBdr>
    </w:div>
    <w:div w:id="626551079">
      <w:bodyDiv w:val="1"/>
      <w:marLeft w:val="0"/>
      <w:marRight w:val="0"/>
      <w:marTop w:val="0"/>
      <w:marBottom w:val="0"/>
      <w:divBdr>
        <w:top w:val="none" w:sz="0" w:space="0" w:color="auto"/>
        <w:left w:val="none" w:sz="0" w:space="0" w:color="auto"/>
        <w:bottom w:val="none" w:sz="0" w:space="0" w:color="auto"/>
        <w:right w:val="none" w:sz="0" w:space="0" w:color="auto"/>
      </w:divBdr>
    </w:div>
    <w:div w:id="945040681">
      <w:bodyDiv w:val="1"/>
      <w:marLeft w:val="0"/>
      <w:marRight w:val="0"/>
      <w:marTop w:val="0"/>
      <w:marBottom w:val="0"/>
      <w:divBdr>
        <w:top w:val="none" w:sz="0" w:space="0" w:color="auto"/>
        <w:left w:val="none" w:sz="0" w:space="0" w:color="auto"/>
        <w:bottom w:val="none" w:sz="0" w:space="0" w:color="auto"/>
        <w:right w:val="none" w:sz="0" w:space="0" w:color="auto"/>
      </w:divBdr>
    </w:div>
    <w:div w:id="961881074">
      <w:bodyDiv w:val="1"/>
      <w:marLeft w:val="0"/>
      <w:marRight w:val="0"/>
      <w:marTop w:val="0"/>
      <w:marBottom w:val="0"/>
      <w:divBdr>
        <w:top w:val="none" w:sz="0" w:space="0" w:color="auto"/>
        <w:left w:val="none" w:sz="0" w:space="0" w:color="auto"/>
        <w:bottom w:val="none" w:sz="0" w:space="0" w:color="auto"/>
        <w:right w:val="none" w:sz="0" w:space="0" w:color="auto"/>
      </w:divBdr>
    </w:div>
    <w:div w:id="1462962552">
      <w:bodyDiv w:val="1"/>
      <w:marLeft w:val="0"/>
      <w:marRight w:val="0"/>
      <w:marTop w:val="0"/>
      <w:marBottom w:val="0"/>
      <w:divBdr>
        <w:top w:val="none" w:sz="0" w:space="0" w:color="auto"/>
        <w:left w:val="none" w:sz="0" w:space="0" w:color="auto"/>
        <w:bottom w:val="none" w:sz="0" w:space="0" w:color="auto"/>
        <w:right w:val="none" w:sz="0" w:space="0" w:color="auto"/>
      </w:divBdr>
    </w:div>
    <w:div w:id="1518696299">
      <w:bodyDiv w:val="1"/>
      <w:marLeft w:val="0"/>
      <w:marRight w:val="0"/>
      <w:marTop w:val="0"/>
      <w:marBottom w:val="0"/>
      <w:divBdr>
        <w:top w:val="none" w:sz="0" w:space="0" w:color="auto"/>
        <w:left w:val="none" w:sz="0" w:space="0" w:color="auto"/>
        <w:bottom w:val="none" w:sz="0" w:space="0" w:color="auto"/>
        <w:right w:val="none" w:sz="0" w:space="0" w:color="auto"/>
      </w:divBdr>
    </w:div>
    <w:div w:id="1521771572">
      <w:bodyDiv w:val="1"/>
      <w:marLeft w:val="0"/>
      <w:marRight w:val="0"/>
      <w:marTop w:val="0"/>
      <w:marBottom w:val="0"/>
      <w:divBdr>
        <w:top w:val="none" w:sz="0" w:space="0" w:color="auto"/>
        <w:left w:val="none" w:sz="0" w:space="0" w:color="auto"/>
        <w:bottom w:val="none" w:sz="0" w:space="0" w:color="auto"/>
        <w:right w:val="none" w:sz="0" w:space="0" w:color="auto"/>
      </w:divBdr>
    </w:div>
    <w:div w:id="1832720808">
      <w:bodyDiv w:val="1"/>
      <w:marLeft w:val="0"/>
      <w:marRight w:val="0"/>
      <w:marTop w:val="0"/>
      <w:marBottom w:val="0"/>
      <w:divBdr>
        <w:top w:val="none" w:sz="0" w:space="0" w:color="auto"/>
        <w:left w:val="none" w:sz="0" w:space="0" w:color="auto"/>
        <w:bottom w:val="none" w:sz="0" w:space="0" w:color="auto"/>
        <w:right w:val="none" w:sz="0" w:space="0" w:color="auto"/>
      </w:divBdr>
    </w:div>
    <w:div w:id="210411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3">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387"/>
    <w:rsid w:val="00A94F30"/>
    <w:rsid w:val="00EB4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43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Nat20</b:Tag>
    <b:SourceType>InternetSite</b:SourceType>
    <b:Guid>{5ADDBB3A-A2DD-4088-8DEA-3E3B031840E0}</b:Guid>
    <b:Author>
      <b:Author>
        <b:Corporate>National Center for Biotechnology Information</b:Corporate>
      </b:Author>
    </b:Author>
    <b:Title>PubChem Compound Summary for CID 61535</b:Title>
    <b:YearAccessed>2020</b:YearAccessed>
    <b:MonthAccessed>November</b:MonthAccessed>
    <b:DayAccessed>28th</b:DayAccessed>
    <b:URL>https://pubchem.ncbi.nlm.nih.gov/compound/Lead_2_-silicate.</b:URL>
    <b:RefOrder>2</b:RefOrder>
  </b:Source>
  <b:Source>
    <b:Tag>Jay12</b:Tag>
    <b:SourceType>ElectronicSource</b:SourceType>
    <b:Guid>{4355C50E-8944-4FB4-84D3-B4275B6306E3}</b:Guid>
    <b:Title>Environmentally Benign Pyrotechnic Delays</b:Title>
    <b:Year>2012</b:Year>
    <b:Month>June</b:Month>
    <b:YearAccessed>2020</b:YearAccessed>
    <b:MonthAccessed>Novermber</b:MonthAccessed>
    <b:DayAccessed>28th</b:DayAccessed>
    <b:URL>https://apps.dtic.mil/sti/pdfs/ADA565275.pdf</b:URL>
    <b:Publisher>International Pyrotechnics Seminar</b:Publisher>
    <b:City>Denver</b:City>
    <b:Author>
      <b:Author>
        <b:NameList>
          <b:Person>
            <b:Last>Jay C. Poret</b:Last>
            <b:First>*</b:First>
            <b:Middle>Anthony P. Shaw, Lori J. Groven,† Gary Chen, Karl D. Oyler</b:Middle>
          </b:Person>
        </b:NameList>
      </b:Author>
    </b:Author>
    <b:RefOrder>3</b:RefOrder>
  </b:Source>
  <b:Source>
    <b:Tag>Pyr20</b:Tag>
    <b:SourceType>InternetSite</b:SourceType>
    <b:Guid>{5635A0CE-E9A0-4DB1-BC2C-51E410A4A05C}</b:Guid>
    <b:Title>Pyro data</b:Title>
    <b:Author>
      <b:Author>
        <b:Corporate>Pyro data</b:Corporate>
      </b:Author>
    </b:Author>
    <b:YearAccessed>2020</b:YearAccessed>
    <b:MonthAccessed>November</b:MonthAccessed>
    <b:DayAccessed>28th</b:DayAccessed>
    <b:URL>https://pyrodata.com/definitions/Black-match</b:URL>
    <b:RefOrder>4</b:RefOrder>
  </b:Source>
  <b:Source>
    <b:Tag>Jam</b:Tag>
    <b:SourceType>BookSection</b:SourceType>
    <b:Guid>{AC6DA149-DE7C-45F8-88AF-E1AA486CD3DA}</b:Guid>
    <b:Title>Practical Bomb Scene Investigation, Third Edition</b:Title>
    <b:Author>
      <b:Author>
        <b:NameList>
          <b:Person>
            <b:Last>Thurman</b:Last>
            <b:First>James</b:First>
            <b:Middle>T</b:Middle>
          </b:Person>
        </b:NameList>
      </b:Author>
    </b:Author>
    <b:Publisher>Milton : CRC Press, 2017</b:Publisher>
    <b:RefOrder>5</b:RefOrder>
  </b:Source>
  <b:Source>
    <b:Tag>Mar03</b:Tag>
    <b:SourceType>BookSection</b:SourceType>
    <b:Guid>{6CDA0526-DDD6-4ADA-8204-CFC5B6C155D0}</b:Guid>
    <b:Author>
      <b:Author>
        <b:NameList>
          <b:Person>
            <b:Last>Armour</b:Last>
            <b:First>Margaret-Ann</b:First>
          </b:Person>
        </b:NameList>
      </b:Author>
    </b:Author>
    <b:Title>Hazardous laboratory chemicals disposal guide</b:Title>
    <b:BookTitle>Environmental Chemistry and Toxicology (3rd ed.)</b:BookTitle>
    <b:Year>2003</b:Year>
    <b:Pages>452</b:Pages>
    <b:Publisher>CRC Press</b:Publisher>
    <b:RefOrder>6</b:RefOrder>
  </b:Source>
  <b:Source>
    <b:Tag>WEG33</b:Tag>
    <b:SourceType>BookSection</b:SourceType>
    <b:Guid>{AA3BEA1D-08AC-485E-B941-9D398C4A68D8}</b:Guid>
    <b:Author>
      <b:Author>
        <b:NameList>
          <b:Person>
            <b:Last>Hailes</b:Last>
            <b:First>W.</b:First>
            <b:Middle>E. Garner &amp; H. R.</b:Middle>
          </b:Person>
        </b:NameList>
      </b:Author>
    </b:Author>
    <b:Title>Thermal decomposition and detonation of mercury fulminate</b:Title>
    <b:Year>1933</b:Year>
    <b:Pages>139 (1–3)</b:Pages>
    <b:Publisher>Proceedings of the Royal Society of London</b:Publisher>
    <b:RefOrder>7</b:RefOrder>
  </b:Source>
  <b:Source>
    <b:Tag>IPC00</b:Tag>
    <b:SourceType>InternetSite</b:SourceType>
    <b:Guid>{3352ABFB-BFCC-48BE-BE4C-F6BC5FBD9B23}</b:Guid>
    <b:Year>2000</b:Year>
    <b:Author>
      <b:Author>
        <b:NameList>
          <b:Person>
            <b:Last>INCHEM</b:Last>
            <b:First>IPCS</b:First>
          </b:Person>
        </b:NameList>
      </b:Author>
    </b:Author>
    <b:ProductionCompany>IPCS</b:ProductionCompany>
    <b:Month>April</b:Month>
    <b:YearAccessed>2020</b:YearAccessed>
    <b:MonthAccessed>November</b:MonthAccessed>
    <b:DayAccessed>28th</b:DayAccessed>
    <b:URL>http://www.inchem.org/documents/icsc/icsc/eics0967.htm</b:URL>
    <b:RefOrder>8</b:RefOrder>
  </b:Source>
  <b:Source>
    <b:Tag>The20</b:Tag>
    <b:SourceType>InternetSite</b:SourceType>
    <b:Guid>{FE90BA09-5F4B-45C4-9F7C-0354DD476858}</b:Guid>
    <b:Author>
      <b:Author>
        <b:Corporate>The dambusters</b:Corporate>
      </b:Author>
    </b:Author>
    <b:Title>RDX</b:Title>
    <b:YearAccessed>2020</b:YearAccessed>
    <b:MonthAccessed>November</b:MonthAccessed>
    <b:DayAccessed>29th</b:DayAccessed>
    <b:URL>http://www.chm.bris.ac.uk/webprojects2001/moorcraft/RDX_test.htm</b:URL>
    <b:RefOrder>10</b:RefOrder>
  </b:Source>
  <b:Source>
    <b:Tag>Che20</b:Tag>
    <b:SourceType>InternetSite</b:SourceType>
    <b:Guid>{3EB0A09E-F35F-450F-A79D-A5C174B24725}</b:Guid>
    <b:Author>
      <b:Author>
        <b:Corporate>Chemring</b:Corporate>
      </b:Author>
    </b:Author>
    <b:Title> Explosive materials</b:Title>
    <b:ProductionCompany>Chemring</b:ProductionCompany>
    <b:YearAccessed>2020</b:YearAccessed>
    <b:MonthAccessed>November</b:MonthAccessed>
    <b:DayAccessed>29th</b:DayAccessed>
    <b:URL>https://www.chemring.co.uk/what-we-do/countermeasures-and-energetics/explosive-material</b:URL>
    <b:RefOrder>9</b:RefOrder>
  </b:Source>
  <b:Source>
    <b:Tag>Jul20</b:Tag>
    <b:SourceType>InternetSite</b:SourceType>
    <b:Guid>{39339194-EAA4-428D-93E3-955096FCB763}</b:Guid>
    <b:Author>
      <b:Author>
        <b:Corporate>Elite uk forces</b:Corporate>
      </b:Author>
    </b:Author>
    <b:Title>Hand Grenades</b:Title>
    <b:YearAccessed>2020</b:YearAccessed>
    <b:MonthAccessed>November</b:MonthAccessed>
    <b:DayAccessed>28th</b:DayAccessed>
    <b:URL>https://www.eliteukforces.info/weapons/grenades/</b:URL>
    <b:RefOrder>1</b:RefOrder>
  </b:Source>
  <b:Source>
    <b:Tag>Pub20</b:Tag>
    <b:SourceType>InternetSite</b:SourceType>
    <b:Guid>{E95385B3-BDF6-4134-A79D-D5F3870B2A30}</b:Guid>
    <b:Author>
      <b:Author>
        <b:Corporate>Pubchem</b:Corporate>
      </b:Author>
    </b:Author>
    <b:Title>PubChem Compound Summary for CID 61600</b:Title>
    <b:ProductionCompany>National Center for Biotechnology Information</b:ProductionCompany>
    <b:YearAccessed>2020</b:YearAccessed>
    <b:MonthAccessed>November</b:MonthAccessed>
    <b:DayAccessed>29th</b:DayAccessed>
    <b:URL>https://pubchem.ncbi.nlm.nih.gov/compound/Lead-azide#section=Experimental-Properties</b:URL>
    <b:RefOrder>11</b:RefOrder>
  </b:Source>
</b:Sources>
</file>

<file path=customXml/itemProps1.xml><?xml version="1.0" encoding="utf-8"?>
<ds:datastoreItem xmlns:ds="http://schemas.openxmlformats.org/officeDocument/2006/customXml" ds:itemID="{90CEBCD6-67BE-48A9-9C78-8F747F191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4</Pages>
  <Words>1505</Words>
  <Characters>8583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Slattery Joseph R</dc:creator>
  <cp:keywords/>
  <dc:description/>
  <cp:lastModifiedBy>Slattery Joseph R</cp:lastModifiedBy>
  <cp:revision>1</cp:revision>
  <dcterms:created xsi:type="dcterms:W3CDTF">2020-12-10T09:23:00Z</dcterms:created>
  <dcterms:modified xsi:type="dcterms:W3CDTF">2020-12-10T18:18:00Z</dcterms:modified>
</cp:coreProperties>
</file>