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DAB0D0" w14:textId="53FFD26E" w:rsidR="0088126D" w:rsidRDefault="0088126D" w:rsidP="00007063">
      <w:pPr>
        <w:spacing w:line="360" w:lineRule="auto"/>
        <w:jc w:val="both"/>
        <w:rPr>
          <w:rFonts w:ascii="Times New Roman" w:hAnsi="Times New Roman" w:cs="Times New Roman"/>
        </w:rPr>
      </w:pPr>
    </w:p>
    <w:p w14:paraId="590BD01D" w14:textId="3EF374BF" w:rsidR="0088126D" w:rsidRDefault="0088126D" w:rsidP="00007063">
      <w:pPr>
        <w:spacing w:line="360" w:lineRule="auto"/>
        <w:jc w:val="both"/>
        <w:rPr>
          <w:rFonts w:ascii="Times New Roman" w:hAnsi="Times New Roman" w:cs="Times New Roman"/>
        </w:rPr>
      </w:pPr>
      <w:r>
        <w:rPr>
          <w:noProof/>
        </w:rPr>
        <w:drawing>
          <wp:anchor distT="57150" distB="57150" distL="57150" distR="57150" simplePos="0" relativeHeight="251659264" behindDoc="0" locked="0" layoutInCell="1" allowOverlap="1" wp14:anchorId="0A56FFF1" wp14:editId="614EBCDC">
            <wp:simplePos x="0" y="0"/>
            <wp:positionH relativeFrom="column">
              <wp:posOffset>2162175</wp:posOffset>
            </wp:positionH>
            <wp:positionV relativeFrom="line">
              <wp:posOffset>307975</wp:posOffset>
            </wp:positionV>
            <wp:extent cx="1809750" cy="723900"/>
            <wp:effectExtent l="0" t="0" r="0" b="0"/>
            <wp:wrapTopAndBottom/>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anchor>
        </w:drawing>
      </w:r>
    </w:p>
    <w:p w14:paraId="2A20D6A3" w14:textId="1CD2A5D8" w:rsidR="000F7463" w:rsidRDefault="000F7463" w:rsidP="00007063">
      <w:pPr>
        <w:spacing w:line="360" w:lineRule="auto"/>
        <w:jc w:val="both"/>
        <w:rPr>
          <w:rFonts w:ascii="Times New Roman" w:hAnsi="Times New Roman" w:cs="Times New Roman"/>
        </w:rPr>
      </w:pPr>
    </w:p>
    <w:p w14:paraId="58311CDE" w14:textId="77777777" w:rsidR="0088126D" w:rsidRPr="00F264AF" w:rsidRDefault="0088126D" w:rsidP="00007063">
      <w:pPr>
        <w:spacing w:line="360" w:lineRule="auto"/>
        <w:jc w:val="both"/>
        <w:rPr>
          <w:rFonts w:ascii="Times New Roman" w:hAnsi="Times New Roman" w:cs="Times New Roman"/>
        </w:rPr>
      </w:pPr>
    </w:p>
    <w:p w14:paraId="48D6F372" w14:textId="77777777" w:rsidR="000F7463" w:rsidRPr="0088126D" w:rsidRDefault="006047D6" w:rsidP="00007063">
      <w:pPr>
        <w:pStyle w:val="Title"/>
        <w:spacing w:line="360" w:lineRule="auto"/>
        <w:rPr>
          <w:sz w:val="32"/>
          <w:szCs w:val="32"/>
        </w:rPr>
      </w:pPr>
      <w:r w:rsidRPr="0088126D">
        <w:rPr>
          <w:sz w:val="32"/>
          <w:szCs w:val="32"/>
        </w:rPr>
        <w:t>NAVIGATING THE AI GOVERNANCE FRONTIER</w:t>
      </w:r>
    </w:p>
    <w:p w14:paraId="79463A25" w14:textId="552D09CF" w:rsidR="000F7463" w:rsidRPr="0088126D" w:rsidRDefault="006047D6" w:rsidP="00007063">
      <w:pPr>
        <w:pStyle w:val="Title"/>
        <w:spacing w:line="360" w:lineRule="auto"/>
        <w:rPr>
          <w:i/>
          <w:iCs/>
          <w:color w:val="4A7BA7"/>
          <w:sz w:val="32"/>
          <w:szCs w:val="32"/>
        </w:rPr>
      </w:pPr>
      <w:r w:rsidRPr="0088126D">
        <w:rPr>
          <w:i/>
          <w:iCs/>
          <w:color w:val="4A7BA7"/>
          <w:sz w:val="32"/>
          <w:szCs w:val="32"/>
        </w:rPr>
        <w:t xml:space="preserve">A Strategic Advisory Report on IBM's Risk Management, Regulatory Compliance and Competitive Positioning in the United Kingdom and </w:t>
      </w:r>
      <w:r w:rsidR="00F7533D" w:rsidRPr="0088126D">
        <w:rPr>
          <w:i/>
          <w:iCs/>
          <w:color w:val="4A7BA7"/>
          <w:sz w:val="32"/>
          <w:szCs w:val="32"/>
        </w:rPr>
        <w:t xml:space="preserve">the </w:t>
      </w:r>
      <w:r w:rsidRPr="0088126D">
        <w:rPr>
          <w:i/>
          <w:iCs/>
          <w:color w:val="4A7BA7"/>
          <w:sz w:val="32"/>
          <w:szCs w:val="32"/>
        </w:rPr>
        <w:t>United States</w:t>
      </w:r>
    </w:p>
    <w:p w14:paraId="3BDE3E90" w14:textId="5812F786" w:rsidR="0088126D" w:rsidRPr="0088126D" w:rsidRDefault="0088126D" w:rsidP="00007063">
      <w:pPr>
        <w:pStyle w:val="Title"/>
        <w:spacing w:line="360" w:lineRule="auto"/>
        <w:rPr>
          <w:i/>
          <w:iCs/>
          <w:color w:val="4A7BA7"/>
          <w:sz w:val="32"/>
          <w:szCs w:val="32"/>
        </w:rPr>
      </w:pPr>
    </w:p>
    <w:p w14:paraId="56EB775C" w14:textId="77777777" w:rsidR="00AD798F" w:rsidRDefault="0088126D" w:rsidP="00007063">
      <w:pPr>
        <w:pStyle w:val="Title"/>
        <w:spacing w:line="360" w:lineRule="auto"/>
        <w:rPr>
          <w:b/>
          <w:bCs/>
          <w:color w:val="auto"/>
          <w:sz w:val="32"/>
          <w:szCs w:val="32"/>
        </w:rPr>
      </w:pPr>
      <w:r w:rsidRPr="0088126D">
        <w:rPr>
          <w:b/>
          <w:bCs/>
          <w:color w:val="auto"/>
          <w:sz w:val="32"/>
          <w:szCs w:val="32"/>
        </w:rPr>
        <w:t xml:space="preserve">Sharmin Jahan Bithy </w:t>
      </w:r>
    </w:p>
    <w:p w14:paraId="6AAEA805" w14:textId="4597CEB0" w:rsidR="0088126D" w:rsidRPr="0088126D" w:rsidRDefault="0088126D" w:rsidP="00007063">
      <w:pPr>
        <w:pStyle w:val="Title"/>
        <w:spacing w:line="360" w:lineRule="auto"/>
        <w:rPr>
          <w:b/>
          <w:bCs/>
          <w:color w:val="auto"/>
          <w:sz w:val="32"/>
          <w:szCs w:val="32"/>
        </w:rPr>
      </w:pPr>
      <w:r w:rsidRPr="0088126D">
        <w:rPr>
          <w:b/>
          <w:bCs/>
          <w:color w:val="auto"/>
          <w:sz w:val="32"/>
          <w:szCs w:val="32"/>
        </w:rPr>
        <w:t>ID: 2439522</w:t>
      </w:r>
    </w:p>
    <w:p w14:paraId="05F0E705" w14:textId="77777777" w:rsidR="0088126D" w:rsidRPr="0088126D" w:rsidRDefault="0088126D" w:rsidP="00007063">
      <w:pPr>
        <w:pStyle w:val="Title"/>
        <w:spacing w:line="360" w:lineRule="auto"/>
        <w:rPr>
          <w:b/>
          <w:bCs/>
          <w:color w:val="auto"/>
          <w:sz w:val="32"/>
          <w:szCs w:val="32"/>
        </w:rPr>
      </w:pPr>
    </w:p>
    <w:p w14:paraId="09CFA561" w14:textId="77777777" w:rsidR="000F7463" w:rsidRPr="0088126D" w:rsidRDefault="006047D6" w:rsidP="00007063">
      <w:pPr>
        <w:spacing w:line="360" w:lineRule="auto"/>
        <w:jc w:val="center"/>
        <w:rPr>
          <w:b/>
          <w:bCs/>
          <w:color w:val="auto"/>
          <w:sz w:val="32"/>
          <w:szCs w:val="32"/>
        </w:rPr>
      </w:pPr>
      <w:r w:rsidRPr="0088126D">
        <w:rPr>
          <w:b/>
          <w:bCs/>
          <w:color w:val="auto"/>
          <w:sz w:val="32"/>
          <w:szCs w:val="32"/>
        </w:rPr>
        <w:t>Module: BMMB7006 Global Business Challenges</w:t>
      </w:r>
    </w:p>
    <w:p w14:paraId="7E081D27" w14:textId="748A1B70" w:rsidR="000F7463" w:rsidRPr="0088126D" w:rsidRDefault="006047D6" w:rsidP="00007063">
      <w:pPr>
        <w:spacing w:line="360" w:lineRule="auto"/>
        <w:jc w:val="center"/>
        <w:rPr>
          <w:b/>
          <w:bCs/>
          <w:color w:val="auto"/>
          <w:sz w:val="32"/>
          <w:szCs w:val="32"/>
        </w:rPr>
      </w:pPr>
      <w:r w:rsidRPr="0088126D">
        <w:rPr>
          <w:b/>
          <w:bCs/>
          <w:color w:val="auto"/>
          <w:sz w:val="32"/>
          <w:szCs w:val="32"/>
        </w:rPr>
        <w:t xml:space="preserve">Programme: MBA </w:t>
      </w:r>
    </w:p>
    <w:p w14:paraId="185353BC" w14:textId="714B9A49" w:rsidR="000F7463" w:rsidRPr="0088126D" w:rsidRDefault="0088126D" w:rsidP="00007063">
      <w:pPr>
        <w:spacing w:line="360" w:lineRule="auto"/>
        <w:jc w:val="center"/>
        <w:rPr>
          <w:b/>
          <w:bCs/>
          <w:color w:val="auto"/>
          <w:sz w:val="32"/>
          <w:szCs w:val="32"/>
        </w:rPr>
      </w:pPr>
      <w:r w:rsidRPr="0088126D">
        <w:rPr>
          <w:b/>
          <w:bCs/>
          <w:color w:val="auto"/>
          <w:sz w:val="32"/>
          <w:szCs w:val="32"/>
        </w:rPr>
        <w:t xml:space="preserve">27 </w:t>
      </w:r>
      <w:r w:rsidR="006047D6" w:rsidRPr="0088126D">
        <w:rPr>
          <w:b/>
          <w:bCs/>
          <w:color w:val="auto"/>
          <w:sz w:val="32"/>
          <w:szCs w:val="32"/>
        </w:rPr>
        <w:t>April 2026</w:t>
      </w:r>
    </w:p>
    <w:p w14:paraId="7C6AD36F" w14:textId="293E3F57" w:rsidR="0088126D" w:rsidRPr="0088126D" w:rsidRDefault="0088126D" w:rsidP="00007063">
      <w:pPr>
        <w:spacing w:line="360" w:lineRule="auto"/>
        <w:jc w:val="center"/>
        <w:rPr>
          <w:b/>
          <w:bCs/>
          <w:color w:val="auto"/>
          <w:sz w:val="32"/>
          <w:szCs w:val="32"/>
        </w:rPr>
      </w:pPr>
    </w:p>
    <w:p w14:paraId="5410A361" w14:textId="6AF1F9C8" w:rsidR="0088126D" w:rsidRPr="0088126D" w:rsidRDefault="0088126D" w:rsidP="00007063">
      <w:pPr>
        <w:spacing w:line="360" w:lineRule="auto"/>
        <w:jc w:val="center"/>
        <w:rPr>
          <w:b/>
          <w:bCs/>
          <w:color w:val="auto"/>
          <w:sz w:val="32"/>
          <w:szCs w:val="32"/>
        </w:rPr>
      </w:pPr>
      <w:r w:rsidRPr="0088126D">
        <w:rPr>
          <w:b/>
          <w:bCs/>
          <w:color w:val="auto"/>
          <w:sz w:val="32"/>
          <w:szCs w:val="32"/>
        </w:rPr>
        <w:t xml:space="preserve">Word Count: </w:t>
      </w:r>
      <w:r>
        <w:rPr>
          <w:b/>
          <w:bCs/>
          <w:color w:val="auto"/>
          <w:sz w:val="32"/>
          <w:szCs w:val="32"/>
        </w:rPr>
        <w:t>5091</w:t>
      </w:r>
    </w:p>
    <w:p w14:paraId="69D6F18D" w14:textId="77777777" w:rsidR="0088126D" w:rsidRPr="0088126D" w:rsidRDefault="0088126D" w:rsidP="00007063">
      <w:pPr>
        <w:spacing w:line="360" w:lineRule="auto"/>
        <w:jc w:val="center"/>
        <w:rPr>
          <w:b/>
          <w:bCs/>
          <w:sz w:val="32"/>
          <w:szCs w:val="32"/>
        </w:rPr>
      </w:pPr>
    </w:p>
    <w:p w14:paraId="4FC022CC" w14:textId="77777777" w:rsidR="000F7463" w:rsidRPr="006E3FCF" w:rsidRDefault="006047D6" w:rsidP="00007063">
      <w:pPr>
        <w:spacing w:line="360" w:lineRule="auto"/>
        <w:jc w:val="both"/>
        <w:rPr>
          <w:rFonts w:ascii="Times New Roman" w:hAnsi="Times New Roman" w:cs="Times New Roman"/>
          <w:b/>
          <w:bCs/>
        </w:rPr>
      </w:pPr>
      <w:r w:rsidRPr="006E3FCF">
        <w:rPr>
          <w:rFonts w:ascii="Times New Roman" w:hAnsi="Times New Roman" w:cs="Times New Roman"/>
          <w:b/>
          <w:bCs/>
        </w:rPr>
        <w:br w:type="page"/>
      </w:r>
    </w:p>
    <w:p w14:paraId="1903BB3D" w14:textId="77777777" w:rsidR="000F7463" w:rsidRPr="00F264AF" w:rsidRDefault="006047D6" w:rsidP="0088126D">
      <w:pPr>
        <w:pStyle w:val="Heading1"/>
      </w:pPr>
      <w:bookmarkStart w:id="0" w:name="_Toc228204479"/>
      <w:r w:rsidRPr="009C7382">
        <w:lastRenderedPageBreak/>
        <w:t>Executive</w:t>
      </w:r>
      <w:r w:rsidRPr="00F264AF">
        <w:t xml:space="preserve"> Summary</w:t>
      </w:r>
      <w:bookmarkEnd w:id="0"/>
    </w:p>
    <w:p w14:paraId="637F49AB" w14:textId="6DAE12A4" w:rsidR="004D2FE8" w:rsidRPr="004D2FE8" w:rsidRDefault="004D2FE8"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report is prepared on behalf of RFD Global </w:t>
      </w:r>
      <w:r w:rsidR="005C58E6">
        <w:rPr>
          <w:rFonts w:ascii="Times New Roman" w:hAnsi="Times New Roman" w:cs="Times New Roman"/>
          <w:sz w:val="24"/>
          <w:szCs w:val="24"/>
        </w:rPr>
        <w:t>as part of the internship application</w:t>
      </w:r>
      <w:r w:rsidRPr="004D2FE8">
        <w:rPr>
          <w:rFonts w:ascii="Times New Roman" w:hAnsi="Times New Roman" w:cs="Times New Roman"/>
          <w:sz w:val="24"/>
          <w:szCs w:val="24"/>
        </w:rPr>
        <w:t xml:space="preserve">. It provides a strategic advisory report on International Business Machines Corporation (IBM) as the </w:t>
      </w:r>
      <w:r w:rsidR="005C58E6">
        <w:rPr>
          <w:rFonts w:ascii="Times New Roman" w:hAnsi="Times New Roman" w:cs="Times New Roman"/>
          <w:sz w:val="24"/>
          <w:szCs w:val="24"/>
        </w:rPr>
        <w:t>rapid development of artificial intelligence unfolds in the backdrop, and what it may bring for</w:t>
      </w:r>
      <w:r w:rsidRPr="004D2FE8">
        <w:rPr>
          <w:rFonts w:ascii="Times New Roman" w:hAnsi="Times New Roman" w:cs="Times New Roman"/>
          <w:sz w:val="24"/>
          <w:szCs w:val="24"/>
        </w:rPr>
        <w:t xml:space="preserve"> risk management, data governance, regulatory compliance, and customer trust. The case study is based on the operations of IBM in the United Kingdom and the United States - two jurisdictions with radically different regulatory philosophies towards AI, and offers a two-way compliance framework.</w:t>
      </w:r>
    </w:p>
    <w:p w14:paraId="2539FE5D" w14:textId="531069B0" w:rsidR="004D2FE8" w:rsidRPr="004D2FE8" w:rsidRDefault="004D2FE8"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report identifies regulatory differences between the UK and the US as the most significant near-term external threat to IBM, and technological displacement by generative AI competitors and growing scrutiny of algorithmic responsibility in society as the second and third-ranked threats, respectively, through the use of PESTLE analysis, </w:t>
      </w:r>
      <w:r w:rsidR="005C58E6">
        <w:rPr>
          <w:rFonts w:ascii="Times New Roman" w:hAnsi="Times New Roman" w:cs="Times New Roman"/>
          <w:sz w:val="24"/>
          <w:szCs w:val="24"/>
        </w:rPr>
        <w:t>Porter's</w:t>
      </w:r>
      <w:r w:rsidRPr="004D2FE8">
        <w:rPr>
          <w:rFonts w:ascii="Times New Roman" w:hAnsi="Times New Roman" w:cs="Times New Roman"/>
          <w:sz w:val="24"/>
          <w:szCs w:val="24"/>
        </w:rPr>
        <w:t xml:space="preserve"> Five Forces, and a systematic risk register.</w:t>
      </w:r>
    </w:p>
    <w:p w14:paraId="3CDFF613" w14:textId="7F33CC2A" w:rsidR="004D2FE8" w:rsidRPr="004D2FE8" w:rsidRDefault="004D2FE8"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report suggests </w:t>
      </w:r>
      <w:r w:rsidR="005C58E6">
        <w:rPr>
          <w:rFonts w:ascii="Times New Roman" w:hAnsi="Times New Roman" w:cs="Times New Roman"/>
          <w:sz w:val="24"/>
          <w:szCs w:val="24"/>
        </w:rPr>
        <w:t xml:space="preserve">an </w:t>
      </w:r>
      <w:r w:rsidRPr="004D2FE8">
        <w:rPr>
          <w:rFonts w:ascii="Times New Roman" w:hAnsi="Times New Roman" w:cs="Times New Roman"/>
          <w:sz w:val="24"/>
          <w:szCs w:val="24"/>
        </w:rPr>
        <w:t xml:space="preserve">implementation plan comprising three horizons </w:t>
      </w:r>
      <w:r w:rsidR="005C58E6">
        <w:rPr>
          <w:rFonts w:ascii="Times New Roman" w:hAnsi="Times New Roman" w:cs="Times New Roman"/>
          <w:sz w:val="24"/>
          <w:szCs w:val="24"/>
        </w:rPr>
        <w:t>over 36 months</w:t>
      </w:r>
      <w:r w:rsidRPr="004D2FE8">
        <w:rPr>
          <w:rFonts w:ascii="Times New Roman" w:hAnsi="Times New Roman" w:cs="Times New Roman"/>
          <w:sz w:val="24"/>
          <w:szCs w:val="24"/>
        </w:rPr>
        <w:t xml:space="preserve"> and an approximate total investment of USD 9.3 million. The short-term objectives are a company-wide AI governance audit, a specialised regulatory intelligence office with an augmented outside law firm, and </w:t>
      </w:r>
      <w:r w:rsidR="005C58E6">
        <w:rPr>
          <w:rFonts w:ascii="Times New Roman" w:hAnsi="Times New Roman" w:cs="Times New Roman"/>
          <w:sz w:val="24"/>
          <w:szCs w:val="24"/>
        </w:rPr>
        <w:t xml:space="preserve">a </w:t>
      </w:r>
      <w:r w:rsidRPr="004D2FE8">
        <w:rPr>
          <w:rFonts w:ascii="Times New Roman" w:hAnsi="Times New Roman" w:cs="Times New Roman"/>
          <w:sz w:val="24"/>
          <w:szCs w:val="24"/>
        </w:rPr>
        <w:t xml:space="preserve">mandatory AI literacy platform. In </w:t>
      </w:r>
      <w:r w:rsidR="005C58E6">
        <w:rPr>
          <w:rFonts w:ascii="Times New Roman" w:hAnsi="Times New Roman" w:cs="Times New Roman"/>
          <w:sz w:val="24"/>
          <w:szCs w:val="24"/>
        </w:rPr>
        <w:t xml:space="preserve">the medium term, IBM must institutionalise an independent AI Ethics Board, conduct periodic independent third-party reviews of AI, and implement automated bias detection across the </w:t>
      </w:r>
      <w:r w:rsidRPr="004D2FE8">
        <w:rPr>
          <w:rFonts w:ascii="Times New Roman" w:hAnsi="Times New Roman" w:cs="Times New Roman"/>
          <w:sz w:val="24"/>
          <w:szCs w:val="24"/>
        </w:rPr>
        <w:t xml:space="preserve">WatsonX deployment pipeline. A client-facing Responsible AI Certification programme and </w:t>
      </w:r>
      <w:r w:rsidR="005C58E6">
        <w:rPr>
          <w:rFonts w:ascii="Times New Roman" w:hAnsi="Times New Roman" w:cs="Times New Roman"/>
          <w:sz w:val="24"/>
          <w:szCs w:val="24"/>
        </w:rPr>
        <w:t xml:space="preserve">investments in quantum-safe infrastructure </w:t>
      </w:r>
      <w:r w:rsidRPr="004D2FE8">
        <w:rPr>
          <w:rFonts w:ascii="Times New Roman" w:hAnsi="Times New Roman" w:cs="Times New Roman"/>
          <w:sz w:val="24"/>
          <w:szCs w:val="24"/>
        </w:rPr>
        <w:t xml:space="preserve">can </w:t>
      </w:r>
      <w:r w:rsidR="005C58E6">
        <w:rPr>
          <w:rFonts w:ascii="Times New Roman" w:hAnsi="Times New Roman" w:cs="Times New Roman"/>
          <w:sz w:val="24"/>
          <w:szCs w:val="24"/>
        </w:rPr>
        <w:t>help IBM convert its governance leadership into</w:t>
      </w:r>
      <w:r w:rsidRPr="004D2FE8">
        <w:rPr>
          <w:rFonts w:ascii="Times New Roman" w:hAnsi="Times New Roman" w:cs="Times New Roman"/>
          <w:sz w:val="24"/>
          <w:szCs w:val="24"/>
        </w:rPr>
        <w:t xml:space="preserve"> a sustainable competitive advantage over the long term.</w:t>
      </w:r>
    </w:p>
    <w:p w14:paraId="5D156151" w14:textId="685467FA" w:rsidR="000F7463" w:rsidRPr="004D2FE8" w:rsidRDefault="004D2FE8"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recommendations below are </w:t>
      </w:r>
      <w:r w:rsidR="005C58E6">
        <w:rPr>
          <w:rFonts w:ascii="Times New Roman" w:hAnsi="Times New Roman" w:cs="Times New Roman"/>
          <w:sz w:val="24"/>
          <w:szCs w:val="24"/>
        </w:rPr>
        <w:t>intended to be proactive, as per the regulations, rather than</w:t>
      </w:r>
      <w:r w:rsidRPr="004D2FE8">
        <w:rPr>
          <w:rFonts w:ascii="Times New Roman" w:hAnsi="Times New Roman" w:cs="Times New Roman"/>
          <w:sz w:val="24"/>
          <w:szCs w:val="24"/>
        </w:rPr>
        <w:t xml:space="preserve"> reactive to current needs. </w:t>
      </w:r>
      <w:r w:rsidR="005C58E6">
        <w:rPr>
          <w:rFonts w:ascii="Times New Roman" w:hAnsi="Times New Roman" w:cs="Times New Roman"/>
          <w:sz w:val="24"/>
          <w:szCs w:val="24"/>
        </w:rPr>
        <w:t>IBM's institutional positions are credible, which allow it to establish the rules of good governance in the industry, and this report believes that strong</w:t>
      </w:r>
      <w:r w:rsidRPr="004D2FE8">
        <w:rPr>
          <w:rFonts w:ascii="Times New Roman" w:hAnsi="Times New Roman" w:cs="Times New Roman"/>
          <w:sz w:val="24"/>
          <w:szCs w:val="24"/>
        </w:rPr>
        <w:t xml:space="preserve"> AI governance is not a cost burden but a strategic differentiator.</w:t>
      </w:r>
    </w:p>
    <w:p w14:paraId="79670382" w14:textId="77777777" w:rsidR="00587CBC" w:rsidRPr="00F264AF" w:rsidRDefault="00587CBC" w:rsidP="00007063">
      <w:pPr>
        <w:spacing w:line="360" w:lineRule="auto"/>
        <w:rPr>
          <w:rFonts w:ascii="Times New Roman" w:hAnsi="Times New Roman" w:cs="Times New Roman"/>
        </w:rPr>
      </w:pPr>
      <w:r w:rsidRPr="00F264AF">
        <w:rPr>
          <w:rFonts w:ascii="Times New Roman" w:hAnsi="Times New Roman" w:cs="Times New Roman"/>
        </w:rPr>
        <w:br w:type="page"/>
      </w:r>
    </w:p>
    <w:sdt>
      <w:sdtPr>
        <w:rPr>
          <w:rFonts w:ascii="Arial" w:eastAsia="Arial" w:hAnsi="Arial" w:cs="Arial"/>
          <w:color w:val="1A1A2E"/>
          <w:sz w:val="22"/>
          <w:szCs w:val="22"/>
        </w:rPr>
        <w:id w:val="-103888267"/>
        <w:docPartObj>
          <w:docPartGallery w:val="Table of Contents"/>
          <w:docPartUnique/>
        </w:docPartObj>
      </w:sdtPr>
      <w:sdtEndPr>
        <w:rPr>
          <w:b/>
          <w:bCs/>
          <w:noProof/>
        </w:rPr>
      </w:sdtEndPr>
      <w:sdtContent>
        <w:p w14:paraId="058F3563" w14:textId="6192E328" w:rsidR="005E5349" w:rsidRDefault="005E5349" w:rsidP="0088126D">
          <w:pPr>
            <w:pStyle w:val="TOCHeading"/>
          </w:pPr>
          <w:r>
            <w:t>Table of Contents</w:t>
          </w:r>
        </w:p>
        <w:p w14:paraId="3EA1D6FB" w14:textId="75856FD8" w:rsidR="005B44C3" w:rsidRDefault="005E5349" w:rsidP="00007063">
          <w:pPr>
            <w:pStyle w:val="TOC1"/>
            <w:tabs>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28204479" w:history="1">
            <w:r w:rsidR="005B44C3" w:rsidRPr="00892720">
              <w:rPr>
                <w:rStyle w:val="Hyperlink"/>
                <w:noProof/>
              </w:rPr>
              <w:t>Executive Summary</w:t>
            </w:r>
            <w:r w:rsidR="005B44C3">
              <w:rPr>
                <w:noProof/>
                <w:webHidden/>
              </w:rPr>
              <w:tab/>
            </w:r>
            <w:r w:rsidR="005B44C3">
              <w:rPr>
                <w:noProof/>
                <w:webHidden/>
              </w:rPr>
              <w:fldChar w:fldCharType="begin"/>
            </w:r>
            <w:r w:rsidR="005B44C3">
              <w:rPr>
                <w:noProof/>
                <w:webHidden/>
              </w:rPr>
              <w:instrText xml:space="preserve"> PAGEREF _Toc228204479 \h </w:instrText>
            </w:r>
            <w:r w:rsidR="005B44C3">
              <w:rPr>
                <w:noProof/>
                <w:webHidden/>
              </w:rPr>
            </w:r>
            <w:r w:rsidR="005B44C3">
              <w:rPr>
                <w:noProof/>
                <w:webHidden/>
              </w:rPr>
              <w:fldChar w:fldCharType="separate"/>
            </w:r>
            <w:r w:rsidR="0088126D">
              <w:rPr>
                <w:noProof/>
                <w:webHidden/>
              </w:rPr>
              <w:t>2</w:t>
            </w:r>
            <w:r w:rsidR="005B44C3">
              <w:rPr>
                <w:noProof/>
                <w:webHidden/>
              </w:rPr>
              <w:fldChar w:fldCharType="end"/>
            </w:r>
          </w:hyperlink>
        </w:p>
        <w:p w14:paraId="61C12D01" w14:textId="7272CF40" w:rsidR="005B44C3" w:rsidRDefault="005F1410" w:rsidP="00007063">
          <w:pPr>
            <w:pStyle w:val="TOC1"/>
            <w:tabs>
              <w:tab w:val="left" w:pos="48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0" w:history="1">
            <w:r w:rsidR="005B44C3" w:rsidRPr="00892720">
              <w:rPr>
                <w:rStyle w:val="Hyperlink"/>
                <w:noProof/>
              </w:rPr>
              <w:t>1.</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Introduction</w:t>
            </w:r>
            <w:r w:rsidR="005B44C3">
              <w:rPr>
                <w:noProof/>
                <w:webHidden/>
              </w:rPr>
              <w:tab/>
            </w:r>
            <w:r w:rsidR="005B44C3">
              <w:rPr>
                <w:noProof/>
                <w:webHidden/>
              </w:rPr>
              <w:fldChar w:fldCharType="begin"/>
            </w:r>
            <w:r w:rsidR="005B44C3">
              <w:rPr>
                <w:noProof/>
                <w:webHidden/>
              </w:rPr>
              <w:instrText xml:space="preserve"> PAGEREF _Toc228204480 \h </w:instrText>
            </w:r>
            <w:r w:rsidR="005B44C3">
              <w:rPr>
                <w:noProof/>
                <w:webHidden/>
              </w:rPr>
            </w:r>
            <w:r w:rsidR="005B44C3">
              <w:rPr>
                <w:noProof/>
                <w:webHidden/>
              </w:rPr>
              <w:fldChar w:fldCharType="separate"/>
            </w:r>
            <w:r w:rsidR="0088126D">
              <w:rPr>
                <w:noProof/>
                <w:webHidden/>
              </w:rPr>
              <w:t>4</w:t>
            </w:r>
            <w:r w:rsidR="005B44C3">
              <w:rPr>
                <w:noProof/>
                <w:webHidden/>
              </w:rPr>
              <w:fldChar w:fldCharType="end"/>
            </w:r>
          </w:hyperlink>
        </w:p>
        <w:p w14:paraId="4AE866B0" w14:textId="01FB3920" w:rsidR="005B44C3" w:rsidRDefault="005F1410" w:rsidP="00007063">
          <w:pPr>
            <w:pStyle w:val="TOC1"/>
            <w:tabs>
              <w:tab w:val="left" w:pos="48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1" w:history="1">
            <w:r w:rsidR="005B44C3" w:rsidRPr="00892720">
              <w:rPr>
                <w:rStyle w:val="Hyperlink"/>
                <w:noProof/>
              </w:rPr>
              <w:t>2.</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Main Findings</w:t>
            </w:r>
            <w:r w:rsidR="005B44C3">
              <w:rPr>
                <w:noProof/>
                <w:webHidden/>
              </w:rPr>
              <w:tab/>
            </w:r>
            <w:r w:rsidR="005B44C3">
              <w:rPr>
                <w:noProof/>
                <w:webHidden/>
              </w:rPr>
              <w:fldChar w:fldCharType="begin"/>
            </w:r>
            <w:r w:rsidR="005B44C3">
              <w:rPr>
                <w:noProof/>
                <w:webHidden/>
              </w:rPr>
              <w:instrText xml:space="preserve"> PAGEREF _Toc228204481 \h </w:instrText>
            </w:r>
            <w:r w:rsidR="005B44C3">
              <w:rPr>
                <w:noProof/>
                <w:webHidden/>
              </w:rPr>
            </w:r>
            <w:r w:rsidR="005B44C3">
              <w:rPr>
                <w:noProof/>
                <w:webHidden/>
              </w:rPr>
              <w:fldChar w:fldCharType="separate"/>
            </w:r>
            <w:r w:rsidR="0088126D">
              <w:rPr>
                <w:noProof/>
                <w:webHidden/>
              </w:rPr>
              <w:t>5</w:t>
            </w:r>
            <w:r w:rsidR="005B44C3">
              <w:rPr>
                <w:noProof/>
                <w:webHidden/>
              </w:rPr>
              <w:fldChar w:fldCharType="end"/>
            </w:r>
          </w:hyperlink>
        </w:p>
        <w:p w14:paraId="50B85A48" w14:textId="762F01D0"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2" w:history="1">
            <w:r w:rsidR="005B44C3" w:rsidRPr="00892720">
              <w:rPr>
                <w:rStyle w:val="Hyperlink"/>
                <w:noProof/>
              </w:rPr>
              <w:t>2.1</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Political and Regulatory Landscape: Diverging Transatlantic AI Governance</w:t>
            </w:r>
            <w:r w:rsidR="005B44C3">
              <w:rPr>
                <w:noProof/>
                <w:webHidden/>
              </w:rPr>
              <w:tab/>
            </w:r>
            <w:r w:rsidR="005B44C3">
              <w:rPr>
                <w:noProof/>
                <w:webHidden/>
              </w:rPr>
              <w:fldChar w:fldCharType="begin"/>
            </w:r>
            <w:r w:rsidR="005B44C3">
              <w:rPr>
                <w:noProof/>
                <w:webHidden/>
              </w:rPr>
              <w:instrText xml:space="preserve"> PAGEREF _Toc228204482 \h </w:instrText>
            </w:r>
            <w:r w:rsidR="005B44C3">
              <w:rPr>
                <w:noProof/>
                <w:webHidden/>
              </w:rPr>
            </w:r>
            <w:r w:rsidR="005B44C3">
              <w:rPr>
                <w:noProof/>
                <w:webHidden/>
              </w:rPr>
              <w:fldChar w:fldCharType="separate"/>
            </w:r>
            <w:r w:rsidR="0088126D">
              <w:rPr>
                <w:noProof/>
                <w:webHidden/>
              </w:rPr>
              <w:t>5</w:t>
            </w:r>
            <w:r w:rsidR="005B44C3">
              <w:rPr>
                <w:noProof/>
                <w:webHidden/>
              </w:rPr>
              <w:fldChar w:fldCharType="end"/>
            </w:r>
          </w:hyperlink>
        </w:p>
        <w:p w14:paraId="4B6C6F05" w14:textId="7C383A7A"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3" w:history="1">
            <w:r w:rsidR="005B44C3" w:rsidRPr="00892720">
              <w:rPr>
                <w:rStyle w:val="Hyperlink"/>
                <w:noProof/>
              </w:rPr>
              <w:t>2.2</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Macroeconomic Pressures and the Global AI Technology Market</w:t>
            </w:r>
            <w:r w:rsidR="005B44C3">
              <w:rPr>
                <w:noProof/>
                <w:webHidden/>
              </w:rPr>
              <w:tab/>
            </w:r>
            <w:r w:rsidR="005B44C3">
              <w:rPr>
                <w:noProof/>
                <w:webHidden/>
              </w:rPr>
              <w:fldChar w:fldCharType="begin"/>
            </w:r>
            <w:r w:rsidR="005B44C3">
              <w:rPr>
                <w:noProof/>
                <w:webHidden/>
              </w:rPr>
              <w:instrText xml:space="preserve"> PAGEREF _Toc228204483 \h </w:instrText>
            </w:r>
            <w:r w:rsidR="005B44C3">
              <w:rPr>
                <w:noProof/>
                <w:webHidden/>
              </w:rPr>
            </w:r>
            <w:r w:rsidR="005B44C3">
              <w:rPr>
                <w:noProof/>
                <w:webHidden/>
              </w:rPr>
              <w:fldChar w:fldCharType="separate"/>
            </w:r>
            <w:r w:rsidR="0088126D">
              <w:rPr>
                <w:noProof/>
                <w:webHidden/>
              </w:rPr>
              <w:t>5</w:t>
            </w:r>
            <w:r w:rsidR="005B44C3">
              <w:rPr>
                <w:noProof/>
                <w:webHidden/>
              </w:rPr>
              <w:fldChar w:fldCharType="end"/>
            </w:r>
          </w:hyperlink>
        </w:p>
        <w:p w14:paraId="19EBFE1E" w14:textId="7ED52824"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4" w:history="1">
            <w:r w:rsidR="005B44C3" w:rsidRPr="00892720">
              <w:rPr>
                <w:rStyle w:val="Hyperlink"/>
                <w:noProof/>
              </w:rPr>
              <w:t>2.3</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Societal Expectations, Workforce Disruption and Public Trust</w:t>
            </w:r>
            <w:r w:rsidR="005B44C3">
              <w:rPr>
                <w:noProof/>
                <w:webHidden/>
              </w:rPr>
              <w:tab/>
            </w:r>
            <w:r w:rsidR="005B44C3">
              <w:rPr>
                <w:noProof/>
                <w:webHidden/>
              </w:rPr>
              <w:fldChar w:fldCharType="begin"/>
            </w:r>
            <w:r w:rsidR="005B44C3">
              <w:rPr>
                <w:noProof/>
                <w:webHidden/>
              </w:rPr>
              <w:instrText xml:space="preserve"> PAGEREF _Toc228204484 \h </w:instrText>
            </w:r>
            <w:r w:rsidR="005B44C3">
              <w:rPr>
                <w:noProof/>
                <w:webHidden/>
              </w:rPr>
            </w:r>
            <w:r w:rsidR="005B44C3">
              <w:rPr>
                <w:noProof/>
                <w:webHidden/>
              </w:rPr>
              <w:fldChar w:fldCharType="separate"/>
            </w:r>
            <w:r w:rsidR="0088126D">
              <w:rPr>
                <w:noProof/>
                <w:webHidden/>
              </w:rPr>
              <w:t>6</w:t>
            </w:r>
            <w:r w:rsidR="005B44C3">
              <w:rPr>
                <w:noProof/>
                <w:webHidden/>
              </w:rPr>
              <w:fldChar w:fldCharType="end"/>
            </w:r>
          </w:hyperlink>
        </w:p>
        <w:p w14:paraId="0D807C93" w14:textId="71797BF3"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5" w:history="1">
            <w:r w:rsidR="005B44C3" w:rsidRPr="00892720">
              <w:rPr>
                <w:rStyle w:val="Hyperlink"/>
                <w:noProof/>
              </w:rPr>
              <w:t>2.4</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Technological Transformation: Generative AI, Watson and Hybrid Cloud</w:t>
            </w:r>
            <w:r w:rsidR="005B44C3">
              <w:rPr>
                <w:noProof/>
                <w:webHidden/>
              </w:rPr>
              <w:tab/>
            </w:r>
            <w:r w:rsidR="005B44C3">
              <w:rPr>
                <w:noProof/>
                <w:webHidden/>
              </w:rPr>
              <w:fldChar w:fldCharType="begin"/>
            </w:r>
            <w:r w:rsidR="005B44C3">
              <w:rPr>
                <w:noProof/>
                <w:webHidden/>
              </w:rPr>
              <w:instrText xml:space="preserve"> PAGEREF _Toc228204485 \h </w:instrText>
            </w:r>
            <w:r w:rsidR="005B44C3">
              <w:rPr>
                <w:noProof/>
                <w:webHidden/>
              </w:rPr>
            </w:r>
            <w:r w:rsidR="005B44C3">
              <w:rPr>
                <w:noProof/>
                <w:webHidden/>
              </w:rPr>
              <w:fldChar w:fldCharType="separate"/>
            </w:r>
            <w:r w:rsidR="0088126D">
              <w:rPr>
                <w:noProof/>
                <w:webHidden/>
              </w:rPr>
              <w:t>7</w:t>
            </w:r>
            <w:r w:rsidR="005B44C3">
              <w:rPr>
                <w:noProof/>
                <w:webHidden/>
              </w:rPr>
              <w:fldChar w:fldCharType="end"/>
            </w:r>
          </w:hyperlink>
        </w:p>
        <w:p w14:paraId="1537C54F" w14:textId="322D8C80"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6" w:history="1">
            <w:r w:rsidR="005B44C3" w:rsidRPr="00892720">
              <w:rPr>
                <w:rStyle w:val="Hyperlink"/>
                <w:noProof/>
              </w:rPr>
              <w:t>2.5</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Legal Accountability: Data Protection, Liability and Cross-Border Compliance</w:t>
            </w:r>
            <w:r w:rsidR="005B44C3">
              <w:rPr>
                <w:noProof/>
                <w:webHidden/>
              </w:rPr>
              <w:tab/>
            </w:r>
            <w:r w:rsidR="005B44C3">
              <w:rPr>
                <w:noProof/>
                <w:webHidden/>
              </w:rPr>
              <w:fldChar w:fldCharType="begin"/>
            </w:r>
            <w:r w:rsidR="005B44C3">
              <w:rPr>
                <w:noProof/>
                <w:webHidden/>
              </w:rPr>
              <w:instrText xml:space="preserve"> PAGEREF _Toc228204486 \h </w:instrText>
            </w:r>
            <w:r w:rsidR="005B44C3">
              <w:rPr>
                <w:noProof/>
                <w:webHidden/>
              </w:rPr>
            </w:r>
            <w:r w:rsidR="005B44C3">
              <w:rPr>
                <w:noProof/>
                <w:webHidden/>
              </w:rPr>
              <w:fldChar w:fldCharType="separate"/>
            </w:r>
            <w:r w:rsidR="0088126D">
              <w:rPr>
                <w:noProof/>
                <w:webHidden/>
              </w:rPr>
              <w:t>9</w:t>
            </w:r>
            <w:r w:rsidR="005B44C3">
              <w:rPr>
                <w:noProof/>
                <w:webHidden/>
              </w:rPr>
              <w:fldChar w:fldCharType="end"/>
            </w:r>
          </w:hyperlink>
        </w:p>
        <w:p w14:paraId="17991A21" w14:textId="30A64F15"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7" w:history="1">
            <w:r w:rsidR="005B44C3" w:rsidRPr="00892720">
              <w:rPr>
                <w:rStyle w:val="Hyperlink"/>
                <w:noProof/>
              </w:rPr>
              <w:t>2.6</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Environmental Responsibility and the Carbon Cost of AI</w:t>
            </w:r>
            <w:r w:rsidR="005B44C3">
              <w:rPr>
                <w:noProof/>
                <w:webHidden/>
              </w:rPr>
              <w:tab/>
            </w:r>
            <w:r w:rsidR="005B44C3">
              <w:rPr>
                <w:noProof/>
                <w:webHidden/>
              </w:rPr>
              <w:fldChar w:fldCharType="begin"/>
            </w:r>
            <w:r w:rsidR="005B44C3">
              <w:rPr>
                <w:noProof/>
                <w:webHidden/>
              </w:rPr>
              <w:instrText xml:space="preserve"> PAGEREF _Toc228204487 \h </w:instrText>
            </w:r>
            <w:r w:rsidR="005B44C3">
              <w:rPr>
                <w:noProof/>
                <w:webHidden/>
              </w:rPr>
            </w:r>
            <w:r w:rsidR="005B44C3">
              <w:rPr>
                <w:noProof/>
                <w:webHidden/>
              </w:rPr>
              <w:fldChar w:fldCharType="separate"/>
            </w:r>
            <w:r w:rsidR="0088126D">
              <w:rPr>
                <w:noProof/>
                <w:webHidden/>
              </w:rPr>
              <w:t>10</w:t>
            </w:r>
            <w:r w:rsidR="005B44C3">
              <w:rPr>
                <w:noProof/>
                <w:webHidden/>
              </w:rPr>
              <w:fldChar w:fldCharType="end"/>
            </w:r>
          </w:hyperlink>
        </w:p>
        <w:p w14:paraId="678C20D4" w14:textId="5433F2A3"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8" w:history="1">
            <w:r w:rsidR="005B44C3" w:rsidRPr="00892720">
              <w:rPr>
                <w:rStyle w:val="Hyperlink"/>
                <w:noProof/>
              </w:rPr>
              <w:t>2.7</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AI Risk Management: Governance Gaps, Ethical Exposure and Reputational Risk</w:t>
            </w:r>
            <w:r w:rsidR="005B44C3">
              <w:rPr>
                <w:noProof/>
                <w:webHidden/>
              </w:rPr>
              <w:tab/>
            </w:r>
            <w:r w:rsidR="005B44C3">
              <w:rPr>
                <w:noProof/>
                <w:webHidden/>
              </w:rPr>
              <w:fldChar w:fldCharType="begin"/>
            </w:r>
            <w:r w:rsidR="005B44C3">
              <w:rPr>
                <w:noProof/>
                <w:webHidden/>
              </w:rPr>
              <w:instrText xml:space="preserve"> PAGEREF _Toc228204488 \h </w:instrText>
            </w:r>
            <w:r w:rsidR="005B44C3">
              <w:rPr>
                <w:noProof/>
                <w:webHidden/>
              </w:rPr>
            </w:r>
            <w:r w:rsidR="005B44C3">
              <w:rPr>
                <w:noProof/>
                <w:webHidden/>
              </w:rPr>
              <w:fldChar w:fldCharType="separate"/>
            </w:r>
            <w:r w:rsidR="0088126D">
              <w:rPr>
                <w:noProof/>
                <w:webHidden/>
              </w:rPr>
              <w:t>11</w:t>
            </w:r>
            <w:r w:rsidR="005B44C3">
              <w:rPr>
                <w:noProof/>
                <w:webHidden/>
              </w:rPr>
              <w:fldChar w:fldCharType="end"/>
            </w:r>
          </w:hyperlink>
        </w:p>
        <w:p w14:paraId="05D451BE" w14:textId="1CDD4514" w:rsidR="005B44C3" w:rsidRDefault="005F1410" w:rsidP="00007063">
          <w:pPr>
            <w:pStyle w:val="TOC1"/>
            <w:tabs>
              <w:tab w:val="left" w:pos="48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89" w:history="1">
            <w:r w:rsidR="005B44C3" w:rsidRPr="00892720">
              <w:rPr>
                <w:rStyle w:val="Hyperlink"/>
                <w:noProof/>
              </w:rPr>
              <w:t>3.</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Implementation Plan</w:t>
            </w:r>
            <w:r w:rsidR="005B44C3">
              <w:rPr>
                <w:noProof/>
                <w:webHidden/>
              </w:rPr>
              <w:tab/>
            </w:r>
            <w:r w:rsidR="005B44C3">
              <w:rPr>
                <w:noProof/>
                <w:webHidden/>
              </w:rPr>
              <w:fldChar w:fldCharType="begin"/>
            </w:r>
            <w:r w:rsidR="005B44C3">
              <w:rPr>
                <w:noProof/>
                <w:webHidden/>
              </w:rPr>
              <w:instrText xml:space="preserve"> PAGEREF _Toc228204489 \h </w:instrText>
            </w:r>
            <w:r w:rsidR="005B44C3">
              <w:rPr>
                <w:noProof/>
                <w:webHidden/>
              </w:rPr>
            </w:r>
            <w:r w:rsidR="005B44C3">
              <w:rPr>
                <w:noProof/>
                <w:webHidden/>
              </w:rPr>
              <w:fldChar w:fldCharType="separate"/>
            </w:r>
            <w:r w:rsidR="0088126D">
              <w:rPr>
                <w:noProof/>
                <w:webHidden/>
              </w:rPr>
              <w:t>13</w:t>
            </w:r>
            <w:r w:rsidR="005B44C3">
              <w:rPr>
                <w:noProof/>
                <w:webHidden/>
              </w:rPr>
              <w:fldChar w:fldCharType="end"/>
            </w:r>
          </w:hyperlink>
        </w:p>
        <w:p w14:paraId="3D5088A4" w14:textId="1090F509"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90" w:history="1">
            <w:r w:rsidR="005B44C3" w:rsidRPr="00892720">
              <w:rPr>
                <w:rStyle w:val="Hyperlink"/>
                <w:noProof/>
              </w:rPr>
              <w:t>3.1</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Short-Term Actions (0–6 Months): Governance Audit and Foundation Building</w:t>
            </w:r>
            <w:r w:rsidR="005B44C3">
              <w:rPr>
                <w:noProof/>
                <w:webHidden/>
              </w:rPr>
              <w:tab/>
            </w:r>
            <w:r w:rsidR="005B44C3">
              <w:rPr>
                <w:noProof/>
                <w:webHidden/>
              </w:rPr>
              <w:fldChar w:fldCharType="begin"/>
            </w:r>
            <w:r w:rsidR="005B44C3">
              <w:rPr>
                <w:noProof/>
                <w:webHidden/>
              </w:rPr>
              <w:instrText xml:space="preserve"> PAGEREF _Toc228204490 \h </w:instrText>
            </w:r>
            <w:r w:rsidR="005B44C3">
              <w:rPr>
                <w:noProof/>
                <w:webHidden/>
              </w:rPr>
            </w:r>
            <w:r w:rsidR="005B44C3">
              <w:rPr>
                <w:noProof/>
                <w:webHidden/>
              </w:rPr>
              <w:fldChar w:fldCharType="separate"/>
            </w:r>
            <w:r w:rsidR="0088126D">
              <w:rPr>
                <w:noProof/>
                <w:webHidden/>
              </w:rPr>
              <w:t>13</w:t>
            </w:r>
            <w:r w:rsidR="005B44C3">
              <w:rPr>
                <w:noProof/>
                <w:webHidden/>
              </w:rPr>
              <w:fldChar w:fldCharType="end"/>
            </w:r>
          </w:hyperlink>
        </w:p>
        <w:p w14:paraId="5596D245" w14:textId="6F09E7A2"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91" w:history="1">
            <w:r w:rsidR="005B44C3" w:rsidRPr="00892720">
              <w:rPr>
                <w:rStyle w:val="Hyperlink"/>
                <w:noProof/>
              </w:rPr>
              <w:t>3.2</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Medium-Term Strategy (6–18 Months): Ethics Formalisation and Independent Verification</w:t>
            </w:r>
            <w:r w:rsidR="005B44C3">
              <w:rPr>
                <w:noProof/>
                <w:webHidden/>
              </w:rPr>
              <w:tab/>
            </w:r>
            <w:r w:rsidR="005B44C3">
              <w:rPr>
                <w:noProof/>
                <w:webHidden/>
              </w:rPr>
              <w:fldChar w:fldCharType="begin"/>
            </w:r>
            <w:r w:rsidR="005B44C3">
              <w:rPr>
                <w:noProof/>
                <w:webHidden/>
              </w:rPr>
              <w:instrText xml:space="preserve"> PAGEREF _Toc228204491 \h </w:instrText>
            </w:r>
            <w:r w:rsidR="005B44C3">
              <w:rPr>
                <w:noProof/>
                <w:webHidden/>
              </w:rPr>
            </w:r>
            <w:r w:rsidR="005B44C3">
              <w:rPr>
                <w:noProof/>
                <w:webHidden/>
              </w:rPr>
              <w:fldChar w:fldCharType="separate"/>
            </w:r>
            <w:r w:rsidR="0088126D">
              <w:rPr>
                <w:noProof/>
                <w:webHidden/>
              </w:rPr>
              <w:t>14</w:t>
            </w:r>
            <w:r w:rsidR="005B44C3">
              <w:rPr>
                <w:noProof/>
                <w:webHidden/>
              </w:rPr>
              <w:fldChar w:fldCharType="end"/>
            </w:r>
          </w:hyperlink>
        </w:p>
        <w:p w14:paraId="160D80FA" w14:textId="2E2BB2AC" w:rsidR="005B44C3" w:rsidRDefault="005F1410" w:rsidP="00007063">
          <w:pPr>
            <w:pStyle w:val="TOC2"/>
            <w:tabs>
              <w:tab w:val="left" w:pos="96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92" w:history="1">
            <w:r w:rsidR="005B44C3" w:rsidRPr="00892720">
              <w:rPr>
                <w:rStyle w:val="Hyperlink"/>
                <w:noProof/>
              </w:rPr>
              <w:t>3.3</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Long-Term Vision (18–36 Months): Competitive Advantage and Future-Proofing</w:t>
            </w:r>
            <w:r w:rsidR="005B44C3">
              <w:rPr>
                <w:noProof/>
                <w:webHidden/>
              </w:rPr>
              <w:tab/>
            </w:r>
            <w:r w:rsidR="005B44C3">
              <w:rPr>
                <w:noProof/>
                <w:webHidden/>
              </w:rPr>
              <w:fldChar w:fldCharType="begin"/>
            </w:r>
            <w:r w:rsidR="005B44C3">
              <w:rPr>
                <w:noProof/>
                <w:webHidden/>
              </w:rPr>
              <w:instrText xml:space="preserve"> PAGEREF _Toc228204492 \h </w:instrText>
            </w:r>
            <w:r w:rsidR="005B44C3">
              <w:rPr>
                <w:noProof/>
                <w:webHidden/>
              </w:rPr>
            </w:r>
            <w:r w:rsidR="005B44C3">
              <w:rPr>
                <w:noProof/>
                <w:webHidden/>
              </w:rPr>
              <w:fldChar w:fldCharType="separate"/>
            </w:r>
            <w:r w:rsidR="0088126D">
              <w:rPr>
                <w:noProof/>
                <w:webHidden/>
              </w:rPr>
              <w:t>15</w:t>
            </w:r>
            <w:r w:rsidR="005B44C3">
              <w:rPr>
                <w:noProof/>
                <w:webHidden/>
              </w:rPr>
              <w:fldChar w:fldCharType="end"/>
            </w:r>
          </w:hyperlink>
        </w:p>
        <w:p w14:paraId="1F19BD7B" w14:textId="5DE748B0" w:rsidR="005B44C3" w:rsidRDefault="005F1410" w:rsidP="00007063">
          <w:pPr>
            <w:pStyle w:val="TOC1"/>
            <w:tabs>
              <w:tab w:val="left" w:pos="48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93" w:history="1">
            <w:r w:rsidR="005B44C3" w:rsidRPr="00892720">
              <w:rPr>
                <w:rStyle w:val="Hyperlink"/>
                <w:noProof/>
              </w:rPr>
              <w:t>4.</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Conclusion</w:t>
            </w:r>
            <w:r w:rsidR="005B44C3">
              <w:rPr>
                <w:noProof/>
                <w:webHidden/>
              </w:rPr>
              <w:tab/>
            </w:r>
            <w:r w:rsidR="005B44C3">
              <w:rPr>
                <w:noProof/>
                <w:webHidden/>
              </w:rPr>
              <w:fldChar w:fldCharType="begin"/>
            </w:r>
            <w:r w:rsidR="005B44C3">
              <w:rPr>
                <w:noProof/>
                <w:webHidden/>
              </w:rPr>
              <w:instrText xml:space="preserve"> PAGEREF _Toc228204493 \h </w:instrText>
            </w:r>
            <w:r w:rsidR="005B44C3">
              <w:rPr>
                <w:noProof/>
                <w:webHidden/>
              </w:rPr>
            </w:r>
            <w:r w:rsidR="005B44C3">
              <w:rPr>
                <w:noProof/>
                <w:webHidden/>
              </w:rPr>
              <w:fldChar w:fldCharType="separate"/>
            </w:r>
            <w:r w:rsidR="0088126D">
              <w:rPr>
                <w:noProof/>
                <w:webHidden/>
              </w:rPr>
              <w:t>19</w:t>
            </w:r>
            <w:r w:rsidR="005B44C3">
              <w:rPr>
                <w:noProof/>
                <w:webHidden/>
              </w:rPr>
              <w:fldChar w:fldCharType="end"/>
            </w:r>
          </w:hyperlink>
        </w:p>
        <w:p w14:paraId="3986D62D" w14:textId="6A8470AA" w:rsidR="005B44C3" w:rsidRDefault="005F1410" w:rsidP="00007063">
          <w:pPr>
            <w:pStyle w:val="TOC1"/>
            <w:tabs>
              <w:tab w:val="left" w:pos="480"/>
              <w:tab w:val="right" w:leader="dot" w:pos="9710"/>
            </w:tabs>
            <w:spacing w:after="0" w:line="360" w:lineRule="auto"/>
            <w:rPr>
              <w:rFonts w:asciiTheme="minorHAnsi" w:eastAsiaTheme="minorEastAsia" w:hAnsiTheme="minorHAnsi" w:cstheme="minorBidi"/>
              <w:noProof/>
              <w:color w:val="auto"/>
              <w:kern w:val="2"/>
              <w:sz w:val="24"/>
              <w:szCs w:val="24"/>
              <w14:ligatures w14:val="standardContextual"/>
            </w:rPr>
          </w:pPr>
          <w:hyperlink w:anchor="_Toc228204494" w:history="1">
            <w:r w:rsidR="005B44C3" w:rsidRPr="00892720">
              <w:rPr>
                <w:rStyle w:val="Hyperlink"/>
                <w:noProof/>
              </w:rPr>
              <w:t>5.</w:t>
            </w:r>
            <w:r w:rsidR="005B44C3">
              <w:rPr>
                <w:rFonts w:asciiTheme="minorHAnsi" w:eastAsiaTheme="minorEastAsia" w:hAnsiTheme="minorHAnsi" w:cstheme="minorBidi"/>
                <w:noProof/>
                <w:color w:val="auto"/>
                <w:kern w:val="2"/>
                <w:sz w:val="24"/>
                <w:szCs w:val="24"/>
                <w14:ligatures w14:val="standardContextual"/>
              </w:rPr>
              <w:tab/>
            </w:r>
            <w:r w:rsidR="005B44C3" w:rsidRPr="00892720">
              <w:rPr>
                <w:rStyle w:val="Hyperlink"/>
                <w:noProof/>
              </w:rPr>
              <w:t>Bibliography</w:t>
            </w:r>
            <w:r w:rsidR="005B44C3">
              <w:rPr>
                <w:noProof/>
                <w:webHidden/>
              </w:rPr>
              <w:tab/>
            </w:r>
            <w:r w:rsidR="005B44C3">
              <w:rPr>
                <w:noProof/>
                <w:webHidden/>
              </w:rPr>
              <w:fldChar w:fldCharType="begin"/>
            </w:r>
            <w:r w:rsidR="005B44C3">
              <w:rPr>
                <w:noProof/>
                <w:webHidden/>
              </w:rPr>
              <w:instrText xml:space="preserve"> PAGEREF _Toc228204494 \h </w:instrText>
            </w:r>
            <w:r w:rsidR="005B44C3">
              <w:rPr>
                <w:noProof/>
                <w:webHidden/>
              </w:rPr>
            </w:r>
            <w:r w:rsidR="005B44C3">
              <w:rPr>
                <w:noProof/>
                <w:webHidden/>
              </w:rPr>
              <w:fldChar w:fldCharType="separate"/>
            </w:r>
            <w:r w:rsidR="0088126D">
              <w:rPr>
                <w:noProof/>
                <w:webHidden/>
              </w:rPr>
              <w:t>20</w:t>
            </w:r>
            <w:r w:rsidR="005B44C3">
              <w:rPr>
                <w:noProof/>
                <w:webHidden/>
              </w:rPr>
              <w:fldChar w:fldCharType="end"/>
            </w:r>
          </w:hyperlink>
        </w:p>
        <w:p w14:paraId="61FFC6B1" w14:textId="04D3428F" w:rsidR="005E5349" w:rsidRDefault="005E5349" w:rsidP="00007063">
          <w:pPr>
            <w:spacing w:line="360" w:lineRule="auto"/>
          </w:pPr>
          <w:r>
            <w:rPr>
              <w:b/>
              <w:bCs/>
              <w:noProof/>
            </w:rPr>
            <w:fldChar w:fldCharType="end"/>
          </w:r>
        </w:p>
      </w:sdtContent>
    </w:sdt>
    <w:p w14:paraId="38263A9C" w14:textId="4E1E3F16"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br w:type="page"/>
      </w:r>
    </w:p>
    <w:p w14:paraId="2DA3374F" w14:textId="23FEF84C" w:rsidR="000F7463" w:rsidRPr="00F264AF" w:rsidRDefault="006047D6" w:rsidP="0088126D">
      <w:pPr>
        <w:pStyle w:val="Heading1"/>
      </w:pPr>
      <w:bookmarkStart w:id="1" w:name="_Toc228204480"/>
      <w:r w:rsidRPr="00F264AF">
        <w:lastRenderedPageBreak/>
        <w:t>Introduction</w:t>
      </w:r>
      <w:bookmarkEnd w:id="1"/>
    </w:p>
    <w:p w14:paraId="07AEAE5B" w14:textId="639CDAE4"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AI is no longer an up-and-coming technology but a strategic necessity of multinational companies. McKinsey and Company (2023) </w:t>
      </w:r>
      <w:r w:rsidR="005C58E6">
        <w:rPr>
          <w:rFonts w:ascii="Times New Roman" w:hAnsi="Times New Roman" w:cs="Times New Roman"/>
          <w:sz w:val="24"/>
          <w:szCs w:val="24"/>
        </w:rPr>
        <w:t>projects</w:t>
      </w:r>
      <w:r w:rsidRPr="004D2FE8">
        <w:rPr>
          <w:rFonts w:ascii="Times New Roman" w:hAnsi="Times New Roman" w:cs="Times New Roman"/>
          <w:sz w:val="24"/>
          <w:szCs w:val="24"/>
        </w:rPr>
        <w:t xml:space="preserve"> that generative AI alone has the potential to drive between USD 2.6 trillion and USD 4.4 trillion in economic value to industries annually - a number not merely indicative of how big the opportunity is, but the extent of organisational change needed to realise it. In the context of IBM, where the commercial path is now pegged on enterprise AI, this gives rise to a mammoth source of competitive potential and a matchingly daunting set of governance issues.</w:t>
      </w:r>
    </w:p>
    <w:p w14:paraId="53639141" w14:textId="151260D8"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report is written in the context of RFD Global, which is being applied to as an internship. It will </w:t>
      </w:r>
      <w:r w:rsidR="00F7533D" w:rsidRPr="004D2FE8">
        <w:rPr>
          <w:rFonts w:ascii="Times New Roman" w:hAnsi="Times New Roman" w:cs="Times New Roman"/>
          <w:sz w:val="24"/>
          <w:szCs w:val="24"/>
        </w:rPr>
        <w:t>guide IBM's top management on the strategic impact of AI development, specifically in risk management, data governance, ethical AI use, regulatory compliance, and the preservation of customer trust</w:t>
      </w:r>
      <w:r w:rsidRPr="004D2FE8">
        <w:rPr>
          <w:rFonts w:ascii="Times New Roman" w:hAnsi="Times New Roman" w:cs="Times New Roman"/>
          <w:sz w:val="24"/>
          <w:szCs w:val="24"/>
        </w:rPr>
        <w:t xml:space="preserve">. The analysis focuses on </w:t>
      </w:r>
      <w:r w:rsidR="00F7533D" w:rsidRPr="004D2FE8">
        <w:rPr>
          <w:rFonts w:ascii="Times New Roman" w:hAnsi="Times New Roman" w:cs="Times New Roman"/>
          <w:sz w:val="24"/>
          <w:szCs w:val="24"/>
        </w:rPr>
        <w:t xml:space="preserve">IBM's activities </w:t>
      </w:r>
      <w:r w:rsidRPr="004D2FE8">
        <w:rPr>
          <w:rFonts w:ascii="Times New Roman" w:hAnsi="Times New Roman" w:cs="Times New Roman"/>
          <w:sz w:val="24"/>
          <w:szCs w:val="24"/>
        </w:rPr>
        <w:t>in the United Kingdom</w:t>
      </w:r>
      <w:r w:rsidR="00F7533D" w:rsidRPr="004D2FE8">
        <w:rPr>
          <w:rFonts w:ascii="Times New Roman" w:hAnsi="Times New Roman" w:cs="Times New Roman"/>
          <w:sz w:val="24"/>
          <w:szCs w:val="24"/>
        </w:rPr>
        <w:t>. The</w:t>
      </w:r>
      <w:r w:rsidRPr="004D2FE8">
        <w:rPr>
          <w:rFonts w:ascii="Times New Roman" w:hAnsi="Times New Roman" w:cs="Times New Roman"/>
          <w:sz w:val="24"/>
          <w:szCs w:val="24"/>
        </w:rPr>
        <w:t xml:space="preserve"> United States analysed in the context of conceptual frameworks the central concepts of this module, i.e. PESTLE analysis, </w:t>
      </w:r>
      <w:r w:rsidR="00F7533D" w:rsidRPr="004D2FE8">
        <w:rPr>
          <w:rFonts w:ascii="Times New Roman" w:hAnsi="Times New Roman" w:cs="Times New Roman"/>
          <w:sz w:val="24"/>
          <w:szCs w:val="24"/>
        </w:rPr>
        <w:t>Porter's</w:t>
      </w:r>
      <w:r w:rsidRPr="004D2FE8">
        <w:rPr>
          <w:rFonts w:ascii="Times New Roman" w:hAnsi="Times New Roman" w:cs="Times New Roman"/>
          <w:sz w:val="24"/>
          <w:szCs w:val="24"/>
        </w:rPr>
        <w:t xml:space="preserve"> Five Forces, and structured risk management, as the means of contextualising AI strategy in the context of the larger business environments (World Economic Forum, 2024; Haenlein and Kaplan, 2019).</w:t>
      </w:r>
    </w:p>
    <w:p w14:paraId="2DC84D4C" w14:textId="56F26D69"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IBM is one of the oldest and most important technological enterprises in the world, with </w:t>
      </w:r>
      <w:r w:rsidR="00F7533D" w:rsidRPr="004D2FE8">
        <w:rPr>
          <w:rFonts w:ascii="Times New Roman" w:hAnsi="Times New Roman" w:cs="Times New Roman"/>
          <w:sz w:val="24"/>
          <w:szCs w:val="24"/>
        </w:rPr>
        <w:t xml:space="preserve">an </w:t>
      </w:r>
      <w:r w:rsidRPr="004D2FE8">
        <w:rPr>
          <w:rFonts w:ascii="Times New Roman" w:hAnsi="Times New Roman" w:cs="Times New Roman"/>
          <w:sz w:val="24"/>
          <w:szCs w:val="24"/>
        </w:rPr>
        <w:t xml:space="preserve">annual revenue of about USD 61.9 billion in 2023 and </w:t>
      </w:r>
      <w:r w:rsidR="00F7533D" w:rsidRPr="004D2FE8">
        <w:rPr>
          <w:rFonts w:ascii="Times New Roman" w:hAnsi="Times New Roman" w:cs="Times New Roman"/>
          <w:sz w:val="24"/>
          <w:szCs w:val="24"/>
        </w:rPr>
        <w:t>more than 288,000 employees worldwide</w:t>
      </w:r>
      <w:r w:rsidRPr="004D2FE8">
        <w:rPr>
          <w:rFonts w:ascii="Times New Roman" w:hAnsi="Times New Roman" w:cs="Times New Roman"/>
          <w:sz w:val="24"/>
          <w:szCs w:val="24"/>
        </w:rPr>
        <w:t xml:space="preserve"> (IBM, 2023). Its AI shift, based on the </w:t>
      </w:r>
      <w:r w:rsidR="00F7533D" w:rsidRPr="004D2FE8">
        <w:rPr>
          <w:rFonts w:ascii="Times New Roman" w:hAnsi="Times New Roman" w:cs="Times New Roman"/>
          <w:sz w:val="24"/>
          <w:szCs w:val="24"/>
        </w:rPr>
        <w:t>WatsonX</w:t>
      </w:r>
      <w:r w:rsidRPr="004D2FE8">
        <w:rPr>
          <w:rFonts w:ascii="Times New Roman" w:hAnsi="Times New Roman" w:cs="Times New Roman"/>
          <w:sz w:val="24"/>
          <w:szCs w:val="24"/>
        </w:rPr>
        <w:t xml:space="preserve"> platform and multifaceted cloud system, is a conscious rebranding at the edge of business intelligence. Wirtz, Weyerer</w:t>
      </w:r>
      <w:r w:rsidR="00F7533D" w:rsidRPr="004D2FE8">
        <w:rPr>
          <w:rFonts w:ascii="Times New Roman" w:hAnsi="Times New Roman" w:cs="Times New Roman"/>
          <w:sz w:val="24"/>
          <w:szCs w:val="24"/>
        </w:rPr>
        <w:t>, and Geyer (2019) note that governance is exceptionally strong in complex institutional settings for AI applications, as it may affect the organisations and people it serves, which also directly applies to the case of IBM,</w:t>
      </w:r>
      <w:r w:rsidRPr="004D2FE8">
        <w:rPr>
          <w:rFonts w:ascii="Times New Roman" w:hAnsi="Times New Roman" w:cs="Times New Roman"/>
          <w:sz w:val="24"/>
          <w:szCs w:val="24"/>
        </w:rPr>
        <w:t xml:space="preserve"> with its client base in the public sector and financial services.</w:t>
      </w:r>
    </w:p>
    <w:p w14:paraId="5C80654B" w14:textId="7E43CDB1" w:rsidR="000F7463"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report continues </w:t>
      </w:r>
      <w:r w:rsidR="00F7533D" w:rsidRPr="004D2FE8">
        <w:rPr>
          <w:rFonts w:ascii="Times New Roman" w:hAnsi="Times New Roman" w:cs="Times New Roman"/>
          <w:sz w:val="24"/>
          <w:szCs w:val="24"/>
        </w:rPr>
        <w:t>as follows</w:t>
      </w:r>
      <w:r w:rsidRPr="004D2FE8">
        <w:rPr>
          <w:rFonts w:ascii="Times New Roman" w:hAnsi="Times New Roman" w:cs="Times New Roman"/>
          <w:sz w:val="24"/>
          <w:szCs w:val="24"/>
        </w:rPr>
        <w:t>. Section 2 introduces the key findings of the environmental and competitive analysis and risk management implications. Section 3 establishes an implementation plan that has a detailed, costed plan. Section 4 summarises the main findings and limitations.</w:t>
      </w:r>
    </w:p>
    <w:p w14:paraId="44BAE7A1"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br w:type="page"/>
      </w:r>
    </w:p>
    <w:p w14:paraId="5154EF38" w14:textId="2F2C344F" w:rsidR="000F7463" w:rsidRPr="00F264AF" w:rsidRDefault="006047D6" w:rsidP="0088126D">
      <w:pPr>
        <w:pStyle w:val="Heading1"/>
      </w:pPr>
      <w:bookmarkStart w:id="2" w:name="_Toc228204481"/>
      <w:r w:rsidRPr="00F264AF">
        <w:lastRenderedPageBreak/>
        <w:t>Main Findings</w:t>
      </w:r>
      <w:bookmarkEnd w:id="2"/>
    </w:p>
    <w:p w14:paraId="426A081E" w14:textId="2FCDF2A4" w:rsidR="000F7463" w:rsidRPr="00F264AF" w:rsidRDefault="006047D6" w:rsidP="00007063">
      <w:pPr>
        <w:pStyle w:val="Heading2"/>
      </w:pPr>
      <w:bookmarkStart w:id="3" w:name="_Toc228204482"/>
      <w:r w:rsidRPr="00F264AF">
        <w:t>Political and Regulatory Landscape: Diverging Transatlantic AI Governance</w:t>
      </w:r>
      <w:bookmarkEnd w:id="3"/>
    </w:p>
    <w:p w14:paraId="474E7EE1" w14:textId="4F7D25DD" w:rsidR="00073C8E" w:rsidRPr="00073C8E" w:rsidRDefault="005C58E6" w:rsidP="00007063">
      <w:pPr>
        <w:spacing w:line="360" w:lineRule="auto"/>
        <w:jc w:val="both"/>
        <w:rPr>
          <w:rFonts w:ascii="Times New Roman" w:hAnsi="Times New Roman" w:cs="Times New Roman"/>
          <w:sz w:val="24"/>
          <w:szCs w:val="24"/>
        </w:rPr>
      </w:pPr>
      <w:r>
        <w:rPr>
          <w:rFonts w:ascii="Times New Roman" w:hAnsi="Times New Roman" w:cs="Times New Roman"/>
          <w:sz w:val="24"/>
          <w:szCs w:val="24"/>
        </w:rPr>
        <w:t>The political environment surrounding AI has become one of the most influential external factors shaping IBM's strategic decisions</w:t>
      </w:r>
      <w:r w:rsidR="00073C8E" w:rsidRPr="00073C8E">
        <w:rPr>
          <w:rFonts w:ascii="Times New Roman" w:hAnsi="Times New Roman" w:cs="Times New Roman"/>
          <w:sz w:val="24"/>
          <w:szCs w:val="24"/>
        </w:rPr>
        <w:t>. The United Kingdom government is pro-innovation, principles-focused</w:t>
      </w:r>
      <w:r>
        <w:rPr>
          <w:rFonts w:ascii="Times New Roman" w:hAnsi="Times New Roman" w:cs="Times New Roman"/>
          <w:sz w:val="24"/>
          <w:szCs w:val="24"/>
        </w:rPr>
        <w:t>, and does not advocate a single, binding law to regulate the use of AI applications; rather, it urges industry regulatory agencies to exercise their existing powers to regulate</w:t>
      </w:r>
      <w:r w:rsidR="00073C8E" w:rsidRPr="00073C8E">
        <w:rPr>
          <w:rFonts w:ascii="Times New Roman" w:hAnsi="Times New Roman" w:cs="Times New Roman"/>
          <w:sz w:val="24"/>
          <w:szCs w:val="24"/>
        </w:rPr>
        <w:t xml:space="preserve"> AI applications (UK Government, 2023). This framework is both flexible </w:t>
      </w:r>
      <w:r>
        <w:rPr>
          <w:rFonts w:ascii="Times New Roman" w:hAnsi="Times New Roman" w:cs="Times New Roman"/>
          <w:sz w:val="24"/>
          <w:szCs w:val="24"/>
        </w:rPr>
        <w:t>and ambiguous in its interpretation for businesses whose products are based on AI and span</w:t>
      </w:r>
      <w:r w:rsidR="00073C8E" w:rsidRPr="00073C8E">
        <w:rPr>
          <w:rFonts w:ascii="Times New Roman" w:hAnsi="Times New Roman" w:cs="Times New Roman"/>
          <w:sz w:val="24"/>
          <w:szCs w:val="24"/>
        </w:rPr>
        <w:t xml:space="preserve"> several regulated sectors.</w:t>
      </w:r>
    </w:p>
    <w:p w14:paraId="6BC309B1" w14:textId="1555EE56" w:rsidR="00FB250C" w:rsidRPr="004D2FE8" w:rsidRDefault="00073C8E" w:rsidP="00007063">
      <w:pPr>
        <w:spacing w:line="360" w:lineRule="auto"/>
        <w:jc w:val="both"/>
        <w:rPr>
          <w:rFonts w:ascii="Times New Roman" w:hAnsi="Times New Roman" w:cs="Times New Roman"/>
          <w:sz w:val="24"/>
          <w:szCs w:val="24"/>
        </w:rPr>
      </w:pPr>
      <w:r w:rsidRPr="00073C8E">
        <w:rPr>
          <w:rFonts w:ascii="Times New Roman" w:hAnsi="Times New Roman" w:cs="Times New Roman"/>
          <w:sz w:val="24"/>
          <w:szCs w:val="24"/>
        </w:rPr>
        <w:t xml:space="preserve">America has followed an alternative route. In October 2023, the Executive </w:t>
      </w:r>
      <w:r w:rsidR="005C58E6">
        <w:rPr>
          <w:rFonts w:ascii="Times New Roman" w:hAnsi="Times New Roman" w:cs="Times New Roman"/>
          <w:sz w:val="24"/>
          <w:szCs w:val="24"/>
        </w:rPr>
        <w:t>Order</w:t>
      </w:r>
      <w:r w:rsidRPr="00073C8E">
        <w:rPr>
          <w:rFonts w:ascii="Times New Roman" w:hAnsi="Times New Roman" w:cs="Times New Roman"/>
          <w:sz w:val="24"/>
          <w:szCs w:val="24"/>
        </w:rPr>
        <w:t xml:space="preserve"> on the Safe, Secure and Trustworthy Development and Use of Artificial Intelligence was signed, establishing a federal standard on AI safety and security, and developers of the most effective AI models are compelled to share the findings of safety tests with government agencies (White House, 2023). NIST has also published its AI Risk Management Framework 1.0 as a voluntary guideline that has gained tremendous popularity (NIST, 2023). It looks much more like a patchwork at the state level, which translates into </w:t>
      </w:r>
      <w:r w:rsidR="005C58E6">
        <w:rPr>
          <w:rFonts w:ascii="Times New Roman" w:hAnsi="Times New Roman" w:cs="Times New Roman"/>
          <w:sz w:val="24"/>
          <w:szCs w:val="24"/>
        </w:rPr>
        <w:t xml:space="preserve">a compliance patchwork that Loucks et al. (2019) report as a tangible barrier to a consistent approach to introducing AI into the enterprise system among multinationals that conduct </w:t>
      </w:r>
      <w:r w:rsidRPr="00073C8E">
        <w:rPr>
          <w:rFonts w:ascii="Times New Roman" w:hAnsi="Times New Roman" w:cs="Times New Roman"/>
          <w:sz w:val="24"/>
          <w:szCs w:val="24"/>
        </w:rPr>
        <w:t>business in the US.</w:t>
      </w:r>
    </w:p>
    <w:p w14:paraId="3457BB2B" w14:textId="7D760260"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This is strategically important to IBM. Kim and Park (2025) note that trust is becoming </w:t>
      </w:r>
      <w:r w:rsidR="00F7533D" w:rsidRPr="004D2FE8">
        <w:rPr>
          <w:rFonts w:ascii="Times New Roman" w:hAnsi="Times New Roman" w:cs="Times New Roman"/>
          <w:sz w:val="24"/>
          <w:szCs w:val="24"/>
        </w:rPr>
        <w:t>an infrastructural component of AI governance, and businesses with plausible systems across various jurisdictions are more likely to win public-sector procurements and retain</w:t>
      </w:r>
      <w:r w:rsidRPr="004D2FE8">
        <w:rPr>
          <w:rFonts w:ascii="Times New Roman" w:hAnsi="Times New Roman" w:cs="Times New Roman"/>
          <w:sz w:val="24"/>
          <w:szCs w:val="24"/>
        </w:rPr>
        <w:t xml:space="preserve"> enterprise clients. Non-alignment risk can be interpreted as a realistic and material threat to governance: Rasouli and Binaian (2024) propose that in case AI becomes a geopolitical issue, regulatory non-compliance in a particular jurisdiction can impact the perceived reliability of a company in others, but the extent of the impact will depend on the nature of the failure and the publicity of the deployment in question.</w:t>
      </w:r>
    </w:p>
    <w:p w14:paraId="0930736D" w14:textId="0F332CDE" w:rsidR="000F7463" w:rsidRPr="00F264AF" w:rsidRDefault="00FB250C" w:rsidP="00007063">
      <w:pPr>
        <w:spacing w:line="360" w:lineRule="auto"/>
        <w:jc w:val="both"/>
        <w:rPr>
          <w:rFonts w:ascii="Times New Roman" w:hAnsi="Times New Roman" w:cs="Times New Roman"/>
        </w:rPr>
      </w:pPr>
      <w:r w:rsidRPr="004D2FE8">
        <w:rPr>
          <w:rFonts w:ascii="Times New Roman" w:hAnsi="Times New Roman" w:cs="Times New Roman"/>
          <w:sz w:val="24"/>
          <w:szCs w:val="24"/>
        </w:rPr>
        <w:t xml:space="preserve">It also </w:t>
      </w:r>
      <w:r w:rsidR="00F7533D" w:rsidRPr="004D2FE8">
        <w:rPr>
          <w:rFonts w:ascii="Times New Roman" w:hAnsi="Times New Roman" w:cs="Times New Roman"/>
          <w:sz w:val="24"/>
          <w:szCs w:val="24"/>
        </w:rPr>
        <w:t>considers regulatory spillover in the medium term</w:t>
      </w:r>
      <w:r w:rsidRPr="004D2FE8">
        <w:rPr>
          <w:rFonts w:ascii="Times New Roman" w:hAnsi="Times New Roman" w:cs="Times New Roman"/>
          <w:sz w:val="24"/>
          <w:szCs w:val="24"/>
        </w:rPr>
        <w:t xml:space="preserve">. Though it does not directly apply to the EU AI Act, it is almost certain that </w:t>
      </w:r>
      <w:r w:rsidR="00F7533D" w:rsidRPr="004D2FE8">
        <w:rPr>
          <w:rFonts w:ascii="Times New Roman" w:hAnsi="Times New Roman" w:cs="Times New Roman"/>
          <w:sz w:val="24"/>
          <w:szCs w:val="24"/>
        </w:rPr>
        <w:t xml:space="preserve">IBM's enterprise clients </w:t>
      </w:r>
      <w:r w:rsidRPr="004D2FE8">
        <w:rPr>
          <w:rFonts w:ascii="Times New Roman" w:hAnsi="Times New Roman" w:cs="Times New Roman"/>
          <w:sz w:val="24"/>
          <w:szCs w:val="24"/>
        </w:rPr>
        <w:t xml:space="preserve">in regulated industries do fall under it. As shown by Veale and Zuiderveen Borgesius (2021), the </w:t>
      </w:r>
      <w:r w:rsidR="00F7533D" w:rsidRPr="004D2FE8">
        <w:rPr>
          <w:rFonts w:ascii="Times New Roman" w:hAnsi="Times New Roman" w:cs="Times New Roman"/>
          <w:sz w:val="24"/>
          <w:szCs w:val="24"/>
        </w:rPr>
        <w:t>EU's risk-based classification system will tend to introduce new procurement standards worldwide; i.e., products created by IBM must comply with these standards even in markets where they are not yet legally obligatory</w:t>
      </w:r>
      <w:r w:rsidRPr="004D2FE8">
        <w:rPr>
          <w:rFonts w:ascii="Times New Roman" w:hAnsi="Times New Roman" w:cs="Times New Roman"/>
          <w:sz w:val="24"/>
          <w:szCs w:val="24"/>
        </w:rPr>
        <w:t>.</w:t>
      </w:r>
    </w:p>
    <w:p w14:paraId="22C8C1D7" w14:textId="6F697064" w:rsidR="000F7463" w:rsidRPr="00F264AF" w:rsidRDefault="006047D6" w:rsidP="00007063">
      <w:pPr>
        <w:pStyle w:val="Heading2"/>
      </w:pPr>
      <w:bookmarkStart w:id="4" w:name="_Toc228204483"/>
      <w:r w:rsidRPr="00F264AF">
        <w:t>Macroeconomic Pressures and the Global AI Technology Market</w:t>
      </w:r>
      <w:bookmarkEnd w:id="4"/>
    </w:p>
    <w:p w14:paraId="0311CBC3" w14:textId="30CE9AD0"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IBM is operating in an economic environment </w:t>
      </w:r>
      <w:r w:rsidR="00F7533D" w:rsidRPr="004D2FE8">
        <w:rPr>
          <w:rFonts w:ascii="Times New Roman" w:hAnsi="Times New Roman" w:cs="Times New Roman"/>
          <w:sz w:val="24"/>
          <w:szCs w:val="24"/>
        </w:rPr>
        <w:t>where</w:t>
      </w:r>
      <w:r w:rsidRPr="004D2FE8">
        <w:rPr>
          <w:rFonts w:ascii="Times New Roman" w:hAnsi="Times New Roman" w:cs="Times New Roman"/>
          <w:sz w:val="24"/>
          <w:szCs w:val="24"/>
        </w:rPr>
        <w:t xml:space="preserve"> </w:t>
      </w:r>
      <w:r w:rsidR="00F7533D" w:rsidRPr="004D2FE8">
        <w:rPr>
          <w:rFonts w:ascii="Times New Roman" w:hAnsi="Times New Roman" w:cs="Times New Roman"/>
          <w:sz w:val="24"/>
          <w:szCs w:val="24"/>
        </w:rPr>
        <w:t>opportunities are high and structural competitive pressure is high</w:t>
      </w:r>
      <w:r w:rsidRPr="004D2FE8">
        <w:rPr>
          <w:rFonts w:ascii="Times New Roman" w:hAnsi="Times New Roman" w:cs="Times New Roman"/>
          <w:sz w:val="24"/>
          <w:szCs w:val="24"/>
        </w:rPr>
        <w:t xml:space="preserve">. The worldwide AI market is growing </w:t>
      </w:r>
      <w:r w:rsidR="00F7533D" w:rsidRPr="004D2FE8">
        <w:rPr>
          <w:rFonts w:ascii="Times New Roman" w:hAnsi="Times New Roman" w:cs="Times New Roman"/>
          <w:sz w:val="24"/>
          <w:szCs w:val="24"/>
        </w:rPr>
        <w:t>rapidly. According</w:t>
      </w:r>
      <w:r w:rsidRPr="004D2FE8">
        <w:rPr>
          <w:rFonts w:ascii="Times New Roman" w:hAnsi="Times New Roman" w:cs="Times New Roman"/>
          <w:sz w:val="24"/>
          <w:szCs w:val="24"/>
        </w:rPr>
        <w:t xml:space="preserve"> to Bughin et al. (2018), AI may contribute </w:t>
      </w:r>
      <w:r w:rsidR="005C58E6">
        <w:rPr>
          <w:rFonts w:ascii="Times New Roman" w:hAnsi="Times New Roman" w:cs="Times New Roman"/>
          <w:sz w:val="24"/>
          <w:szCs w:val="24"/>
        </w:rPr>
        <w:t xml:space="preserve">up to USD 13 trillion to global economic performance </w:t>
      </w:r>
      <w:r w:rsidR="00F7533D" w:rsidRPr="004D2FE8">
        <w:rPr>
          <w:rFonts w:ascii="Times New Roman" w:hAnsi="Times New Roman" w:cs="Times New Roman"/>
          <w:sz w:val="24"/>
          <w:szCs w:val="24"/>
        </w:rPr>
        <w:t xml:space="preserve">by 2030, </w:t>
      </w:r>
      <w:r w:rsidR="00F7533D" w:rsidRPr="004D2FE8">
        <w:rPr>
          <w:rFonts w:ascii="Times New Roman" w:hAnsi="Times New Roman" w:cs="Times New Roman"/>
          <w:sz w:val="24"/>
          <w:szCs w:val="24"/>
        </w:rPr>
        <w:lastRenderedPageBreak/>
        <w:t>whereas PwC (2025) indicates that productivity gains will be most significant in technology-intensive markets</w:t>
      </w:r>
      <w:r w:rsidRPr="004D2FE8">
        <w:rPr>
          <w:rFonts w:ascii="Times New Roman" w:hAnsi="Times New Roman" w:cs="Times New Roman"/>
          <w:sz w:val="24"/>
          <w:szCs w:val="24"/>
        </w:rPr>
        <w:t xml:space="preserve">. </w:t>
      </w:r>
      <w:r w:rsidR="00F7533D" w:rsidRPr="004D2FE8">
        <w:rPr>
          <w:rFonts w:ascii="Times New Roman" w:hAnsi="Times New Roman" w:cs="Times New Roman"/>
          <w:sz w:val="24"/>
          <w:szCs w:val="24"/>
        </w:rPr>
        <w:t>The IBM WatsonX platform is poised to share in this growth, especially in the financial services, healthcare, and public sector verticals, where explainability and governance are highly valued</w:t>
      </w:r>
      <w:r w:rsidRPr="004D2FE8">
        <w:rPr>
          <w:rFonts w:ascii="Times New Roman" w:hAnsi="Times New Roman" w:cs="Times New Roman"/>
          <w:sz w:val="24"/>
          <w:szCs w:val="24"/>
        </w:rPr>
        <w:t>.</w:t>
      </w:r>
    </w:p>
    <w:p w14:paraId="5CC2ACF6" w14:textId="0B2654F8"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An essential analytical warning is given by Acemoglu and Restrepo (2018): the economic benefits of </w:t>
      </w:r>
      <w:r w:rsidR="00F7533D" w:rsidRPr="004D2FE8">
        <w:rPr>
          <w:rFonts w:ascii="Times New Roman" w:hAnsi="Times New Roman" w:cs="Times New Roman"/>
          <w:sz w:val="24"/>
          <w:szCs w:val="24"/>
        </w:rPr>
        <w:t>AI-driven automation are not equally distributed. They may not be realised quickly at the firm level</w:t>
      </w:r>
      <w:r w:rsidRPr="004D2FE8">
        <w:rPr>
          <w:rFonts w:ascii="Times New Roman" w:hAnsi="Times New Roman" w:cs="Times New Roman"/>
          <w:sz w:val="24"/>
          <w:szCs w:val="24"/>
        </w:rPr>
        <w:t xml:space="preserve">. This is </w:t>
      </w:r>
      <w:r w:rsidR="00F7533D" w:rsidRPr="004D2FE8">
        <w:rPr>
          <w:rFonts w:ascii="Times New Roman" w:hAnsi="Times New Roman" w:cs="Times New Roman"/>
          <w:sz w:val="24"/>
          <w:szCs w:val="24"/>
        </w:rPr>
        <w:t>supported by Manyika et al. (2017), who show that organisations that reap the greatest productivity gains from automation are those with strong pre-existing process interlinkages and complementary workforce capabilities</w:t>
      </w:r>
      <w:r w:rsidRPr="004D2FE8">
        <w:rPr>
          <w:rFonts w:ascii="Times New Roman" w:hAnsi="Times New Roman" w:cs="Times New Roman"/>
          <w:sz w:val="24"/>
          <w:szCs w:val="24"/>
        </w:rPr>
        <w:t xml:space="preserve">, i.e. the areas where IBM has a structural advantage in its enterprise relationships. According to Furman and Seamans (2019), AI implementation in enterprise markets is more likely to favour incumbents with these attributes, </w:t>
      </w:r>
      <w:r w:rsidR="00F7533D" w:rsidRPr="004D2FE8">
        <w:rPr>
          <w:rFonts w:ascii="Times New Roman" w:hAnsi="Times New Roman" w:cs="Times New Roman"/>
          <w:sz w:val="24"/>
          <w:szCs w:val="24"/>
        </w:rPr>
        <w:t>though only when IBM can demonstrate that its governance-quality products are more effective than lower-cost alternatives</w:t>
      </w:r>
      <w:r w:rsidRPr="004D2FE8">
        <w:rPr>
          <w:rFonts w:ascii="Times New Roman" w:hAnsi="Times New Roman" w:cs="Times New Roman"/>
          <w:sz w:val="24"/>
          <w:szCs w:val="24"/>
        </w:rPr>
        <w:t xml:space="preserve"> on aspects that regulated purchasers consider important.</w:t>
      </w:r>
    </w:p>
    <w:p w14:paraId="57AD9D72" w14:textId="5DEFD7AF" w:rsidR="000F7463"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This is because the OECD (2021) indicates that decisions on enterprise AI procurement are increasingly influenced by total </w:t>
      </w:r>
      <w:r w:rsidR="00F7533D" w:rsidRPr="004D2FE8">
        <w:rPr>
          <w:rFonts w:ascii="Times New Roman" w:hAnsi="Times New Roman" w:cs="Times New Roman"/>
          <w:sz w:val="24"/>
          <w:szCs w:val="24"/>
        </w:rPr>
        <w:t xml:space="preserve">cost of ownership and regulatory compliance burden, a trend that </w:t>
      </w:r>
      <w:r w:rsidR="005C58E6">
        <w:rPr>
          <w:rFonts w:ascii="Times New Roman" w:hAnsi="Times New Roman" w:cs="Times New Roman"/>
          <w:sz w:val="24"/>
          <w:szCs w:val="24"/>
        </w:rPr>
        <w:t>IBM's</w:t>
      </w:r>
      <w:r w:rsidR="00F7533D" w:rsidRPr="004D2FE8">
        <w:rPr>
          <w:rFonts w:ascii="Times New Roman" w:hAnsi="Times New Roman" w:cs="Times New Roman"/>
          <w:sz w:val="24"/>
          <w:szCs w:val="24"/>
        </w:rPr>
        <w:t xml:space="preserve"> sales and pricing strategy must respond to directly, especially as regulatory requirements </w:t>
      </w:r>
      <w:r w:rsidRPr="004D2FE8">
        <w:rPr>
          <w:rFonts w:ascii="Times New Roman" w:hAnsi="Times New Roman" w:cs="Times New Roman"/>
          <w:sz w:val="24"/>
          <w:szCs w:val="24"/>
        </w:rPr>
        <w:t>in the UK and the US become ever stricter.</w:t>
      </w:r>
    </w:p>
    <w:p w14:paraId="3A7DFB1A" w14:textId="43F3F58E" w:rsidR="000F7463" w:rsidRPr="00F264AF" w:rsidRDefault="006047D6" w:rsidP="00007063">
      <w:pPr>
        <w:pStyle w:val="Heading2"/>
      </w:pPr>
      <w:bookmarkStart w:id="5" w:name="_Toc228204484"/>
      <w:r w:rsidRPr="00F264AF">
        <w:t>Societal Expectations, Workforce Disruption and Public Trust</w:t>
      </w:r>
      <w:bookmarkEnd w:id="5"/>
    </w:p>
    <w:p w14:paraId="2C0163FB" w14:textId="3FB7C3F2"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AI systems have risen </w:t>
      </w:r>
      <w:r w:rsidR="00F7533D" w:rsidRPr="004D2FE8">
        <w:rPr>
          <w:rFonts w:ascii="Times New Roman" w:hAnsi="Times New Roman" w:cs="Times New Roman"/>
          <w:sz w:val="24"/>
          <w:szCs w:val="24"/>
        </w:rPr>
        <w:t>in the public's trust</w:t>
      </w:r>
      <w:r w:rsidRPr="004D2FE8">
        <w:rPr>
          <w:rFonts w:ascii="Times New Roman" w:hAnsi="Times New Roman" w:cs="Times New Roman"/>
          <w:sz w:val="24"/>
          <w:szCs w:val="24"/>
        </w:rPr>
        <w:t>. According to the Edelman Trust Barometer (2024)</w:t>
      </w:r>
      <w:r w:rsidR="00F7533D" w:rsidRPr="004D2FE8">
        <w:rPr>
          <w:rFonts w:ascii="Times New Roman" w:hAnsi="Times New Roman" w:cs="Times New Roman"/>
          <w:sz w:val="24"/>
          <w:szCs w:val="24"/>
        </w:rPr>
        <w:t xml:space="preserve">, a further decrease in trust in technology companies by the population in both the United States and the </w:t>
      </w:r>
      <w:r w:rsidRPr="004D2FE8">
        <w:rPr>
          <w:rFonts w:ascii="Times New Roman" w:hAnsi="Times New Roman" w:cs="Times New Roman"/>
          <w:sz w:val="24"/>
          <w:szCs w:val="24"/>
        </w:rPr>
        <w:t>United Kingdom is recorded, and enterprise buyers are becoming more concerned about the way organisations manage AI systems that influence the hiring, lending, healthcare and other public services. In the case of IBM, where AI is implemented in all these fields, the lack of trust has direct commercial implications.</w:t>
      </w:r>
    </w:p>
    <w:p w14:paraId="788C9069" w14:textId="77777777" w:rsidR="00E24FB0" w:rsidRPr="00E24FB0" w:rsidRDefault="00E24FB0" w:rsidP="00007063">
      <w:pPr>
        <w:spacing w:line="360" w:lineRule="auto"/>
        <w:jc w:val="both"/>
        <w:rPr>
          <w:rFonts w:ascii="Times New Roman" w:hAnsi="Times New Roman" w:cs="Times New Roman"/>
          <w:sz w:val="24"/>
          <w:szCs w:val="24"/>
        </w:rPr>
      </w:pPr>
      <w:r w:rsidRPr="00E24FB0">
        <w:rPr>
          <w:rFonts w:ascii="Times New Roman" w:hAnsi="Times New Roman" w:cs="Times New Roman"/>
          <w:sz w:val="24"/>
          <w:szCs w:val="24"/>
        </w:rPr>
        <w:t>In a strict analysis of the kinds of social harms that may be generated by poorly regulated AI, Acemoglu (2021) claims that the automated decision-making systems that are implemented without care will tend to concentrate economic benefits in the hands of capital owners and add adjustment costs on the employees. This is the case with IBM where its AI solutions are sold on the basis of attaining operational efficiency improvements at the cost of lowered staffing rates within client organisations. These social licence dilemmas linked to this dynamic can be navigated by proactively involving the respective communities and regulators instead of being passive in following the new demands.</w:t>
      </w:r>
    </w:p>
    <w:p w14:paraId="0B7CC494" w14:textId="438D0335" w:rsidR="000F7463" w:rsidRPr="00F264AF" w:rsidRDefault="00E24FB0" w:rsidP="00007063">
      <w:pPr>
        <w:spacing w:line="360" w:lineRule="auto"/>
        <w:jc w:val="both"/>
        <w:rPr>
          <w:rFonts w:ascii="Times New Roman" w:hAnsi="Times New Roman" w:cs="Times New Roman"/>
        </w:rPr>
      </w:pPr>
      <w:r w:rsidRPr="00E24FB0">
        <w:rPr>
          <w:rFonts w:ascii="Times New Roman" w:hAnsi="Times New Roman" w:cs="Times New Roman"/>
          <w:sz w:val="24"/>
          <w:szCs w:val="24"/>
        </w:rPr>
        <w:t xml:space="preserve">Algorithms bias is proven to be one of the social risks. Obermeyer et al. (2019) showed that popular algorithmic systems can encode and reinforce preexisting inequalities and does not always seek to </w:t>
      </w:r>
      <w:r w:rsidRPr="00E24FB0">
        <w:rPr>
          <w:rFonts w:ascii="Times New Roman" w:hAnsi="Times New Roman" w:cs="Times New Roman"/>
          <w:sz w:val="24"/>
          <w:szCs w:val="24"/>
        </w:rPr>
        <w:lastRenderedPageBreak/>
        <w:t>discriminate them. The researchers do not recommend technical solutions to the Ethics of algorithms but suggest to reconstrue the regulation in terms of continuous processes and transparency (Mittelstadt et al., 2016). The UNESCO Recommendation on the Ethics of Artificial Intelligence (2022) provides international standards about inclusivity, accountability, and redress that ought to be achieved in the governance frameworks of IBM.</w:t>
      </w:r>
    </w:p>
    <w:p w14:paraId="4C8E1AC9" w14:textId="75616C26" w:rsidR="000F7463" w:rsidRPr="00F264AF" w:rsidRDefault="006047D6" w:rsidP="00007063">
      <w:pPr>
        <w:pStyle w:val="Heading2"/>
      </w:pPr>
      <w:bookmarkStart w:id="6" w:name="_Toc228204485"/>
      <w:r w:rsidRPr="00F264AF">
        <w:t>Technological Transformation: Generative AI, Watson and Hybrid Cloud</w:t>
      </w:r>
      <w:bookmarkEnd w:id="6"/>
    </w:p>
    <w:p w14:paraId="76419063" w14:textId="77777777" w:rsidR="00E24FB0" w:rsidRPr="00E24FB0" w:rsidRDefault="00E24FB0" w:rsidP="00007063">
      <w:pPr>
        <w:spacing w:line="360" w:lineRule="auto"/>
        <w:jc w:val="both"/>
        <w:rPr>
          <w:rFonts w:ascii="Times New Roman" w:hAnsi="Times New Roman" w:cs="Times New Roman"/>
          <w:sz w:val="24"/>
          <w:szCs w:val="24"/>
        </w:rPr>
      </w:pPr>
      <w:r w:rsidRPr="00E24FB0">
        <w:rPr>
          <w:rFonts w:ascii="Times New Roman" w:hAnsi="Times New Roman" w:cs="Times New Roman"/>
          <w:sz w:val="24"/>
          <w:szCs w:val="24"/>
        </w:rPr>
        <w:t>Generative models and generative AI has turned technology upside down. They constitute a qualitative advancement in the ability of AI, according to Bommasani et al. (2021), in which a single large model can be fine-tuned to many downstream tasks with a relatively low marginal cost. This literally calls into question the competitive standing of IBM: WatsonX will have to compete with OpenAI, the open-source LLaMA models offered by Google and Meta which can all be used to execute most of the underlying enterprise work.</w:t>
      </w:r>
    </w:p>
    <w:p w14:paraId="4C4D0DD1" w14:textId="77777777" w:rsidR="00E24FB0" w:rsidRPr="00E24FB0" w:rsidRDefault="00E24FB0" w:rsidP="00007063">
      <w:pPr>
        <w:spacing w:line="360" w:lineRule="auto"/>
        <w:jc w:val="both"/>
        <w:rPr>
          <w:rFonts w:ascii="Times New Roman" w:hAnsi="Times New Roman" w:cs="Times New Roman"/>
          <w:sz w:val="24"/>
          <w:szCs w:val="24"/>
        </w:rPr>
      </w:pPr>
      <w:r w:rsidRPr="00E24FB0">
        <w:rPr>
          <w:rFonts w:ascii="Times New Roman" w:hAnsi="Times New Roman" w:cs="Times New Roman"/>
          <w:sz w:val="24"/>
          <w:szCs w:val="24"/>
        </w:rPr>
        <w:t>IBM has endeavored a strategic position by ensuring WatsonX stands out in terms of governance, explainability, and enterprise-grade reliability. It is quite a justifiable stand: Rai (2020) shows that explainability is especially appreciated in the regulated industries because the responsibility of the decisions made is not only a legal obligation but also a legal one. Admittedly, as it is stated by LeCun, Bengio and Hinton (2015), it is extremely difficult to make complex neural networks interpretable and still maintain their performance and the IBM research programme has to work on it by investing more in explainable AI tools. The hybrid cloud infrastructure used by IBM to assist enterprise clients in implementing AI to their respective systems can solve the security-related issues, especially with the growing importance of data sovereignty in the UK GDPR framework.</w:t>
      </w:r>
    </w:p>
    <w:p w14:paraId="33B544D2" w14:textId="4317DB79" w:rsidR="000F7463" w:rsidRPr="004D2FE8" w:rsidRDefault="00E24FB0" w:rsidP="00007063">
      <w:pPr>
        <w:spacing w:line="360" w:lineRule="auto"/>
        <w:jc w:val="both"/>
        <w:rPr>
          <w:rFonts w:ascii="Times New Roman" w:hAnsi="Times New Roman" w:cs="Times New Roman"/>
          <w:sz w:val="24"/>
          <w:szCs w:val="24"/>
        </w:rPr>
      </w:pPr>
      <w:r w:rsidRPr="00E24FB0">
        <w:rPr>
          <w:rFonts w:ascii="Times New Roman" w:hAnsi="Times New Roman" w:cs="Times New Roman"/>
          <w:sz w:val="24"/>
          <w:szCs w:val="24"/>
        </w:rPr>
        <w:t>Makridakis (2017) preempts the turmoil that IBM is already seeing and argues that those companies that are unable to develop the infrastructure of governance and technological capability will lose competitiveness and reputation as well. The latter can be justified by the study by Duan et al. (2019), who clarify that AI decision-making systems in enterprise systems must be constantly monitored as opposed to deployed, which is exactly what IBM will achieve in its implementation.</w:t>
      </w:r>
    </w:p>
    <w:p w14:paraId="21DD408A" w14:textId="1CE172F3" w:rsidR="00E64F9E" w:rsidRDefault="00E64F9E" w:rsidP="00007063">
      <w:pPr>
        <w:pStyle w:val="Caption"/>
        <w:keepNext/>
        <w:spacing w:after="0" w:line="360" w:lineRule="auto"/>
      </w:pPr>
      <w:r>
        <w:t xml:space="preserve">Table </w:t>
      </w:r>
      <w:fldSimple w:instr=" SEQ Table \* ARABIC ">
        <w:r w:rsidR="00280289">
          <w:rPr>
            <w:noProof/>
          </w:rPr>
          <w:t>1</w:t>
        </w:r>
      </w:fldSimple>
      <w:r>
        <w:t xml:space="preserve">: </w:t>
      </w:r>
      <w:r w:rsidRPr="007675C2">
        <w:t>Porter's Five Forces IBM Competitive Environment source: Author's own construction.</w:t>
      </w:r>
    </w:p>
    <w:tbl>
      <w:tblPr>
        <w:tblStyle w:val="TableGrid"/>
        <w:tblW w:w="9360" w:type="dxa"/>
        <w:tblLook w:val="04A0" w:firstRow="1" w:lastRow="0" w:firstColumn="1" w:lastColumn="0" w:noHBand="0" w:noVBand="1"/>
      </w:tblPr>
      <w:tblGrid>
        <w:gridCol w:w="2200"/>
        <w:gridCol w:w="3560"/>
        <w:gridCol w:w="1400"/>
        <w:gridCol w:w="2200"/>
      </w:tblGrid>
      <w:tr w:rsidR="000F7463" w:rsidRPr="004B2D01" w14:paraId="4270DB68" w14:textId="77777777" w:rsidTr="004B2D01">
        <w:tc>
          <w:tcPr>
            <w:tcW w:w="2200" w:type="dxa"/>
          </w:tcPr>
          <w:p w14:paraId="33A4F6C7" w14:textId="77777777" w:rsidR="000F7463" w:rsidRPr="004B2D01" w:rsidRDefault="006047D6" w:rsidP="00007063">
            <w:pPr>
              <w:spacing w:line="360" w:lineRule="auto"/>
              <w:jc w:val="both"/>
              <w:rPr>
                <w:rFonts w:ascii="Times New Roman" w:hAnsi="Times New Roman" w:cs="Times New Roman"/>
                <w:b/>
                <w:bCs/>
                <w:color w:val="auto"/>
              </w:rPr>
            </w:pPr>
            <w:r w:rsidRPr="004B2D01">
              <w:rPr>
                <w:rFonts w:ascii="Times New Roman" w:hAnsi="Times New Roman" w:cs="Times New Roman"/>
                <w:b/>
                <w:bCs/>
                <w:color w:val="auto"/>
              </w:rPr>
              <w:t>Force</w:t>
            </w:r>
          </w:p>
        </w:tc>
        <w:tc>
          <w:tcPr>
            <w:tcW w:w="3560" w:type="dxa"/>
          </w:tcPr>
          <w:p w14:paraId="5A9C032A" w14:textId="77777777" w:rsidR="000F7463" w:rsidRPr="004B2D01" w:rsidRDefault="006047D6" w:rsidP="00007063">
            <w:pPr>
              <w:spacing w:line="360" w:lineRule="auto"/>
              <w:jc w:val="both"/>
              <w:rPr>
                <w:rFonts w:ascii="Times New Roman" w:hAnsi="Times New Roman" w:cs="Times New Roman"/>
                <w:b/>
                <w:bCs/>
                <w:color w:val="auto"/>
              </w:rPr>
            </w:pPr>
            <w:r w:rsidRPr="004B2D01">
              <w:rPr>
                <w:rFonts w:ascii="Times New Roman" w:hAnsi="Times New Roman" w:cs="Times New Roman"/>
                <w:b/>
                <w:bCs/>
                <w:color w:val="auto"/>
              </w:rPr>
              <w:t>Assessment for IBM</w:t>
            </w:r>
          </w:p>
        </w:tc>
        <w:tc>
          <w:tcPr>
            <w:tcW w:w="1400" w:type="dxa"/>
          </w:tcPr>
          <w:p w14:paraId="2E32380D" w14:textId="77777777" w:rsidR="000F7463" w:rsidRPr="004B2D01" w:rsidRDefault="006047D6" w:rsidP="00007063">
            <w:pPr>
              <w:spacing w:line="360" w:lineRule="auto"/>
              <w:jc w:val="both"/>
              <w:rPr>
                <w:rFonts w:ascii="Times New Roman" w:hAnsi="Times New Roman" w:cs="Times New Roman"/>
                <w:b/>
                <w:bCs/>
                <w:color w:val="auto"/>
              </w:rPr>
            </w:pPr>
            <w:r w:rsidRPr="004B2D01">
              <w:rPr>
                <w:rFonts w:ascii="Times New Roman" w:hAnsi="Times New Roman" w:cs="Times New Roman"/>
                <w:b/>
                <w:bCs/>
                <w:color w:val="auto"/>
              </w:rPr>
              <w:t>Intensity</w:t>
            </w:r>
          </w:p>
        </w:tc>
        <w:tc>
          <w:tcPr>
            <w:tcW w:w="2200" w:type="dxa"/>
          </w:tcPr>
          <w:p w14:paraId="579D23BD" w14:textId="77777777" w:rsidR="000F7463" w:rsidRPr="004B2D01" w:rsidRDefault="006047D6" w:rsidP="00007063">
            <w:pPr>
              <w:spacing w:line="360" w:lineRule="auto"/>
              <w:jc w:val="both"/>
              <w:rPr>
                <w:rFonts w:ascii="Times New Roman" w:hAnsi="Times New Roman" w:cs="Times New Roman"/>
                <w:b/>
                <w:bCs/>
                <w:color w:val="auto"/>
              </w:rPr>
            </w:pPr>
            <w:r w:rsidRPr="004B2D01">
              <w:rPr>
                <w:rFonts w:ascii="Times New Roman" w:hAnsi="Times New Roman" w:cs="Times New Roman"/>
                <w:b/>
                <w:bCs/>
                <w:color w:val="auto"/>
              </w:rPr>
              <w:t>Strategic Implication</w:t>
            </w:r>
          </w:p>
        </w:tc>
      </w:tr>
      <w:tr w:rsidR="000F7463" w:rsidRPr="00F264AF" w14:paraId="4B12C280" w14:textId="77777777" w:rsidTr="004B2D01">
        <w:tc>
          <w:tcPr>
            <w:tcW w:w="2200" w:type="dxa"/>
          </w:tcPr>
          <w:p w14:paraId="7E9E0523"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Competitive Rivalry</w:t>
            </w:r>
          </w:p>
        </w:tc>
        <w:tc>
          <w:tcPr>
            <w:tcW w:w="3560" w:type="dxa"/>
          </w:tcPr>
          <w:p w14:paraId="0F38002F"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Intense competition from Microsoft Azure AI, Google Cloud and Amazon AWS; watsonx faces substitution from generative AI platforms with substantially greater research investment</w:t>
            </w:r>
          </w:p>
        </w:tc>
        <w:tc>
          <w:tcPr>
            <w:tcW w:w="1400" w:type="dxa"/>
          </w:tcPr>
          <w:p w14:paraId="726BD746"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Very High</w:t>
            </w:r>
          </w:p>
        </w:tc>
        <w:tc>
          <w:tcPr>
            <w:tcW w:w="2200" w:type="dxa"/>
          </w:tcPr>
          <w:p w14:paraId="2E2E8E38" w14:textId="3069000D"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Differentiate through governance-grade AI and sector-specific explainability</w:t>
            </w:r>
            <w:r w:rsidR="005C58E6">
              <w:rPr>
                <w:rFonts w:ascii="Times New Roman" w:hAnsi="Times New Roman" w:cs="Times New Roman"/>
              </w:rPr>
              <w:t>,</w:t>
            </w:r>
            <w:r w:rsidR="00E64F9E">
              <w:rPr>
                <w:rFonts w:ascii="Times New Roman" w:hAnsi="Times New Roman" w:cs="Times New Roman"/>
              </w:rPr>
              <w:t xml:space="preserve"> </w:t>
            </w:r>
            <w:r w:rsidRPr="00F264AF">
              <w:rPr>
                <w:rFonts w:ascii="Times New Roman" w:hAnsi="Times New Roman" w:cs="Times New Roman"/>
              </w:rPr>
              <w:t>not raw capability</w:t>
            </w:r>
            <w:r w:rsidR="00F7533D" w:rsidRPr="00F264AF">
              <w:rPr>
                <w:rFonts w:ascii="Times New Roman" w:hAnsi="Times New Roman" w:cs="Times New Roman"/>
              </w:rPr>
              <w:t>.</w:t>
            </w:r>
          </w:p>
        </w:tc>
      </w:tr>
      <w:tr w:rsidR="000F7463" w:rsidRPr="00F264AF" w14:paraId="1A493A99" w14:textId="77777777" w:rsidTr="004B2D01">
        <w:tc>
          <w:tcPr>
            <w:tcW w:w="2200" w:type="dxa"/>
          </w:tcPr>
          <w:p w14:paraId="29BC7F45"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lastRenderedPageBreak/>
              <w:t>Threat of New Entrants</w:t>
            </w:r>
          </w:p>
        </w:tc>
        <w:tc>
          <w:tcPr>
            <w:tcW w:w="3560" w:type="dxa"/>
          </w:tcPr>
          <w:p w14:paraId="3F6B3A94" w14:textId="322D4705"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 xml:space="preserve">High capital and trust barriers limit new entrants; well-funded AI startups are nonetheless penetrating adjacent enterprise segments at </w:t>
            </w:r>
            <w:r w:rsidR="00F7533D" w:rsidRPr="00F264AF">
              <w:rPr>
                <w:rFonts w:ascii="Times New Roman" w:hAnsi="Times New Roman" w:cs="Times New Roman"/>
              </w:rPr>
              <w:t xml:space="preserve">a </w:t>
            </w:r>
            <w:r w:rsidRPr="00F264AF">
              <w:rPr>
                <w:rFonts w:ascii="Times New Roman" w:hAnsi="Times New Roman" w:cs="Times New Roman"/>
              </w:rPr>
              <w:t>pace</w:t>
            </w:r>
            <w:r w:rsidR="00F7533D" w:rsidRPr="00F264AF">
              <w:rPr>
                <w:rFonts w:ascii="Times New Roman" w:hAnsi="Times New Roman" w:cs="Times New Roman"/>
              </w:rPr>
              <w:t>.</w:t>
            </w:r>
          </w:p>
        </w:tc>
        <w:tc>
          <w:tcPr>
            <w:tcW w:w="1400" w:type="dxa"/>
          </w:tcPr>
          <w:p w14:paraId="0FB328AB"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Medium</w:t>
            </w:r>
          </w:p>
        </w:tc>
        <w:tc>
          <w:tcPr>
            <w:tcW w:w="2200" w:type="dxa"/>
          </w:tcPr>
          <w:p w14:paraId="672BE6FC"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Leverage 112-year institutional credibility and depth of existing enterprise system integrations</w:t>
            </w:r>
          </w:p>
        </w:tc>
      </w:tr>
      <w:tr w:rsidR="000F7463" w:rsidRPr="00F264AF" w14:paraId="7856E1A9" w14:textId="77777777" w:rsidTr="004B2D01">
        <w:tc>
          <w:tcPr>
            <w:tcW w:w="2200" w:type="dxa"/>
          </w:tcPr>
          <w:p w14:paraId="0659CC63"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Bargaining Power of Buyers</w:t>
            </w:r>
          </w:p>
        </w:tc>
        <w:tc>
          <w:tcPr>
            <w:tcW w:w="3560" w:type="dxa"/>
          </w:tcPr>
          <w:p w14:paraId="3E02AC69" w14:textId="448EBB99"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Large enterprise clients are increasingly multi-cloud and vendor-agnostic; procurement sophistication and regulatory awareness are both rising</w:t>
            </w:r>
            <w:r w:rsidR="00F7533D" w:rsidRPr="00F264AF">
              <w:rPr>
                <w:rFonts w:ascii="Times New Roman" w:hAnsi="Times New Roman" w:cs="Times New Roman"/>
              </w:rPr>
              <w:t>.</w:t>
            </w:r>
          </w:p>
        </w:tc>
        <w:tc>
          <w:tcPr>
            <w:tcW w:w="1400" w:type="dxa"/>
          </w:tcPr>
          <w:p w14:paraId="079D05B3"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High</w:t>
            </w:r>
          </w:p>
        </w:tc>
        <w:tc>
          <w:tcPr>
            <w:tcW w:w="2200" w:type="dxa"/>
          </w:tcPr>
          <w:p w14:paraId="2DF0576E" w14:textId="0A71B47C"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Build switching costs through deep governance integration and client-facing certification programmes</w:t>
            </w:r>
            <w:r w:rsidR="00F7533D" w:rsidRPr="00F264AF">
              <w:rPr>
                <w:rFonts w:ascii="Times New Roman" w:hAnsi="Times New Roman" w:cs="Times New Roman"/>
              </w:rPr>
              <w:t>.</w:t>
            </w:r>
          </w:p>
        </w:tc>
      </w:tr>
      <w:tr w:rsidR="000F7463" w:rsidRPr="00F264AF" w14:paraId="3654A3B1" w14:textId="77777777" w:rsidTr="004B2D01">
        <w:tc>
          <w:tcPr>
            <w:tcW w:w="2200" w:type="dxa"/>
          </w:tcPr>
          <w:p w14:paraId="381C1445"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Bargaining Power of Suppliers</w:t>
            </w:r>
          </w:p>
        </w:tc>
        <w:tc>
          <w:tcPr>
            <w:tcW w:w="3560" w:type="dxa"/>
          </w:tcPr>
          <w:p w14:paraId="284268EB" w14:textId="78C71ED4"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Semiconductor supply concentration (TSMC, NVIDIA) creates vulnerability; AI engineering talent scarcity continues to inflate labour costs across the sector</w:t>
            </w:r>
            <w:r w:rsidR="00F7533D" w:rsidRPr="00F264AF">
              <w:rPr>
                <w:rFonts w:ascii="Times New Roman" w:hAnsi="Times New Roman" w:cs="Times New Roman"/>
              </w:rPr>
              <w:t>.</w:t>
            </w:r>
          </w:p>
        </w:tc>
        <w:tc>
          <w:tcPr>
            <w:tcW w:w="1400" w:type="dxa"/>
          </w:tcPr>
          <w:p w14:paraId="16BFCEA6"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Medium-High</w:t>
            </w:r>
          </w:p>
        </w:tc>
        <w:tc>
          <w:tcPr>
            <w:tcW w:w="2200" w:type="dxa"/>
          </w:tcPr>
          <w:p w14:paraId="57677086" w14:textId="00A09312"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Invest in proprietary chip research capacity; expand graduate AI pipeline partnerships</w:t>
            </w:r>
            <w:r w:rsidR="00F7533D" w:rsidRPr="00F264AF">
              <w:rPr>
                <w:rFonts w:ascii="Times New Roman" w:hAnsi="Times New Roman" w:cs="Times New Roman"/>
              </w:rPr>
              <w:t>.</w:t>
            </w:r>
          </w:p>
        </w:tc>
      </w:tr>
      <w:tr w:rsidR="000F7463" w:rsidRPr="00F264AF" w14:paraId="55126AAD" w14:textId="77777777" w:rsidTr="004B2D01">
        <w:tc>
          <w:tcPr>
            <w:tcW w:w="2200" w:type="dxa"/>
          </w:tcPr>
          <w:p w14:paraId="68187D10"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Threat of Substitutes</w:t>
            </w:r>
          </w:p>
        </w:tc>
        <w:tc>
          <w:tcPr>
            <w:tcW w:w="3560" w:type="dxa"/>
          </w:tcPr>
          <w:p w14:paraId="0E82BEC2" w14:textId="22DF3CB8"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Open-source LLMs</w:t>
            </w:r>
            <w:r w:rsidR="00F7533D" w:rsidRPr="00F264AF">
              <w:rPr>
                <w:rFonts w:ascii="Times New Roman" w:hAnsi="Times New Roman" w:cs="Times New Roman"/>
              </w:rPr>
              <w:t>,</w:t>
            </w:r>
            <w:r w:rsidRPr="00F264AF">
              <w:rPr>
                <w:rFonts w:ascii="Times New Roman" w:hAnsi="Times New Roman" w:cs="Times New Roman"/>
              </w:rPr>
              <w:t xml:space="preserve"> including LLaMA and Mistral</w:t>
            </w:r>
            <w:r w:rsidR="00F7533D" w:rsidRPr="00F264AF">
              <w:rPr>
                <w:rFonts w:ascii="Times New Roman" w:hAnsi="Times New Roman" w:cs="Times New Roman"/>
              </w:rPr>
              <w:t>,</w:t>
            </w:r>
            <w:r w:rsidRPr="00F264AF">
              <w:rPr>
                <w:rFonts w:ascii="Times New Roman" w:hAnsi="Times New Roman" w:cs="Times New Roman"/>
              </w:rPr>
              <w:t xml:space="preserve"> provide low-cost alternatives, reducing IBM's premium pricing power in non-regulated enterprise segments</w:t>
            </w:r>
            <w:r w:rsidR="00F7533D" w:rsidRPr="00F264AF">
              <w:rPr>
                <w:rFonts w:ascii="Times New Roman" w:hAnsi="Times New Roman" w:cs="Times New Roman"/>
              </w:rPr>
              <w:t>.</w:t>
            </w:r>
          </w:p>
        </w:tc>
        <w:tc>
          <w:tcPr>
            <w:tcW w:w="1400" w:type="dxa"/>
          </w:tcPr>
          <w:p w14:paraId="48DCDA30"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High</w:t>
            </w:r>
          </w:p>
        </w:tc>
        <w:tc>
          <w:tcPr>
            <w:tcW w:w="2200" w:type="dxa"/>
          </w:tcPr>
          <w:p w14:paraId="5BAB48BD" w14:textId="106F6052"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 xml:space="preserve">Position </w:t>
            </w:r>
            <w:r w:rsidR="00F7533D" w:rsidRPr="00F264AF">
              <w:rPr>
                <w:rFonts w:ascii="Times New Roman" w:hAnsi="Times New Roman" w:cs="Times New Roman"/>
              </w:rPr>
              <w:t>Watson</w:t>
            </w:r>
            <w:r w:rsidRPr="00F264AF">
              <w:rPr>
                <w:rFonts w:ascii="Times New Roman" w:hAnsi="Times New Roman" w:cs="Times New Roman"/>
              </w:rPr>
              <w:t xml:space="preserve"> explicitly on regulatory compliance and auditability rather than generative capability</w:t>
            </w:r>
          </w:p>
        </w:tc>
      </w:tr>
    </w:tbl>
    <w:p w14:paraId="3E935DE4" w14:textId="204C32BD" w:rsidR="000F7463" w:rsidRPr="00F264AF" w:rsidRDefault="000F7463" w:rsidP="00007063">
      <w:pPr>
        <w:spacing w:line="360" w:lineRule="auto"/>
        <w:jc w:val="both"/>
        <w:rPr>
          <w:rFonts w:ascii="Times New Roman" w:hAnsi="Times New Roman" w:cs="Times New Roman"/>
        </w:rPr>
      </w:pPr>
    </w:p>
    <w:p w14:paraId="1878486E" w14:textId="189E4211" w:rsidR="00216ED3" w:rsidRPr="00F264AF" w:rsidRDefault="00216ED3" w:rsidP="00007063">
      <w:pPr>
        <w:spacing w:line="360" w:lineRule="auto"/>
        <w:jc w:val="both"/>
        <w:rPr>
          <w:rFonts w:ascii="Times New Roman" w:hAnsi="Times New Roman" w:cs="Times New Roman"/>
          <w:i/>
          <w:iCs/>
        </w:rPr>
      </w:pPr>
      <w:r w:rsidRPr="00F264AF">
        <w:rPr>
          <w:rFonts w:ascii="Times New Roman" w:hAnsi="Times New Roman" w:cs="Times New Roman"/>
          <w:noProof/>
        </w:rPr>
        <w:lastRenderedPageBreak/>
        <w:drawing>
          <wp:inline distT="0" distB="0" distL="0" distR="0" wp14:anchorId="0A594FC2" wp14:editId="644458C3">
            <wp:extent cx="6172200" cy="3470910"/>
            <wp:effectExtent l="0" t="0" r="0" b="0"/>
            <wp:docPr id="63183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39231" name=""/>
                    <pic:cNvPicPr/>
                  </pic:nvPicPr>
                  <pic:blipFill>
                    <a:blip r:embed="rId9"/>
                    <a:stretch>
                      <a:fillRect/>
                    </a:stretch>
                  </pic:blipFill>
                  <pic:spPr>
                    <a:xfrm>
                      <a:off x="0" y="0"/>
                      <a:ext cx="6172200" cy="3470910"/>
                    </a:xfrm>
                    <a:prstGeom prst="rect">
                      <a:avLst/>
                    </a:prstGeom>
                  </pic:spPr>
                </pic:pic>
              </a:graphicData>
            </a:graphic>
          </wp:inline>
        </w:drawing>
      </w:r>
    </w:p>
    <w:p w14:paraId="3A9F8BD0" w14:textId="2E4CD35E"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i/>
          <w:iCs/>
        </w:rPr>
        <w:t xml:space="preserve">Diagram 1: Transatlantic AI Regulatory Divergence </w:t>
      </w:r>
      <w:r w:rsidR="009449AD" w:rsidRPr="00F264AF">
        <w:rPr>
          <w:rFonts w:ascii="Times New Roman" w:hAnsi="Times New Roman" w:cs="Times New Roman"/>
          <w:i/>
          <w:iCs/>
        </w:rPr>
        <w:t>-</w:t>
      </w:r>
      <w:r w:rsidRPr="00F264AF">
        <w:rPr>
          <w:rFonts w:ascii="Times New Roman" w:hAnsi="Times New Roman" w:cs="Times New Roman"/>
          <w:i/>
          <w:iCs/>
        </w:rPr>
        <w:t xml:space="preserve"> IBM Strategic Operating Zone. Source: Author</w:t>
      </w:r>
      <w:r w:rsidR="00E215B4" w:rsidRPr="00F264AF">
        <w:rPr>
          <w:rFonts w:ascii="Times New Roman" w:hAnsi="Times New Roman" w:cs="Times New Roman"/>
          <w:i/>
          <w:iCs/>
        </w:rPr>
        <w:t>.</w:t>
      </w:r>
    </w:p>
    <w:p w14:paraId="15C3769E" w14:textId="1F107269" w:rsidR="000F7463" w:rsidRPr="00F264AF" w:rsidRDefault="006047D6" w:rsidP="00007063">
      <w:pPr>
        <w:pStyle w:val="Heading2"/>
      </w:pPr>
      <w:bookmarkStart w:id="7" w:name="_Toc228204486"/>
      <w:r w:rsidRPr="00F264AF">
        <w:t>Legal Accountability: Data Protection, Liability and Cross-Border Compliance</w:t>
      </w:r>
      <w:bookmarkEnd w:id="7"/>
    </w:p>
    <w:p w14:paraId="09E02985" w14:textId="0E399C70"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legal context </w:t>
      </w:r>
      <w:r w:rsidR="00F7533D" w:rsidRPr="004D2FE8">
        <w:rPr>
          <w:rFonts w:ascii="Times New Roman" w:hAnsi="Times New Roman" w:cs="Times New Roman"/>
          <w:sz w:val="24"/>
          <w:szCs w:val="24"/>
        </w:rPr>
        <w:t>for AI activities at IBM is intricate and constantly evolving</w:t>
      </w:r>
      <w:r w:rsidRPr="004D2FE8">
        <w:rPr>
          <w:rFonts w:ascii="Times New Roman" w:hAnsi="Times New Roman" w:cs="Times New Roman"/>
          <w:sz w:val="24"/>
          <w:szCs w:val="24"/>
        </w:rPr>
        <w:t>. In the United Kingdom, the ICO (2024) has provided comprehensive advice based on the UK GDPR principles of transparency, limited purposes and individual rights to AI systems, including automated decision-making. Wachter, Mittelstadt</w:t>
      </w:r>
      <w:r w:rsidR="00F7533D" w:rsidRPr="004D2FE8">
        <w:rPr>
          <w:rFonts w:ascii="Times New Roman" w:hAnsi="Times New Roman" w:cs="Times New Roman"/>
          <w:sz w:val="24"/>
          <w:szCs w:val="24"/>
        </w:rPr>
        <w:t>, and Floridi (2017) also point out a critical caveat: any right to explanation under Article 22 is legally contestable, creating permanent uncertainty for companies that use AI to make</w:t>
      </w:r>
      <w:r w:rsidRPr="004D2FE8">
        <w:rPr>
          <w:rFonts w:ascii="Times New Roman" w:hAnsi="Times New Roman" w:cs="Times New Roman"/>
          <w:sz w:val="24"/>
          <w:szCs w:val="24"/>
        </w:rPr>
        <w:t xml:space="preserve"> significant decisions about people.</w:t>
      </w:r>
    </w:p>
    <w:p w14:paraId="77A59AF2" w14:textId="7F19DD70"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legal landscape of AI is not unified </w:t>
      </w:r>
      <w:r w:rsidR="00F7533D" w:rsidRPr="004D2FE8">
        <w:rPr>
          <w:rFonts w:ascii="Times New Roman" w:hAnsi="Times New Roman" w:cs="Times New Roman"/>
          <w:sz w:val="24"/>
          <w:szCs w:val="24"/>
        </w:rPr>
        <w:t>at the federal level in the United States</w:t>
      </w:r>
      <w:r w:rsidRPr="004D2FE8">
        <w:rPr>
          <w:rFonts w:ascii="Times New Roman" w:hAnsi="Times New Roman" w:cs="Times New Roman"/>
          <w:sz w:val="24"/>
          <w:szCs w:val="24"/>
        </w:rPr>
        <w:t xml:space="preserve">. Scherer (2016) offers a teach-back analysis </w:t>
      </w:r>
      <w:r w:rsidR="00F7533D" w:rsidRPr="004D2FE8">
        <w:rPr>
          <w:rFonts w:ascii="Times New Roman" w:hAnsi="Times New Roman" w:cs="Times New Roman"/>
          <w:sz w:val="24"/>
          <w:szCs w:val="24"/>
        </w:rPr>
        <w:t>of the structural reasons why it is challenging to regulate AI systems, arguing that current legal frameworks were not designed to address the opacity, velocity,</w:t>
      </w:r>
      <w:r w:rsidRPr="004D2FE8">
        <w:rPr>
          <w:rFonts w:ascii="Times New Roman" w:hAnsi="Times New Roman" w:cs="Times New Roman"/>
          <w:sz w:val="24"/>
          <w:szCs w:val="24"/>
        </w:rPr>
        <w:t xml:space="preserve"> and magnitude of algorithmic decision-making. The authors state that the more rigorous regulatory standard, which in practice would be equivalent to the EU AI Act, </w:t>
      </w:r>
      <w:r w:rsidR="00F7533D" w:rsidRPr="004D2FE8">
        <w:rPr>
          <w:rFonts w:ascii="Times New Roman" w:hAnsi="Times New Roman" w:cs="Times New Roman"/>
          <w:sz w:val="24"/>
          <w:szCs w:val="24"/>
        </w:rPr>
        <w:t xml:space="preserve">should be actively embraced as the internal compliance standard, as it is a more effective long-term compliance strategy than </w:t>
      </w:r>
      <w:r w:rsidRPr="004D2FE8">
        <w:rPr>
          <w:rFonts w:ascii="Times New Roman" w:hAnsi="Times New Roman" w:cs="Times New Roman"/>
          <w:sz w:val="24"/>
          <w:szCs w:val="24"/>
        </w:rPr>
        <w:t xml:space="preserve">jurisdiction-specific systems (Goodman and Flaxman, 2017). The given strategy addresses the seeming conflict between the UK-US dual compliance and </w:t>
      </w:r>
      <w:r w:rsidR="00F7533D" w:rsidRPr="004D2FE8">
        <w:rPr>
          <w:rFonts w:ascii="Times New Roman" w:hAnsi="Times New Roman" w:cs="Times New Roman"/>
          <w:sz w:val="24"/>
          <w:szCs w:val="24"/>
        </w:rPr>
        <w:t>EU-compliant standards: by focusing on the most demanding requirement as the internal design standard, IBM can meet the requirements of all three jurisdictions simultaneously, rather than dealing</w:t>
      </w:r>
      <w:r w:rsidRPr="004D2FE8">
        <w:rPr>
          <w:rFonts w:ascii="Times New Roman" w:hAnsi="Times New Roman" w:cs="Times New Roman"/>
          <w:sz w:val="24"/>
          <w:szCs w:val="24"/>
        </w:rPr>
        <w:t xml:space="preserve"> with disjointed parallel systems.</w:t>
      </w:r>
    </w:p>
    <w:p w14:paraId="187AA44E" w14:textId="4A525051" w:rsidR="000F7463"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source of a </w:t>
      </w:r>
      <w:r w:rsidR="00F7533D" w:rsidRPr="004D2FE8">
        <w:rPr>
          <w:rFonts w:ascii="Times New Roman" w:hAnsi="Times New Roman" w:cs="Times New Roman"/>
          <w:sz w:val="24"/>
          <w:szCs w:val="24"/>
        </w:rPr>
        <w:t xml:space="preserve">deeper legal tension, according to Zarsky (2016), is the obscurity that renders complex AI systems powerful while simultaneously making them inaccessible to audit and </w:t>
      </w:r>
      <w:r w:rsidR="00F7533D" w:rsidRPr="004D2FE8">
        <w:rPr>
          <w:rFonts w:ascii="Times New Roman" w:hAnsi="Times New Roman" w:cs="Times New Roman"/>
          <w:sz w:val="24"/>
          <w:szCs w:val="24"/>
        </w:rPr>
        <w:lastRenderedPageBreak/>
        <w:t>challenge mechanisms on which legal accountability systems are based</w:t>
      </w:r>
      <w:r w:rsidRPr="004D2FE8">
        <w:rPr>
          <w:rFonts w:ascii="Times New Roman" w:hAnsi="Times New Roman" w:cs="Times New Roman"/>
          <w:sz w:val="24"/>
          <w:szCs w:val="24"/>
        </w:rPr>
        <w:t>. Binns (2018) suggests relying on traditions of fairness theory of political philosophy to create more principled legal standards - a practice that has already started to come into regulatory thought on both sides of the Atlantic</w:t>
      </w:r>
      <w:r w:rsidR="00F7533D" w:rsidRPr="004D2FE8">
        <w:rPr>
          <w:rFonts w:ascii="Times New Roman" w:hAnsi="Times New Roman" w:cs="Times New Roman"/>
          <w:sz w:val="24"/>
          <w:szCs w:val="24"/>
        </w:rPr>
        <w:t>,</w:t>
      </w:r>
      <w:r w:rsidRPr="004D2FE8">
        <w:rPr>
          <w:rFonts w:ascii="Times New Roman" w:hAnsi="Times New Roman" w:cs="Times New Roman"/>
          <w:sz w:val="24"/>
          <w:szCs w:val="24"/>
        </w:rPr>
        <w:t xml:space="preserve"> and which IBM internal governance structures should expect.</w:t>
      </w:r>
    </w:p>
    <w:p w14:paraId="33FE0BE5" w14:textId="7B739642" w:rsidR="000F7463" w:rsidRPr="00F264AF" w:rsidRDefault="006047D6" w:rsidP="00007063">
      <w:pPr>
        <w:pStyle w:val="Heading2"/>
      </w:pPr>
      <w:bookmarkStart w:id="8" w:name="_Toc228204487"/>
      <w:r w:rsidRPr="00F264AF">
        <w:t>Environmental Responsibility and the Carbon Cost of AI</w:t>
      </w:r>
      <w:bookmarkEnd w:id="8"/>
    </w:p>
    <w:p w14:paraId="0AC3F1ED" w14:textId="275DFFE2"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Regulators, investors</w:t>
      </w:r>
      <w:r w:rsidR="00F7533D" w:rsidRPr="004D2FE8">
        <w:rPr>
          <w:rFonts w:ascii="Times New Roman" w:hAnsi="Times New Roman" w:cs="Times New Roman"/>
          <w:sz w:val="24"/>
          <w:szCs w:val="24"/>
        </w:rPr>
        <w:t>, and civil society have been paying increasing attention to the environmental aspects</w:t>
      </w:r>
      <w:r w:rsidRPr="004D2FE8">
        <w:rPr>
          <w:rFonts w:ascii="Times New Roman" w:hAnsi="Times New Roman" w:cs="Times New Roman"/>
          <w:sz w:val="24"/>
          <w:szCs w:val="24"/>
        </w:rPr>
        <w:t xml:space="preserve"> of AI development. Strubell, Ganesh</w:t>
      </w:r>
      <w:r w:rsidR="00F7533D" w:rsidRPr="004D2FE8">
        <w:rPr>
          <w:rFonts w:ascii="Times New Roman" w:hAnsi="Times New Roman" w:cs="Times New Roman"/>
          <w:sz w:val="24"/>
          <w:szCs w:val="24"/>
        </w:rPr>
        <w:t>, and McCallum (2019) calculated that a single large natural language processing model can emit as much carbon as five cars over its lifetime, a figure that</w:t>
      </w:r>
      <w:r w:rsidRPr="004D2FE8">
        <w:rPr>
          <w:rFonts w:ascii="Times New Roman" w:hAnsi="Times New Roman" w:cs="Times New Roman"/>
          <w:sz w:val="24"/>
          <w:szCs w:val="24"/>
        </w:rPr>
        <w:t xml:space="preserve"> has risen with the scale of models. Patterson et al. (2021) provide a more detailed evaluation, indicating that AI can be significantly cheaper in terms of carbon costs with an efficient model architecture and renewable energy sourcing in data centres</w:t>
      </w:r>
      <w:r w:rsidR="00F7533D" w:rsidRPr="004D2FE8">
        <w:rPr>
          <w:rFonts w:ascii="Times New Roman" w:hAnsi="Times New Roman" w:cs="Times New Roman"/>
          <w:sz w:val="24"/>
          <w:szCs w:val="24"/>
        </w:rPr>
        <w:t xml:space="preserve">; however, only when organisations make conscious strategic investments in energy efficiency and do not treat it as </w:t>
      </w:r>
      <w:r w:rsidRPr="004D2FE8">
        <w:rPr>
          <w:rFonts w:ascii="Times New Roman" w:hAnsi="Times New Roman" w:cs="Times New Roman"/>
          <w:sz w:val="24"/>
          <w:szCs w:val="24"/>
        </w:rPr>
        <w:t>a by-product.</w:t>
      </w:r>
    </w:p>
    <w:p w14:paraId="0E1789E3" w14:textId="78BF8916" w:rsidR="000F7463"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According to Schwartz et al. (2020), computational efficiency must be considered an explicit design goal </w:t>
      </w:r>
      <w:r w:rsidR="00F7533D" w:rsidRPr="004D2FE8">
        <w:rPr>
          <w:rFonts w:ascii="Times New Roman" w:hAnsi="Times New Roman" w:cs="Times New Roman"/>
          <w:sz w:val="24"/>
          <w:szCs w:val="24"/>
        </w:rPr>
        <w:t>alongside</w:t>
      </w:r>
      <w:r w:rsidRPr="004D2FE8">
        <w:rPr>
          <w:rFonts w:ascii="Times New Roman" w:hAnsi="Times New Roman" w:cs="Times New Roman"/>
          <w:sz w:val="24"/>
          <w:szCs w:val="24"/>
        </w:rPr>
        <w:t xml:space="preserve"> capability improvement, </w:t>
      </w:r>
      <w:r w:rsidR="00F7533D" w:rsidRPr="004D2FE8">
        <w:rPr>
          <w:rFonts w:ascii="Times New Roman" w:hAnsi="Times New Roman" w:cs="Times New Roman"/>
          <w:sz w:val="24"/>
          <w:szCs w:val="24"/>
        </w:rPr>
        <w:t xml:space="preserve">which they have dubbed </w:t>
      </w:r>
      <w:r w:rsidRPr="004D2FE8">
        <w:rPr>
          <w:rFonts w:ascii="Times New Roman" w:hAnsi="Times New Roman" w:cs="Times New Roman"/>
          <w:sz w:val="24"/>
          <w:szCs w:val="24"/>
        </w:rPr>
        <w:t>green AI. The published net-zero target of the company (IBM Corporation, 2023) puts IBM in a fairly good position on this dimension, although to remain credible it will need to report on the net energy consumption of the watsonx platform and the data centre infrastructure transparently and in granular detail and compare it to the Paris Agreement (UNFCCC, 2015) and have it evaluated by institutional investors as part of standard ESG</w:t>
      </w:r>
    </w:p>
    <w:p w14:paraId="7E220CC7" w14:textId="7B3C741E" w:rsidR="00C854E5" w:rsidRDefault="00C854E5" w:rsidP="00007063">
      <w:pPr>
        <w:pStyle w:val="Caption"/>
        <w:keepNext/>
        <w:spacing w:after="0" w:line="360" w:lineRule="auto"/>
      </w:pPr>
      <w:r>
        <w:t xml:space="preserve">Table </w:t>
      </w:r>
      <w:fldSimple w:instr=" SEQ Table \* ARABIC ">
        <w:r w:rsidR="00280289">
          <w:rPr>
            <w:noProof/>
          </w:rPr>
          <w:t>2</w:t>
        </w:r>
      </w:fldSimple>
      <w:r>
        <w:t xml:space="preserve">: </w:t>
      </w:r>
      <w:r w:rsidRPr="00F3357B">
        <w:t>IBM PESTLE Analysis Summary. Source: Author.</w:t>
      </w:r>
    </w:p>
    <w:tbl>
      <w:tblPr>
        <w:tblStyle w:val="TableGridLight"/>
        <w:tblW w:w="9360" w:type="dxa"/>
        <w:tblLook w:val="04A0" w:firstRow="1" w:lastRow="0" w:firstColumn="1" w:lastColumn="0" w:noHBand="0" w:noVBand="1"/>
      </w:tblPr>
      <w:tblGrid>
        <w:gridCol w:w="1800"/>
        <w:gridCol w:w="4160"/>
        <w:gridCol w:w="1400"/>
        <w:gridCol w:w="2000"/>
      </w:tblGrid>
      <w:tr w:rsidR="000F7463" w:rsidRPr="001D659A" w14:paraId="426BB00E" w14:textId="77777777" w:rsidTr="004B2D01">
        <w:tc>
          <w:tcPr>
            <w:tcW w:w="1800" w:type="dxa"/>
          </w:tcPr>
          <w:p w14:paraId="13C1C667" w14:textId="77777777" w:rsidR="000F7463" w:rsidRPr="001D659A" w:rsidRDefault="006047D6" w:rsidP="00007063">
            <w:pPr>
              <w:spacing w:line="360" w:lineRule="auto"/>
              <w:jc w:val="both"/>
              <w:rPr>
                <w:rFonts w:ascii="Times New Roman" w:hAnsi="Times New Roman" w:cs="Times New Roman"/>
                <w:b/>
                <w:bCs/>
                <w:color w:val="auto"/>
              </w:rPr>
            </w:pPr>
            <w:r w:rsidRPr="001D659A">
              <w:rPr>
                <w:rFonts w:ascii="Times New Roman" w:hAnsi="Times New Roman" w:cs="Times New Roman"/>
                <w:b/>
                <w:bCs/>
                <w:color w:val="auto"/>
              </w:rPr>
              <w:t>Factor</w:t>
            </w:r>
          </w:p>
        </w:tc>
        <w:tc>
          <w:tcPr>
            <w:tcW w:w="4160" w:type="dxa"/>
          </w:tcPr>
          <w:p w14:paraId="0BE52B7F" w14:textId="77777777" w:rsidR="000F7463" w:rsidRPr="001D659A" w:rsidRDefault="006047D6" w:rsidP="00007063">
            <w:pPr>
              <w:spacing w:line="360" w:lineRule="auto"/>
              <w:jc w:val="both"/>
              <w:rPr>
                <w:rFonts w:ascii="Times New Roman" w:hAnsi="Times New Roman" w:cs="Times New Roman"/>
                <w:b/>
                <w:bCs/>
                <w:color w:val="auto"/>
              </w:rPr>
            </w:pPr>
            <w:r w:rsidRPr="001D659A">
              <w:rPr>
                <w:rFonts w:ascii="Times New Roman" w:hAnsi="Times New Roman" w:cs="Times New Roman"/>
                <w:b/>
                <w:bCs/>
                <w:color w:val="auto"/>
              </w:rPr>
              <w:t>Key Issues for IBM (2024–2026)</w:t>
            </w:r>
          </w:p>
        </w:tc>
        <w:tc>
          <w:tcPr>
            <w:tcW w:w="1400" w:type="dxa"/>
          </w:tcPr>
          <w:p w14:paraId="71C264F3" w14:textId="77777777" w:rsidR="000F7463" w:rsidRPr="001D659A" w:rsidRDefault="006047D6" w:rsidP="00007063">
            <w:pPr>
              <w:spacing w:line="360" w:lineRule="auto"/>
              <w:jc w:val="both"/>
              <w:rPr>
                <w:rFonts w:ascii="Times New Roman" w:hAnsi="Times New Roman" w:cs="Times New Roman"/>
                <w:b/>
                <w:bCs/>
                <w:color w:val="auto"/>
              </w:rPr>
            </w:pPr>
            <w:r w:rsidRPr="001D659A">
              <w:rPr>
                <w:rFonts w:ascii="Times New Roman" w:hAnsi="Times New Roman" w:cs="Times New Roman"/>
                <w:b/>
                <w:bCs/>
                <w:color w:val="auto"/>
              </w:rPr>
              <w:t>Risk Level</w:t>
            </w:r>
          </w:p>
        </w:tc>
        <w:tc>
          <w:tcPr>
            <w:tcW w:w="2000" w:type="dxa"/>
          </w:tcPr>
          <w:p w14:paraId="49A7B8DC" w14:textId="77777777" w:rsidR="000F7463" w:rsidRPr="001D659A" w:rsidRDefault="006047D6" w:rsidP="00007063">
            <w:pPr>
              <w:spacing w:line="360" w:lineRule="auto"/>
              <w:jc w:val="both"/>
              <w:rPr>
                <w:rFonts w:ascii="Times New Roman" w:hAnsi="Times New Roman" w:cs="Times New Roman"/>
                <w:b/>
                <w:bCs/>
                <w:color w:val="auto"/>
              </w:rPr>
            </w:pPr>
            <w:r w:rsidRPr="001D659A">
              <w:rPr>
                <w:rFonts w:ascii="Times New Roman" w:hAnsi="Times New Roman" w:cs="Times New Roman"/>
                <w:b/>
                <w:bCs/>
                <w:color w:val="auto"/>
              </w:rPr>
              <w:t>Primary Source</w:t>
            </w:r>
          </w:p>
        </w:tc>
      </w:tr>
      <w:tr w:rsidR="000F7463" w:rsidRPr="00F264AF" w14:paraId="12CB46AD" w14:textId="77777777" w:rsidTr="004B2D01">
        <w:tc>
          <w:tcPr>
            <w:tcW w:w="1800" w:type="dxa"/>
          </w:tcPr>
          <w:p w14:paraId="384DE4A6"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Political</w:t>
            </w:r>
          </w:p>
        </w:tc>
        <w:tc>
          <w:tcPr>
            <w:tcW w:w="4160" w:type="dxa"/>
          </w:tcPr>
          <w:p w14:paraId="1F498CCC"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Diverging UK/US regulatory philosophies; EU AI Act spillover risk via enterprise client obligations; geopolitical AI competition</w:t>
            </w:r>
          </w:p>
        </w:tc>
        <w:tc>
          <w:tcPr>
            <w:tcW w:w="1400" w:type="dxa"/>
          </w:tcPr>
          <w:p w14:paraId="63AB3570"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High</w:t>
            </w:r>
          </w:p>
        </w:tc>
        <w:tc>
          <w:tcPr>
            <w:tcW w:w="2000" w:type="dxa"/>
          </w:tcPr>
          <w:p w14:paraId="3A2E06E5"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UK Government, 2023; White House, 2023; Kim &amp; Park, 2025</w:t>
            </w:r>
          </w:p>
        </w:tc>
      </w:tr>
      <w:tr w:rsidR="000F7463" w:rsidRPr="00F264AF" w14:paraId="5A913955" w14:textId="77777777" w:rsidTr="004B2D01">
        <w:tc>
          <w:tcPr>
            <w:tcW w:w="1800" w:type="dxa"/>
          </w:tcPr>
          <w:p w14:paraId="1B631944"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Economic</w:t>
            </w:r>
          </w:p>
        </w:tc>
        <w:tc>
          <w:tcPr>
            <w:tcW w:w="4160" w:type="dxa"/>
          </w:tcPr>
          <w:p w14:paraId="43CD04F1"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Global AI market growth offset by hyperscale competitive pressure; enterprise procurement shaped by regulatory compliance burden</w:t>
            </w:r>
          </w:p>
        </w:tc>
        <w:tc>
          <w:tcPr>
            <w:tcW w:w="1400" w:type="dxa"/>
          </w:tcPr>
          <w:p w14:paraId="2B437715"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Medium-High</w:t>
            </w:r>
          </w:p>
        </w:tc>
        <w:tc>
          <w:tcPr>
            <w:tcW w:w="2000" w:type="dxa"/>
          </w:tcPr>
          <w:p w14:paraId="563C18D3"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Bughin et al., 2018; Manyika et al., 2017</w:t>
            </w:r>
          </w:p>
        </w:tc>
      </w:tr>
      <w:tr w:rsidR="000F7463" w:rsidRPr="00F264AF" w14:paraId="282938B1" w14:textId="77777777" w:rsidTr="004B2D01">
        <w:tc>
          <w:tcPr>
            <w:tcW w:w="1800" w:type="dxa"/>
          </w:tcPr>
          <w:p w14:paraId="10515430"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Social</w:t>
            </w:r>
          </w:p>
        </w:tc>
        <w:tc>
          <w:tcPr>
            <w:tcW w:w="4160" w:type="dxa"/>
          </w:tcPr>
          <w:p w14:paraId="1B1774E8"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Declining public trust in AI; algorithmic bias backlash; workforce displacement concerns among IBM client organisations</w:t>
            </w:r>
          </w:p>
        </w:tc>
        <w:tc>
          <w:tcPr>
            <w:tcW w:w="1400" w:type="dxa"/>
          </w:tcPr>
          <w:p w14:paraId="6DEC95FC"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Medium</w:t>
            </w:r>
          </w:p>
        </w:tc>
        <w:tc>
          <w:tcPr>
            <w:tcW w:w="2000" w:type="dxa"/>
          </w:tcPr>
          <w:p w14:paraId="2842DD1C"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Acemoglu, 2021; Edelman, 2024</w:t>
            </w:r>
          </w:p>
        </w:tc>
      </w:tr>
      <w:tr w:rsidR="000F7463" w:rsidRPr="00F264AF" w14:paraId="0A191227" w14:textId="77777777" w:rsidTr="004B2D01">
        <w:tc>
          <w:tcPr>
            <w:tcW w:w="1800" w:type="dxa"/>
          </w:tcPr>
          <w:p w14:paraId="507096A5"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Technological</w:t>
            </w:r>
          </w:p>
        </w:tc>
        <w:tc>
          <w:tcPr>
            <w:tcW w:w="4160" w:type="dxa"/>
          </w:tcPr>
          <w:p w14:paraId="0A502890"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Generative AI disruption; watsonx competition from OpenAI and Google; open-</w:t>
            </w:r>
            <w:r w:rsidRPr="00F264AF">
              <w:rPr>
                <w:rFonts w:ascii="Times New Roman" w:hAnsi="Times New Roman" w:cs="Times New Roman"/>
              </w:rPr>
              <w:lastRenderedPageBreak/>
              <w:t>source substitution risk from LLaMA and Mistral</w:t>
            </w:r>
          </w:p>
        </w:tc>
        <w:tc>
          <w:tcPr>
            <w:tcW w:w="1400" w:type="dxa"/>
          </w:tcPr>
          <w:p w14:paraId="4030D003"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lastRenderedPageBreak/>
              <w:t>High</w:t>
            </w:r>
          </w:p>
        </w:tc>
        <w:tc>
          <w:tcPr>
            <w:tcW w:w="2000" w:type="dxa"/>
          </w:tcPr>
          <w:p w14:paraId="2BA8E9AB"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Bommasani, 2021; Makridakis, 2017</w:t>
            </w:r>
          </w:p>
        </w:tc>
      </w:tr>
      <w:tr w:rsidR="000F7463" w:rsidRPr="00F264AF" w14:paraId="2ACC6988" w14:textId="77777777" w:rsidTr="004B2D01">
        <w:tc>
          <w:tcPr>
            <w:tcW w:w="1800" w:type="dxa"/>
          </w:tcPr>
          <w:p w14:paraId="7EDA0B26"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Legal</w:t>
            </w:r>
          </w:p>
        </w:tc>
        <w:tc>
          <w:tcPr>
            <w:tcW w:w="4160" w:type="dxa"/>
          </w:tcPr>
          <w:p w14:paraId="0DEABEB9"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UK GDPR obligations; US state AI patchwork; explainability requirements in automated decisions affecting individuals</w:t>
            </w:r>
          </w:p>
        </w:tc>
        <w:tc>
          <w:tcPr>
            <w:tcW w:w="1400" w:type="dxa"/>
          </w:tcPr>
          <w:p w14:paraId="01A373E3"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High</w:t>
            </w:r>
          </w:p>
        </w:tc>
        <w:tc>
          <w:tcPr>
            <w:tcW w:w="2000" w:type="dxa"/>
          </w:tcPr>
          <w:p w14:paraId="76A1732D"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ICO, 2024; Wachter et al., 2017; Scherer, 2016</w:t>
            </w:r>
          </w:p>
        </w:tc>
      </w:tr>
      <w:tr w:rsidR="000F7463" w:rsidRPr="00F264AF" w14:paraId="5C269F81" w14:textId="77777777" w:rsidTr="004B2D01">
        <w:tc>
          <w:tcPr>
            <w:tcW w:w="1800" w:type="dxa"/>
          </w:tcPr>
          <w:p w14:paraId="7EF93FDF"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Environmental</w:t>
            </w:r>
          </w:p>
        </w:tc>
        <w:tc>
          <w:tcPr>
            <w:tcW w:w="4160" w:type="dxa"/>
          </w:tcPr>
          <w:p w14:paraId="3B145A6E" w14:textId="75D24BD6"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 xml:space="preserve">Energy demands of large-scale AI training; </w:t>
            </w:r>
            <w:r w:rsidR="00F7533D" w:rsidRPr="00F264AF">
              <w:rPr>
                <w:rFonts w:ascii="Times New Roman" w:hAnsi="Times New Roman" w:cs="Times New Roman"/>
              </w:rPr>
              <w:t>IBM's</w:t>
            </w:r>
            <w:r w:rsidRPr="00F264AF">
              <w:rPr>
                <w:rFonts w:ascii="Times New Roman" w:hAnsi="Times New Roman" w:cs="Times New Roman"/>
              </w:rPr>
              <w:t xml:space="preserve"> net-zero 2030 commitment; growing ESG scrutiny from institutional investors</w:t>
            </w:r>
          </w:p>
        </w:tc>
        <w:tc>
          <w:tcPr>
            <w:tcW w:w="1400" w:type="dxa"/>
          </w:tcPr>
          <w:p w14:paraId="16DDF0BA"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Medium</w:t>
            </w:r>
          </w:p>
        </w:tc>
        <w:tc>
          <w:tcPr>
            <w:tcW w:w="2000" w:type="dxa"/>
          </w:tcPr>
          <w:p w14:paraId="5B68BCFA" w14:textId="77777777"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rPr>
              <w:t>Strubell et al., 2019; Patterson et al., 2021</w:t>
            </w:r>
          </w:p>
        </w:tc>
      </w:tr>
    </w:tbl>
    <w:p w14:paraId="50C20C27" w14:textId="7A4EB10E" w:rsidR="000F7463" w:rsidRPr="00F264AF" w:rsidRDefault="000F7463" w:rsidP="00007063">
      <w:pPr>
        <w:spacing w:line="360" w:lineRule="auto"/>
        <w:jc w:val="both"/>
        <w:rPr>
          <w:rFonts w:ascii="Times New Roman" w:hAnsi="Times New Roman" w:cs="Times New Roman"/>
          <w:i/>
          <w:iCs/>
        </w:rPr>
      </w:pPr>
    </w:p>
    <w:p w14:paraId="0D9927AF" w14:textId="3F213A27" w:rsidR="00E215B4" w:rsidRPr="00F264AF" w:rsidRDefault="00E215B4" w:rsidP="00007063">
      <w:pPr>
        <w:spacing w:line="360" w:lineRule="auto"/>
        <w:jc w:val="both"/>
        <w:rPr>
          <w:rFonts w:ascii="Times New Roman" w:hAnsi="Times New Roman" w:cs="Times New Roman"/>
        </w:rPr>
      </w:pPr>
      <w:r w:rsidRPr="00F264AF">
        <w:rPr>
          <w:rFonts w:ascii="Times New Roman" w:hAnsi="Times New Roman" w:cs="Times New Roman"/>
          <w:noProof/>
        </w:rPr>
        <w:drawing>
          <wp:inline distT="0" distB="0" distL="0" distR="0" wp14:anchorId="70FE181A" wp14:editId="4932A074">
            <wp:extent cx="5996457" cy="5817870"/>
            <wp:effectExtent l="19050" t="19050" r="23495" b="11430"/>
            <wp:docPr id="1283552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52264" name=""/>
                    <pic:cNvPicPr/>
                  </pic:nvPicPr>
                  <pic:blipFill rotWithShape="1">
                    <a:blip r:embed="rId10"/>
                    <a:srcRect t="2750" b="229"/>
                    <a:stretch>
                      <a:fillRect/>
                    </a:stretch>
                  </pic:blipFill>
                  <pic:spPr bwMode="auto">
                    <a:xfrm>
                      <a:off x="0" y="0"/>
                      <a:ext cx="6106073" cy="5924221"/>
                    </a:xfrm>
                    <a:prstGeom prst="rect">
                      <a:avLst/>
                    </a:prstGeom>
                    <a:ln w="9525" cap="flat" cmpd="sng" algn="ctr">
                      <a:solidFill>
                        <a:sysClr val="window" lastClr="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B3307E8" w14:textId="11C8851D"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i/>
          <w:iCs/>
        </w:rPr>
        <w:t xml:space="preserve">Diagram 2: IBM AI Governance Hexagon </w:t>
      </w:r>
      <w:r w:rsidR="00E215B4" w:rsidRPr="00F264AF">
        <w:rPr>
          <w:rFonts w:ascii="Times New Roman" w:hAnsi="Times New Roman" w:cs="Times New Roman"/>
          <w:i/>
          <w:iCs/>
        </w:rPr>
        <w:t>-</w:t>
      </w:r>
      <w:r w:rsidRPr="00F264AF">
        <w:rPr>
          <w:rFonts w:ascii="Times New Roman" w:hAnsi="Times New Roman" w:cs="Times New Roman"/>
          <w:i/>
          <w:iCs/>
        </w:rPr>
        <w:t xml:space="preserve"> PESTLE Environmental Scan. Source: </w:t>
      </w:r>
      <w:r w:rsidR="00E215B4" w:rsidRPr="00F264AF">
        <w:rPr>
          <w:rFonts w:ascii="Times New Roman" w:hAnsi="Times New Roman" w:cs="Times New Roman"/>
          <w:i/>
          <w:iCs/>
        </w:rPr>
        <w:t>Author</w:t>
      </w:r>
    </w:p>
    <w:p w14:paraId="5FC32A9E" w14:textId="1561EE49" w:rsidR="000F7463" w:rsidRPr="00F264AF" w:rsidRDefault="006047D6" w:rsidP="00007063">
      <w:pPr>
        <w:pStyle w:val="Heading2"/>
      </w:pPr>
      <w:bookmarkStart w:id="9" w:name="_Toc228204488"/>
      <w:r w:rsidRPr="00F264AF">
        <w:t>AI Risk Management: Governance Gaps, Ethical Exposure and Reputational Risk</w:t>
      </w:r>
      <w:bookmarkEnd w:id="9"/>
    </w:p>
    <w:p w14:paraId="3AECA601" w14:textId="77777777" w:rsidR="00073C8E" w:rsidRPr="00073C8E" w:rsidRDefault="00073C8E" w:rsidP="00007063">
      <w:pPr>
        <w:spacing w:line="360" w:lineRule="auto"/>
        <w:jc w:val="both"/>
        <w:rPr>
          <w:rFonts w:ascii="Times New Roman" w:hAnsi="Times New Roman" w:cs="Times New Roman"/>
          <w:sz w:val="24"/>
          <w:szCs w:val="24"/>
        </w:rPr>
      </w:pPr>
      <w:r w:rsidRPr="00073C8E">
        <w:rPr>
          <w:rFonts w:ascii="Times New Roman" w:hAnsi="Times New Roman" w:cs="Times New Roman"/>
          <w:sz w:val="24"/>
          <w:szCs w:val="24"/>
        </w:rPr>
        <w:lastRenderedPageBreak/>
        <w:t>Throughout the dimensions mentioned above, there is one common denominator that is, the major strategic threats facing IBM are not technical but of the governance nature. Amodei et al. (2016) include such problems in AI safety as reward hacking, distributional shift and unsafe exploration, which, although models are effective in evaluation settings, are still not well solved when used in deployed systems. In the case of IBM, such technical risks should be converted to organisational governance risks by means of formal rather than informal management.</w:t>
      </w:r>
    </w:p>
    <w:p w14:paraId="020CFF08" w14:textId="23A93F38" w:rsidR="000F7463" w:rsidRPr="004D2FE8" w:rsidRDefault="00073C8E" w:rsidP="00007063">
      <w:pPr>
        <w:spacing w:line="360" w:lineRule="auto"/>
        <w:jc w:val="both"/>
        <w:rPr>
          <w:rFonts w:ascii="Times New Roman" w:hAnsi="Times New Roman" w:cs="Times New Roman"/>
          <w:sz w:val="24"/>
          <w:szCs w:val="24"/>
        </w:rPr>
      </w:pPr>
      <w:r w:rsidRPr="00073C8E">
        <w:rPr>
          <w:rFonts w:ascii="Times New Roman" w:hAnsi="Times New Roman" w:cs="Times New Roman"/>
          <w:sz w:val="24"/>
          <w:szCs w:val="24"/>
        </w:rPr>
        <w:t>Brundage et al. (2018) provide the malicious use of AI as a particular category of risk, which states that the same features that become commercially valuable can be used to abuse AI systems by opponents. This is of particular relevance to the cybersecurity of IBM and its applications in the government. An elaborate code of ethics put forward by Floridi et al. (2018) based on the notions of beneficence and non-maleficence, autonomy, and justice can provide IBM with a normative basis of its internal governance practices. Lepri et al. (2017) assume that algorithmic fairness, transparency and accountability are practical requirements that must be enforced through particular mechanisms, as opposed to aspirational ideals. This logic is to be operationalised in the IBM implementation plan in Section 3.</w:t>
      </w:r>
    </w:p>
    <w:p w14:paraId="47A08543" w14:textId="52AD2482" w:rsidR="000F7463" w:rsidRPr="00F264AF" w:rsidRDefault="006047D6" w:rsidP="00007063">
      <w:pPr>
        <w:spacing w:line="360" w:lineRule="auto"/>
        <w:jc w:val="both"/>
        <w:rPr>
          <w:rFonts w:ascii="Times New Roman" w:hAnsi="Times New Roman" w:cs="Times New Roman"/>
        </w:rPr>
      </w:pPr>
      <w:r w:rsidRPr="00F264AF">
        <w:rPr>
          <w:rFonts w:ascii="Times New Roman" w:hAnsi="Times New Roman" w:cs="Times New Roman"/>
          <w:b/>
          <w:bCs/>
        </w:rPr>
        <w:t>Table 3: IBM AI Risk Register</w:t>
      </w:r>
      <w:r w:rsidR="00E64F9E">
        <w:rPr>
          <w:rFonts w:ascii="Times New Roman" w:hAnsi="Times New Roman" w:cs="Times New Roman"/>
          <w:b/>
          <w:bCs/>
        </w:rPr>
        <w:t xml:space="preserve"> </w:t>
      </w:r>
      <w:r w:rsidRPr="00F264AF">
        <w:rPr>
          <w:rFonts w:ascii="Times New Roman" w:hAnsi="Times New Roman" w:cs="Times New Roman"/>
          <w:b/>
          <w:bCs/>
        </w:rPr>
        <w:t>Key Exposures and Mitigations</w:t>
      </w:r>
    </w:p>
    <w:p w14:paraId="2A68CAE7" w14:textId="23F27C68" w:rsidR="0078126B" w:rsidRDefault="0078126B" w:rsidP="00007063">
      <w:pPr>
        <w:pStyle w:val="Caption"/>
        <w:keepNext/>
        <w:spacing w:after="0" w:line="360" w:lineRule="auto"/>
      </w:pPr>
      <w:r>
        <w:t xml:space="preserve">Table </w:t>
      </w:r>
      <w:fldSimple w:instr=" SEQ Table \* ARABIC ">
        <w:r w:rsidR="00280289">
          <w:rPr>
            <w:noProof/>
          </w:rPr>
          <w:t>3</w:t>
        </w:r>
      </w:fldSimple>
      <w:r>
        <w:t xml:space="preserve">: </w:t>
      </w:r>
      <w:r w:rsidRPr="00F450A1">
        <w:t xml:space="preserve"> IBM AI Risk Register. Source: Author's own construction.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74"/>
        <w:gridCol w:w="2253"/>
        <w:gridCol w:w="1388"/>
        <w:gridCol w:w="1147"/>
        <w:gridCol w:w="2798"/>
      </w:tblGrid>
      <w:tr w:rsidR="000F7463" w:rsidRPr="004D2FE8" w14:paraId="16C360CF" w14:textId="77777777">
        <w:trPr>
          <w:tblHeader/>
        </w:trPr>
        <w:tc>
          <w:tcPr>
            <w:tcW w:w="1800" w:type="dxa"/>
            <w:tcBorders>
              <w:top w:val="single" w:sz="4" w:space="0" w:color="AABCCE"/>
              <w:left w:val="single" w:sz="4" w:space="0" w:color="AABCCE"/>
              <w:bottom w:val="single" w:sz="4" w:space="0" w:color="AABCCE"/>
              <w:right w:val="single" w:sz="4" w:space="0" w:color="AABCCE"/>
            </w:tcBorders>
            <w:shd w:val="clear" w:color="auto" w:fill="003087"/>
            <w:tcMar>
              <w:top w:w="100" w:type="dxa"/>
              <w:left w:w="140" w:type="dxa"/>
              <w:bottom w:w="100" w:type="dxa"/>
              <w:right w:w="140" w:type="dxa"/>
            </w:tcMar>
          </w:tcPr>
          <w:p w14:paraId="74252D63"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color w:val="FFFFFF"/>
                <w:sz w:val="24"/>
                <w:szCs w:val="24"/>
              </w:rPr>
              <w:t>Risk Category</w:t>
            </w:r>
          </w:p>
        </w:tc>
        <w:tc>
          <w:tcPr>
            <w:tcW w:w="2360" w:type="dxa"/>
            <w:tcBorders>
              <w:top w:val="single" w:sz="4" w:space="0" w:color="AABCCE"/>
              <w:left w:val="single" w:sz="4" w:space="0" w:color="AABCCE"/>
              <w:bottom w:val="single" w:sz="4" w:space="0" w:color="AABCCE"/>
              <w:right w:val="single" w:sz="4" w:space="0" w:color="AABCCE"/>
            </w:tcBorders>
            <w:shd w:val="clear" w:color="auto" w:fill="003087"/>
            <w:tcMar>
              <w:top w:w="100" w:type="dxa"/>
              <w:left w:w="140" w:type="dxa"/>
              <w:bottom w:w="100" w:type="dxa"/>
              <w:right w:w="140" w:type="dxa"/>
            </w:tcMar>
          </w:tcPr>
          <w:p w14:paraId="514B1BD6"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color w:val="FFFFFF"/>
                <w:sz w:val="24"/>
                <w:szCs w:val="24"/>
              </w:rPr>
              <w:t>Description</w:t>
            </w:r>
          </w:p>
        </w:tc>
        <w:tc>
          <w:tcPr>
            <w:tcW w:w="1100" w:type="dxa"/>
            <w:tcBorders>
              <w:top w:val="single" w:sz="4" w:space="0" w:color="AABCCE"/>
              <w:left w:val="single" w:sz="4" w:space="0" w:color="AABCCE"/>
              <w:bottom w:val="single" w:sz="4" w:space="0" w:color="AABCCE"/>
              <w:right w:val="single" w:sz="4" w:space="0" w:color="AABCCE"/>
            </w:tcBorders>
            <w:shd w:val="clear" w:color="auto" w:fill="003087"/>
            <w:tcMar>
              <w:top w:w="100" w:type="dxa"/>
              <w:left w:w="140" w:type="dxa"/>
              <w:bottom w:w="100" w:type="dxa"/>
              <w:right w:w="140" w:type="dxa"/>
            </w:tcMar>
          </w:tcPr>
          <w:p w14:paraId="4977B7BC"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color w:val="FFFFFF"/>
                <w:sz w:val="24"/>
                <w:szCs w:val="24"/>
              </w:rPr>
              <w:t>Likelihood</w:t>
            </w:r>
          </w:p>
        </w:tc>
        <w:tc>
          <w:tcPr>
            <w:tcW w:w="1100" w:type="dxa"/>
            <w:tcBorders>
              <w:top w:val="single" w:sz="4" w:space="0" w:color="AABCCE"/>
              <w:left w:val="single" w:sz="4" w:space="0" w:color="AABCCE"/>
              <w:bottom w:val="single" w:sz="4" w:space="0" w:color="AABCCE"/>
              <w:right w:val="single" w:sz="4" w:space="0" w:color="AABCCE"/>
            </w:tcBorders>
            <w:shd w:val="clear" w:color="auto" w:fill="003087"/>
            <w:tcMar>
              <w:top w:w="100" w:type="dxa"/>
              <w:left w:w="140" w:type="dxa"/>
              <w:bottom w:w="100" w:type="dxa"/>
              <w:right w:w="140" w:type="dxa"/>
            </w:tcMar>
          </w:tcPr>
          <w:p w14:paraId="10D07CB8"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color w:val="FFFFFF"/>
                <w:sz w:val="24"/>
                <w:szCs w:val="24"/>
              </w:rPr>
              <w:t>Impact</w:t>
            </w:r>
          </w:p>
        </w:tc>
        <w:tc>
          <w:tcPr>
            <w:tcW w:w="3000" w:type="dxa"/>
            <w:tcBorders>
              <w:top w:val="single" w:sz="4" w:space="0" w:color="AABCCE"/>
              <w:left w:val="single" w:sz="4" w:space="0" w:color="AABCCE"/>
              <w:bottom w:val="single" w:sz="4" w:space="0" w:color="AABCCE"/>
              <w:right w:val="single" w:sz="4" w:space="0" w:color="AABCCE"/>
            </w:tcBorders>
            <w:shd w:val="clear" w:color="auto" w:fill="003087"/>
            <w:tcMar>
              <w:top w:w="100" w:type="dxa"/>
              <w:left w:w="140" w:type="dxa"/>
              <w:bottom w:w="100" w:type="dxa"/>
              <w:right w:w="140" w:type="dxa"/>
            </w:tcMar>
          </w:tcPr>
          <w:p w14:paraId="294D5505"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color w:val="FFFFFF"/>
                <w:sz w:val="24"/>
                <w:szCs w:val="24"/>
              </w:rPr>
              <w:t>Mitigation</w:t>
            </w:r>
          </w:p>
        </w:tc>
      </w:tr>
      <w:tr w:rsidR="000F7463" w:rsidRPr="004D2FE8" w14:paraId="72E38D5D" w14:textId="77777777">
        <w:tc>
          <w:tcPr>
            <w:tcW w:w="1800" w:type="dxa"/>
            <w:tcBorders>
              <w:top w:val="single" w:sz="4" w:space="0" w:color="AABCCE"/>
              <w:left w:val="single" w:sz="4" w:space="0" w:color="AABCCE"/>
              <w:bottom w:val="single" w:sz="4" w:space="0" w:color="AABCCE"/>
              <w:right w:val="single" w:sz="4" w:space="0" w:color="AABCCE"/>
            </w:tcBorders>
            <w:shd w:val="clear" w:color="auto" w:fill="F2F4F7"/>
            <w:tcMar>
              <w:top w:w="100" w:type="dxa"/>
              <w:left w:w="140" w:type="dxa"/>
              <w:bottom w:w="100" w:type="dxa"/>
              <w:right w:w="140" w:type="dxa"/>
            </w:tcMar>
          </w:tcPr>
          <w:p w14:paraId="60659D52"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Regulatory Non-Compliance</w:t>
            </w:r>
          </w:p>
        </w:tc>
        <w:tc>
          <w:tcPr>
            <w:tcW w:w="236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35512E81"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Failure to meet diverging US/UK AI obligations leading to fines and operational restrictions</w:t>
            </w:r>
          </w:p>
        </w:tc>
        <w:tc>
          <w:tcPr>
            <w:tcW w:w="1100" w:type="dxa"/>
            <w:tcBorders>
              <w:top w:val="single" w:sz="4" w:space="0" w:color="AABCCE"/>
              <w:left w:val="single" w:sz="4" w:space="0" w:color="AABCCE"/>
              <w:bottom w:val="single" w:sz="4" w:space="0" w:color="AABCCE"/>
              <w:right w:val="single" w:sz="4" w:space="0" w:color="AABCCE"/>
            </w:tcBorders>
            <w:shd w:val="clear" w:color="auto" w:fill="FADADD"/>
            <w:tcMar>
              <w:top w:w="100" w:type="dxa"/>
              <w:left w:w="140" w:type="dxa"/>
              <w:bottom w:w="100" w:type="dxa"/>
              <w:right w:w="140" w:type="dxa"/>
            </w:tcMar>
          </w:tcPr>
          <w:p w14:paraId="0671CAEE"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High</w:t>
            </w:r>
          </w:p>
        </w:tc>
        <w:tc>
          <w:tcPr>
            <w:tcW w:w="1100" w:type="dxa"/>
            <w:tcBorders>
              <w:top w:val="single" w:sz="4" w:space="0" w:color="AABCCE"/>
              <w:left w:val="single" w:sz="4" w:space="0" w:color="AABCCE"/>
              <w:bottom w:val="single" w:sz="4" w:space="0" w:color="AABCCE"/>
              <w:right w:val="single" w:sz="4" w:space="0" w:color="AABCCE"/>
            </w:tcBorders>
            <w:shd w:val="clear" w:color="auto" w:fill="FADADD"/>
            <w:tcMar>
              <w:top w:w="100" w:type="dxa"/>
              <w:left w:w="140" w:type="dxa"/>
              <w:bottom w:w="100" w:type="dxa"/>
              <w:right w:w="140" w:type="dxa"/>
            </w:tcMar>
          </w:tcPr>
          <w:p w14:paraId="5682CB8D"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Severe</w:t>
            </w:r>
          </w:p>
        </w:tc>
        <w:tc>
          <w:tcPr>
            <w:tcW w:w="300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72C7B7D0"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Regulatory Intelligence Team; Chief AI Compliance Officer; external counsel retainer</w:t>
            </w:r>
          </w:p>
        </w:tc>
      </w:tr>
      <w:tr w:rsidR="000F7463" w:rsidRPr="004D2FE8" w14:paraId="3987F465" w14:textId="77777777">
        <w:tc>
          <w:tcPr>
            <w:tcW w:w="1800" w:type="dxa"/>
            <w:tcBorders>
              <w:top w:val="single" w:sz="4" w:space="0" w:color="AABCCE"/>
              <w:left w:val="single" w:sz="4" w:space="0" w:color="AABCCE"/>
              <w:bottom w:val="single" w:sz="4" w:space="0" w:color="AABCCE"/>
              <w:right w:val="single" w:sz="4" w:space="0" w:color="AABCCE"/>
            </w:tcBorders>
            <w:shd w:val="clear" w:color="auto" w:fill="F2F4F7"/>
            <w:tcMar>
              <w:top w:w="100" w:type="dxa"/>
              <w:left w:w="140" w:type="dxa"/>
              <w:bottom w:w="100" w:type="dxa"/>
              <w:right w:w="140" w:type="dxa"/>
            </w:tcMar>
          </w:tcPr>
          <w:p w14:paraId="1EB30AB8"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Algorithmic Bias</w:t>
            </w:r>
          </w:p>
        </w:tc>
        <w:tc>
          <w:tcPr>
            <w:tcW w:w="236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55AEF7E7" w14:textId="164B9E6B"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Biased model outputs in hiring or healthcare AI </w:t>
            </w:r>
            <w:r w:rsidR="00F7533D" w:rsidRPr="004D2FE8">
              <w:rPr>
                <w:rFonts w:ascii="Times New Roman" w:hAnsi="Times New Roman" w:cs="Times New Roman"/>
                <w:sz w:val="24"/>
                <w:szCs w:val="24"/>
              </w:rPr>
              <w:t xml:space="preserve">are </w:t>
            </w:r>
            <w:r w:rsidRPr="004D2FE8">
              <w:rPr>
                <w:rFonts w:ascii="Times New Roman" w:hAnsi="Times New Roman" w:cs="Times New Roman"/>
                <w:sz w:val="24"/>
                <w:szCs w:val="24"/>
              </w:rPr>
              <w:t>causing legal liability and reputational damage</w:t>
            </w:r>
            <w:r w:rsidR="00F7533D" w:rsidRPr="004D2FE8">
              <w:rPr>
                <w:rFonts w:ascii="Times New Roman" w:hAnsi="Times New Roman" w:cs="Times New Roman"/>
                <w:sz w:val="24"/>
                <w:szCs w:val="24"/>
              </w:rPr>
              <w:t>.</w:t>
            </w:r>
          </w:p>
        </w:tc>
        <w:tc>
          <w:tcPr>
            <w:tcW w:w="1100" w:type="dxa"/>
            <w:tcBorders>
              <w:top w:val="single" w:sz="4" w:space="0" w:color="AABCCE"/>
              <w:left w:val="single" w:sz="4" w:space="0" w:color="AABCCE"/>
              <w:bottom w:val="single" w:sz="4" w:space="0" w:color="AABCCE"/>
              <w:right w:val="single" w:sz="4" w:space="0" w:color="AABCCE"/>
            </w:tcBorders>
            <w:shd w:val="clear" w:color="auto" w:fill="FFF3CD"/>
            <w:tcMar>
              <w:top w:w="100" w:type="dxa"/>
              <w:left w:w="140" w:type="dxa"/>
              <w:bottom w:w="100" w:type="dxa"/>
              <w:right w:w="140" w:type="dxa"/>
            </w:tcMar>
          </w:tcPr>
          <w:p w14:paraId="34694890"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Medium</w:t>
            </w:r>
          </w:p>
        </w:tc>
        <w:tc>
          <w:tcPr>
            <w:tcW w:w="1100" w:type="dxa"/>
            <w:tcBorders>
              <w:top w:val="single" w:sz="4" w:space="0" w:color="AABCCE"/>
              <w:left w:val="single" w:sz="4" w:space="0" w:color="AABCCE"/>
              <w:bottom w:val="single" w:sz="4" w:space="0" w:color="AABCCE"/>
              <w:right w:val="single" w:sz="4" w:space="0" w:color="AABCCE"/>
            </w:tcBorders>
            <w:shd w:val="clear" w:color="auto" w:fill="FFF3CD"/>
            <w:tcMar>
              <w:top w:w="100" w:type="dxa"/>
              <w:left w:w="140" w:type="dxa"/>
              <w:bottom w:w="100" w:type="dxa"/>
              <w:right w:w="140" w:type="dxa"/>
            </w:tcMar>
          </w:tcPr>
          <w:p w14:paraId="46118884"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High</w:t>
            </w:r>
          </w:p>
        </w:tc>
        <w:tc>
          <w:tcPr>
            <w:tcW w:w="300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29AEFF61"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Mandatory pre-deployment bias audits; diverse training datasets; annual fairness reporting</w:t>
            </w:r>
          </w:p>
        </w:tc>
      </w:tr>
      <w:tr w:rsidR="000F7463" w:rsidRPr="004D2FE8" w14:paraId="704EBBBF" w14:textId="77777777">
        <w:tc>
          <w:tcPr>
            <w:tcW w:w="1800" w:type="dxa"/>
            <w:tcBorders>
              <w:top w:val="single" w:sz="4" w:space="0" w:color="AABCCE"/>
              <w:left w:val="single" w:sz="4" w:space="0" w:color="AABCCE"/>
              <w:bottom w:val="single" w:sz="4" w:space="0" w:color="AABCCE"/>
              <w:right w:val="single" w:sz="4" w:space="0" w:color="AABCCE"/>
            </w:tcBorders>
            <w:shd w:val="clear" w:color="auto" w:fill="F2F4F7"/>
            <w:tcMar>
              <w:top w:w="100" w:type="dxa"/>
              <w:left w:w="140" w:type="dxa"/>
              <w:bottom w:w="100" w:type="dxa"/>
              <w:right w:w="140" w:type="dxa"/>
            </w:tcMar>
          </w:tcPr>
          <w:p w14:paraId="2FB79D76"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lastRenderedPageBreak/>
              <w:t>Data Breach</w:t>
            </w:r>
          </w:p>
        </w:tc>
        <w:tc>
          <w:tcPr>
            <w:tcW w:w="236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32207862"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Unauthorised access to client AI training data triggering GDPR penalties and class litigation</w:t>
            </w:r>
          </w:p>
        </w:tc>
        <w:tc>
          <w:tcPr>
            <w:tcW w:w="1100" w:type="dxa"/>
            <w:tcBorders>
              <w:top w:val="single" w:sz="4" w:space="0" w:color="AABCCE"/>
              <w:left w:val="single" w:sz="4" w:space="0" w:color="AABCCE"/>
              <w:bottom w:val="single" w:sz="4" w:space="0" w:color="AABCCE"/>
              <w:right w:val="single" w:sz="4" w:space="0" w:color="AABCCE"/>
            </w:tcBorders>
            <w:shd w:val="clear" w:color="auto" w:fill="FADADD"/>
            <w:tcMar>
              <w:top w:w="100" w:type="dxa"/>
              <w:left w:w="140" w:type="dxa"/>
              <w:bottom w:w="100" w:type="dxa"/>
              <w:right w:w="140" w:type="dxa"/>
            </w:tcMar>
          </w:tcPr>
          <w:p w14:paraId="22B70A24"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Medium</w:t>
            </w:r>
          </w:p>
        </w:tc>
        <w:tc>
          <w:tcPr>
            <w:tcW w:w="1100" w:type="dxa"/>
            <w:tcBorders>
              <w:top w:val="single" w:sz="4" w:space="0" w:color="AABCCE"/>
              <w:left w:val="single" w:sz="4" w:space="0" w:color="AABCCE"/>
              <w:bottom w:val="single" w:sz="4" w:space="0" w:color="AABCCE"/>
              <w:right w:val="single" w:sz="4" w:space="0" w:color="AABCCE"/>
            </w:tcBorders>
            <w:shd w:val="clear" w:color="auto" w:fill="FADADD"/>
            <w:tcMar>
              <w:top w:w="100" w:type="dxa"/>
              <w:left w:w="140" w:type="dxa"/>
              <w:bottom w:w="100" w:type="dxa"/>
              <w:right w:w="140" w:type="dxa"/>
            </w:tcMar>
          </w:tcPr>
          <w:p w14:paraId="630CC5F1"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Severe</w:t>
            </w:r>
          </w:p>
        </w:tc>
        <w:tc>
          <w:tcPr>
            <w:tcW w:w="300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7C129799"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Zero-trust architecture; encryption-at-rest; independent third-party security audit annually</w:t>
            </w:r>
          </w:p>
        </w:tc>
      </w:tr>
      <w:tr w:rsidR="000F7463" w:rsidRPr="004D2FE8" w14:paraId="4A017346" w14:textId="77777777">
        <w:tc>
          <w:tcPr>
            <w:tcW w:w="1800" w:type="dxa"/>
            <w:tcBorders>
              <w:top w:val="single" w:sz="4" w:space="0" w:color="AABCCE"/>
              <w:left w:val="single" w:sz="4" w:space="0" w:color="AABCCE"/>
              <w:bottom w:val="single" w:sz="4" w:space="0" w:color="AABCCE"/>
              <w:right w:val="single" w:sz="4" w:space="0" w:color="AABCCE"/>
            </w:tcBorders>
            <w:shd w:val="clear" w:color="auto" w:fill="F2F4F7"/>
            <w:tcMar>
              <w:top w:w="100" w:type="dxa"/>
              <w:left w:w="140" w:type="dxa"/>
              <w:bottom w:w="100" w:type="dxa"/>
              <w:right w:w="140" w:type="dxa"/>
            </w:tcMar>
          </w:tcPr>
          <w:p w14:paraId="17856F46"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Reputational Exposure</w:t>
            </w:r>
          </w:p>
        </w:tc>
        <w:tc>
          <w:tcPr>
            <w:tcW w:w="236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750A7EA8" w14:textId="7818C36D"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High-profile AI failure in </w:t>
            </w:r>
            <w:r w:rsidR="00F7533D" w:rsidRPr="004D2FE8">
              <w:rPr>
                <w:rFonts w:ascii="Times New Roman" w:hAnsi="Times New Roman" w:cs="Times New Roman"/>
                <w:sz w:val="24"/>
                <w:szCs w:val="24"/>
              </w:rPr>
              <w:t xml:space="preserve">a </w:t>
            </w:r>
            <w:r w:rsidRPr="004D2FE8">
              <w:rPr>
                <w:rFonts w:ascii="Times New Roman" w:hAnsi="Times New Roman" w:cs="Times New Roman"/>
                <w:sz w:val="24"/>
                <w:szCs w:val="24"/>
              </w:rPr>
              <w:t>public-sector contract erodes trust in IBM's governance-grade positioning</w:t>
            </w:r>
            <w:r w:rsidR="00F7533D" w:rsidRPr="004D2FE8">
              <w:rPr>
                <w:rFonts w:ascii="Times New Roman" w:hAnsi="Times New Roman" w:cs="Times New Roman"/>
                <w:sz w:val="24"/>
                <w:szCs w:val="24"/>
              </w:rPr>
              <w:t>.</w:t>
            </w:r>
          </w:p>
        </w:tc>
        <w:tc>
          <w:tcPr>
            <w:tcW w:w="1100" w:type="dxa"/>
            <w:tcBorders>
              <w:top w:val="single" w:sz="4" w:space="0" w:color="AABCCE"/>
              <w:left w:val="single" w:sz="4" w:space="0" w:color="AABCCE"/>
              <w:bottom w:val="single" w:sz="4" w:space="0" w:color="AABCCE"/>
              <w:right w:val="single" w:sz="4" w:space="0" w:color="AABCCE"/>
            </w:tcBorders>
            <w:shd w:val="clear" w:color="auto" w:fill="FFF3CD"/>
            <w:tcMar>
              <w:top w:w="100" w:type="dxa"/>
              <w:left w:w="140" w:type="dxa"/>
              <w:bottom w:w="100" w:type="dxa"/>
              <w:right w:w="140" w:type="dxa"/>
            </w:tcMar>
          </w:tcPr>
          <w:p w14:paraId="2EA9F602"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Low-Med</w:t>
            </w:r>
          </w:p>
        </w:tc>
        <w:tc>
          <w:tcPr>
            <w:tcW w:w="1100" w:type="dxa"/>
            <w:tcBorders>
              <w:top w:val="single" w:sz="4" w:space="0" w:color="AABCCE"/>
              <w:left w:val="single" w:sz="4" w:space="0" w:color="AABCCE"/>
              <w:bottom w:val="single" w:sz="4" w:space="0" w:color="AABCCE"/>
              <w:right w:val="single" w:sz="4" w:space="0" w:color="AABCCE"/>
            </w:tcBorders>
            <w:shd w:val="clear" w:color="auto" w:fill="FFF3CD"/>
            <w:tcMar>
              <w:top w:w="100" w:type="dxa"/>
              <w:left w:w="140" w:type="dxa"/>
              <w:bottom w:w="100" w:type="dxa"/>
              <w:right w:w="140" w:type="dxa"/>
            </w:tcMar>
          </w:tcPr>
          <w:p w14:paraId="494F71AF"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High</w:t>
            </w:r>
          </w:p>
        </w:tc>
        <w:tc>
          <w:tcPr>
            <w:tcW w:w="300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07C920F1"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Contractual AI performance guarantees; independent third-party model auditing (annually)</w:t>
            </w:r>
          </w:p>
        </w:tc>
      </w:tr>
      <w:tr w:rsidR="000F7463" w:rsidRPr="004D2FE8" w14:paraId="4ADE4690" w14:textId="77777777">
        <w:tc>
          <w:tcPr>
            <w:tcW w:w="1800" w:type="dxa"/>
            <w:tcBorders>
              <w:top w:val="single" w:sz="4" w:space="0" w:color="AABCCE"/>
              <w:left w:val="single" w:sz="4" w:space="0" w:color="AABCCE"/>
              <w:bottom w:val="single" w:sz="4" w:space="0" w:color="AABCCE"/>
              <w:right w:val="single" w:sz="4" w:space="0" w:color="AABCCE"/>
            </w:tcBorders>
            <w:shd w:val="clear" w:color="auto" w:fill="F2F4F7"/>
            <w:tcMar>
              <w:top w:w="100" w:type="dxa"/>
              <w:left w:w="140" w:type="dxa"/>
              <w:bottom w:w="100" w:type="dxa"/>
              <w:right w:w="140" w:type="dxa"/>
            </w:tcMar>
          </w:tcPr>
          <w:p w14:paraId="34B02756"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Talent Attrition</w:t>
            </w:r>
          </w:p>
        </w:tc>
        <w:tc>
          <w:tcPr>
            <w:tcW w:w="236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64E1DF16" w14:textId="4F652D9B"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Loss of senior AI researchers to competitors undermines </w:t>
            </w:r>
            <w:r w:rsidR="00F7533D" w:rsidRPr="004D2FE8">
              <w:rPr>
                <w:rFonts w:ascii="Times New Roman" w:hAnsi="Times New Roman" w:cs="Times New Roman"/>
                <w:sz w:val="24"/>
                <w:szCs w:val="24"/>
              </w:rPr>
              <w:t>WatsonX's</w:t>
            </w:r>
            <w:r w:rsidRPr="004D2FE8">
              <w:rPr>
                <w:rFonts w:ascii="Times New Roman" w:hAnsi="Times New Roman" w:cs="Times New Roman"/>
                <w:sz w:val="24"/>
                <w:szCs w:val="24"/>
              </w:rPr>
              <w:t xml:space="preserve"> development roadmap</w:t>
            </w:r>
            <w:r w:rsidR="00F7533D" w:rsidRPr="004D2FE8">
              <w:rPr>
                <w:rFonts w:ascii="Times New Roman" w:hAnsi="Times New Roman" w:cs="Times New Roman"/>
                <w:sz w:val="24"/>
                <w:szCs w:val="24"/>
              </w:rPr>
              <w:t>.</w:t>
            </w:r>
          </w:p>
        </w:tc>
        <w:tc>
          <w:tcPr>
            <w:tcW w:w="1100" w:type="dxa"/>
            <w:tcBorders>
              <w:top w:val="single" w:sz="4" w:space="0" w:color="AABCCE"/>
              <w:left w:val="single" w:sz="4" w:space="0" w:color="AABCCE"/>
              <w:bottom w:val="single" w:sz="4" w:space="0" w:color="AABCCE"/>
              <w:right w:val="single" w:sz="4" w:space="0" w:color="AABCCE"/>
            </w:tcBorders>
            <w:shd w:val="clear" w:color="auto" w:fill="FFF3CD"/>
            <w:tcMar>
              <w:top w:w="100" w:type="dxa"/>
              <w:left w:w="140" w:type="dxa"/>
              <w:bottom w:w="100" w:type="dxa"/>
              <w:right w:w="140" w:type="dxa"/>
            </w:tcMar>
          </w:tcPr>
          <w:p w14:paraId="48384ED2"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High</w:t>
            </w:r>
          </w:p>
        </w:tc>
        <w:tc>
          <w:tcPr>
            <w:tcW w:w="1100" w:type="dxa"/>
            <w:tcBorders>
              <w:top w:val="single" w:sz="4" w:space="0" w:color="AABCCE"/>
              <w:left w:val="single" w:sz="4" w:space="0" w:color="AABCCE"/>
              <w:bottom w:val="single" w:sz="4" w:space="0" w:color="AABCCE"/>
              <w:right w:val="single" w:sz="4" w:space="0" w:color="AABCCE"/>
            </w:tcBorders>
            <w:shd w:val="clear" w:color="auto" w:fill="FFF3CD"/>
            <w:tcMar>
              <w:top w:w="100" w:type="dxa"/>
              <w:left w:w="140" w:type="dxa"/>
              <w:bottom w:w="100" w:type="dxa"/>
              <w:right w:w="140" w:type="dxa"/>
            </w:tcMar>
          </w:tcPr>
          <w:p w14:paraId="3334A37C"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b/>
                <w:bCs/>
                <w:sz w:val="24"/>
                <w:szCs w:val="24"/>
              </w:rPr>
              <w:t>Medium</w:t>
            </w:r>
          </w:p>
        </w:tc>
        <w:tc>
          <w:tcPr>
            <w:tcW w:w="3000" w:type="dxa"/>
            <w:tcBorders>
              <w:top w:val="single" w:sz="4" w:space="0" w:color="AABCCE"/>
              <w:left w:val="single" w:sz="4" w:space="0" w:color="AABCCE"/>
              <w:bottom w:val="single" w:sz="4" w:space="0" w:color="AABCCE"/>
              <w:right w:val="single" w:sz="4" w:space="0" w:color="AABCCE"/>
            </w:tcBorders>
            <w:shd w:val="clear" w:color="auto" w:fill="FFFFFF"/>
            <w:tcMar>
              <w:top w:w="100" w:type="dxa"/>
              <w:left w:w="140" w:type="dxa"/>
              <w:bottom w:w="100" w:type="dxa"/>
              <w:right w:w="140" w:type="dxa"/>
            </w:tcMar>
          </w:tcPr>
          <w:p w14:paraId="057093AF" w14:textId="77777777" w:rsidR="000F7463" w:rsidRPr="004D2FE8" w:rsidRDefault="006047D6"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Competitive equity packages; PhD pipeline partnerships; AI centre-of-excellence investment</w:t>
            </w:r>
          </w:p>
        </w:tc>
      </w:tr>
    </w:tbl>
    <w:p w14:paraId="0F3DA35C" w14:textId="56FE2E40" w:rsidR="000F7463" w:rsidRPr="00F264AF" w:rsidRDefault="006047D6" w:rsidP="0088126D">
      <w:pPr>
        <w:pStyle w:val="Heading1"/>
      </w:pPr>
      <w:bookmarkStart w:id="10" w:name="_Toc228204489"/>
      <w:r w:rsidRPr="00F264AF">
        <w:t>Implementation Plan</w:t>
      </w:r>
      <w:bookmarkEnd w:id="10"/>
    </w:p>
    <w:p w14:paraId="4AB0B9E4" w14:textId="076DB8F6" w:rsidR="000F7463"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three-horizon implementation plan below converts the analytic results </w:t>
      </w:r>
      <w:r w:rsidR="00F7533D" w:rsidRPr="004D2FE8">
        <w:rPr>
          <w:rFonts w:ascii="Times New Roman" w:hAnsi="Times New Roman" w:cs="Times New Roman"/>
          <w:sz w:val="24"/>
          <w:szCs w:val="24"/>
        </w:rPr>
        <w:t>from Section 2 into actionable, costed recommendations</w:t>
      </w:r>
      <w:r w:rsidRPr="004D2FE8">
        <w:rPr>
          <w:rFonts w:ascii="Times New Roman" w:hAnsi="Times New Roman" w:cs="Times New Roman"/>
          <w:sz w:val="24"/>
          <w:szCs w:val="24"/>
        </w:rPr>
        <w:t>. The plan is staged to create the foundational governance structures initially, develop systematic processes next, and exploit the structures to gain competitive advantage over time - in line with governance maturity models of AI adoption at scale (McKinsey and Company, 2023).</w:t>
      </w:r>
    </w:p>
    <w:p w14:paraId="78D845E1" w14:textId="19789D61" w:rsidR="000F7463" w:rsidRPr="00F264AF" w:rsidRDefault="006047D6" w:rsidP="00007063">
      <w:pPr>
        <w:pStyle w:val="Heading2"/>
      </w:pPr>
      <w:bookmarkStart w:id="11" w:name="_Toc228204490"/>
      <w:r w:rsidRPr="00F264AF">
        <w:t>Short-Term Actions (0–6 Months): Governance Audit and Foundation Building</w:t>
      </w:r>
      <w:bookmarkEnd w:id="11"/>
    </w:p>
    <w:p w14:paraId="3FE293BF" w14:textId="16FA8AD2"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first task </w:t>
      </w:r>
      <w:r w:rsidR="00F7533D" w:rsidRPr="004D2FE8">
        <w:rPr>
          <w:rFonts w:ascii="Times New Roman" w:hAnsi="Times New Roman" w:cs="Times New Roman"/>
          <w:sz w:val="24"/>
          <w:szCs w:val="24"/>
        </w:rPr>
        <w:t xml:space="preserve">IBM will need to undertake is to get a clear picture of its current AI governance across all </w:t>
      </w:r>
      <w:r w:rsidRPr="004D2FE8">
        <w:rPr>
          <w:rFonts w:ascii="Times New Roman" w:hAnsi="Times New Roman" w:cs="Times New Roman"/>
          <w:sz w:val="24"/>
          <w:szCs w:val="24"/>
        </w:rPr>
        <w:t xml:space="preserve">product lines and client deployments. The first sixty days should also see the commissioning of an enterprise-wide AI Governance Audit, undertaken by the Chief AI Officer and Legal Counsel. Each </w:t>
      </w:r>
      <w:r w:rsidR="00F7533D" w:rsidRPr="004D2FE8">
        <w:rPr>
          <w:rFonts w:ascii="Times New Roman" w:hAnsi="Times New Roman" w:cs="Times New Roman"/>
          <w:sz w:val="24"/>
          <w:szCs w:val="24"/>
        </w:rPr>
        <w:t>deployed AI system should, in turn, be evaluated against</w:t>
      </w:r>
      <w:r w:rsidRPr="004D2FE8">
        <w:rPr>
          <w:rFonts w:ascii="Times New Roman" w:hAnsi="Times New Roman" w:cs="Times New Roman"/>
          <w:sz w:val="24"/>
          <w:szCs w:val="24"/>
        </w:rPr>
        <w:t xml:space="preserve"> the two-fold compliance requirements of the UK GDPR (ICO, 2024) and the NIST AI Risk Management </w:t>
      </w:r>
      <w:r w:rsidRPr="004D2FE8">
        <w:rPr>
          <w:rFonts w:ascii="Times New Roman" w:hAnsi="Times New Roman" w:cs="Times New Roman"/>
          <w:sz w:val="24"/>
          <w:szCs w:val="24"/>
        </w:rPr>
        <w:lastRenderedPageBreak/>
        <w:t xml:space="preserve">Framework (NIST, 2023) to create a prioritised risk register of the type described in Table 3. The USD 180,000 to USD 250,000 </w:t>
      </w:r>
      <w:r w:rsidR="00F7533D" w:rsidRPr="004D2FE8">
        <w:rPr>
          <w:rFonts w:ascii="Times New Roman" w:hAnsi="Times New Roman" w:cs="Times New Roman"/>
          <w:sz w:val="24"/>
          <w:szCs w:val="24"/>
        </w:rPr>
        <w:t>range is a small price to pay, considering the potential litigation costs</w:t>
      </w:r>
      <w:r w:rsidRPr="004D2FE8">
        <w:rPr>
          <w:rFonts w:ascii="Times New Roman" w:hAnsi="Times New Roman" w:cs="Times New Roman"/>
          <w:sz w:val="24"/>
          <w:szCs w:val="24"/>
        </w:rPr>
        <w:t xml:space="preserve"> it aims to detect and reduce.</w:t>
      </w:r>
    </w:p>
    <w:p w14:paraId="724ACD57" w14:textId="5C702C93"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In parallel, IBM ought to employ a </w:t>
      </w:r>
      <w:r w:rsidR="00F7533D" w:rsidRPr="004D2FE8">
        <w:rPr>
          <w:rFonts w:ascii="Times New Roman" w:hAnsi="Times New Roman" w:cs="Times New Roman"/>
          <w:sz w:val="24"/>
          <w:szCs w:val="24"/>
        </w:rPr>
        <w:t>specialised AI Regulatory Intelligence Team of four full-time equivalents with legal, policy, and technology experience,</w:t>
      </w:r>
      <w:r w:rsidRPr="004D2FE8">
        <w:rPr>
          <w:rFonts w:ascii="Times New Roman" w:hAnsi="Times New Roman" w:cs="Times New Roman"/>
          <w:sz w:val="24"/>
          <w:szCs w:val="24"/>
        </w:rPr>
        <w:t xml:space="preserve"> as well as an external legal counsel retainer of about USD 200,000 per year. One must admit that there </w:t>
      </w:r>
      <w:r w:rsidR="00F7533D" w:rsidRPr="004D2FE8">
        <w:rPr>
          <w:rFonts w:ascii="Times New Roman" w:hAnsi="Times New Roman" w:cs="Times New Roman"/>
          <w:sz w:val="24"/>
          <w:szCs w:val="24"/>
        </w:rPr>
        <w:t>is</w:t>
      </w:r>
      <w:r w:rsidRPr="004D2FE8">
        <w:rPr>
          <w:rFonts w:ascii="Times New Roman" w:hAnsi="Times New Roman" w:cs="Times New Roman"/>
          <w:sz w:val="24"/>
          <w:szCs w:val="24"/>
        </w:rPr>
        <w:t xml:space="preserve"> a certain contradiction between the need to define regulatory divergence as the biggest external threat to IBM and the </w:t>
      </w:r>
      <w:r w:rsidR="00F7533D" w:rsidRPr="004D2FE8">
        <w:rPr>
          <w:rFonts w:ascii="Times New Roman" w:hAnsi="Times New Roman" w:cs="Times New Roman"/>
          <w:sz w:val="24"/>
          <w:szCs w:val="24"/>
        </w:rPr>
        <w:t>rather small budget allocated to the intelligence function;</w:t>
      </w:r>
      <w:r w:rsidRPr="004D2FE8">
        <w:rPr>
          <w:rFonts w:ascii="Times New Roman" w:hAnsi="Times New Roman" w:cs="Times New Roman"/>
          <w:sz w:val="24"/>
          <w:szCs w:val="24"/>
        </w:rPr>
        <w:t xml:space="preserve"> this is not accidental. The </w:t>
      </w:r>
      <w:r w:rsidR="00F7533D" w:rsidRPr="004D2FE8">
        <w:rPr>
          <w:rFonts w:ascii="Times New Roman" w:hAnsi="Times New Roman" w:cs="Times New Roman"/>
          <w:sz w:val="24"/>
          <w:szCs w:val="24"/>
        </w:rPr>
        <w:t>team's main role is to provide advanced intelligence and escalation, but not to deliver full compliance;</w:t>
      </w:r>
      <w:r w:rsidRPr="004D2FE8">
        <w:rPr>
          <w:rFonts w:ascii="Times New Roman" w:hAnsi="Times New Roman" w:cs="Times New Roman"/>
          <w:sz w:val="24"/>
          <w:szCs w:val="24"/>
        </w:rPr>
        <w:t xml:space="preserve"> the latter is provided under the wider legal and engineering programmes of the plan. According to Setianingrum (2025), the development of AI and antitrust regulation is </w:t>
      </w:r>
      <w:r w:rsidR="00F7533D" w:rsidRPr="004D2FE8">
        <w:rPr>
          <w:rFonts w:ascii="Times New Roman" w:hAnsi="Times New Roman" w:cs="Times New Roman"/>
          <w:sz w:val="24"/>
          <w:szCs w:val="24"/>
        </w:rPr>
        <w:t>taking different national paths, underscoring the need for a specialised monitoring system that can detect changes in real time rather than react</w:t>
      </w:r>
      <w:r w:rsidRPr="004D2FE8">
        <w:rPr>
          <w:rFonts w:ascii="Times New Roman" w:hAnsi="Times New Roman" w:cs="Times New Roman"/>
          <w:sz w:val="24"/>
          <w:szCs w:val="24"/>
        </w:rPr>
        <w:t>.</w:t>
      </w:r>
    </w:p>
    <w:p w14:paraId="44FEE4DD" w14:textId="008D99C9" w:rsidR="000F7463" w:rsidRPr="004D2FE8" w:rsidRDefault="00073C8E" w:rsidP="00007063">
      <w:pPr>
        <w:spacing w:line="360" w:lineRule="auto"/>
        <w:jc w:val="both"/>
        <w:rPr>
          <w:rFonts w:ascii="Times New Roman" w:hAnsi="Times New Roman" w:cs="Times New Roman"/>
          <w:sz w:val="24"/>
          <w:szCs w:val="24"/>
        </w:rPr>
      </w:pPr>
      <w:r w:rsidRPr="00073C8E">
        <w:rPr>
          <w:rFonts w:ascii="Times New Roman" w:hAnsi="Times New Roman" w:cs="Times New Roman"/>
          <w:sz w:val="24"/>
          <w:szCs w:val="24"/>
        </w:rPr>
        <w:t>The third respect in which AI Literacy Training needs to be introduced in the short term is a mandatory course about the regulatory provisions, ethical decision-making frameworks, and client-facing personnel escalation procedures at IBM. This programme should extend much more than technical awareness. This programme should extend beyond technical awareness, based on the findings of Jobin, Ienca and Vayena (2019) who are finding that there is always a disconnect between AI ethics principles and how they are manifested in practice in organisations. This would be a USD 400,000 investment with a one-time cost that directly tackles the human-error exposure in the risk register and aligns with the result of the Edelman Trust Barometer (2024) that found employee behaviour to be the biggest contributor to trust in organisations with AI implementation.</w:t>
      </w:r>
    </w:p>
    <w:p w14:paraId="019EBB58" w14:textId="2E15536D" w:rsidR="000F7463" w:rsidRPr="00F264AF" w:rsidRDefault="006047D6" w:rsidP="00007063">
      <w:pPr>
        <w:pStyle w:val="Heading2"/>
      </w:pPr>
      <w:r w:rsidRPr="00F264AF">
        <w:t xml:space="preserve"> </w:t>
      </w:r>
      <w:bookmarkStart w:id="12" w:name="_Toc228204491"/>
      <w:r w:rsidRPr="00F264AF">
        <w:t>Medium-Term Strategy (6–18 Months): Ethics Formalisation and Independent Verification</w:t>
      </w:r>
      <w:bookmarkEnd w:id="12"/>
    </w:p>
    <w:p w14:paraId="3BCF8514" w14:textId="776C4900" w:rsidR="00FB250C" w:rsidRPr="004D2FE8" w:rsidRDefault="00073C8E" w:rsidP="00007063">
      <w:pPr>
        <w:spacing w:line="360" w:lineRule="auto"/>
        <w:jc w:val="both"/>
        <w:rPr>
          <w:rFonts w:ascii="Times New Roman" w:hAnsi="Times New Roman" w:cs="Times New Roman"/>
          <w:sz w:val="24"/>
          <w:szCs w:val="24"/>
        </w:rPr>
      </w:pPr>
      <w:r w:rsidRPr="00073C8E">
        <w:rPr>
          <w:rFonts w:ascii="Times New Roman" w:hAnsi="Times New Roman" w:cs="Times New Roman"/>
          <w:sz w:val="24"/>
          <w:szCs w:val="24"/>
        </w:rPr>
        <w:t>Once the baseline audit and monitoring frameworks are in place, medium-term should be to institutionalise the rules of the governance of AI ethics at IBM in frameworks that should be credible with outside stakeholders. The most important recommendation in this step is the establishment of an autonomous AI Ethics Board which would involve external academic participants, civil society members and lawyers.</w:t>
      </w:r>
      <w:r w:rsidR="00FB250C" w:rsidRPr="004D2FE8">
        <w:rPr>
          <w:rFonts w:ascii="Times New Roman" w:hAnsi="Times New Roman" w:cs="Times New Roman"/>
          <w:sz w:val="24"/>
          <w:szCs w:val="24"/>
        </w:rPr>
        <w:t xml:space="preserve"> According to Floridi et al. (2018), governance frameworks are </w:t>
      </w:r>
      <w:r w:rsidR="00F7533D" w:rsidRPr="004D2FE8">
        <w:rPr>
          <w:rFonts w:ascii="Times New Roman" w:hAnsi="Times New Roman" w:cs="Times New Roman"/>
          <w:sz w:val="24"/>
          <w:szCs w:val="24"/>
        </w:rPr>
        <w:t>most effective when they reflect principles of transparency and accountability in their operations,</w:t>
      </w:r>
      <w:r w:rsidR="00FB250C" w:rsidRPr="004D2FE8">
        <w:rPr>
          <w:rFonts w:ascii="Times New Roman" w:hAnsi="Times New Roman" w:cs="Times New Roman"/>
          <w:sz w:val="24"/>
          <w:szCs w:val="24"/>
        </w:rPr>
        <w:t xml:space="preserve"> not only in the systems they govern. Costing USD 150,000 annually, the structure can </w:t>
      </w:r>
      <w:r w:rsidR="00F7533D" w:rsidRPr="004D2FE8">
        <w:rPr>
          <w:rFonts w:ascii="Times New Roman" w:hAnsi="Times New Roman" w:cs="Times New Roman"/>
          <w:sz w:val="24"/>
          <w:szCs w:val="24"/>
        </w:rPr>
        <w:t>serve as a significant credibility indicator to regulators, enterprise purchasers,</w:t>
      </w:r>
      <w:r w:rsidR="00FB250C" w:rsidRPr="004D2FE8">
        <w:rPr>
          <w:rFonts w:ascii="Times New Roman" w:hAnsi="Times New Roman" w:cs="Times New Roman"/>
          <w:sz w:val="24"/>
          <w:szCs w:val="24"/>
        </w:rPr>
        <w:t xml:space="preserve"> and institutional investors.</w:t>
      </w:r>
    </w:p>
    <w:p w14:paraId="23313618" w14:textId="395408A6"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One crucial change to this step - and one that explicitly tackles the lack of an external verification mechanism in previous versions - is commissioning an independent third-party AI audit, which </w:t>
      </w:r>
      <w:r w:rsidRPr="004D2FE8">
        <w:rPr>
          <w:rFonts w:ascii="Times New Roman" w:hAnsi="Times New Roman" w:cs="Times New Roman"/>
          <w:sz w:val="24"/>
          <w:szCs w:val="24"/>
        </w:rPr>
        <w:lastRenderedPageBreak/>
        <w:t xml:space="preserve">will be performed once a year, and will be compared to NIST AI RMF 1.0 and UK ICO guidance. According to Cath (2018), voluntary transparency mechanisms have </w:t>
      </w:r>
      <w:r w:rsidR="00F7533D" w:rsidRPr="004D2FE8">
        <w:rPr>
          <w:rFonts w:ascii="Times New Roman" w:hAnsi="Times New Roman" w:cs="Times New Roman"/>
          <w:sz w:val="24"/>
          <w:szCs w:val="24"/>
        </w:rPr>
        <w:t>much greater credibility when parties with no business connection to the company under evaluation check them</w:t>
      </w:r>
      <w:r w:rsidRPr="004D2FE8">
        <w:rPr>
          <w:rFonts w:ascii="Times New Roman" w:hAnsi="Times New Roman" w:cs="Times New Roman"/>
          <w:sz w:val="24"/>
          <w:szCs w:val="24"/>
        </w:rPr>
        <w:t xml:space="preserve">. This audit, whose findings are reported in an Annual Transparency Report, is </w:t>
      </w:r>
      <w:r w:rsidR="00F7533D" w:rsidRPr="004D2FE8">
        <w:rPr>
          <w:rFonts w:ascii="Times New Roman" w:hAnsi="Times New Roman" w:cs="Times New Roman"/>
          <w:sz w:val="24"/>
          <w:szCs w:val="24"/>
        </w:rPr>
        <w:t xml:space="preserve">estimated to cost USD 220,000 to USD 300,000 per year and will change IBM's self-assessed governance claims into those </w:t>
      </w:r>
      <w:r w:rsidRPr="004D2FE8">
        <w:rPr>
          <w:rFonts w:ascii="Times New Roman" w:hAnsi="Times New Roman" w:cs="Times New Roman"/>
          <w:sz w:val="24"/>
          <w:szCs w:val="24"/>
        </w:rPr>
        <w:t xml:space="preserve">verified by an independent party. The difference is becoming </w:t>
      </w:r>
      <w:r w:rsidR="00F7533D" w:rsidRPr="004D2FE8">
        <w:rPr>
          <w:rFonts w:ascii="Times New Roman" w:hAnsi="Times New Roman" w:cs="Times New Roman"/>
          <w:sz w:val="24"/>
          <w:szCs w:val="24"/>
        </w:rPr>
        <w:t>increasingly tangible to enterprise procurement assessors. It is likely to be a regulatory requirement</w:t>
      </w:r>
      <w:r w:rsidRPr="004D2FE8">
        <w:rPr>
          <w:rFonts w:ascii="Times New Roman" w:hAnsi="Times New Roman" w:cs="Times New Roman"/>
          <w:sz w:val="24"/>
          <w:szCs w:val="24"/>
        </w:rPr>
        <w:t xml:space="preserve"> in both the UK and the US in the medium-term planning horizon.</w:t>
      </w:r>
    </w:p>
    <w:p w14:paraId="495A1645" w14:textId="443578EE" w:rsidR="000F7463"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most significant technical implication of this phase is the integration of automated </w:t>
      </w:r>
      <w:r w:rsidR="00F7533D" w:rsidRPr="004D2FE8">
        <w:rPr>
          <w:rFonts w:ascii="Times New Roman" w:hAnsi="Times New Roman" w:cs="Times New Roman"/>
          <w:sz w:val="24"/>
          <w:szCs w:val="24"/>
        </w:rPr>
        <w:t>bias-detection tooling into the WatsonX</w:t>
      </w:r>
      <w:r w:rsidRPr="004D2FE8">
        <w:rPr>
          <w:rFonts w:ascii="Times New Roman" w:hAnsi="Times New Roman" w:cs="Times New Roman"/>
          <w:sz w:val="24"/>
          <w:szCs w:val="24"/>
        </w:rPr>
        <w:t xml:space="preserve"> model deployment pipeline. This tooling, based on Obermeyer et al. (2019) </w:t>
      </w:r>
      <w:r w:rsidR="00F7533D" w:rsidRPr="004D2FE8">
        <w:rPr>
          <w:rFonts w:ascii="Times New Roman" w:hAnsi="Times New Roman" w:cs="Times New Roman"/>
          <w:sz w:val="24"/>
          <w:szCs w:val="24"/>
        </w:rPr>
        <w:t xml:space="preserve">'s evidence of algorithmic bias in deployed systems, should require that every model published by WatsonX </w:t>
      </w:r>
      <w:r w:rsidRPr="004D2FE8">
        <w:rPr>
          <w:rFonts w:ascii="Times New Roman" w:hAnsi="Times New Roman" w:cs="Times New Roman"/>
          <w:sz w:val="24"/>
          <w:szCs w:val="24"/>
        </w:rPr>
        <w:t xml:space="preserve">meet specified fairness levels before deployment. The long-term reduction </w:t>
      </w:r>
      <w:r w:rsidR="00F7533D" w:rsidRPr="004D2FE8">
        <w:rPr>
          <w:rFonts w:ascii="Times New Roman" w:hAnsi="Times New Roman" w:cs="Times New Roman"/>
          <w:sz w:val="24"/>
          <w:szCs w:val="24"/>
        </w:rPr>
        <w:t>in bias-related legal liability and reputational exposure is worth USD 500,000-USD 750,000, providing</w:t>
      </w:r>
      <w:r w:rsidRPr="004D2FE8">
        <w:rPr>
          <w:rFonts w:ascii="Times New Roman" w:hAnsi="Times New Roman" w:cs="Times New Roman"/>
          <w:sz w:val="24"/>
          <w:szCs w:val="24"/>
        </w:rPr>
        <w:t xml:space="preserve"> significant justification. Taddeo and Floridi (2018) reaffirm that AI can truly be used as a force </w:t>
      </w:r>
      <w:r w:rsidR="00F7533D" w:rsidRPr="004D2FE8">
        <w:rPr>
          <w:rFonts w:ascii="Times New Roman" w:hAnsi="Times New Roman" w:cs="Times New Roman"/>
          <w:sz w:val="24"/>
          <w:szCs w:val="24"/>
        </w:rPr>
        <w:t>for good, but only when those affected by AI systems can meaningfully access information about how such systems work. The transparency dashboard that will be integrated with this tooling will help operationalise this concept for</w:t>
      </w:r>
      <w:r w:rsidRPr="004D2FE8">
        <w:rPr>
          <w:rFonts w:ascii="Times New Roman" w:hAnsi="Times New Roman" w:cs="Times New Roman"/>
          <w:sz w:val="24"/>
          <w:szCs w:val="24"/>
        </w:rPr>
        <w:t xml:space="preserve"> the IBM enterprise clients.</w:t>
      </w:r>
    </w:p>
    <w:p w14:paraId="20152E62" w14:textId="26146CD7" w:rsidR="000F7463" w:rsidRPr="00F264AF" w:rsidRDefault="006047D6" w:rsidP="00007063">
      <w:pPr>
        <w:pStyle w:val="Heading2"/>
      </w:pPr>
      <w:bookmarkStart w:id="13" w:name="_Toc228204492"/>
      <w:r w:rsidRPr="00F264AF">
        <w:t>Long-Term Vision (18–36 Months): Competitive Advantage and Future-Proofing</w:t>
      </w:r>
      <w:bookmarkEnd w:id="13"/>
    </w:p>
    <w:p w14:paraId="443CBC9D" w14:textId="56808015"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The governance infrastructure </w:t>
      </w:r>
      <w:r w:rsidR="00F7533D" w:rsidRPr="004D2FE8">
        <w:rPr>
          <w:rFonts w:ascii="Times New Roman" w:hAnsi="Times New Roman" w:cs="Times New Roman"/>
          <w:sz w:val="24"/>
          <w:szCs w:val="24"/>
        </w:rPr>
        <w:t>established during the first 18 months must be leveraged to create a sustainable competitive advantage in the long term</w:t>
      </w:r>
      <w:r w:rsidRPr="004D2FE8">
        <w:rPr>
          <w:rFonts w:ascii="Times New Roman" w:hAnsi="Times New Roman" w:cs="Times New Roman"/>
          <w:sz w:val="24"/>
          <w:szCs w:val="24"/>
        </w:rPr>
        <w:t>. The most strategically important recommendation of this horizon is the introduction of an IBM Responsible AI Certification programme</w:t>
      </w:r>
      <w:r w:rsidR="00F7533D" w:rsidRPr="004D2FE8">
        <w:rPr>
          <w:rFonts w:ascii="Times New Roman" w:hAnsi="Times New Roman" w:cs="Times New Roman"/>
          <w:sz w:val="24"/>
          <w:szCs w:val="24"/>
        </w:rPr>
        <w:t>, a formal certification system of enterprise clients who implement IBM AI systems in a way that establishes</w:t>
      </w:r>
      <w:r w:rsidRPr="004D2FE8">
        <w:rPr>
          <w:rFonts w:ascii="Times New Roman" w:hAnsi="Times New Roman" w:cs="Times New Roman"/>
          <w:sz w:val="24"/>
          <w:szCs w:val="24"/>
        </w:rPr>
        <w:t xml:space="preserve"> governance frameworks. Calo (2017) believes the organisations </w:t>
      </w:r>
      <w:r w:rsidR="00F7533D" w:rsidRPr="004D2FE8">
        <w:rPr>
          <w:rFonts w:ascii="Times New Roman" w:hAnsi="Times New Roman" w:cs="Times New Roman"/>
          <w:sz w:val="24"/>
          <w:szCs w:val="24"/>
        </w:rPr>
        <w:t>best positioned to influence the nature of regulatory outcomes are those with the longest operational experience in</w:t>
      </w:r>
      <w:r w:rsidRPr="004D2FE8">
        <w:rPr>
          <w:rFonts w:ascii="Times New Roman" w:hAnsi="Times New Roman" w:cs="Times New Roman"/>
          <w:sz w:val="24"/>
          <w:szCs w:val="24"/>
        </w:rPr>
        <w:t xml:space="preserve"> controlling AI on a massive scale. This programme, costing USD 1.2 million to develop and launch, establishes a certification ecosystem </w:t>
      </w:r>
      <w:r w:rsidR="00F7533D" w:rsidRPr="004D2FE8">
        <w:rPr>
          <w:rFonts w:ascii="Times New Roman" w:hAnsi="Times New Roman" w:cs="Times New Roman"/>
          <w:sz w:val="24"/>
          <w:szCs w:val="24"/>
        </w:rPr>
        <w:t>that strengthens IBM's governance leadership, creates switching costs as part of client relationships, and generates an additional revenue stream in professional services</w:t>
      </w:r>
      <w:r w:rsidRPr="004D2FE8">
        <w:rPr>
          <w:rFonts w:ascii="Times New Roman" w:hAnsi="Times New Roman" w:cs="Times New Roman"/>
          <w:sz w:val="24"/>
          <w:szCs w:val="24"/>
        </w:rPr>
        <w:t>.</w:t>
      </w:r>
    </w:p>
    <w:p w14:paraId="691CBD6E" w14:textId="31978B42" w:rsidR="00FB250C"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The most futuristic suggestion in this plan is investment in quantum-safe AI infrastructure</w:t>
      </w:r>
      <w:r w:rsidR="00F7533D" w:rsidRPr="004D2FE8">
        <w:rPr>
          <w:rFonts w:ascii="Times New Roman" w:hAnsi="Times New Roman" w:cs="Times New Roman"/>
          <w:sz w:val="24"/>
          <w:szCs w:val="24"/>
        </w:rPr>
        <w:t xml:space="preserve"> and the creation of cryptographic protocols </w:t>
      </w:r>
      <w:r w:rsidRPr="004D2FE8">
        <w:rPr>
          <w:rFonts w:ascii="Times New Roman" w:hAnsi="Times New Roman" w:cs="Times New Roman"/>
          <w:sz w:val="24"/>
          <w:szCs w:val="24"/>
        </w:rPr>
        <w:t>resistant to future quantum computing capabilities, estimated at USD 2.5</w:t>
      </w:r>
      <w:r w:rsidR="00F7533D" w:rsidRPr="004D2FE8">
        <w:rPr>
          <w:rFonts w:ascii="Times New Roman" w:hAnsi="Times New Roman" w:cs="Times New Roman"/>
          <w:sz w:val="24"/>
          <w:szCs w:val="24"/>
        </w:rPr>
        <w:t>-</w:t>
      </w:r>
      <w:r w:rsidRPr="004D2FE8">
        <w:rPr>
          <w:rFonts w:ascii="Times New Roman" w:hAnsi="Times New Roman" w:cs="Times New Roman"/>
          <w:sz w:val="24"/>
          <w:szCs w:val="24"/>
        </w:rPr>
        <w:t xml:space="preserve">4 million. With the increased integration of AI systems into critical infrastructure, security assumptions </w:t>
      </w:r>
      <w:r w:rsidR="00F7533D" w:rsidRPr="004D2FE8">
        <w:rPr>
          <w:rFonts w:ascii="Times New Roman" w:hAnsi="Times New Roman" w:cs="Times New Roman"/>
          <w:sz w:val="24"/>
          <w:szCs w:val="24"/>
        </w:rPr>
        <w:t>about their use will need to be revised to reflect advances in quantum computing, which</w:t>
      </w:r>
      <w:r w:rsidRPr="004D2FE8">
        <w:rPr>
          <w:rFonts w:ascii="Times New Roman" w:hAnsi="Times New Roman" w:cs="Times New Roman"/>
          <w:sz w:val="24"/>
          <w:szCs w:val="24"/>
        </w:rPr>
        <w:t xml:space="preserve"> are projected to become practically relevant in the next decade. IBM already has </w:t>
      </w:r>
      <w:r w:rsidRPr="004D2FE8">
        <w:rPr>
          <w:rFonts w:ascii="Times New Roman" w:hAnsi="Times New Roman" w:cs="Times New Roman"/>
          <w:sz w:val="24"/>
          <w:szCs w:val="24"/>
        </w:rPr>
        <w:lastRenderedPageBreak/>
        <w:t xml:space="preserve">the technical </w:t>
      </w:r>
      <w:r w:rsidR="00F7533D" w:rsidRPr="004D2FE8">
        <w:rPr>
          <w:rFonts w:ascii="Times New Roman" w:hAnsi="Times New Roman" w:cs="Times New Roman"/>
          <w:sz w:val="24"/>
          <w:szCs w:val="24"/>
        </w:rPr>
        <w:t xml:space="preserve">foundation and the reputation to be credible in making this investment, as it is </w:t>
      </w:r>
      <w:r w:rsidRPr="004D2FE8">
        <w:rPr>
          <w:rFonts w:ascii="Times New Roman" w:hAnsi="Times New Roman" w:cs="Times New Roman"/>
          <w:sz w:val="24"/>
          <w:szCs w:val="24"/>
        </w:rPr>
        <w:t>a leader in quantum computing research.</w:t>
      </w:r>
    </w:p>
    <w:p w14:paraId="755E34B6" w14:textId="21E8E200" w:rsidR="000F7463" w:rsidRPr="004D2FE8" w:rsidRDefault="00FB250C" w:rsidP="00007063">
      <w:pPr>
        <w:spacing w:line="360" w:lineRule="auto"/>
        <w:jc w:val="both"/>
        <w:rPr>
          <w:rFonts w:ascii="Times New Roman" w:hAnsi="Times New Roman" w:cs="Times New Roman"/>
          <w:sz w:val="24"/>
          <w:szCs w:val="24"/>
        </w:rPr>
      </w:pPr>
      <w:r w:rsidRPr="004D2FE8">
        <w:rPr>
          <w:rFonts w:ascii="Times New Roman" w:hAnsi="Times New Roman" w:cs="Times New Roman"/>
          <w:sz w:val="24"/>
          <w:szCs w:val="24"/>
        </w:rPr>
        <w:t xml:space="preserve">Lastly, </w:t>
      </w:r>
      <w:r w:rsidR="00F7533D" w:rsidRPr="004D2FE8">
        <w:rPr>
          <w:rFonts w:ascii="Times New Roman" w:hAnsi="Times New Roman" w:cs="Times New Roman"/>
          <w:sz w:val="24"/>
          <w:szCs w:val="24"/>
        </w:rPr>
        <w:t xml:space="preserve">long-term operational efficiency </w:t>
      </w:r>
      <w:r w:rsidRPr="004D2FE8">
        <w:rPr>
          <w:rFonts w:ascii="Times New Roman" w:hAnsi="Times New Roman" w:cs="Times New Roman"/>
          <w:sz w:val="24"/>
          <w:szCs w:val="24"/>
        </w:rPr>
        <w:t>cannot be achieved without the development of a cross-border AI data governance architecture</w:t>
      </w:r>
      <w:r w:rsidR="00F7533D" w:rsidRPr="004D2FE8">
        <w:rPr>
          <w:rFonts w:ascii="Times New Roman" w:hAnsi="Times New Roman" w:cs="Times New Roman"/>
          <w:sz w:val="24"/>
          <w:szCs w:val="24"/>
        </w:rPr>
        <w:t>. This common technical and policy framework</w:t>
      </w:r>
      <w:r w:rsidRPr="004D2FE8">
        <w:rPr>
          <w:rFonts w:ascii="Times New Roman" w:hAnsi="Times New Roman" w:cs="Times New Roman"/>
          <w:sz w:val="24"/>
          <w:szCs w:val="24"/>
        </w:rPr>
        <w:t xml:space="preserve"> allows IBM to process client data </w:t>
      </w:r>
      <w:r w:rsidR="00F7533D" w:rsidRPr="004D2FE8">
        <w:rPr>
          <w:rFonts w:ascii="Times New Roman" w:hAnsi="Times New Roman" w:cs="Times New Roman"/>
          <w:sz w:val="24"/>
          <w:szCs w:val="24"/>
        </w:rPr>
        <w:t>consistently</w:t>
      </w:r>
      <w:r w:rsidRPr="004D2FE8">
        <w:rPr>
          <w:rFonts w:ascii="Times New Roman" w:hAnsi="Times New Roman" w:cs="Times New Roman"/>
          <w:sz w:val="24"/>
          <w:szCs w:val="24"/>
        </w:rPr>
        <w:t xml:space="preserve"> and </w:t>
      </w:r>
      <w:r w:rsidR="00F7533D" w:rsidRPr="004D2FE8">
        <w:rPr>
          <w:rFonts w:ascii="Times New Roman" w:hAnsi="Times New Roman" w:cs="Times New Roman"/>
          <w:sz w:val="24"/>
          <w:szCs w:val="24"/>
        </w:rPr>
        <w:t xml:space="preserve">to use the most challenging standard </w:t>
      </w:r>
      <w:r w:rsidRPr="004D2FE8">
        <w:rPr>
          <w:rFonts w:ascii="Times New Roman" w:hAnsi="Times New Roman" w:cs="Times New Roman"/>
          <w:sz w:val="24"/>
          <w:szCs w:val="24"/>
        </w:rPr>
        <w:t>as the internal baseline</w:t>
      </w:r>
      <w:r w:rsidR="00F7533D" w:rsidRPr="004D2FE8">
        <w:rPr>
          <w:rFonts w:ascii="Times New Roman" w:hAnsi="Times New Roman" w:cs="Times New Roman"/>
          <w:sz w:val="24"/>
          <w:szCs w:val="24"/>
        </w:rPr>
        <w:t>,</w:t>
      </w:r>
      <w:r w:rsidRPr="004D2FE8">
        <w:rPr>
          <w:rFonts w:ascii="Times New Roman" w:hAnsi="Times New Roman" w:cs="Times New Roman"/>
          <w:sz w:val="24"/>
          <w:szCs w:val="24"/>
        </w:rPr>
        <w:t xml:space="preserve"> as described in the compliance strategy presented in Section 2.5. This architecture will </w:t>
      </w:r>
      <w:r w:rsidR="00F7533D" w:rsidRPr="004D2FE8">
        <w:rPr>
          <w:rFonts w:ascii="Times New Roman" w:hAnsi="Times New Roman" w:cs="Times New Roman"/>
          <w:sz w:val="24"/>
          <w:szCs w:val="24"/>
        </w:rPr>
        <w:t>eliminate jurisdiction-specific compliance systems and costly duplication, at an estimated cost of USD 1.8 million, and place IBM in a position to pursue</w:t>
      </w:r>
      <w:r w:rsidRPr="004D2FE8">
        <w:rPr>
          <w:rFonts w:ascii="Times New Roman" w:hAnsi="Times New Roman" w:cs="Times New Roman"/>
          <w:sz w:val="24"/>
          <w:szCs w:val="24"/>
        </w:rPr>
        <w:t xml:space="preserve"> the most data-sensitive AI contracts in the UK, US and European markets without operational fragmentation.</w:t>
      </w:r>
    </w:p>
    <w:p w14:paraId="6C71FDD8" w14:textId="3D694BDD" w:rsidR="00280289" w:rsidRDefault="00280289" w:rsidP="00007063">
      <w:pPr>
        <w:pStyle w:val="Caption"/>
        <w:keepNext/>
        <w:spacing w:after="0" w:line="360" w:lineRule="auto"/>
      </w:pPr>
      <w:r>
        <w:t xml:space="preserve">Table </w:t>
      </w:r>
      <w:fldSimple w:instr=" SEQ Table \* ARABIC ">
        <w:r>
          <w:rPr>
            <w:noProof/>
          </w:rPr>
          <w:t>4</w:t>
        </w:r>
      </w:fldSimple>
      <w:r>
        <w:t xml:space="preserve">: </w:t>
      </w:r>
      <w:r w:rsidRPr="00603CF0">
        <w:t>IBM AI Governance Implementation Plan with Indicative Cost Estimates. Source: Author's own construction</w:t>
      </w:r>
    </w:p>
    <w:tbl>
      <w:tblPr>
        <w:tblStyle w:val="TableGridLight"/>
        <w:tblW w:w="9360" w:type="dxa"/>
        <w:tblLook w:val="04A0" w:firstRow="1" w:lastRow="0" w:firstColumn="1" w:lastColumn="0" w:noHBand="0" w:noVBand="1"/>
      </w:tblPr>
      <w:tblGrid>
        <w:gridCol w:w="1440"/>
        <w:gridCol w:w="2560"/>
        <w:gridCol w:w="1560"/>
        <w:gridCol w:w="1440"/>
        <w:gridCol w:w="2360"/>
      </w:tblGrid>
      <w:tr w:rsidR="000F7463" w:rsidRPr="00AC3222" w14:paraId="46CAF15B" w14:textId="77777777" w:rsidTr="00AC3222">
        <w:tc>
          <w:tcPr>
            <w:tcW w:w="1440" w:type="dxa"/>
          </w:tcPr>
          <w:p w14:paraId="6E4EED70" w14:textId="77777777" w:rsidR="000F7463" w:rsidRPr="00AC3222" w:rsidRDefault="006047D6" w:rsidP="00007063">
            <w:pPr>
              <w:spacing w:line="360" w:lineRule="auto"/>
              <w:jc w:val="both"/>
              <w:rPr>
                <w:rFonts w:ascii="Times New Roman" w:hAnsi="Times New Roman" w:cs="Times New Roman"/>
                <w:color w:val="auto"/>
                <w:sz w:val="24"/>
                <w:szCs w:val="24"/>
              </w:rPr>
            </w:pPr>
            <w:r w:rsidRPr="00AC3222">
              <w:rPr>
                <w:rFonts w:ascii="Times New Roman" w:hAnsi="Times New Roman" w:cs="Times New Roman"/>
                <w:b/>
                <w:bCs/>
                <w:color w:val="auto"/>
                <w:sz w:val="24"/>
                <w:szCs w:val="24"/>
              </w:rPr>
              <w:t>Phase</w:t>
            </w:r>
          </w:p>
        </w:tc>
        <w:tc>
          <w:tcPr>
            <w:tcW w:w="2560" w:type="dxa"/>
          </w:tcPr>
          <w:p w14:paraId="64F7DBD2" w14:textId="77777777" w:rsidR="000F7463" w:rsidRPr="00AC3222" w:rsidRDefault="006047D6" w:rsidP="00007063">
            <w:pPr>
              <w:spacing w:line="360" w:lineRule="auto"/>
              <w:jc w:val="both"/>
              <w:rPr>
                <w:rFonts w:ascii="Times New Roman" w:hAnsi="Times New Roman" w:cs="Times New Roman"/>
                <w:color w:val="auto"/>
                <w:sz w:val="24"/>
                <w:szCs w:val="24"/>
              </w:rPr>
            </w:pPr>
            <w:r w:rsidRPr="00AC3222">
              <w:rPr>
                <w:rFonts w:ascii="Times New Roman" w:hAnsi="Times New Roman" w:cs="Times New Roman"/>
                <w:b/>
                <w:bCs/>
                <w:color w:val="auto"/>
                <w:sz w:val="24"/>
                <w:szCs w:val="24"/>
              </w:rPr>
              <w:t>Action</w:t>
            </w:r>
          </w:p>
        </w:tc>
        <w:tc>
          <w:tcPr>
            <w:tcW w:w="1560" w:type="dxa"/>
          </w:tcPr>
          <w:p w14:paraId="13B8E421" w14:textId="77777777" w:rsidR="000F7463" w:rsidRPr="00AC3222" w:rsidRDefault="006047D6" w:rsidP="00007063">
            <w:pPr>
              <w:spacing w:line="360" w:lineRule="auto"/>
              <w:jc w:val="both"/>
              <w:rPr>
                <w:rFonts w:ascii="Times New Roman" w:hAnsi="Times New Roman" w:cs="Times New Roman"/>
                <w:color w:val="auto"/>
                <w:sz w:val="24"/>
                <w:szCs w:val="24"/>
              </w:rPr>
            </w:pPr>
            <w:r w:rsidRPr="00AC3222">
              <w:rPr>
                <w:rFonts w:ascii="Times New Roman" w:hAnsi="Times New Roman" w:cs="Times New Roman"/>
                <w:b/>
                <w:bCs/>
                <w:color w:val="auto"/>
                <w:sz w:val="24"/>
                <w:szCs w:val="24"/>
              </w:rPr>
              <w:t>Owner</w:t>
            </w:r>
          </w:p>
        </w:tc>
        <w:tc>
          <w:tcPr>
            <w:tcW w:w="1440" w:type="dxa"/>
          </w:tcPr>
          <w:p w14:paraId="37147B7D" w14:textId="77777777" w:rsidR="000F7463" w:rsidRPr="00AC3222" w:rsidRDefault="006047D6" w:rsidP="00007063">
            <w:pPr>
              <w:spacing w:line="360" w:lineRule="auto"/>
              <w:jc w:val="both"/>
              <w:rPr>
                <w:rFonts w:ascii="Times New Roman" w:hAnsi="Times New Roman" w:cs="Times New Roman"/>
                <w:color w:val="auto"/>
                <w:sz w:val="24"/>
                <w:szCs w:val="24"/>
              </w:rPr>
            </w:pPr>
            <w:r w:rsidRPr="00AC3222">
              <w:rPr>
                <w:rFonts w:ascii="Times New Roman" w:hAnsi="Times New Roman" w:cs="Times New Roman"/>
                <w:b/>
                <w:bCs/>
                <w:color w:val="auto"/>
                <w:sz w:val="24"/>
                <w:szCs w:val="24"/>
              </w:rPr>
              <w:t>Est. Cost (USD)</w:t>
            </w:r>
          </w:p>
        </w:tc>
        <w:tc>
          <w:tcPr>
            <w:tcW w:w="2360" w:type="dxa"/>
          </w:tcPr>
          <w:p w14:paraId="27D2386A" w14:textId="77777777" w:rsidR="000F7463" w:rsidRPr="00AC3222" w:rsidRDefault="006047D6" w:rsidP="00007063">
            <w:pPr>
              <w:spacing w:line="360" w:lineRule="auto"/>
              <w:jc w:val="both"/>
              <w:rPr>
                <w:rFonts w:ascii="Times New Roman" w:hAnsi="Times New Roman" w:cs="Times New Roman"/>
                <w:color w:val="auto"/>
                <w:sz w:val="24"/>
                <w:szCs w:val="24"/>
              </w:rPr>
            </w:pPr>
            <w:r w:rsidRPr="00AC3222">
              <w:rPr>
                <w:rFonts w:ascii="Times New Roman" w:hAnsi="Times New Roman" w:cs="Times New Roman"/>
                <w:b/>
                <w:bCs/>
                <w:color w:val="auto"/>
                <w:sz w:val="24"/>
                <w:szCs w:val="24"/>
              </w:rPr>
              <w:t>Expected Outcome</w:t>
            </w:r>
          </w:p>
        </w:tc>
      </w:tr>
      <w:tr w:rsidR="000F7463" w:rsidRPr="00EE4A72" w14:paraId="142B6D37" w14:textId="77777777" w:rsidTr="00AC3222">
        <w:tc>
          <w:tcPr>
            <w:tcW w:w="1440" w:type="dxa"/>
          </w:tcPr>
          <w:p w14:paraId="729A0865"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Short-Term (0–6 Mo.)</w:t>
            </w:r>
          </w:p>
        </w:tc>
        <w:tc>
          <w:tcPr>
            <w:tcW w:w="2560" w:type="dxa"/>
          </w:tcPr>
          <w:p w14:paraId="1A4110D1"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Enterprise-wide AI Governance Audit across all product lines and client deployments</w:t>
            </w:r>
          </w:p>
        </w:tc>
        <w:tc>
          <w:tcPr>
            <w:tcW w:w="1560" w:type="dxa"/>
          </w:tcPr>
          <w:p w14:paraId="4D2EDACC"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Chief AI Officer + Legal</w:t>
            </w:r>
          </w:p>
        </w:tc>
        <w:tc>
          <w:tcPr>
            <w:tcW w:w="1440" w:type="dxa"/>
          </w:tcPr>
          <w:p w14:paraId="198C98C8"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$180K–$250K</w:t>
            </w:r>
          </w:p>
        </w:tc>
        <w:tc>
          <w:tcPr>
            <w:tcW w:w="2360" w:type="dxa"/>
          </w:tcPr>
          <w:p w14:paraId="41CDEDDF"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Baseline compliance gap report; prioritised risk register</w:t>
            </w:r>
          </w:p>
        </w:tc>
      </w:tr>
      <w:tr w:rsidR="000F7463" w:rsidRPr="00EE4A72" w14:paraId="6A303245" w14:textId="77777777" w:rsidTr="00AC3222">
        <w:tc>
          <w:tcPr>
            <w:tcW w:w="1440" w:type="dxa"/>
          </w:tcPr>
          <w:p w14:paraId="61098B5B"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Short-Term (0–6 Mo.)</w:t>
            </w:r>
          </w:p>
        </w:tc>
        <w:tc>
          <w:tcPr>
            <w:tcW w:w="2560" w:type="dxa"/>
          </w:tcPr>
          <w:p w14:paraId="4633FAA0" w14:textId="2C72B552"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Appoint </w:t>
            </w:r>
            <w:r w:rsidR="00F7533D" w:rsidRPr="00EE4A72">
              <w:rPr>
                <w:rFonts w:ascii="Times New Roman" w:hAnsi="Times New Roman" w:cs="Times New Roman"/>
                <w:sz w:val="24"/>
                <w:szCs w:val="24"/>
              </w:rPr>
              <w:t xml:space="preserve">an </w:t>
            </w:r>
            <w:r w:rsidRPr="00EE4A72">
              <w:rPr>
                <w:rFonts w:ascii="Times New Roman" w:hAnsi="Times New Roman" w:cs="Times New Roman"/>
                <w:sz w:val="24"/>
                <w:szCs w:val="24"/>
              </w:rPr>
              <w:t xml:space="preserve">AI Regulatory Intelligence Team (4 FTE) supplemented by </w:t>
            </w:r>
            <w:r w:rsidR="00F7533D" w:rsidRPr="00EE4A72">
              <w:rPr>
                <w:rFonts w:ascii="Times New Roman" w:hAnsi="Times New Roman" w:cs="Times New Roman"/>
                <w:sz w:val="24"/>
                <w:szCs w:val="24"/>
              </w:rPr>
              <w:t xml:space="preserve">an </w:t>
            </w:r>
            <w:r w:rsidRPr="00EE4A72">
              <w:rPr>
                <w:rFonts w:ascii="Times New Roman" w:hAnsi="Times New Roman" w:cs="Times New Roman"/>
                <w:sz w:val="24"/>
                <w:szCs w:val="24"/>
              </w:rPr>
              <w:t>external legal counsel retainer to monitor US and UK legislative developments</w:t>
            </w:r>
          </w:p>
        </w:tc>
        <w:tc>
          <w:tcPr>
            <w:tcW w:w="1560" w:type="dxa"/>
          </w:tcPr>
          <w:p w14:paraId="53229A6D"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CHRO + Legal</w:t>
            </w:r>
          </w:p>
        </w:tc>
        <w:tc>
          <w:tcPr>
            <w:tcW w:w="1440" w:type="dxa"/>
          </w:tcPr>
          <w:p w14:paraId="718B1A51"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$320K p.a. + $200K retainer</w:t>
            </w:r>
          </w:p>
        </w:tc>
        <w:tc>
          <w:tcPr>
            <w:tcW w:w="2360" w:type="dxa"/>
          </w:tcPr>
          <w:p w14:paraId="007D83A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Real-time regulatory dashboard; early legislative warning system</w:t>
            </w:r>
          </w:p>
        </w:tc>
      </w:tr>
      <w:tr w:rsidR="000F7463" w:rsidRPr="00EE4A72" w14:paraId="516D7CAE" w14:textId="77777777" w:rsidTr="00AC3222">
        <w:tc>
          <w:tcPr>
            <w:tcW w:w="1440" w:type="dxa"/>
          </w:tcPr>
          <w:p w14:paraId="56057F65"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Short-Term (0–6 Mo.)</w:t>
            </w:r>
          </w:p>
        </w:tc>
        <w:tc>
          <w:tcPr>
            <w:tcW w:w="2560" w:type="dxa"/>
          </w:tcPr>
          <w:p w14:paraId="2BF53470"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Deploy mandatory AI Literacy Training covering regulatory obligations and ethical escalation procedures for 50,000+ client-facing staff</w:t>
            </w:r>
          </w:p>
        </w:tc>
        <w:tc>
          <w:tcPr>
            <w:tcW w:w="1560" w:type="dxa"/>
          </w:tcPr>
          <w:p w14:paraId="78E971FE"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L&amp;D + Ethics Office</w:t>
            </w:r>
          </w:p>
        </w:tc>
        <w:tc>
          <w:tcPr>
            <w:tcW w:w="1440" w:type="dxa"/>
          </w:tcPr>
          <w:p w14:paraId="2EC71E27"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$400K one-time</w:t>
            </w:r>
          </w:p>
        </w:tc>
        <w:tc>
          <w:tcPr>
            <w:tcW w:w="2360" w:type="dxa"/>
          </w:tcPr>
          <w:p w14:paraId="27DC81D4"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Certified AI-aware workforce; reduced human-error liability</w:t>
            </w:r>
          </w:p>
        </w:tc>
      </w:tr>
      <w:tr w:rsidR="000F7463" w:rsidRPr="00EE4A72" w14:paraId="3AD71213" w14:textId="77777777" w:rsidTr="00AC3222">
        <w:tc>
          <w:tcPr>
            <w:tcW w:w="1440" w:type="dxa"/>
          </w:tcPr>
          <w:p w14:paraId="7054F0CE"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lastRenderedPageBreak/>
              <w:t>Medium-Term (6–18 Mo.)</w:t>
            </w:r>
          </w:p>
        </w:tc>
        <w:tc>
          <w:tcPr>
            <w:tcW w:w="2560" w:type="dxa"/>
          </w:tcPr>
          <w:p w14:paraId="05A707A0" w14:textId="374FEEE4"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Establish </w:t>
            </w:r>
            <w:r w:rsidR="00F7533D" w:rsidRPr="00EE4A72">
              <w:rPr>
                <w:rFonts w:ascii="Times New Roman" w:hAnsi="Times New Roman" w:cs="Times New Roman"/>
                <w:sz w:val="24"/>
                <w:szCs w:val="24"/>
              </w:rPr>
              <w:t xml:space="preserve">an </w:t>
            </w:r>
            <w:r w:rsidRPr="00EE4A72">
              <w:rPr>
                <w:rFonts w:ascii="Times New Roman" w:hAnsi="Times New Roman" w:cs="Times New Roman"/>
                <w:sz w:val="24"/>
                <w:szCs w:val="24"/>
              </w:rPr>
              <w:t xml:space="preserve">independent AI Ethics Board with external academic, civil society and legal representation; publish </w:t>
            </w:r>
            <w:r w:rsidR="00F7533D" w:rsidRPr="00EE4A72">
              <w:rPr>
                <w:rFonts w:ascii="Times New Roman" w:hAnsi="Times New Roman" w:cs="Times New Roman"/>
                <w:sz w:val="24"/>
                <w:szCs w:val="24"/>
              </w:rPr>
              <w:t xml:space="preserve">the </w:t>
            </w:r>
            <w:r w:rsidRPr="00EE4A72">
              <w:rPr>
                <w:rFonts w:ascii="Times New Roman" w:hAnsi="Times New Roman" w:cs="Times New Roman"/>
                <w:sz w:val="24"/>
                <w:szCs w:val="24"/>
              </w:rPr>
              <w:t>board mandate and meeting outcomes</w:t>
            </w:r>
          </w:p>
        </w:tc>
        <w:tc>
          <w:tcPr>
            <w:tcW w:w="1560" w:type="dxa"/>
          </w:tcPr>
          <w:p w14:paraId="73DC311B"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Board of Directors</w:t>
            </w:r>
          </w:p>
        </w:tc>
        <w:tc>
          <w:tcPr>
            <w:tcW w:w="1440" w:type="dxa"/>
          </w:tcPr>
          <w:p w14:paraId="6154CA8C"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$150K p.a.</w:t>
            </w:r>
          </w:p>
        </w:tc>
        <w:tc>
          <w:tcPr>
            <w:tcW w:w="2360" w:type="dxa"/>
          </w:tcPr>
          <w:p w14:paraId="0CEB52E0" w14:textId="73491F5A"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External credibility signal</w:t>
            </w:r>
            <w:r w:rsidR="00F7533D" w:rsidRPr="00EE4A72">
              <w:rPr>
                <w:rFonts w:ascii="Times New Roman" w:hAnsi="Times New Roman" w:cs="Times New Roman"/>
                <w:sz w:val="24"/>
                <w:szCs w:val="24"/>
              </w:rPr>
              <w:t>:</w:t>
            </w:r>
            <w:r w:rsidRPr="00EE4A72">
              <w:rPr>
                <w:rFonts w:ascii="Times New Roman" w:hAnsi="Times New Roman" w:cs="Times New Roman"/>
                <w:sz w:val="24"/>
                <w:szCs w:val="24"/>
              </w:rPr>
              <w:t xml:space="preserve"> verifiable accountability to regulators and investors</w:t>
            </w:r>
          </w:p>
        </w:tc>
      </w:tr>
      <w:tr w:rsidR="000F7463" w:rsidRPr="00EE4A72" w14:paraId="42A2E22D" w14:textId="77777777" w:rsidTr="00AC3222">
        <w:tc>
          <w:tcPr>
            <w:tcW w:w="1440" w:type="dxa"/>
          </w:tcPr>
          <w:p w14:paraId="67DD2D4E"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Medium-Term (6–18 Mo.)</w:t>
            </w:r>
          </w:p>
        </w:tc>
        <w:tc>
          <w:tcPr>
            <w:tcW w:w="2560" w:type="dxa"/>
          </w:tcPr>
          <w:p w14:paraId="2B1FF157"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Commission independent third-party AI audit (annually) against NIST AI RMF 1.0 and UK ICO guidance; publish results in Annual Transparency Report</w:t>
            </w:r>
          </w:p>
        </w:tc>
        <w:tc>
          <w:tcPr>
            <w:tcW w:w="1560" w:type="dxa"/>
          </w:tcPr>
          <w:p w14:paraId="037A4E95"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Chief AI Officer + External Auditor</w:t>
            </w:r>
          </w:p>
        </w:tc>
        <w:tc>
          <w:tcPr>
            <w:tcW w:w="1440" w:type="dxa"/>
          </w:tcPr>
          <w:p w14:paraId="0625518C"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$220K–$300K p.a.</w:t>
            </w:r>
          </w:p>
        </w:tc>
        <w:tc>
          <w:tcPr>
            <w:tcW w:w="2360" w:type="dxa"/>
          </w:tcPr>
          <w:p w14:paraId="60B609CD"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Verified accountability; differentiation from competitors; reduced litigation risk</w:t>
            </w:r>
          </w:p>
        </w:tc>
      </w:tr>
      <w:tr w:rsidR="000F7463" w:rsidRPr="00EE4A72" w14:paraId="569A459A" w14:textId="77777777" w:rsidTr="00AC3222">
        <w:tc>
          <w:tcPr>
            <w:tcW w:w="1440" w:type="dxa"/>
          </w:tcPr>
          <w:p w14:paraId="7DCBB6FB"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Medium-Term (6–18 Mo.)</w:t>
            </w:r>
          </w:p>
        </w:tc>
        <w:tc>
          <w:tcPr>
            <w:tcW w:w="2560" w:type="dxa"/>
          </w:tcPr>
          <w:p w14:paraId="0B37A4D6" w14:textId="5EE3674C"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Integrate automated bias detection tooling into </w:t>
            </w:r>
            <w:r w:rsidR="00F7533D" w:rsidRPr="00EE4A72">
              <w:rPr>
                <w:rFonts w:ascii="Times New Roman" w:hAnsi="Times New Roman" w:cs="Times New Roman"/>
                <w:sz w:val="24"/>
                <w:szCs w:val="24"/>
              </w:rPr>
              <w:t>the WatsonX</w:t>
            </w:r>
            <w:r w:rsidRPr="00EE4A72">
              <w:rPr>
                <w:rFonts w:ascii="Times New Roman" w:hAnsi="Times New Roman" w:cs="Times New Roman"/>
                <w:sz w:val="24"/>
                <w:szCs w:val="24"/>
              </w:rPr>
              <w:t xml:space="preserve"> model deployment pipeline; require fairness threshold passage before release</w:t>
            </w:r>
          </w:p>
        </w:tc>
        <w:tc>
          <w:tcPr>
            <w:tcW w:w="1560" w:type="dxa"/>
          </w:tcPr>
          <w:p w14:paraId="70BB5DB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IBM Research + Engineering</w:t>
            </w:r>
          </w:p>
        </w:tc>
        <w:tc>
          <w:tcPr>
            <w:tcW w:w="1440" w:type="dxa"/>
          </w:tcPr>
          <w:p w14:paraId="5F070341"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$500K–$750K</w:t>
            </w:r>
          </w:p>
        </w:tc>
        <w:tc>
          <w:tcPr>
            <w:tcW w:w="2360" w:type="dxa"/>
          </w:tcPr>
          <w:p w14:paraId="2B14C36F"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Target 70% reduction in bias-related incidents within 12 months of deployment</w:t>
            </w:r>
          </w:p>
        </w:tc>
      </w:tr>
      <w:tr w:rsidR="000F7463" w:rsidRPr="00EE4A72" w14:paraId="2B9D6B64" w14:textId="77777777" w:rsidTr="00AC3222">
        <w:tc>
          <w:tcPr>
            <w:tcW w:w="1440" w:type="dxa"/>
          </w:tcPr>
          <w:p w14:paraId="776CFB5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Long-Term (18–36 Mo.)</w:t>
            </w:r>
          </w:p>
        </w:tc>
        <w:tc>
          <w:tcPr>
            <w:tcW w:w="2560" w:type="dxa"/>
          </w:tcPr>
          <w:p w14:paraId="2AF2FCA4" w14:textId="2D6782D6"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Launch </w:t>
            </w:r>
            <w:r w:rsidR="00F7533D" w:rsidRPr="00EE4A72">
              <w:rPr>
                <w:rFonts w:ascii="Times New Roman" w:hAnsi="Times New Roman" w:cs="Times New Roman"/>
                <w:sz w:val="24"/>
                <w:szCs w:val="24"/>
              </w:rPr>
              <w:t xml:space="preserve">the </w:t>
            </w:r>
            <w:r w:rsidRPr="00EE4A72">
              <w:rPr>
                <w:rFonts w:ascii="Times New Roman" w:hAnsi="Times New Roman" w:cs="Times New Roman"/>
                <w:sz w:val="24"/>
                <w:szCs w:val="24"/>
              </w:rPr>
              <w:t xml:space="preserve">IBM Responsible AI Certification programme for enterprise clients across </w:t>
            </w:r>
            <w:r w:rsidR="00F7533D" w:rsidRPr="00EE4A72">
              <w:rPr>
                <w:rFonts w:ascii="Times New Roman" w:hAnsi="Times New Roman" w:cs="Times New Roman"/>
                <w:sz w:val="24"/>
                <w:szCs w:val="24"/>
              </w:rPr>
              <w:t xml:space="preserve">the </w:t>
            </w:r>
            <w:r w:rsidRPr="00EE4A72">
              <w:rPr>
                <w:rFonts w:ascii="Times New Roman" w:hAnsi="Times New Roman" w:cs="Times New Roman"/>
                <w:sz w:val="24"/>
                <w:szCs w:val="24"/>
              </w:rPr>
              <w:t>UK and US markets</w:t>
            </w:r>
          </w:p>
        </w:tc>
        <w:tc>
          <w:tcPr>
            <w:tcW w:w="1560" w:type="dxa"/>
          </w:tcPr>
          <w:p w14:paraId="46D2F6B8"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Strategy + Marketing</w:t>
            </w:r>
          </w:p>
        </w:tc>
        <w:tc>
          <w:tcPr>
            <w:tcW w:w="1440" w:type="dxa"/>
          </w:tcPr>
          <w:p w14:paraId="264FD43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$1.2M (dev + launch)</w:t>
            </w:r>
          </w:p>
        </w:tc>
        <w:tc>
          <w:tcPr>
            <w:tcW w:w="2360" w:type="dxa"/>
          </w:tcPr>
          <w:p w14:paraId="5F8C7CD2"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New professional services revenue stream; governance-based competitive moat</w:t>
            </w:r>
          </w:p>
        </w:tc>
      </w:tr>
      <w:tr w:rsidR="000F7463" w:rsidRPr="00EE4A72" w14:paraId="1729E4CF" w14:textId="77777777" w:rsidTr="00AC3222">
        <w:tc>
          <w:tcPr>
            <w:tcW w:w="1440" w:type="dxa"/>
          </w:tcPr>
          <w:p w14:paraId="512DB2C5"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Long-Term (18–36 Mo.)</w:t>
            </w:r>
          </w:p>
        </w:tc>
        <w:tc>
          <w:tcPr>
            <w:tcW w:w="2560" w:type="dxa"/>
          </w:tcPr>
          <w:p w14:paraId="6130086E"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Build quantum-safe AI infrastructure addressing post-quantum cryptography </w:t>
            </w:r>
            <w:r w:rsidRPr="00EE4A72">
              <w:rPr>
                <w:rFonts w:ascii="Times New Roman" w:hAnsi="Times New Roman" w:cs="Times New Roman"/>
                <w:sz w:val="24"/>
                <w:szCs w:val="24"/>
              </w:rPr>
              <w:lastRenderedPageBreak/>
              <w:t>requirements for critical client deployments</w:t>
            </w:r>
          </w:p>
        </w:tc>
        <w:tc>
          <w:tcPr>
            <w:tcW w:w="1560" w:type="dxa"/>
          </w:tcPr>
          <w:p w14:paraId="0AC04E2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lastRenderedPageBreak/>
              <w:t>IBM Research</w:t>
            </w:r>
          </w:p>
        </w:tc>
        <w:tc>
          <w:tcPr>
            <w:tcW w:w="1440" w:type="dxa"/>
          </w:tcPr>
          <w:p w14:paraId="0E8256F4"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$2.5M–$4M</w:t>
            </w:r>
          </w:p>
        </w:tc>
        <w:tc>
          <w:tcPr>
            <w:tcW w:w="2360" w:type="dxa"/>
          </w:tcPr>
          <w:p w14:paraId="394E97FF"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First-mover advantage in quantum-resistant enterprise AI security</w:t>
            </w:r>
          </w:p>
        </w:tc>
      </w:tr>
      <w:tr w:rsidR="000F7463" w:rsidRPr="00EE4A72" w14:paraId="4269596A" w14:textId="77777777" w:rsidTr="00AC3222">
        <w:tc>
          <w:tcPr>
            <w:tcW w:w="1440" w:type="dxa"/>
          </w:tcPr>
          <w:p w14:paraId="3D3BA481"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Long-Term (18–36 Mo.)</w:t>
            </w:r>
          </w:p>
        </w:tc>
        <w:tc>
          <w:tcPr>
            <w:tcW w:w="2560" w:type="dxa"/>
          </w:tcPr>
          <w:p w14:paraId="3422B165" w14:textId="322A3A93"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Develop </w:t>
            </w:r>
            <w:r w:rsidR="00F7533D" w:rsidRPr="00EE4A72">
              <w:rPr>
                <w:rFonts w:ascii="Times New Roman" w:hAnsi="Times New Roman" w:cs="Times New Roman"/>
                <w:sz w:val="24"/>
                <w:szCs w:val="24"/>
              </w:rPr>
              <w:t xml:space="preserve">a </w:t>
            </w:r>
            <w:r w:rsidRPr="00EE4A72">
              <w:rPr>
                <w:rFonts w:ascii="Times New Roman" w:hAnsi="Times New Roman" w:cs="Times New Roman"/>
                <w:sz w:val="24"/>
                <w:szCs w:val="24"/>
              </w:rPr>
              <w:t>cross-border AI data governance architecture compliant with UK GDPR, EU-aligned standards, and US state requirements as a unified baseline</w:t>
            </w:r>
          </w:p>
        </w:tc>
        <w:tc>
          <w:tcPr>
            <w:tcW w:w="1560" w:type="dxa"/>
          </w:tcPr>
          <w:p w14:paraId="31FC42F0"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Global Compliance + Eng.</w:t>
            </w:r>
          </w:p>
        </w:tc>
        <w:tc>
          <w:tcPr>
            <w:tcW w:w="1440" w:type="dxa"/>
          </w:tcPr>
          <w:p w14:paraId="35A0C37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b/>
                <w:bCs/>
                <w:sz w:val="24"/>
                <w:szCs w:val="24"/>
              </w:rPr>
              <w:t>$1.8M</w:t>
            </w:r>
          </w:p>
        </w:tc>
        <w:tc>
          <w:tcPr>
            <w:tcW w:w="2360" w:type="dxa"/>
          </w:tcPr>
          <w:p w14:paraId="73774A4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Seamless multi-jurisdiction operations; material litigation risk reduction</w:t>
            </w:r>
          </w:p>
        </w:tc>
      </w:tr>
    </w:tbl>
    <w:p w14:paraId="5E980642" w14:textId="47189B5E" w:rsidR="000F7463" w:rsidRPr="00EE4A72" w:rsidRDefault="000F7463" w:rsidP="00007063">
      <w:pPr>
        <w:spacing w:line="360" w:lineRule="auto"/>
        <w:jc w:val="both"/>
        <w:rPr>
          <w:rFonts w:ascii="Times New Roman" w:hAnsi="Times New Roman" w:cs="Times New Roman"/>
          <w:sz w:val="24"/>
          <w:szCs w:val="24"/>
        </w:rPr>
      </w:pPr>
    </w:p>
    <w:p w14:paraId="2540B23F" w14:textId="77777777" w:rsidR="000F7463" w:rsidRPr="00F264AF" w:rsidRDefault="006047D6" w:rsidP="00007063">
      <w:pPr>
        <w:spacing w:line="360" w:lineRule="auto"/>
        <w:jc w:val="both"/>
        <w:rPr>
          <w:rFonts w:ascii="Times New Roman" w:hAnsi="Times New Roman" w:cs="Times New Roman"/>
        </w:rPr>
      </w:pPr>
      <w:r w:rsidRPr="00EE4A72">
        <w:rPr>
          <w:rFonts w:ascii="Times New Roman" w:hAnsi="Times New Roman" w:cs="Times New Roman"/>
          <w:sz w:val="24"/>
          <w:szCs w:val="24"/>
        </w:rPr>
        <w:br w:type="page"/>
      </w:r>
    </w:p>
    <w:p w14:paraId="3E02F314" w14:textId="5F51B225" w:rsidR="000F7463" w:rsidRPr="00F264AF" w:rsidRDefault="006047D6" w:rsidP="0088126D">
      <w:pPr>
        <w:pStyle w:val="Heading1"/>
      </w:pPr>
      <w:bookmarkStart w:id="14" w:name="_Toc228204493"/>
      <w:r w:rsidRPr="00F264AF">
        <w:lastRenderedPageBreak/>
        <w:t>Conclusion</w:t>
      </w:r>
      <w:bookmarkEnd w:id="14"/>
    </w:p>
    <w:p w14:paraId="405A60F1" w14:textId="6984C05D" w:rsidR="00FB250C" w:rsidRPr="00EE4A72" w:rsidRDefault="00FB250C"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In this report, the intersection of fast AI development and an ever-challenging global governance environment has been </w:t>
      </w:r>
      <w:r w:rsidR="00F7533D" w:rsidRPr="00EE4A72">
        <w:rPr>
          <w:rFonts w:ascii="Times New Roman" w:hAnsi="Times New Roman" w:cs="Times New Roman"/>
          <w:sz w:val="24"/>
          <w:szCs w:val="24"/>
        </w:rPr>
        <w:t>analysed</w:t>
      </w:r>
      <w:r w:rsidRPr="00EE4A72">
        <w:rPr>
          <w:rFonts w:ascii="Times New Roman" w:hAnsi="Times New Roman" w:cs="Times New Roman"/>
          <w:sz w:val="24"/>
          <w:szCs w:val="24"/>
        </w:rPr>
        <w:t xml:space="preserve"> in the context of IBM. The PESTLE analysis shows that a company is exposed to strong forces imposed </w:t>
      </w:r>
      <w:r w:rsidR="00F7533D" w:rsidRPr="00EE4A72">
        <w:rPr>
          <w:rFonts w:ascii="Times New Roman" w:hAnsi="Times New Roman" w:cs="Times New Roman"/>
          <w:sz w:val="24"/>
          <w:szCs w:val="24"/>
        </w:rPr>
        <w:t>by the external environment at the political, technological, legal, and social levels, yet has unique institutional resources that, when properly mobilised</w:t>
      </w:r>
      <w:r w:rsidRPr="00EE4A72">
        <w:rPr>
          <w:rFonts w:ascii="Times New Roman" w:hAnsi="Times New Roman" w:cs="Times New Roman"/>
          <w:sz w:val="24"/>
          <w:szCs w:val="24"/>
        </w:rPr>
        <w:t>, can turn these forces into sustainable competitive advantage.</w:t>
      </w:r>
    </w:p>
    <w:p w14:paraId="6645D092" w14:textId="02B602A1" w:rsidR="00FB250C" w:rsidRPr="00EE4A72" w:rsidRDefault="00FB250C"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Using </w:t>
      </w:r>
      <w:r w:rsidR="00F7533D" w:rsidRPr="00EE4A72">
        <w:rPr>
          <w:rFonts w:ascii="Times New Roman" w:hAnsi="Times New Roman" w:cs="Times New Roman"/>
          <w:sz w:val="24"/>
          <w:szCs w:val="24"/>
        </w:rPr>
        <w:t>Porter's Five Forces analysis, it is evident that IBM faces intense competitive rivalry, with hyperscale competitors having a greater advantage in raw resources</w:t>
      </w:r>
      <w:r w:rsidRPr="00EE4A72">
        <w:rPr>
          <w:rFonts w:ascii="Times New Roman" w:hAnsi="Times New Roman" w:cs="Times New Roman"/>
          <w:sz w:val="24"/>
          <w:szCs w:val="24"/>
        </w:rPr>
        <w:t xml:space="preserve">. The governance-first </w:t>
      </w:r>
      <w:r w:rsidR="00F7533D" w:rsidRPr="00EE4A72">
        <w:rPr>
          <w:rFonts w:ascii="Times New Roman" w:hAnsi="Times New Roman" w:cs="Times New Roman"/>
          <w:sz w:val="24"/>
          <w:szCs w:val="24"/>
        </w:rPr>
        <w:t>strategic logic of IBM's differentiation</w:t>
      </w:r>
      <w:r w:rsidRPr="00EE4A72">
        <w:rPr>
          <w:rFonts w:ascii="Times New Roman" w:hAnsi="Times New Roman" w:cs="Times New Roman"/>
          <w:sz w:val="24"/>
          <w:szCs w:val="24"/>
        </w:rPr>
        <w:t xml:space="preserve"> can be justified, but only </w:t>
      </w:r>
      <w:r w:rsidR="00F7533D" w:rsidRPr="00EE4A72">
        <w:rPr>
          <w:rFonts w:ascii="Times New Roman" w:hAnsi="Times New Roman" w:cs="Times New Roman"/>
          <w:sz w:val="24"/>
          <w:szCs w:val="24"/>
        </w:rPr>
        <w:t>if</w:t>
      </w:r>
      <w:r w:rsidRPr="00EE4A72">
        <w:rPr>
          <w:rFonts w:ascii="Times New Roman" w:hAnsi="Times New Roman" w:cs="Times New Roman"/>
          <w:sz w:val="24"/>
          <w:szCs w:val="24"/>
        </w:rPr>
        <w:t xml:space="preserve"> it is supported by material practice. A positioning that cannot be substantially checked by mechanisms of accountability that are independently verifiable will not pass the test of an ever more complex enterprise buying community - and this is precisely the reason why the independent </w:t>
      </w:r>
      <w:r w:rsidR="00F7533D" w:rsidRPr="00EE4A72">
        <w:rPr>
          <w:rFonts w:ascii="Times New Roman" w:hAnsi="Times New Roman" w:cs="Times New Roman"/>
          <w:sz w:val="24"/>
          <w:szCs w:val="24"/>
        </w:rPr>
        <w:t>third-party</w:t>
      </w:r>
      <w:r w:rsidRPr="00EE4A72">
        <w:rPr>
          <w:rFonts w:ascii="Times New Roman" w:hAnsi="Times New Roman" w:cs="Times New Roman"/>
          <w:sz w:val="24"/>
          <w:szCs w:val="24"/>
        </w:rPr>
        <w:t xml:space="preserve"> audit mechanism suggested in Section 3.2 is the most important structural addition to this plan.</w:t>
      </w:r>
    </w:p>
    <w:p w14:paraId="1F5F54C5" w14:textId="3FB2AE00" w:rsidR="00FB250C" w:rsidRPr="00EE4A72" w:rsidRDefault="00FB250C"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The risk register notes that the biggest exposure of IBM is governance gaps - the gap between what the policies of IBM promise and what is actually provided by the deployed systems. This is </w:t>
      </w:r>
      <w:r w:rsidR="00F7533D" w:rsidRPr="00EE4A72">
        <w:rPr>
          <w:rFonts w:ascii="Times New Roman" w:hAnsi="Times New Roman" w:cs="Times New Roman"/>
          <w:sz w:val="24"/>
          <w:szCs w:val="24"/>
        </w:rPr>
        <w:t>systematically done in the implementation plan, starting with audit and foundation-building, progressing to formalised ethics governance and independent verification, and culminating in long-term competitive advantage</w:t>
      </w:r>
      <w:r w:rsidRPr="00EE4A72">
        <w:rPr>
          <w:rFonts w:ascii="Times New Roman" w:hAnsi="Times New Roman" w:cs="Times New Roman"/>
          <w:sz w:val="24"/>
          <w:szCs w:val="24"/>
        </w:rPr>
        <w:t xml:space="preserve">. The approximate USD 9.3 million investment </w:t>
      </w:r>
      <w:r w:rsidR="00F7533D" w:rsidRPr="00EE4A72">
        <w:rPr>
          <w:rFonts w:ascii="Times New Roman" w:hAnsi="Times New Roman" w:cs="Times New Roman"/>
          <w:sz w:val="24"/>
          <w:szCs w:val="24"/>
        </w:rPr>
        <w:t xml:space="preserve">over 36 months is commensurate with the size of the IBM AI project and the scope of the risks </w:t>
      </w:r>
      <w:r w:rsidRPr="00EE4A72">
        <w:rPr>
          <w:rFonts w:ascii="Times New Roman" w:hAnsi="Times New Roman" w:cs="Times New Roman"/>
          <w:sz w:val="24"/>
          <w:szCs w:val="24"/>
        </w:rPr>
        <w:t>it is meant to address.</w:t>
      </w:r>
    </w:p>
    <w:p w14:paraId="5D73072C" w14:textId="77777777" w:rsidR="00BF0191" w:rsidRPr="00BF0191" w:rsidRDefault="00BF0191" w:rsidP="00007063">
      <w:pPr>
        <w:spacing w:line="360" w:lineRule="auto"/>
        <w:jc w:val="both"/>
        <w:rPr>
          <w:rFonts w:ascii="Times New Roman" w:hAnsi="Times New Roman" w:cs="Times New Roman"/>
          <w:sz w:val="24"/>
          <w:szCs w:val="24"/>
        </w:rPr>
      </w:pPr>
      <w:r w:rsidRPr="00BF0191">
        <w:rPr>
          <w:rFonts w:ascii="Times New Roman" w:hAnsi="Times New Roman" w:cs="Times New Roman"/>
          <w:sz w:val="24"/>
          <w:szCs w:val="24"/>
        </w:rPr>
        <w:t>There are certain limitations to this analysis. The estimate costs are approximate and are based on the industry standards and not on the internal IBM data, the implementation cost will actually be identified on the current governance infrastructure of the company of IBM and the speed of the change in the regulations. The comparison is UK- and US-based as well, and it is not fully indicative of the effects of the EU AI Act on the European customer base of IBM. There must be more special advisory work in this field.</w:t>
      </w:r>
    </w:p>
    <w:p w14:paraId="49791D00" w14:textId="20E713C1" w:rsidR="000F7463" w:rsidRPr="00EE4A72" w:rsidRDefault="00BF0191" w:rsidP="00007063">
      <w:pPr>
        <w:spacing w:line="360" w:lineRule="auto"/>
        <w:jc w:val="both"/>
        <w:rPr>
          <w:rFonts w:ascii="Times New Roman" w:hAnsi="Times New Roman" w:cs="Times New Roman"/>
          <w:sz w:val="24"/>
          <w:szCs w:val="24"/>
        </w:rPr>
      </w:pPr>
      <w:r w:rsidRPr="00BF0191">
        <w:rPr>
          <w:rFonts w:ascii="Times New Roman" w:hAnsi="Times New Roman" w:cs="Times New Roman"/>
          <w:sz w:val="24"/>
          <w:szCs w:val="24"/>
        </w:rPr>
        <w:t>The strategic direction is quite impressive in spite of these disadvantages. IBM has the institutional power, technical capability and business connections to be the evidently governance-quality AI company of the following decade. When done rigorously and vetted, responsible AI governance is not a cost center; it is the basis of the IBM competitive identity, and will be very hard to move to less governance-mature competitors once they are set up.</w:t>
      </w:r>
    </w:p>
    <w:p w14:paraId="465A6D2E" w14:textId="77777777" w:rsidR="000F7463" w:rsidRPr="00F264AF" w:rsidRDefault="006047D6" w:rsidP="00007063">
      <w:pPr>
        <w:spacing w:line="360" w:lineRule="auto"/>
        <w:jc w:val="both"/>
        <w:rPr>
          <w:rFonts w:ascii="Times New Roman" w:hAnsi="Times New Roman" w:cs="Times New Roman"/>
        </w:rPr>
      </w:pPr>
      <w:r w:rsidRPr="00EE4A72">
        <w:rPr>
          <w:rFonts w:ascii="Times New Roman" w:hAnsi="Times New Roman" w:cs="Times New Roman"/>
          <w:sz w:val="24"/>
          <w:szCs w:val="24"/>
        </w:rPr>
        <w:br w:type="page"/>
      </w:r>
    </w:p>
    <w:p w14:paraId="161B51EF" w14:textId="77777777" w:rsidR="000F7463" w:rsidRPr="00F264AF" w:rsidRDefault="006047D6" w:rsidP="0088126D">
      <w:pPr>
        <w:pStyle w:val="Heading1"/>
      </w:pPr>
      <w:bookmarkStart w:id="15" w:name="_Toc228204494"/>
      <w:r w:rsidRPr="00F264AF">
        <w:lastRenderedPageBreak/>
        <w:t>Bibliography</w:t>
      </w:r>
      <w:bookmarkEnd w:id="15"/>
    </w:p>
    <w:p w14:paraId="3122F798"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Acemoglu, D. (2021) Harms of AI. National Bureau of Economic Research. doi: https://doi.org/10.3386/w29247.</w:t>
      </w:r>
    </w:p>
    <w:p w14:paraId="25815DC8"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Acemoglu, D. and Restrepo, P. (2018) Artificial Intelligence, Automation and Work. National Bureau of Economic Research. doi: https://doi.org/10.3386/w24196.</w:t>
      </w:r>
    </w:p>
    <w:p w14:paraId="6EF79A25"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Amodei, D., Olah, C., Steinhardt, J., Christiano, P., Schulman, J. and Mane, D. (2016) Concrete Problems in AI Safety. arXiv:1606.06565 [cs]. Available at: https://arxiv.org/abs/1606.06565.</w:t>
      </w:r>
    </w:p>
    <w:p w14:paraId="2BE16B2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Binns, R. (2018) Fairness in Machine Learning: Lessons from Political Philosophy. Proceedings of Machine Learning Research. Available at: https://proceedings.mlr.press/v81/binns18a.html.</w:t>
      </w:r>
    </w:p>
    <w:p w14:paraId="01D7F490"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Bommasani, R. (2021) On the Opportunities and Risks of Foundation Models. arXiv:2108.07258 [cs]. Available at: https://arxiv.org/abs/2108.07258.</w:t>
      </w:r>
    </w:p>
    <w:p w14:paraId="54CDD96E"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Brundage, M., Avin, S., Clark, J., Toner, H., Eckersley, P., Garfinkel, B., Dafoe, A., Scharre, P., Zeitzoff, T., Filar, B., Anderson, H., Roff, H., Allen, G.C., Steinhardt, J., Flynn, C., hEigeartaigh, S.O., Beard, S., Belfield, H., Farquhar, S. and Lyle, C. (2018) The Malicious Use of Artificial Intelligence: Forecasting, Prevention, and Mitigation. arXiv.org. Available at: https://arxiv.org/abs/1802.07228.</w:t>
      </w:r>
    </w:p>
    <w:p w14:paraId="781B35BD" w14:textId="7C3E2B0E"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Bughin, J., Seong, J., Manyika, J., Chui, M. and Joshi, R. (2018) Notes from the AI Frontier: </w:t>
      </w:r>
      <w:r w:rsidR="00F7533D" w:rsidRPr="00EE4A72">
        <w:rPr>
          <w:rFonts w:ascii="Times New Roman" w:hAnsi="Times New Roman" w:cs="Times New Roman"/>
          <w:sz w:val="24"/>
          <w:szCs w:val="24"/>
        </w:rPr>
        <w:t>Modelling</w:t>
      </w:r>
      <w:r w:rsidRPr="00EE4A72">
        <w:rPr>
          <w:rFonts w:ascii="Times New Roman" w:hAnsi="Times New Roman" w:cs="Times New Roman"/>
          <w:sz w:val="24"/>
          <w:szCs w:val="24"/>
        </w:rPr>
        <w:t xml:space="preserve"> the Impact of AI on the World Economy. McKinsey and Company. Available at: https://www.mckinsey.com/featured-insights/artificial-intelligence/notes-from-the-ai-frontier-modeling-the-impact-of-ai-on-the-world-economy.</w:t>
      </w:r>
    </w:p>
    <w:p w14:paraId="46E99044"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Calo, R. (2017) Artificial Intelligence Policy: A Roadmap. SSRN Electronic Journal. doi: https://doi.org/10.2139/ssrn.3015350.</w:t>
      </w:r>
    </w:p>
    <w:p w14:paraId="09505D3E"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Cath, C. (2018) Governing artificial intelligence: Ethical, legal and technical opportunities and challenges. Philosophical Transactions of the Royal Society A: Mathematical, Physical and Engineering Sciences, 376(2133). doi: https://doi.org/10.1098/rsta.2018.0080.</w:t>
      </w:r>
    </w:p>
    <w:p w14:paraId="6B15D38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Duan, Y., Edwards, J.S. and Dwivedi, Y.K. (2019) Artificial intelligence for decision making in the era of big data: evolution, challenges and research agenda. International Journal of Information Management, 48(1), pp. 63–71. doi: https://doi.org/10.1016/j.ijinfomgt.2019.01.021.</w:t>
      </w:r>
    </w:p>
    <w:p w14:paraId="3F60271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Edelman (2024) 2024 Edelman Trust Barometer. Available at: https://www.edelman.com/trust/2024/trust-barometer.</w:t>
      </w:r>
    </w:p>
    <w:p w14:paraId="66C7DFB0"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 xml:space="preserve">Floridi, L., Cowls, J., Beltrametti, M., Chatila, R., Chazerand, P., Dignum, V., Luetge, C., Madelin, R., Pagallo, U., Rossi, F., Schafer, B., Valcke, P. and Vayena, E. (2018) AI4People: An Ethical </w:t>
      </w:r>
      <w:r w:rsidRPr="00EE4A72">
        <w:rPr>
          <w:rFonts w:ascii="Times New Roman" w:hAnsi="Times New Roman" w:cs="Times New Roman"/>
          <w:sz w:val="24"/>
          <w:szCs w:val="24"/>
        </w:rPr>
        <w:lastRenderedPageBreak/>
        <w:t>Framework for a Good AI Society. Minds and Machines, 28(4), pp. 689–707. doi: https://doi.org/10.1007/s11023-018-9482-5.</w:t>
      </w:r>
    </w:p>
    <w:p w14:paraId="1CDD505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Furman, J. and Seamans, R. (2019) AI and the Economy. Innovation Policy and the Economy, 19(1), pp. 161–191. doi: https://doi.org/10.1086/699936.</w:t>
      </w:r>
    </w:p>
    <w:p w14:paraId="715FAE35"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Goodman, B. and Flaxman, S. (2017) European Union Regulations on Algorithmic Decision-Making and a Right to Explanation. AI Magazine, 38(3), pp. 50–57. doi: https://doi.org/10.1609/aimag.v38i3.2741.</w:t>
      </w:r>
    </w:p>
    <w:p w14:paraId="7EAB2594"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Haenlein, M. and Kaplan, A. (2019) A brief history of artificial intelligence: On the past, present, and future of artificial intelligence. California Management Review, 61(4), pp. 5–14. doi: https://doi.org/10.1177/0008125619864925.</w:t>
      </w:r>
    </w:p>
    <w:p w14:paraId="06CDA890"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IBM (2023) Explore the 2022 IBM Annual Report today. Available at: https://www.ibm.com/annualreport.</w:t>
      </w:r>
    </w:p>
    <w:p w14:paraId="1AC8514A"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IBM Corporation (2023) IBM Impact: Environment. Available at: https://www.ibm.com/impact/environment.</w:t>
      </w:r>
    </w:p>
    <w:p w14:paraId="11E34779"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Information Commissioner's Office (2024) Guidance on AI and data protection. Available at: https://ico.org.uk/for-organisations/uk-gdpr-guidance-and-resources/artificial-intelligence/guidance-on-ai-and-data-protection.</w:t>
      </w:r>
    </w:p>
    <w:p w14:paraId="57399A4A"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Jobin, A., Ienca, M. and Vayena, E. (2019) The Global Landscape of AI Ethics Guidelines. Nature Machine Intelligence, 1(9), pp. 389–399. doi: https://doi.org/10.1038/s42256-019-0088-2.</w:t>
      </w:r>
    </w:p>
    <w:p w14:paraId="57E0DE9A"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Kim, D.-H. and Park, H. (2025) The UK's AI Governance Strategy: Building Trust as Infrastructure. Society for Standards Certification and Safety, 15(3), pp. 79–94. doi: https://doi.org/10.34139/jscs.2025.15.3.79.</w:t>
      </w:r>
    </w:p>
    <w:p w14:paraId="68C88BFD"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LeCun, Y., Bengio, Y. and Hinton, G. (2015) Deep Learning. Nature, 521(7553), pp. 436–444. doi: https://doi.org/10.1038/nature14539.</w:t>
      </w:r>
    </w:p>
    <w:p w14:paraId="70AF652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Lepri, B., Oliver, N., Letouze, E., Pentland, A. and Vinck, P. (2017) Fair, Transparent, and Accountable Algorithmic Decision-making Processes. Philosophy and Technology, 31(4), pp. 611–627. doi: https://doi.org/10.1007/s13347-017-0279-x.</w:t>
      </w:r>
    </w:p>
    <w:p w14:paraId="13C7F610"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Loucks, J., Hupfer, S., Jarvis, D. and Murphy, T. (2019) Future in the balance? How countries are pursuing an AI advantage. Deloitte Insights. Available at: https://www2.deloitte.com/us/en/insights/focus/cognitive-technologies/ai-investment-by-country.html.</w:t>
      </w:r>
    </w:p>
    <w:p w14:paraId="7937918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Makridakis, S. (2017) The Forthcoming Artificial Intelligence (AI) Revolution: Its Impact on Society and Firms. Futures, 90, pp. 46–60. doi: https://doi.org/10.1016/j.futures.2017.03.006.</w:t>
      </w:r>
    </w:p>
    <w:p w14:paraId="63D6364A"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lastRenderedPageBreak/>
        <w:t>Manyika, J., Chui, M., Miremadi, M., Bughin, J., George, K., Willmott, P. and Dewhurst, M. (2017) Harnessing automation for a future that works. McKinsey and Company. Available at: https://www.mckinsey.com/featured-insights/digital-disruption/harnessing-automation-for-a-future-that-works.</w:t>
      </w:r>
    </w:p>
    <w:p w14:paraId="2BED9DB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McKinsey and Company (2023) The state of AI in 2023: Generative AI's breakout year. Available at: https://www.mckinsey.com/capabilities/quantumblack/our-insights/the-state-of-ai-in-2023-generative-ais-breakout-year.</w:t>
      </w:r>
    </w:p>
    <w:p w14:paraId="55C8070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Mittelstadt, B.D., Allo, P., Taddeo, M., Wachter, S. and Floridi, L. (2016) The Ethics of Algorithms: Mapping the Debate. Big Data and Society, 3(2), pp. 1–21. doi: https://doi.org/10.1177/2053951716679679.</w:t>
      </w:r>
    </w:p>
    <w:p w14:paraId="75C1EB42"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NIST (2023) AI Risk Management Framework (AI RMF 1.0). doi: https://doi.org/10.6028/nist.ai.100-1.</w:t>
      </w:r>
    </w:p>
    <w:p w14:paraId="2B6B35C5"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Obermeyer, Z., Powers, B., Vogeli, C. and Mullainathan, S. (2019) Dissecting Racial Bias in an Algorithm Used to Manage the Health of Populations. Science, 366(6464), pp. 447–453. doi: https://doi.org/10.1126/science.aax2342.</w:t>
      </w:r>
    </w:p>
    <w:p w14:paraId="4AFA8488"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OECD (2021) Artificial Intelligence, Machine Learning and Big Data in Finance. Available at: https://www.oecd.org/finance/artificial-intelligence-machine-learning-big-data-in-finance.htm.</w:t>
      </w:r>
    </w:p>
    <w:p w14:paraId="07BB3791"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Patterson, D., Gonzalez, J., Le, Q., Liang, C., Munguia, L.-M., Rothchild, D., So, D., Texier, M. and Dean, J. (2021) Carbon Emissions and Large Neural Network Training. arXiv:2104.10350 [cs]. Available at: https://arxiv.org/abs/2104.10350.</w:t>
      </w:r>
    </w:p>
    <w:p w14:paraId="344F6734"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PricewaterhouseCoopers (2025) Reinvention on the edge of tomorrow. Available at: https://www.pwc.com/gx/en/issues/analytics/assets/pwc-ai-analysis-sizing-the-prize-report.pdf.</w:t>
      </w:r>
    </w:p>
    <w:p w14:paraId="65371233"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Rai, A. (2020) Explainable AI: From Black Box to Glass Box. Journal of the Academy of Marketing Science, 48(1), pp. 137–141. doi: https://doi.org/10.1007/s11747-019-00710-5.</w:t>
      </w:r>
    </w:p>
    <w:p w14:paraId="0CC22657"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Rasouli, M. and Binaian, A. (2024) Artificial Intelligence in Geopolitics: Opportunities and Challenges for National Power. Digital Transformation and Administration Innovation, 2(4), pp. 141–155. doi: https://doi.org/10.61838/dtai.2.4.16.</w:t>
      </w:r>
    </w:p>
    <w:p w14:paraId="0F459C18"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Scherer, M.U. (2016) Regulating Artificial Intelligence Systems: Risks, Challenges, Competencies, and Strategies. Harvard Journal of Law and Technology, 29(2). doi: https://doi.org/10.2139/ssrn.2609777.</w:t>
      </w:r>
    </w:p>
    <w:p w14:paraId="7C81F8F1"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Schwartz, R., Dodge, J., Smith, N.A. and Etzioni, O. (2020) Green AI. Communications of the ACM, 63(12), pp. 54–63. doi: https://doi.org/10.1145/3381831.</w:t>
      </w:r>
    </w:p>
    <w:p w14:paraId="2138268B"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lastRenderedPageBreak/>
        <w:t>Setianingrum, R.B. (2025) Artificial Intelligence and Antitrust Regulation: Lessons from the European Union, United States and China. Indonesian Comparative Law Review, 8(1), pp. 44–60. doi: https://doi.org/10.18196/iclr.v8i1.28832.</w:t>
      </w:r>
    </w:p>
    <w:p w14:paraId="022B790B"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Strubell, E., Ganesh, A. and McCallum, A. (2019) Energy and Policy Considerations for Deep Learning in NLP. Proceedings of the 57th Annual Meeting of the Association for Computational Linguistics, pp. 3645–3650. doi: https://doi.org/10.18653/v1/p19-1355.</w:t>
      </w:r>
    </w:p>
    <w:p w14:paraId="58CF469A"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Taddeo, M. and Floridi, L. (2018) How AI can be a force for good. Science, 361(6404), pp. 751–752. doi: https://doi.org/10.1126/science.aat5991.</w:t>
      </w:r>
    </w:p>
    <w:p w14:paraId="22D47736"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UK Government (2023) A pro-innovation approach to AI regulation. Department for Science, Innovation and Technology. Available at: https://www.gov.uk/government/publications/ai-regulation-a-pro-innovation-approach.</w:t>
      </w:r>
    </w:p>
    <w:p w14:paraId="4BEE275C"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UNESCO (2022) Recommendation on the Ethics of Artificial Intelligence. Available at: https://unesdoc.unesco.org/ark:/48223/pf0000381137.</w:t>
      </w:r>
    </w:p>
    <w:p w14:paraId="0A68DEF9"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UNFCCC (2015) Paris Agreement. United Nations. Available at: https://unfccc.int/sites/default/files/english_paris_agreement.pdf.</w:t>
      </w:r>
    </w:p>
    <w:p w14:paraId="743EB52B"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Veale, M. and Zuiderveen Borgesius, F. (2021) Demystifying the Draft EU Artificial Intelligence Act. Computer Law Review International, 22(4), pp. 97–112. doi: https://doi.org/10.9785/cri-2021-220402.</w:t>
      </w:r>
    </w:p>
    <w:p w14:paraId="24B93419"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Wachter, S., Mittelstadt, B. and Floridi, L. (2017) Why a Right to Explanation of Automated Decision-Making Does Not Exist in the General Data Protection Regulation. International Data Privacy Law, 7(2), pp. 76–99. doi: https://doi.org/10.1093/idpl/ipx005.</w:t>
      </w:r>
    </w:p>
    <w:p w14:paraId="7010781F"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White House (2023) Executive Order on the Safe, Secure, and Trustworthy Development and Use of Artificial Intelligence. Available at: https://www.whitehouse.gov/briefing-room/presidential-actions/2023/10/30/executive-order-on-the-safe-secure-and-trustworthy-development-and-use-of-artificial-intelligence.</w:t>
      </w:r>
    </w:p>
    <w:p w14:paraId="42DD43AF"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Wirtz, B.W., Weyerer, J.C. and Geyer, C. (2019) Artificial Intelligence and the Public Sector: Applications and Challenges. International Journal of Public Administration, 42(7), pp. 596–615. doi: https://doi.org/10.1080/01900692.2018.1498753.</w:t>
      </w:r>
    </w:p>
    <w:p w14:paraId="3D7A6552"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World Economic Forum (2024) Global Risks Report 2024. Available at: https://www.weforum.org/reports/global-risks-report-2024.</w:t>
      </w:r>
    </w:p>
    <w:p w14:paraId="1B8DBEFA" w14:textId="77777777" w:rsidR="000F7463" w:rsidRPr="00EE4A72" w:rsidRDefault="006047D6" w:rsidP="00007063">
      <w:pPr>
        <w:spacing w:line="360" w:lineRule="auto"/>
        <w:jc w:val="both"/>
        <w:rPr>
          <w:rFonts w:ascii="Times New Roman" w:hAnsi="Times New Roman" w:cs="Times New Roman"/>
          <w:sz w:val="24"/>
          <w:szCs w:val="24"/>
        </w:rPr>
      </w:pPr>
      <w:r w:rsidRPr="00EE4A72">
        <w:rPr>
          <w:rFonts w:ascii="Times New Roman" w:hAnsi="Times New Roman" w:cs="Times New Roman"/>
          <w:sz w:val="24"/>
          <w:szCs w:val="24"/>
        </w:rPr>
        <w:t>Zarsky, T. (2016) The Trouble with Algorithmic Decisions. Science, Technology, and Human Values, 41(1), pp. 118–132. doi: https://doi.org/10.1177/0162243915605575.</w:t>
      </w:r>
    </w:p>
    <w:sectPr w:rsidR="000F7463" w:rsidRPr="00EE4A72" w:rsidSect="0088126D">
      <w:footerReference w:type="default" r:id="rId11"/>
      <w:pgSz w:w="11906" w:h="16838" w:code="9"/>
      <w:pgMar w:top="1440" w:right="1260" w:bottom="1440" w:left="126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FBBA1" w14:textId="77777777" w:rsidR="005F1410" w:rsidRDefault="005F1410">
      <w:r>
        <w:separator/>
      </w:r>
    </w:p>
  </w:endnote>
  <w:endnote w:type="continuationSeparator" w:id="0">
    <w:p w14:paraId="3E69ED01" w14:textId="77777777" w:rsidR="005F1410" w:rsidRDefault="005F1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160802"/>
      <w:docPartObj>
        <w:docPartGallery w:val="Page Numbers (Bottom of Page)"/>
        <w:docPartUnique/>
      </w:docPartObj>
    </w:sdtPr>
    <w:sdtEndPr>
      <w:rPr>
        <w:noProof/>
      </w:rPr>
    </w:sdtEndPr>
    <w:sdtContent>
      <w:p w14:paraId="261B35B3" w14:textId="1C11908D" w:rsidR="00A420D9" w:rsidRDefault="00A420D9" w:rsidP="0088126D">
        <w:pPr>
          <w:pStyle w:val="Footer"/>
          <w:jc w:val="center"/>
        </w:pPr>
        <w:r>
          <w:t>Page-</w:t>
        </w: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24261" w14:textId="77777777" w:rsidR="005F1410" w:rsidRDefault="005F1410">
      <w:r>
        <w:separator/>
      </w:r>
    </w:p>
  </w:footnote>
  <w:footnote w:type="continuationSeparator" w:id="0">
    <w:p w14:paraId="0469BC32" w14:textId="77777777" w:rsidR="005F1410" w:rsidRDefault="005F1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A5ABD"/>
    <w:multiLevelType w:val="hybridMultilevel"/>
    <w:tmpl w:val="AD32C9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9121B77"/>
    <w:multiLevelType w:val="hybridMultilevel"/>
    <w:tmpl w:val="B5065050"/>
    <w:lvl w:ilvl="0" w:tplc="8EDC2BF8">
      <w:start w:val="1"/>
      <w:numFmt w:val="bullet"/>
      <w:lvlText w:val="●"/>
      <w:lvlJc w:val="left"/>
      <w:pPr>
        <w:ind w:left="720" w:hanging="360"/>
      </w:pPr>
    </w:lvl>
    <w:lvl w:ilvl="1" w:tplc="37449A18">
      <w:start w:val="1"/>
      <w:numFmt w:val="bullet"/>
      <w:lvlText w:val="○"/>
      <w:lvlJc w:val="left"/>
      <w:pPr>
        <w:ind w:left="1440" w:hanging="360"/>
      </w:pPr>
    </w:lvl>
    <w:lvl w:ilvl="2" w:tplc="20F6BF44">
      <w:start w:val="1"/>
      <w:numFmt w:val="bullet"/>
      <w:lvlText w:val="■"/>
      <w:lvlJc w:val="left"/>
      <w:pPr>
        <w:ind w:left="2160" w:hanging="360"/>
      </w:pPr>
    </w:lvl>
    <w:lvl w:ilvl="3" w:tplc="333833C0">
      <w:start w:val="1"/>
      <w:numFmt w:val="bullet"/>
      <w:lvlText w:val="●"/>
      <w:lvlJc w:val="left"/>
      <w:pPr>
        <w:ind w:left="2880" w:hanging="360"/>
      </w:pPr>
    </w:lvl>
    <w:lvl w:ilvl="4" w:tplc="93D2734A">
      <w:start w:val="1"/>
      <w:numFmt w:val="bullet"/>
      <w:lvlText w:val="○"/>
      <w:lvlJc w:val="left"/>
      <w:pPr>
        <w:ind w:left="3600" w:hanging="360"/>
      </w:pPr>
    </w:lvl>
    <w:lvl w:ilvl="5" w:tplc="74EC26A6">
      <w:start w:val="1"/>
      <w:numFmt w:val="bullet"/>
      <w:lvlText w:val="■"/>
      <w:lvlJc w:val="left"/>
      <w:pPr>
        <w:ind w:left="4320" w:hanging="360"/>
      </w:pPr>
    </w:lvl>
    <w:lvl w:ilvl="6" w:tplc="FEE2A6E2">
      <w:start w:val="1"/>
      <w:numFmt w:val="bullet"/>
      <w:lvlText w:val="●"/>
      <w:lvlJc w:val="left"/>
      <w:pPr>
        <w:ind w:left="5040" w:hanging="360"/>
      </w:pPr>
    </w:lvl>
    <w:lvl w:ilvl="7" w:tplc="DE12FC8A">
      <w:start w:val="1"/>
      <w:numFmt w:val="bullet"/>
      <w:lvlText w:val="●"/>
      <w:lvlJc w:val="left"/>
      <w:pPr>
        <w:ind w:left="5760" w:hanging="360"/>
      </w:pPr>
    </w:lvl>
    <w:lvl w:ilvl="8" w:tplc="CEF64BB8">
      <w:start w:val="1"/>
      <w:numFmt w:val="bullet"/>
      <w:lvlText w:val="●"/>
      <w:lvlJc w:val="left"/>
      <w:pPr>
        <w:ind w:left="6480" w:hanging="360"/>
      </w:pPr>
    </w:lvl>
  </w:abstractNum>
  <w:abstractNum w:abstractNumId="2" w15:restartNumberingAfterBreak="0">
    <w:nsid w:val="4587145C"/>
    <w:multiLevelType w:val="multilevel"/>
    <w:tmpl w:val="4A505CAE"/>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548255AD"/>
    <w:multiLevelType w:val="hybridMultilevel"/>
    <w:tmpl w:val="290E6736"/>
    <w:lvl w:ilvl="0" w:tplc="0178C84A">
      <w:start w:val="1"/>
      <w:numFmt w:val="bullet"/>
      <w:lvlText w:val="•"/>
      <w:lvlJc w:val="left"/>
      <w:pPr>
        <w:ind w:left="720" w:hanging="360"/>
      </w:pPr>
    </w:lvl>
    <w:lvl w:ilvl="1" w:tplc="793A0A3E">
      <w:numFmt w:val="decimal"/>
      <w:lvlText w:val=""/>
      <w:lvlJc w:val="left"/>
    </w:lvl>
    <w:lvl w:ilvl="2" w:tplc="3B72DFBA">
      <w:numFmt w:val="decimal"/>
      <w:lvlText w:val=""/>
      <w:lvlJc w:val="left"/>
    </w:lvl>
    <w:lvl w:ilvl="3" w:tplc="68589040">
      <w:numFmt w:val="decimal"/>
      <w:lvlText w:val=""/>
      <w:lvlJc w:val="left"/>
    </w:lvl>
    <w:lvl w:ilvl="4" w:tplc="79BCA064">
      <w:numFmt w:val="decimal"/>
      <w:lvlText w:val=""/>
      <w:lvlJc w:val="left"/>
    </w:lvl>
    <w:lvl w:ilvl="5" w:tplc="88385CDC">
      <w:numFmt w:val="decimal"/>
      <w:lvlText w:val=""/>
      <w:lvlJc w:val="left"/>
    </w:lvl>
    <w:lvl w:ilvl="6" w:tplc="BE8C9E52">
      <w:numFmt w:val="decimal"/>
      <w:lvlText w:val=""/>
      <w:lvlJc w:val="left"/>
    </w:lvl>
    <w:lvl w:ilvl="7" w:tplc="501CA2E0">
      <w:numFmt w:val="decimal"/>
      <w:lvlText w:val=""/>
      <w:lvlJc w:val="left"/>
    </w:lvl>
    <w:lvl w:ilvl="8" w:tplc="E64C84B4">
      <w:numFmt w:val="decimal"/>
      <w:lvlText w:val=""/>
      <w:lvlJc w:val="left"/>
    </w:lvl>
  </w:abstractNum>
  <w:abstractNum w:abstractNumId="4" w15:restartNumberingAfterBreak="0">
    <w:nsid w:val="72FF6439"/>
    <w:multiLevelType w:val="hybridMultilevel"/>
    <w:tmpl w:val="912481F6"/>
    <w:lvl w:ilvl="0" w:tplc="36CCA45E">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lvlOverride w:ilvl="0">
      <w:startOverride w:val="1"/>
    </w:lvlOverride>
  </w:num>
  <w:num w:numId="2">
    <w:abstractNumId w:val="4"/>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463"/>
    <w:rsid w:val="00007063"/>
    <w:rsid w:val="00034040"/>
    <w:rsid w:val="00073C8E"/>
    <w:rsid w:val="000761AA"/>
    <w:rsid w:val="000F7463"/>
    <w:rsid w:val="00127D43"/>
    <w:rsid w:val="00196D8F"/>
    <w:rsid w:val="001D659A"/>
    <w:rsid w:val="002150D2"/>
    <w:rsid w:val="00216ED3"/>
    <w:rsid w:val="002535BF"/>
    <w:rsid w:val="00280289"/>
    <w:rsid w:val="002C5C3F"/>
    <w:rsid w:val="003F494C"/>
    <w:rsid w:val="00436AD8"/>
    <w:rsid w:val="00484E7F"/>
    <w:rsid w:val="004B09D7"/>
    <w:rsid w:val="004B2D01"/>
    <w:rsid w:val="004D2FE8"/>
    <w:rsid w:val="004E146F"/>
    <w:rsid w:val="00537EB5"/>
    <w:rsid w:val="00564D95"/>
    <w:rsid w:val="00587CBC"/>
    <w:rsid w:val="005B44C3"/>
    <w:rsid w:val="005C58E6"/>
    <w:rsid w:val="005E5349"/>
    <w:rsid w:val="005F1410"/>
    <w:rsid w:val="006047D6"/>
    <w:rsid w:val="00624FA2"/>
    <w:rsid w:val="00681742"/>
    <w:rsid w:val="006E3FCF"/>
    <w:rsid w:val="00770E07"/>
    <w:rsid w:val="0078126B"/>
    <w:rsid w:val="008007E8"/>
    <w:rsid w:val="00860C89"/>
    <w:rsid w:val="0088126D"/>
    <w:rsid w:val="009236B4"/>
    <w:rsid w:val="00936DE8"/>
    <w:rsid w:val="009449AD"/>
    <w:rsid w:val="009C7382"/>
    <w:rsid w:val="00A420D9"/>
    <w:rsid w:val="00A86F53"/>
    <w:rsid w:val="00AC3222"/>
    <w:rsid w:val="00AD798F"/>
    <w:rsid w:val="00AF3AA1"/>
    <w:rsid w:val="00BF0191"/>
    <w:rsid w:val="00C6096B"/>
    <w:rsid w:val="00C74552"/>
    <w:rsid w:val="00C854E5"/>
    <w:rsid w:val="00DD1D87"/>
    <w:rsid w:val="00E215B4"/>
    <w:rsid w:val="00E24FB0"/>
    <w:rsid w:val="00E64F9E"/>
    <w:rsid w:val="00EE3B87"/>
    <w:rsid w:val="00EE4A72"/>
    <w:rsid w:val="00EE5EDC"/>
    <w:rsid w:val="00F05670"/>
    <w:rsid w:val="00F264AF"/>
    <w:rsid w:val="00F7533D"/>
    <w:rsid w:val="00FB2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988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1A1A2E"/>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utoRedefine/>
    <w:uiPriority w:val="9"/>
    <w:qFormat/>
    <w:rsid w:val="0088126D"/>
    <w:pPr>
      <w:spacing w:line="360" w:lineRule="auto"/>
      <w:jc w:val="both"/>
      <w:outlineLvl w:val="0"/>
    </w:pPr>
    <w:rPr>
      <w:rFonts w:ascii="Times New Roman" w:hAnsi="Times New Roman" w:cs="Times New Roman"/>
      <w:b/>
      <w:bCs/>
      <w:color w:val="003087"/>
      <w:sz w:val="28"/>
    </w:rPr>
  </w:style>
  <w:style w:type="paragraph" w:styleId="Heading2">
    <w:name w:val="heading 2"/>
    <w:autoRedefine/>
    <w:uiPriority w:val="9"/>
    <w:unhideWhenUsed/>
    <w:qFormat/>
    <w:rsid w:val="00AF3AA1"/>
    <w:pPr>
      <w:numPr>
        <w:ilvl w:val="1"/>
        <w:numId w:val="3"/>
      </w:numPr>
      <w:spacing w:line="360" w:lineRule="auto"/>
      <w:jc w:val="both"/>
      <w:outlineLvl w:val="1"/>
    </w:pPr>
    <w:rPr>
      <w:rFonts w:ascii="Times New Roman" w:hAnsi="Times New Roman" w:cs="Times New Roman"/>
      <w:b/>
      <w:bCs/>
      <w:color w:val="4A7BA7"/>
    </w:rPr>
  </w:style>
  <w:style w:type="paragraph" w:styleId="Heading3">
    <w:name w:val="heading 3"/>
    <w:uiPriority w:val="9"/>
    <w:semiHidden/>
    <w:unhideWhenUsed/>
    <w:qFormat/>
    <w:pPr>
      <w:numPr>
        <w:ilvl w:val="2"/>
        <w:numId w:val="3"/>
      </w:numPr>
      <w:outlineLvl w:val="2"/>
    </w:pPr>
    <w:rPr>
      <w:color w:val="1F4D78"/>
      <w:sz w:val="24"/>
      <w:szCs w:val="24"/>
    </w:rPr>
  </w:style>
  <w:style w:type="paragraph" w:styleId="Heading4">
    <w:name w:val="heading 4"/>
    <w:uiPriority w:val="9"/>
    <w:semiHidden/>
    <w:unhideWhenUsed/>
    <w:qFormat/>
    <w:pPr>
      <w:numPr>
        <w:ilvl w:val="3"/>
        <w:numId w:val="3"/>
      </w:numPr>
      <w:outlineLvl w:val="3"/>
    </w:pPr>
    <w:rPr>
      <w:i/>
      <w:iCs/>
      <w:color w:val="2E74B5"/>
    </w:rPr>
  </w:style>
  <w:style w:type="paragraph" w:styleId="Heading5">
    <w:name w:val="heading 5"/>
    <w:uiPriority w:val="9"/>
    <w:semiHidden/>
    <w:unhideWhenUsed/>
    <w:qFormat/>
    <w:pPr>
      <w:numPr>
        <w:ilvl w:val="4"/>
        <w:numId w:val="3"/>
      </w:numPr>
      <w:outlineLvl w:val="4"/>
    </w:pPr>
    <w:rPr>
      <w:color w:val="2E74B5"/>
    </w:rPr>
  </w:style>
  <w:style w:type="paragraph" w:styleId="Heading6">
    <w:name w:val="heading 6"/>
    <w:uiPriority w:val="9"/>
    <w:semiHidden/>
    <w:unhideWhenUsed/>
    <w:qFormat/>
    <w:pPr>
      <w:numPr>
        <w:ilvl w:val="5"/>
        <w:numId w:val="3"/>
      </w:numPr>
      <w:outlineLvl w:val="5"/>
    </w:pPr>
    <w:rPr>
      <w:color w:val="1F4D78"/>
    </w:rPr>
  </w:style>
  <w:style w:type="paragraph" w:styleId="Heading7">
    <w:name w:val="heading 7"/>
    <w:basedOn w:val="Normal"/>
    <w:next w:val="Normal"/>
    <w:link w:val="Heading7Char"/>
    <w:uiPriority w:val="9"/>
    <w:semiHidden/>
    <w:unhideWhenUsed/>
    <w:qFormat/>
    <w:rsid w:val="00196D8F"/>
    <w:pPr>
      <w:keepNext/>
      <w:keepLines/>
      <w:numPr>
        <w:ilvl w:val="6"/>
        <w:numId w:val="3"/>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196D8F"/>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96D8F"/>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9236B4"/>
    <w:pPr>
      <w:jc w:val="center"/>
    </w:pPr>
    <w:rPr>
      <w:sz w:val="3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16ED3"/>
    <w:pPr>
      <w:tabs>
        <w:tab w:val="center" w:pos="4680"/>
        <w:tab w:val="right" w:pos="9360"/>
      </w:tabs>
    </w:pPr>
  </w:style>
  <w:style w:type="character" w:customStyle="1" w:styleId="HeaderChar">
    <w:name w:val="Header Char"/>
    <w:basedOn w:val="DefaultParagraphFont"/>
    <w:link w:val="Header"/>
    <w:uiPriority w:val="99"/>
    <w:rsid w:val="00216ED3"/>
  </w:style>
  <w:style w:type="paragraph" w:styleId="Footer">
    <w:name w:val="footer"/>
    <w:basedOn w:val="Normal"/>
    <w:link w:val="FooterChar"/>
    <w:uiPriority w:val="99"/>
    <w:unhideWhenUsed/>
    <w:rsid w:val="00216ED3"/>
    <w:pPr>
      <w:tabs>
        <w:tab w:val="center" w:pos="4680"/>
        <w:tab w:val="right" w:pos="9360"/>
      </w:tabs>
    </w:pPr>
  </w:style>
  <w:style w:type="character" w:customStyle="1" w:styleId="FooterChar">
    <w:name w:val="Footer Char"/>
    <w:basedOn w:val="DefaultParagraphFont"/>
    <w:link w:val="Footer"/>
    <w:uiPriority w:val="99"/>
    <w:rsid w:val="00216ED3"/>
  </w:style>
  <w:style w:type="paragraph" w:styleId="Caption">
    <w:name w:val="caption"/>
    <w:basedOn w:val="Normal"/>
    <w:next w:val="Normal"/>
    <w:uiPriority w:val="35"/>
    <w:unhideWhenUsed/>
    <w:qFormat/>
    <w:rsid w:val="00E64F9E"/>
    <w:pPr>
      <w:spacing w:after="200"/>
    </w:pPr>
    <w:rPr>
      <w:i/>
      <w:iCs/>
      <w:color w:val="0E2841" w:themeColor="text2"/>
      <w:sz w:val="18"/>
      <w:szCs w:val="18"/>
    </w:rPr>
  </w:style>
  <w:style w:type="character" w:customStyle="1" w:styleId="Heading7Char">
    <w:name w:val="Heading 7 Char"/>
    <w:basedOn w:val="DefaultParagraphFont"/>
    <w:link w:val="Heading7"/>
    <w:uiPriority w:val="9"/>
    <w:semiHidden/>
    <w:rsid w:val="00196D8F"/>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196D8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96D8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5E5349"/>
    <w:pPr>
      <w:keepNext/>
      <w:keepLines/>
      <w:spacing w:before="24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5E5349"/>
    <w:pPr>
      <w:spacing w:after="100"/>
    </w:pPr>
  </w:style>
  <w:style w:type="paragraph" w:styleId="TOC2">
    <w:name w:val="toc 2"/>
    <w:basedOn w:val="Normal"/>
    <w:next w:val="Normal"/>
    <w:autoRedefine/>
    <w:uiPriority w:val="39"/>
    <w:unhideWhenUsed/>
    <w:rsid w:val="005E5349"/>
    <w:pPr>
      <w:spacing w:after="100"/>
      <w:ind w:left="220"/>
    </w:pPr>
  </w:style>
  <w:style w:type="table" w:styleId="GridTable1Light-Accent2">
    <w:name w:val="Grid Table 1 Light Accent 2"/>
    <w:basedOn w:val="TableNormal"/>
    <w:uiPriority w:val="46"/>
    <w:rsid w:val="004B2D01"/>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TableGrid">
    <w:name w:val="Table Grid"/>
    <w:basedOn w:val="TableNormal"/>
    <w:uiPriority w:val="39"/>
    <w:rsid w:val="004B2D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B2D0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23DED-CC26-497D-B349-452B05E13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6972</Words>
  <Characters>39741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2026-04-27T12:05:00Z</dcterms:created>
  <dcterms:modified xsi:type="dcterms:W3CDTF">2026-04-27T12:10:00Z</dcterms:modified>
</cp:coreProperties>
</file>