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vertAlign w:val="baseline"/>
        </w:rPr>
      </w:pPr>
      <w:r w:rsidDel="00000000" w:rsidR="00000000" w:rsidRPr="00000000">
        <w:rPr>
          <w:rtl w:val="0"/>
        </w:rPr>
        <w:t xml:space="preserve">        Student name: PETAR ARTYUHOV </w:t>
      </w:r>
      <w:r w:rsidDel="00000000" w:rsidR="00000000" w:rsidRPr="00000000">
        <w:rPr>
          <w:rtl w:val="0"/>
        </w:rPr>
      </w:r>
    </w:p>
    <w:p w:rsidR="00000000" w:rsidDel="00000000" w:rsidP="00000000" w:rsidRDefault="00000000" w:rsidRPr="00000000" w14:paraId="00000002">
      <w:pPr>
        <w:rPr>
          <w:vertAlign w:val="baseline"/>
        </w:rPr>
      </w:pPr>
      <w:r w:rsidDel="00000000" w:rsidR="00000000" w:rsidRPr="00000000">
        <w:rPr>
          <w:rtl w:val="0"/>
        </w:rPr>
        <w:t xml:space="preserve">                   Student ID: 2123090</w:t>
      </w:r>
      <w:r w:rsidDel="00000000" w:rsidR="00000000" w:rsidRPr="00000000">
        <w:rPr>
          <w:rtl w:val="0"/>
        </w:rPr>
      </w:r>
    </w:p>
    <w:p w:rsidR="00000000" w:rsidDel="00000000" w:rsidP="00000000" w:rsidRDefault="00000000" w:rsidRPr="00000000" w14:paraId="00000003">
      <w:pPr>
        <w:rPr>
          <w:vertAlign w:val="baseline"/>
        </w:rPr>
      </w:pPr>
      <w:r w:rsidDel="00000000" w:rsidR="00000000" w:rsidRPr="00000000">
        <w:rPr>
          <w:rtl w:val="0"/>
        </w:rPr>
        <w:t xml:space="preserve">                BA Business Management </w:t>
      </w:r>
      <w:r w:rsidDel="00000000" w:rsidR="00000000" w:rsidRPr="00000000">
        <w:rPr>
          <w:rtl w:val="0"/>
        </w:rPr>
      </w:r>
    </w:p>
    <w:p w:rsidR="00000000" w:rsidDel="00000000" w:rsidP="00000000" w:rsidRDefault="00000000" w:rsidRPr="00000000" w14:paraId="00000004">
      <w:pPr>
        <w:rPr>
          <w:vertAlign w:val="baseline"/>
        </w:rPr>
      </w:pPr>
      <w:r w:rsidDel="00000000" w:rsidR="00000000" w:rsidRPr="00000000">
        <w:rPr>
          <w:rtl w:val="0"/>
        </w:rPr>
        <w:t xml:space="preserve">             Module code LCBB5001 BIRM</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                   ENTREPRENEURSHIP       </w:t>
      </w:r>
    </w:p>
    <w:p w:rsidR="00000000" w:rsidDel="00000000" w:rsidP="00000000" w:rsidRDefault="00000000" w:rsidRPr="00000000" w14:paraId="00000006">
      <w:pPr>
        <w:rPr/>
      </w:pPr>
      <w:r w:rsidDel="00000000" w:rsidR="00000000" w:rsidRPr="00000000">
        <w:rPr>
          <w:rtl w:val="0"/>
        </w:rPr>
        <w:t xml:space="preserve">                  Lecturer: David Jenkins</w:t>
      </w:r>
    </w:p>
    <w:p w:rsidR="00000000" w:rsidDel="00000000" w:rsidP="00000000" w:rsidRDefault="00000000" w:rsidRPr="00000000" w14:paraId="00000007">
      <w:pPr>
        <w:rPr/>
      </w:pPr>
      <w:r w:rsidDel="00000000" w:rsidR="00000000" w:rsidRPr="00000000">
        <w:rPr>
          <w:rtl w:val="0"/>
        </w:rPr>
        <w:t xml:space="preserve">                Assessment Component 1:</w:t>
      </w:r>
    </w:p>
    <w:p w:rsidR="00000000" w:rsidDel="00000000" w:rsidP="00000000" w:rsidRDefault="00000000" w:rsidRPr="00000000" w14:paraId="00000008">
      <w:pPr>
        <w:rPr/>
      </w:pPr>
      <w:r w:rsidDel="00000000" w:rsidR="00000000" w:rsidRPr="00000000">
        <w:rPr>
          <w:rtl w:val="0"/>
        </w:rPr>
        <w:t xml:space="preserve">           Written Report / Business Plan </w:t>
      </w:r>
    </w:p>
    <w:p w:rsidR="00000000" w:rsidDel="00000000" w:rsidP="00000000" w:rsidRDefault="00000000" w:rsidRPr="00000000" w14:paraId="00000009">
      <w:pPr>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Overview of the business idea, products and services</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 Legal format of the start-up company</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Management of the company</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 Target market and marketing strategies the company will adopt to reach their customers</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 Use of social media &amp; Website to promote the company product or service</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 Evaluation of the business idea</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 Cash flow forecast for the first 12 months</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 Conclusion</w:t>
              <w:tab/>
              <w:t xml:space="preserve">10</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 Reference List</w:t>
              <w:tab/>
              <w:t xml:space="preserve">11</w:t>
            </w:r>
          </w:hyperlink>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Times New Roman" w:cs="Times New Roman" w:eastAsia="Times New Roman" w:hAnsi="Times New Roman"/>
          <w:b w:val="1"/>
          <w:i w:val="0"/>
          <w:smallCaps w:val="0"/>
          <w:strike w:val="0"/>
          <w:color w:val="000000"/>
          <w:sz w:val="46"/>
          <w:szCs w:val="46"/>
          <w:u w:val="singl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gjdgxs" w:id="0"/>
      <w:bookmarkEnd w:id="0"/>
      <w:r w:rsidDel="00000000" w:rsidR="00000000" w:rsidRPr="00000000">
        <w:rPr>
          <w:rtl w:val="0"/>
        </w:rPr>
        <w:t xml:space="preserve">1. Introduction</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start-up business is referred to as a newly introduced business that is typically placed in the early stages of development. New venture creation pursues innovative ideas that allow it to connect with high potential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Taylor</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 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Start-up businesses often deal with original products and the use of new technologies as well as concepts. New business development is highly conscious about dynamic growth and development that can significantly contribute to evolving industries. The aim of this report is to provide a new business idea in the field of food service. Moreover, this report will provide details of the target market in the UK, including marketing strategies for the new venture. </w:t>
      </w:r>
    </w:p>
    <w:p w:rsidR="00000000" w:rsidDel="00000000" w:rsidP="00000000" w:rsidRDefault="00000000" w:rsidRPr="00000000" w14:paraId="00000019">
      <w:pPr>
        <w:pStyle w:val="Heading1"/>
        <w:rPr/>
      </w:pPr>
      <w:bookmarkStart w:colFirst="0" w:colLast="0" w:name="_30j0zll" w:id="1"/>
      <w:bookmarkEnd w:id="1"/>
      <w:r w:rsidDel="00000000" w:rsidR="00000000" w:rsidRPr="00000000">
        <w:rPr>
          <w:rtl w:val="0"/>
        </w:rPr>
        <w:t xml:space="preserve">2. Overview of the business idea, products and services </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name of the company will be SpiceFusion</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will be a fast-food company that mainly offers its products online. Specifically, this company will offer Indian-Pizza Fusion, Thai-Mexican Fusion, Italian-Indian Fusion as well as Vietnamese-French Fusion. SpiceFusion will be the UK-based fusion food delivery company that primarily serves the UK people. Prior to this, SpiceFusion will be widely focused on people's preference for fusion food items, including the use of Tandoori chicken, vegetables and Indian spices on Pizza, which will be the main attraction of this company. As per the report of 2020/2021, an average of 88 grams of pizza is consumed per person per week in the UK (Wunsch, 2023). Not only this, SpiceFusion intends to establish its business with an online process based on pick-up and delivery. They will enable app-based delivery systems to reach distant areas and meet customer satisfaction. Apart from this, fusion products will be based on sushi rice, herbs sauces, and Tacos, as well as use toppings. Moreover, Indian Spices or seasonings will be the prime essence generator of SpiceFusion's food items that make their products more delicious.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4895850" cy="2260662"/>
            <wp:effectExtent b="0" l="0" r="0" t="0"/>
            <wp:docPr id="4"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895850" cy="2260662"/>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Average rate of purchase of pizza per person per week in the UK</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Wunsch, 2023)</w:t>
      </w:r>
    </w:p>
    <w:p w:rsidR="00000000" w:rsidDel="00000000" w:rsidP="00000000" w:rsidRDefault="00000000" w:rsidRPr="00000000" w14:paraId="0000001E">
      <w:pPr>
        <w:pStyle w:val="Heading1"/>
        <w:rPr/>
      </w:pPr>
      <w:bookmarkStart w:colFirst="0" w:colLast="0" w:name="_1fob9te" w:id="2"/>
      <w:bookmarkEnd w:id="2"/>
      <w:r w:rsidDel="00000000" w:rsidR="00000000" w:rsidRPr="00000000">
        <w:rPr>
          <w:rtl w:val="0"/>
        </w:rPr>
        <w:t xml:space="preserve">3. Legal format of the start-up company</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this reason, the advantages and disadvantages of the legal structures need to be analysed. </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08"/>
        <w:gridCol w:w="3120"/>
        <w:gridCol w:w="3122"/>
        <w:tblGridChange w:id="0">
          <w:tblGrid>
            <w:gridCol w:w="3108"/>
            <w:gridCol w:w="3120"/>
            <w:gridCol w:w="3122"/>
          </w:tblGrid>
        </w:tblGridChange>
      </w:tblGrid>
      <w:tr>
        <w:trPr>
          <w:cantSplit w:val="0"/>
          <w:tblHeader w:val="0"/>
        </w:trPr>
        <w:tc>
          <w:tcPr>
            <w:shd w:fill="b7dde8" w:val="clear"/>
          </w:tcPr>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Legal structures </w:t>
            </w:r>
          </w:p>
        </w:tc>
        <w:tc>
          <w:tcPr>
            <w:shd w:fill="b7dde8" w:val="clear"/>
          </w:tcPr>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Advantages </w:t>
            </w:r>
          </w:p>
        </w:tc>
        <w:tc>
          <w:tcPr>
            <w:shd w:fill="b7dde8" w:val="clear"/>
          </w:tcPr>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Disadvantages </w:t>
            </w:r>
          </w:p>
        </w:tc>
      </w:tr>
      <w:tr>
        <w:trPr>
          <w:cantSplit w:val="0"/>
          <w:tblHeader w:val="0"/>
        </w:trPr>
        <w:tc>
          <w:tcPr>
            <w:shd w:fill="ffff00" w:val="clear"/>
          </w:tcPr>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Private company </w:t>
            </w:r>
          </w:p>
        </w:tc>
        <w:tc>
          <w:tcPr/>
          <w:p w:rsidR="00000000" w:rsidDel="00000000" w:rsidP="00000000" w:rsidRDefault="00000000" w:rsidRPr="00000000" w14:paraId="00000024">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Separate legal entity </w:t>
            </w:r>
            <w:r w:rsidDel="00000000" w:rsidR="00000000" w:rsidRPr="00000000">
              <w:rPr>
                <w:rtl w:val="0"/>
              </w:rPr>
            </w:r>
          </w:p>
          <w:p w:rsidR="00000000" w:rsidDel="00000000" w:rsidP="00000000" w:rsidRDefault="00000000" w:rsidRPr="00000000" w14:paraId="0000002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Control over ownership </w:t>
            </w:r>
            <w:r w:rsidDel="00000000" w:rsidR="00000000" w:rsidRPr="00000000">
              <w:rPr>
                <w:rtl w:val="0"/>
              </w:rPr>
            </w:r>
          </w:p>
        </w:tc>
        <w:tc>
          <w:tcPr/>
          <w:p w:rsidR="00000000" w:rsidDel="00000000" w:rsidP="00000000" w:rsidRDefault="00000000" w:rsidRPr="00000000" w14:paraId="00000026">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Limited access to capital </w:t>
            </w:r>
            <w:r w:rsidDel="00000000" w:rsidR="00000000" w:rsidRPr="00000000">
              <w:rPr>
                <w:rtl w:val="0"/>
              </w:rPr>
            </w:r>
          </w:p>
          <w:p w:rsidR="00000000" w:rsidDel="00000000" w:rsidP="00000000" w:rsidRDefault="00000000" w:rsidRPr="00000000" w14:paraId="00000027">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Difficulty in attracting talents </w:t>
            </w:r>
            <w:r w:rsidDel="00000000" w:rsidR="00000000" w:rsidRPr="00000000">
              <w:rPr>
                <w:rtl w:val="0"/>
              </w:rPr>
            </w:r>
          </w:p>
        </w:tc>
      </w:tr>
      <w:tr>
        <w:trPr>
          <w:cantSplit w:val="0"/>
          <w:tblHeader w:val="0"/>
        </w:trPr>
        <w:tc>
          <w:tcPr>
            <w:shd w:fill="92d050" w:val="clear"/>
          </w:tcPr>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Limited liability partnership </w:t>
            </w:r>
          </w:p>
        </w:tc>
        <w:tc>
          <w:tcPr/>
          <w:p w:rsidR="00000000" w:rsidDel="00000000" w:rsidP="00000000" w:rsidRDefault="00000000" w:rsidRPr="00000000" w14:paraId="00000029">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Flexibility of income decision </w:t>
            </w:r>
            <w:r w:rsidDel="00000000" w:rsidR="00000000" w:rsidRPr="00000000">
              <w:rPr>
                <w:rtl w:val="0"/>
              </w:rPr>
            </w:r>
          </w:p>
        </w:tc>
        <w:tc>
          <w:tcPr/>
          <w:p w:rsidR="00000000" w:rsidDel="00000000" w:rsidP="00000000" w:rsidRDefault="00000000" w:rsidRPr="00000000" w14:paraId="0000002A">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 perpetual existence </w:t>
            </w:r>
            <w:r w:rsidDel="00000000" w:rsidR="00000000" w:rsidRPr="00000000">
              <w:rPr>
                <w:rtl w:val="0"/>
              </w:rPr>
            </w:r>
          </w:p>
        </w:tc>
      </w:tr>
      <w:tr>
        <w:trPr>
          <w:cantSplit w:val="0"/>
          <w:tblHeader w:val="0"/>
        </w:trPr>
        <w:tc>
          <w:tcPr>
            <w:shd w:fill="fac090" w:val="clear"/>
          </w:tcPr>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Sole proprietorship</w:t>
            </w:r>
          </w:p>
        </w:tc>
        <w:tc>
          <w:tcPr/>
          <w:p w:rsidR="00000000" w:rsidDel="00000000" w:rsidP="00000000" w:rsidRDefault="00000000" w:rsidRPr="00000000" w14:paraId="0000002C">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Owns all profits </w:t>
            </w:r>
            <w:r w:rsidDel="00000000" w:rsidR="00000000" w:rsidRPr="00000000">
              <w:rPr>
                <w:rtl w:val="0"/>
              </w:rPr>
            </w:r>
          </w:p>
          <w:p w:rsidR="00000000" w:rsidDel="00000000" w:rsidP="00000000" w:rsidRDefault="00000000" w:rsidRPr="00000000" w14:paraId="0000002D">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Start-up cost is low </w:t>
            </w:r>
            <w:r w:rsidDel="00000000" w:rsidR="00000000" w:rsidRPr="00000000">
              <w:rPr>
                <w:rtl w:val="0"/>
              </w:rPr>
            </w:r>
          </w:p>
          <w:p w:rsidR="00000000" w:rsidDel="00000000" w:rsidP="00000000" w:rsidRDefault="00000000" w:rsidRPr="00000000" w14:paraId="0000002E">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Privacy level is maximum </w:t>
            </w:r>
            <w:r w:rsidDel="00000000" w:rsidR="00000000" w:rsidRPr="00000000">
              <w:rPr>
                <w:rtl w:val="0"/>
              </w:rPr>
            </w:r>
          </w:p>
        </w:tc>
        <w:tc>
          <w:tcPr/>
          <w:p w:rsidR="00000000" w:rsidDel="00000000" w:rsidP="00000000" w:rsidRDefault="00000000" w:rsidRPr="00000000" w14:paraId="0000002F">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May be unable to retain high-calibre employees </w:t>
            </w:r>
            <w:r w:rsidDel="00000000" w:rsidR="00000000" w:rsidRPr="00000000">
              <w:rPr>
                <w:rtl w:val="0"/>
              </w:rPr>
            </w:r>
          </w:p>
        </w:tc>
      </w:tr>
    </w:tbl>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1: Advantages and disadvantages</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SpiceFusion will be based on sole proprietorship as a legal entity allowing it to operate a business with certain activities or functions. As opined by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Khurana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sole proprietorship is one of the simple legal formats of business where an individual is responsible for all aspects. With this respect, the start-up company SpiceFusion will be based on the alignment of business partners to gain support from service delivery. On the contrary, sole proprietorship enables firms to deal with direct profit retention in terms of facilitating business opportunities. Most importantly, a cost-effective business structure can be developed by SpiceFusion to achieve high profits. In the UK, 20% of total income has to be paid by Spice Fusion as per the legal taxation format (Taxoo, 2023). Moreover, flexible taxation can be the core opportunity for SpiceFusion to develop its business as a start-up in the UK.</w:t>
      </w:r>
    </w:p>
    <w:p w:rsidR="00000000" w:rsidDel="00000000" w:rsidP="00000000" w:rsidRDefault="00000000" w:rsidRPr="00000000" w14:paraId="00000033">
      <w:pPr>
        <w:pStyle w:val="Heading1"/>
        <w:rPr/>
      </w:pPr>
      <w:bookmarkStart w:colFirst="0" w:colLast="0" w:name="_3znysh7" w:id="3"/>
      <w:bookmarkEnd w:id="3"/>
      <w:r w:rsidDel="00000000" w:rsidR="00000000" w:rsidRPr="00000000">
        <w:rPr>
          <w:rtl w:val="0"/>
        </w:rPr>
        <w:t xml:space="preserve">4. Management of the company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SpiceFusion will be a sole proprietorship company that will mainly focus on building its management with a centralised form. Prior to this, SpiceFusion managed its operation as per ownership control before the influence of the hierarchical system. In words of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Hrabal</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 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centralised management structure indicates the owner has complete control over staff and others to manipulate business activities to reach the level of competence. Considering this, it can be highlighted that the owner will be responsible for developing a strategic plan, raw material sourcing, menu selection, financial management, marketing, and sales generation. The centralised organisational structure will be suitable for the company to be supervised by the owner and it will enhance the centricity of business functions.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the other hand, SpiceFusion will initiate its operation with 10-12 employees as per requirements. Specifically, the cook and helping hands will play a key role in managing operations flawlessly. Employees will be focused on preparing dishes as per orders, and the distribution partners will help to deliver them to the customer. According to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Pascoe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employee support is necessary for maintaining relations between Kitchen staff, delivery partners and overall administrations to maintain goodwill. The authority will follow the participative leadership style which will be beneficial to encourage manpower base for better productivity. In this regard, they may be a higher professional chef, finance management and partnering with reputed delivery companies to gain expert support. In the words of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Derval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professional chef can help to include numerous fusion items as per their expertise that can allow firms to grow sustainably. Therefore, a centralised management structure can help SpiceFusion manage and control all business operations activities. </w:t>
      </w:r>
    </w:p>
    <w:p w:rsidR="00000000" w:rsidDel="00000000" w:rsidP="00000000" w:rsidRDefault="00000000" w:rsidRPr="00000000" w14:paraId="00000036">
      <w:pPr>
        <w:pStyle w:val="Heading1"/>
        <w:rPr/>
      </w:pPr>
      <w:bookmarkStart w:colFirst="0" w:colLast="0" w:name="_2et92p0" w:id="4"/>
      <w:bookmarkEnd w:id="4"/>
      <w:r w:rsidDel="00000000" w:rsidR="00000000" w:rsidRPr="00000000">
        <w:rPr>
          <w:rtl w:val="0"/>
        </w:rPr>
        <w:t xml:space="preserve">5. Target market and marketing strategies the company will adopt to reach their customers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case of analysing target markets, market segmentation concepts have been applied to identify target customers. </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Segmentation</w:t>
      </w:r>
    </w:p>
    <w:tbl>
      <w:tblPr>
        <w:tblStyle w:val="Table2"/>
        <w:tblW w:w="7995.0" w:type="dxa"/>
        <w:jc w:val="left"/>
        <w:tblInd w:w="8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20"/>
        <w:gridCol w:w="6075"/>
        <w:tblGridChange w:id="0">
          <w:tblGrid>
            <w:gridCol w:w="1920"/>
            <w:gridCol w:w="607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Demographic </w:t>
            </w:r>
          </w:p>
        </w:tc>
        <w:tc>
          <w:tcPr>
            <w:shd w:fill="auto" w:val="clear"/>
            <w:tcMar>
              <w:top w:w="100.0" w:type="dxa"/>
              <w:left w:w="100.0" w:type="dxa"/>
              <w:bottom w:w="100.0" w:type="dxa"/>
              <w:right w:w="100.0" w:type="dxa"/>
            </w:tcMar>
          </w:tcPr>
          <w:p w:rsidR="00000000" w:rsidDel="00000000" w:rsidP="00000000" w:rsidRDefault="00000000" w:rsidRPr="00000000" w14:paraId="0000003A">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SpiceFusion will mainly target young aged customers between 18-30</w:t>
            </w:r>
            <w:r w:rsidDel="00000000" w:rsidR="00000000" w:rsidRPr="00000000">
              <w:rPr>
                <w:rtl w:val="0"/>
              </w:rPr>
            </w:r>
          </w:p>
          <w:p w:rsidR="00000000" w:rsidDel="00000000" w:rsidP="00000000" w:rsidRDefault="00000000" w:rsidRPr="00000000" w14:paraId="0000003B">
            <w:pPr>
              <w:keepNext w:val="0"/>
              <w:keepLines w:val="0"/>
              <w:widowControl w:val="0"/>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Low-medium and high-income group</w:t>
            </w:r>
            <w:r w:rsidDel="00000000" w:rsidR="00000000" w:rsidRPr="00000000">
              <w:rPr>
                <w:rtl w:val="0"/>
              </w:rPr>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Behavioural </w:t>
            </w:r>
          </w:p>
        </w:tc>
        <w:tc>
          <w:tcPr>
            <w:shd w:fill="auto" w:val="clear"/>
            <w:tcMar>
              <w:top w:w="100.0" w:type="dxa"/>
              <w:left w:w="100.0" w:type="dxa"/>
              <w:bottom w:w="100.0" w:type="dxa"/>
              <w:right w:w="100.0" w:type="dxa"/>
            </w:tcMar>
          </w:tcPr>
          <w:p w:rsidR="00000000" w:rsidDel="00000000" w:rsidP="00000000" w:rsidRDefault="00000000" w:rsidRPr="00000000" w14:paraId="0000003D">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Price sensitive customers</w:t>
            </w:r>
            <w:r w:rsidDel="00000000" w:rsidR="00000000" w:rsidRPr="00000000">
              <w:rPr>
                <w:rtl w:val="0"/>
              </w:rPr>
            </w:r>
          </w:p>
          <w:p w:rsidR="00000000" w:rsidDel="00000000" w:rsidP="00000000" w:rsidRDefault="00000000" w:rsidRPr="00000000" w14:paraId="0000003E">
            <w:pPr>
              <w:keepNext w:val="0"/>
              <w:keepLines w:val="0"/>
              <w:widowControl w:val="0"/>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Online-order preferences</w:t>
            </w:r>
            <w:r w:rsidDel="00000000" w:rsidR="00000000" w:rsidRPr="00000000">
              <w:rPr>
                <w:rtl w:val="0"/>
              </w:rPr>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Psychographic </w:t>
            </w:r>
          </w:p>
        </w:tc>
        <w:tc>
          <w:tcPr>
            <w:shd w:fill="auto" w:val="clear"/>
            <w:tcMar>
              <w:top w:w="100.0" w:type="dxa"/>
              <w:left w:w="100.0" w:type="dxa"/>
              <w:bottom w:w="100.0" w:type="dxa"/>
              <w:right w:w="100.0" w:type="dxa"/>
            </w:tcMar>
          </w:tcPr>
          <w:p w:rsidR="00000000" w:rsidDel="00000000" w:rsidP="00000000" w:rsidRDefault="00000000" w:rsidRPr="00000000" w14:paraId="0000004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Food enthusiasts.</w:t>
            </w:r>
            <w:r w:rsidDel="00000000" w:rsidR="00000000" w:rsidRPr="00000000">
              <w:rPr>
                <w:rtl w:val="0"/>
              </w:rPr>
            </w:r>
          </w:p>
          <w:p w:rsidR="00000000" w:rsidDel="00000000" w:rsidP="00000000" w:rsidRDefault="00000000" w:rsidRPr="00000000" w14:paraId="0000004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explorer</w:t>
            </w:r>
            <w:r w:rsidDel="00000000" w:rsidR="00000000" w:rsidRPr="00000000">
              <w:rPr>
                <w:rtl w:val="0"/>
              </w:rPr>
            </w:r>
          </w:p>
          <w:p w:rsidR="00000000" w:rsidDel="00000000" w:rsidP="00000000" w:rsidRDefault="00000000" w:rsidRPr="00000000" w14:paraId="0000004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Fusion food lovers</w:t>
            </w:r>
            <w:r w:rsidDel="00000000" w:rsidR="00000000" w:rsidRPr="00000000">
              <w:rPr>
                <w:rtl w:val="0"/>
              </w:rPr>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Geographic </w:t>
            </w:r>
          </w:p>
        </w:tc>
        <w:tc>
          <w:tcPr>
            <w:shd w:fill="auto" w:val="clear"/>
            <w:tcMar>
              <w:top w:w="100.0" w:type="dxa"/>
              <w:left w:w="100.0" w:type="dxa"/>
              <w:bottom w:w="100.0" w:type="dxa"/>
              <w:right w:w="100.0" w:type="dxa"/>
            </w:tcMar>
          </w:tcPr>
          <w:p w:rsidR="00000000" w:rsidDel="00000000" w:rsidP="00000000" w:rsidRDefault="00000000" w:rsidRPr="00000000" w14:paraId="00000044">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Urban and metropolitan cities in the UK</w:t>
            </w:r>
            <w:r w:rsidDel="00000000" w:rsidR="00000000" w:rsidRPr="00000000">
              <w:rPr>
                <w:rtl w:val="0"/>
              </w:rPr>
            </w:r>
          </w:p>
        </w:tc>
      </w:tr>
    </w:tbl>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Table 1: Market Segmentation of SpiceFusion</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Self-developed)</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Targeting: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context, SpiceFusion will mainly target Generation Z and millennial customers as they are likely to purchase and eat pizza at least once a week. Not only this, customers who are preferred to explore fusion food items will be more preferable for SpiceFusion to grow rationally in the target market. From the viewpoint of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Hwang</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 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food enthusiasts have highly preferred to taste new food items that feasibly grow the interest of new food delivery companies. With this, SpiceFusion can subsequently increase in the target market.</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Positioning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-716275</wp:posOffset>
                </wp:positionH>
                <wp:positionV relativeFrom="paragraph">
                  <wp:posOffset>-198116</wp:posOffset>
                </wp:positionV>
                <wp:extent cx="7101840" cy="3649980"/>
                <wp:effectExtent b="7620" l="19050" r="3810" t="19050"/>
                <wp:wrapNone/>
                <wp:docPr id="2" name=""/>
                <a:graphic>
                  <a:graphicData uri="http://schemas.microsoft.com/office/word/2010/wordprocessingGroup">
                    <wpg:wgp>
                      <wpg:cNvGrpSpPr>
                        <a:grpSpLocks/>
                      </wpg:cNvGrpSpPr>
                      <wpg:grpSpPr bwMode="auto">
                        <a:xfrm>
                          <a:off x="0" y="0"/>
                          <a:ext cx="7101840" cy="3649980"/>
                          <a:chOff x="312" y="1128"/>
                          <a:chExt cx="11184" cy="5748"/>
                        </a:xfrm>
                      </wpg:grpSpPr>
                      <wps:wsp>
                        <wps:cNvCnPr>
                          <a:cxnSpLocks/>
                        </wps:cNvCnPr>
                        <wps:cNvPr id="9" name=" 2"/>
                        <wps:spPr bwMode="auto">
                          <a:xfrm>
                            <a:off x="5772" y="1728"/>
                            <a:ext cx="36" cy="4836"/>
                          </a:xfrm>
                          <a:prstGeom prst="straightConnector1">
                            <a:avLst/>
                          </a:prstGeom>
                          <a:noFill/>
                          <a:ln w="9525">
                            <a:solidFill>
                              <a:srgbClr val="000000"/>
                            </a:solidFill>
                            <a:round/>
                            <a:headEnd/>
                            <a:tailEnd/>
                          </a:ln>
                          <a:extLst>
                            <a:ext uri="{909E8E84-426E-40DD-AFC4-6F175D3DCCD1}"/>
                          </a:extLst>
                        </wps:spPr>
                        <wps:bodyPr/>
                      </wps:wsp>
                      <wps:wsp>
                        <wps:cNvCnPr>
                          <a:cxnSpLocks/>
                        </wps:cNvCnPr>
                        <wps:cNvPr id="10" name=" 3"/>
                        <wps:spPr bwMode="auto">
                          <a:xfrm flipV="1">
                            <a:off x="2172" y="4020"/>
                            <a:ext cx="7596" cy="60"/>
                          </a:xfrm>
                          <a:prstGeom prst="straightConnector1">
                            <a:avLst/>
                          </a:prstGeom>
                          <a:noFill/>
                          <a:ln w="9525">
                            <a:solidFill>
                              <a:srgbClr val="000000"/>
                            </a:solidFill>
                            <a:round/>
                            <a:headEnd/>
                            <a:tailEnd/>
                          </a:ln>
                          <a:extLst>
                            <a:ext uri="{909E8E84-426E-40DD-AFC4-6F175D3DCCD1}"/>
                          </a:extLst>
                        </wps:spPr>
                        <wps:bodyPr/>
                      </wps:wsp>
                      <wps:wsp>
                        <wps:cNvSpPr>
                          <a:spLocks/>
                        </wps:cNvSpPr>
                        <wps:cNvPr id="11" name=" 4"/>
                        <wps:spPr bwMode="auto">
                          <a:xfrm>
                            <a:off x="4644" y="1128"/>
                            <a:ext cx="2616" cy="612"/>
                          </a:xfrm>
                          <a:prstGeom prst="roundRect">
                            <a:avLst>
                              <a:gd fmla="val 16667" name="adj"/>
                            </a:avLst>
                          </a:prstGeom>
                          <a:solidFill>
                            <a:schemeClr val="lt1">
                              <a:lumMod val="100000"/>
                              <a:lumOff val="0"/>
                            </a:schemeClr>
                          </a:solidFill>
                          <a:ln w="31750">
                            <a:solidFill>
                              <a:schemeClr val="dk1">
                                <a:lumMod val="100000"/>
                                <a:lumOff val="0"/>
                              </a:schemeClr>
                            </a:solidFill>
                            <a:round/>
                            <a:headEnd/>
                            <a:tailEnd/>
                          </a:ln>
                          <a:effectLst/>
                          <a:extLst>
                            <a:ext uri="{AF507438-7753-43E0-B8FC-AC1667EBCBE1}"/>
                          </a:extLst>
                        </wps:spPr>
                        <wps:txbx>
                          <w:txbxContent>
                            <w:p w:rsidR="00F73E3F" w:rsidDel="00000000" w:rsidP="00F73E3F" w:rsidRDefault="00F73E3F" w:rsidRPr="00F73E3F">
                              <w:pPr>
                                <w:jc w:val="center"/>
                                <w:rPr>
                                  <w:rFonts w:ascii="Times New Roman" w:cs="Times New Roman" w:hAnsi="Times New Roman"/>
                                  <w:b w:val="1"/>
                                  <w:i w:val="1"/>
                                  <w:sz w:val="24"/>
                                </w:rPr>
                              </w:pPr>
                              <w:r w:rsidDel="00000000" w:rsidR="00000000" w:rsidRPr="00F73E3F">
                                <w:rPr>
                                  <w:rFonts w:ascii="Times New Roman" w:cs="Times New Roman" w:hAnsi="Times New Roman"/>
                                  <w:b w:val="1"/>
                                  <w:i w:val="1"/>
                                  <w:sz w:val="24"/>
                                </w:rPr>
                                <w:t>High quality</w:t>
                              </w:r>
                            </w:p>
                          </w:txbxContent>
                        </wps:txbx>
                        <wps:bodyPr anchorCtr="0" anchor="t" bIns="45720" lIns="91440" rIns="91440" rot="0" upright="1" vert="horz" wrap="square" tIns="45720">
                          <a:noAutofit/>
                        </wps:bodyPr>
                      </wps:wsp>
                      <wps:wsp>
                        <wps:cNvSpPr>
                          <a:spLocks/>
                        </wps:cNvSpPr>
                        <wps:cNvPr id="12" name=" 5"/>
                        <wps:spPr bwMode="auto">
                          <a:xfrm>
                            <a:off x="312" y="3720"/>
                            <a:ext cx="2616" cy="576"/>
                          </a:xfrm>
                          <a:prstGeom prst="roundRect">
                            <a:avLst>
                              <a:gd fmla="val 16667" name="adj"/>
                            </a:avLst>
                          </a:prstGeom>
                          <a:solidFill>
                            <a:schemeClr val="lt1">
                              <a:lumMod val="100000"/>
                              <a:lumOff val="0"/>
                            </a:schemeClr>
                          </a:solidFill>
                          <a:ln w="31750">
                            <a:solidFill>
                              <a:schemeClr val="dk1">
                                <a:lumMod val="100000"/>
                                <a:lumOff val="0"/>
                              </a:schemeClr>
                            </a:solidFill>
                            <a:round/>
                            <a:headEnd/>
                            <a:tailEnd/>
                          </a:ln>
                          <a:effectLst/>
                          <a:extLst>
                            <a:ext uri="{AF507438-7753-43E0-B8FC-AC1667EBCBE1}"/>
                          </a:extLst>
                        </wps:spPr>
                        <wps:txbx>
                          <w:txbxContent>
                            <w:p w:rsidR="00F73E3F" w:rsidDel="00000000" w:rsidP="00F73E3F" w:rsidRDefault="00F73E3F" w:rsidRPr="00F73E3F">
                              <w:pPr>
                                <w:jc w:val="center"/>
                                <w:rPr>
                                  <w:rFonts w:ascii="Times New Roman" w:cs="Times New Roman" w:hAnsi="Times New Roman"/>
                                  <w:b w:val="1"/>
                                  <w:i w:val="1"/>
                                  <w:sz w:val="24"/>
                                </w:rPr>
                              </w:pPr>
                              <w:r w:rsidDel="00000000" w:rsidR="00000000" w:rsidRPr="00F73E3F">
                                <w:rPr>
                                  <w:rFonts w:ascii="Times New Roman" w:cs="Times New Roman" w:hAnsi="Times New Roman"/>
                                  <w:b w:val="1"/>
                                  <w:i w:val="1"/>
                                  <w:sz w:val="24"/>
                                </w:rPr>
                                <w:t>High price</w:t>
                              </w:r>
                            </w:p>
                          </w:txbxContent>
                        </wps:txbx>
                        <wps:bodyPr anchorCtr="0" anchor="t" bIns="45720" lIns="91440" rIns="91440" rot="0" upright="1" vert="horz" wrap="square" tIns="45720">
                          <a:noAutofit/>
                        </wps:bodyPr>
                      </wps:wsp>
                      <wps:wsp>
                        <wps:cNvSpPr>
                          <a:spLocks/>
                        </wps:cNvSpPr>
                        <wps:cNvPr id="13" name=" 6"/>
                        <wps:spPr bwMode="auto">
                          <a:xfrm>
                            <a:off x="9288" y="3648"/>
                            <a:ext cx="2208" cy="684"/>
                          </a:xfrm>
                          <a:prstGeom prst="roundRect">
                            <a:avLst>
                              <a:gd fmla="val 16667" name="adj"/>
                            </a:avLst>
                          </a:prstGeom>
                          <a:solidFill>
                            <a:schemeClr val="lt1">
                              <a:lumMod val="100000"/>
                              <a:lumOff val="0"/>
                            </a:schemeClr>
                          </a:solidFill>
                          <a:ln w="31750">
                            <a:solidFill>
                              <a:schemeClr val="dk1">
                                <a:lumMod val="100000"/>
                                <a:lumOff val="0"/>
                              </a:schemeClr>
                            </a:solidFill>
                            <a:round/>
                            <a:headEnd/>
                            <a:tailEnd/>
                          </a:ln>
                          <a:effectLst/>
                          <a:extLst>
                            <a:ext uri="{AF507438-7753-43E0-B8FC-AC1667EBCBE1}"/>
                          </a:extLst>
                        </wps:spPr>
                        <wps:txbx>
                          <w:txbxContent>
                            <w:p w:rsidR="00F73E3F" w:rsidDel="00000000" w:rsidP="00F73E3F" w:rsidRDefault="00F73E3F" w:rsidRPr="00F73E3F">
                              <w:pPr>
                                <w:jc w:val="center"/>
                                <w:rPr>
                                  <w:rFonts w:ascii="Times New Roman" w:cs="Times New Roman" w:hAnsi="Times New Roman"/>
                                  <w:b w:val="1"/>
                                  <w:i w:val="1"/>
                                  <w:sz w:val="24"/>
                                </w:rPr>
                              </w:pPr>
                              <w:r w:rsidDel="00000000" w:rsidR="00000000" w:rsidRPr="00F73E3F">
                                <w:rPr>
                                  <w:rFonts w:ascii="Times New Roman" w:cs="Times New Roman" w:hAnsi="Times New Roman"/>
                                  <w:b w:val="1"/>
                                  <w:i w:val="1"/>
                                  <w:sz w:val="24"/>
                                </w:rPr>
                                <w:t>Low price</w:t>
                              </w:r>
                            </w:p>
                          </w:txbxContent>
                        </wps:txbx>
                        <wps:bodyPr anchorCtr="0" anchor="t" bIns="45720" lIns="91440" rIns="91440" rot="0" upright="1" vert="horz" wrap="square" tIns="45720">
                          <a:noAutofit/>
                        </wps:bodyPr>
                      </wps:wsp>
                      <wps:wsp>
                        <wps:cNvSpPr>
                          <a:spLocks/>
                        </wps:cNvSpPr>
                        <wps:cNvPr id="14" name=" 7"/>
                        <wps:spPr bwMode="auto">
                          <a:xfrm>
                            <a:off x="4488" y="6300"/>
                            <a:ext cx="2616" cy="576"/>
                          </a:xfrm>
                          <a:prstGeom prst="roundRect">
                            <a:avLst>
                              <a:gd fmla="val 16667" name="adj"/>
                            </a:avLst>
                          </a:prstGeom>
                          <a:solidFill>
                            <a:schemeClr val="lt1">
                              <a:lumMod val="100000"/>
                              <a:lumOff val="0"/>
                            </a:schemeClr>
                          </a:solidFill>
                          <a:ln w="31750">
                            <a:solidFill>
                              <a:schemeClr val="dk1">
                                <a:lumMod val="100000"/>
                                <a:lumOff val="0"/>
                              </a:schemeClr>
                            </a:solidFill>
                            <a:round/>
                            <a:headEnd/>
                            <a:tailEnd/>
                          </a:ln>
                          <a:effectLst/>
                          <a:extLst>
                            <a:ext uri="{AF507438-7753-43E0-B8FC-AC1667EBCBE1}"/>
                          </a:extLst>
                        </wps:spPr>
                        <wps:txbx>
                          <w:txbxContent>
                            <w:p w:rsidR="00F73E3F" w:rsidDel="00000000" w:rsidP="00F73E3F" w:rsidRDefault="00F73E3F" w:rsidRPr="00F73E3F">
                              <w:pPr>
                                <w:jc w:val="center"/>
                                <w:rPr>
                                  <w:rFonts w:ascii="Times New Roman" w:cs="Times New Roman" w:hAnsi="Times New Roman"/>
                                  <w:b w:val="1"/>
                                  <w:i w:val="1"/>
                                  <w:sz w:val="24"/>
                                </w:rPr>
                              </w:pPr>
                              <w:r w:rsidDel="00000000" w:rsidR="00000000" w:rsidRPr="00F73E3F">
                                <w:rPr>
                                  <w:rFonts w:ascii="Times New Roman" w:cs="Times New Roman" w:hAnsi="Times New Roman"/>
                                  <w:b w:val="1"/>
                                  <w:i w:val="1"/>
                                  <w:sz w:val="24"/>
                                </w:rPr>
                                <w:t>Low quality</w:t>
                              </w:r>
                            </w:p>
                          </w:txbxContent>
                        </wps:txbx>
                        <wps:bodyPr anchorCtr="0" anchor="t" bIns="45720" lIns="91440" rIns="91440" rot="0" upright="1" vert="horz" wrap="square" tIns="45720">
                          <a:noAutofit/>
                        </wps:bodyPr>
                      </wps:wsp>
                      <wps:wsp>
                        <wps:cNvSpPr>
                          <a:spLocks/>
                        </wps:cNvSpPr>
                        <wps:cNvPr id="15" name=" 8"/>
                        <wps:spPr bwMode="auto">
                          <a:xfrm>
                            <a:off x="2100" y="2136"/>
                            <a:ext cx="1692" cy="732"/>
                          </a:xfrm>
                          <a:prstGeom prst="ellipse">
                            <a:avLst/>
                          </a:prstGeom>
                          <a:solidFill>
                            <a:schemeClr val="lt1">
                              <a:lumMod val="100000"/>
                              <a:lumOff val="0"/>
                            </a:schemeClr>
                          </a:solidFill>
                          <a:ln w="31750">
                            <a:solidFill>
                              <a:schemeClr val="accent3">
                                <a:lumMod val="100000"/>
                                <a:lumOff val="0"/>
                              </a:schemeClr>
                            </a:solidFill>
                            <a:round/>
                            <a:headEnd/>
                            <a:tailEnd/>
                          </a:ln>
                          <a:effectLst/>
                          <a:extLst>
                            <a:ext uri="{AF507438-7753-43E0-B8FC-AC1667EBCBE1}"/>
                          </a:extLst>
                        </wps:spPr>
                        <wps:txbx>
                          <w:txbxContent>
                            <w:p w:rsidR="00F73E3F" w:rsidDel="00000000" w:rsidP="00F73E3F" w:rsidRDefault="00F73E3F" w:rsidRPr="00F73E3F">
                              <w:pPr>
                                <w:jc w:val="center"/>
                                <w:rPr>
                                  <w:rFonts w:ascii="Times New Roman" w:cs="Times New Roman" w:hAnsi="Times New Roman"/>
                                  <w:sz w:val="24"/>
                                </w:rPr>
                              </w:pPr>
                              <w:proofErr w:type="spellStart"/>
                              <w:r w:rsidDel="00000000" w:rsidR="00000000" w:rsidRPr="00F73E3F">
                                <w:rPr>
                                  <w:rFonts w:ascii="Times New Roman" w:cs="Times New Roman" w:hAnsi="Times New Roman"/>
                                  <w:color w:val="202124"/>
                                  <w:sz w:val="24"/>
                                  <w:shd w:color="auto" w:fill="ffffff" w:val="clear"/>
                                </w:rPr>
                                <w:t>JustEat</w:t>
                              </w:r>
                              <w:proofErr w:type="spellEnd"/>
                            </w:p>
                          </w:txbxContent>
                        </wps:txbx>
                        <wps:bodyPr anchorCtr="0" anchor="t" bIns="45720" lIns="91440" rIns="91440" rot="0" upright="1" vert="horz" wrap="square" tIns="45720">
                          <a:noAutofit/>
                        </wps:bodyPr>
                      </wps:wsp>
                      <wps:wsp>
                        <wps:cNvSpPr>
                          <a:spLocks/>
                        </wps:cNvSpPr>
                        <wps:cNvPr id="16" name=" 9"/>
                        <wps:spPr bwMode="auto">
                          <a:xfrm>
                            <a:off x="2520" y="4740"/>
                            <a:ext cx="2592" cy="804"/>
                          </a:xfrm>
                          <a:prstGeom prst="ellipse">
                            <a:avLst/>
                          </a:prstGeom>
                          <a:solidFill>
                            <a:schemeClr val="lt1">
                              <a:lumMod val="100000"/>
                              <a:lumOff val="0"/>
                            </a:schemeClr>
                          </a:solidFill>
                          <a:ln w="31750">
                            <a:solidFill>
                              <a:schemeClr val="accent5">
                                <a:lumMod val="100000"/>
                                <a:lumOff val="0"/>
                              </a:schemeClr>
                            </a:solidFill>
                            <a:round/>
                            <a:headEnd/>
                            <a:tailEnd/>
                          </a:ln>
                          <a:effectLst/>
                          <a:extLst>
                            <a:ext uri="{AF507438-7753-43E0-B8FC-AC1667EBCBE1}"/>
                          </a:extLst>
                        </wps:spPr>
                        <wps:txbx>
                          <w:txbxContent>
                            <w:p w:rsidR="00F73E3F" w:rsidDel="00000000" w:rsidP="00F73E3F" w:rsidRDefault="00F73E3F" w:rsidRPr="00F73E3F">
                              <w:pPr>
                                <w:jc w:val="center"/>
                                <w:rPr>
                                  <w:rFonts w:ascii="Times New Roman" w:cs="Times New Roman" w:hAnsi="Times New Roman"/>
                                  <w:sz w:val="24"/>
                                </w:rPr>
                              </w:pPr>
                              <w:r w:rsidDel="00000000" w:rsidR="00000000" w:rsidRPr="00F73E3F">
                                <w:rPr>
                                  <w:rFonts w:ascii="Times New Roman" w:cs="Times New Roman" w:hAnsi="Times New Roman"/>
                                  <w:color w:val="202124"/>
                                  <w:sz w:val="24"/>
                                  <w:shd w:color="auto" w:fill="ffffff" w:val="clear"/>
                                </w:rPr>
                                <w:t>Eat Clean Me</w:t>
                              </w:r>
                            </w:p>
                          </w:txbxContent>
                        </wps:txbx>
                        <wps:bodyPr anchorCtr="0" anchor="t" bIns="45720" lIns="91440" rIns="91440" rot="0" upright="1" vert="horz" wrap="square" tIns="45720">
                          <a:noAutofit/>
                        </wps:bodyPr>
                      </wps:wsp>
                      <wps:wsp>
                        <wps:cNvSpPr>
                          <a:spLocks/>
                        </wps:cNvSpPr>
                        <wps:cNvPr id="17" name=" 10"/>
                        <wps:spPr bwMode="auto">
                          <a:xfrm>
                            <a:off x="6300" y="2712"/>
                            <a:ext cx="2028" cy="804"/>
                          </a:xfrm>
                          <a:prstGeom prst="ellipse">
                            <a:avLst/>
                          </a:prstGeom>
                          <a:solidFill>
                            <a:schemeClr val="lt1">
                              <a:lumMod val="100000"/>
                              <a:lumOff val="0"/>
                            </a:schemeClr>
                          </a:solidFill>
                          <a:ln w="31750">
                            <a:solidFill>
                              <a:schemeClr val="accent4">
                                <a:lumMod val="100000"/>
                                <a:lumOff val="0"/>
                              </a:schemeClr>
                            </a:solidFill>
                            <a:round/>
                            <a:headEnd/>
                            <a:tailEnd/>
                          </a:ln>
                          <a:effectLst/>
                          <a:extLst>
                            <a:ext uri="{AF507438-7753-43E0-B8FC-AC1667EBCBE1}"/>
                          </a:extLst>
                        </wps:spPr>
                        <wps:txbx>
                          <w:txbxContent>
                            <w:p w:rsidR="00F73E3F" w:rsidDel="00000000" w:rsidP="00F73E3F" w:rsidRDefault="00F73E3F" w:rsidRPr="00F73E3F">
                              <w:pPr>
                                <w:jc w:val="center"/>
                                <w:rPr>
                                  <w:rFonts w:ascii="Times New Roman" w:cs="Times New Roman" w:hAnsi="Times New Roman"/>
                                  <w:sz w:val="24"/>
                                </w:rPr>
                              </w:pPr>
                              <w:r w:rsidDel="00000000" w:rsidR="00000000" w:rsidRPr="00F73E3F">
                                <w:rPr>
                                  <w:rFonts w:ascii="Times New Roman" w:cs="Times New Roman" w:hAnsi="Times New Roman"/>
                                  <w:color w:val="202124"/>
                                  <w:sz w:val="24"/>
                                  <w:shd w:color="auto" w:fill="ffffff" w:val="clear"/>
                                </w:rPr>
                                <w:t>Food Hub</w:t>
                              </w:r>
                            </w:p>
                          </w:txbxContent>
                        </wps:txbx>
                        <wps:bodyPr anchorCtr="0" anchor="t" bIns="45720" lIns="91440" rIns="91440" rot="0" upright="1" vert="horz" wrap="square" tIns="45720">
                          <a:noAutofit/>
                        </wps:bodyPr>
                      </wps:wsp>
                      <wps:wsp>
                        <wps:cNvSpPr>
                          <a:spLocks/>
                        </wps:cNvSpPr>
                        <wps:cNvPr id="18" name=" 11"/>
                        <wps:spPr bwMode="auto">
                          <a:xfrm>
                            <a:off x="8952" y="1776"/>
                            <a:ext cx="2148" cy="804"/>
                          </a:xfrm>
                          <a:prstGeom prst="ellipse">
                            <a:avLst/>
                          </a:prstGeom>
                          <a:solidFill>
                            <a:schemeClr val="lt1">
                              <a:lumMod val="100000"/>
                              <a:lumOff val="0"/>
                            </a:schemeClr>
                          </a:solidFill>
                          <a:ln w="31750">
                            <a:solidFill>
                              <a:schemeClr val="accent2">
                                <a:lumMod val="100000"/>
                                <a:lumOff val="0"/>
                              </a:schemeClr>
                            </a:solidFill>
                            <a:round/>
                            <a:headEnd/>
                            <a:tailEnd/>
                          </a:ln>
                          <a:effectLst/>
                          <a:extLst>
                            <a:ext uri="{AF507438-7753-43E0-B8FC-AC1667EBCBE1}"/>
                          </a:extLst>
                        </wps:spPr>
                        <wps:txbx>
                          <w:txbxContent>
                            <w:p w:rsidR="00F73E3F" w:rsidDel="00000000" w:rsidP="00F73E3F" w:rsidRDefault="00F73E3F" w:rsidRPr="00000000">
                              <w:pPr>
                                <w:jc w:val="center"/>
                              </w:pPr>
                              <w:proofErr w:type="spellStart"/>
                              <w:r w:rsidDel="00000000" w:rsidR="00000000" w:rsidRPr="0027602A">
                                <w:rPr>
                                  <w:rFonts w:ascii="Times New Roman" w:cs="Times New Roman" w:eastAsia="Times New Roman" w:hAnsi="Times New Roman"/>
                                  <w:sz w:val="24"/>
                                  <w:szCs w:val="24"/>
                                  <w:lang w:val="en-GB"/>
                                </w:rPr>
                                <w:t>SpiceFusio</w:t>
                              </w:r>
                              <w:r w:rsidDel="00000000" w:rsidR="00000000" w:rsidRPr="00000000">
                                <w:rPr>
                                  <w:rFonts w:ascii="Times New Roman" w:cs="Times New Roman" w:eastAsia="Times New Roman" w:hAnsi="Times New Roman"/>
                                  <w:sz w:val="24"/>
                                  <w:szCs w:val="24"/>
                                  <w:lang w:val="en-GB"/>
                                </w:rPr>
                                <w:t>n</w:t>
                              </w:r>
                              <w:proofErr w:type="spellEnd"/>
                            </w:p>
                          </w:txbxContent>
                        </wps:txbx>
                        <wps:bodyPr anchorCtr="0" anchor="t" bIns="45720" lIns="91440" rIns="91440" rot="0" upright="1" vert="horz" wrap="square" tIns="45720">
                          <a:noAutofit/>
                        </wps:bodyPr>
                      </wps:wsp>
                    </wpg:wgp>
                  </a:graphicData>
                </a:graphic>
              </wp:anchor>
            </w:drawing>
          </mc:Choice>
          <mc:Fallback>
            <w:drawing>
              <wp:anchor allowOverlap="1" behindDoc="0" distB="0" distT="0" distL="114300" distR="114300" hidden="0" layoutInCell="1" locked="0" relativeHeight="0" simplePos="0">
                <wp:simplePos x="0" y="0"/>
                <wp:positionH relativeFrom="column">
                  <wp:posOffset>-716275</wp:posOffset>
                </wp:positionH>
                <wp:positionV relativeFrom="paragraph">
                  <wp:posOffset>-198116</wp:posOffset>
                </wp:positionV>
                <wp:extent cx="7124700" cy="3676650"/>
                <wp:effectExtent b="0" l="0" r="0" t="0"/>
                <wp:wrapNone/>
                <wp:docPr id="2"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7124700" cy="3676650"/>
                        </a:xfrm>
                        <a:prstGeom prst="rect"/>
                        <a:ln/>
                      </pic:spPr>
                    </pic:pic>
                  </a:graphicData>
                </a:graphic>
              </wp:anchor>
            </w:drawing>
          </mc:Fallback>
        </mc:AlternateConten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Positioning map</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regard to analysing marketing strategies, the 4 P's of marketing strategies have been analysed in the case of SpiceFusion:</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Product: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SpiceFusion will offer fusion products such as Indian Pizza Fusion, Thai-Mexican Fusion, Italian-Indian Fusion as well as Vietnamese-French Fusion. Specifically, they will provide pizza as their primary product to attract target audiences.</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Price: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this, they will apply an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affordable pricing strategy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run their business initially to retain customer satisfaction. As opined by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McGrath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reasonable pricing strategy is helpful in convincing customers to pay for quality products and contributes to sales demands.</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Place: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platforms will be used for marketing, as SpiceFusion will be focused on offering products via apps. SpiceFusion will develop an online distribution network to manage its business processes and operate effectively. </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Promotion: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case of advertising, social media platforms such as Facebook, Instagram and Websites will be developed by SpiceFusion. Most importantly, YouTube content creators will be assigned by SpiceFusion for promotion and the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content 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will enhance the company’s reputation.</w:t>
      </w:r>
    </w:p>
    <w:p w:rsidR="00000000" w:rsidDel="00000000" w:rsidP="00000000" w:rsidRDefault="00000000" w:rsidRPr="00000000" w14:paraId="00000062">
      <w:pPr>
        <w:pStyle w:val="Heading1"/>
        <w:rPr/>
      </w:pPr>
      <w:bookmarkStart w:colFirst="0" w:colLast="0" w:name="_tyjcwt" w:id="5"/>
      <w:bookmarkEnd w:id="5"/>
      <w:r w:rsidDel="00000000" w:rsidR="00000000" w:rsidRPr="00000000">
        <w:rPr>
          <w:rtl w:val="0"/>
        </w:rPr>
        <w:t xml:space="preserve">6. Use of social media &amp; Website to promote the company product or service </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SpiceFusion will use social media and websites to promote its fusion products and influence online delivery services. For this, they will create a page on social media by using the company's name and raising awareness through the links to follow their pages. After that, images of food items and short video clips will be uploaded by SpiceFusion to attract people and follow their page. Different taglines such as "Healthy Pizza", "Pizza with Indian condiments fusion", and others can be used by SpiceFusion to promote their products. As studied by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Wibowo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social media is playing a pivotal role in promoting products to reach a wide range of customers. Not only this, Instagram reels can be utilised by the company in case of launching new products that can easily allow them to gain positive responses from audiences. With this, comments and shares will be used as a market reach response of SpiceFusion to promote their products in the target market. On the other hand, the websites of SpiceFusion will be easier to access as they will be developed based on a user-friendly concept. As opined by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Solem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website is helpful in providing product information to the target customers and helps ensure seamless business connections. Moreover, High-quality content such as videos, images and other related items will also be easily uploaded to the web pages of SpiceFusion, which can immensely be effective in attracting customers. Apart from this, using reviews and different testimonials will be widely effective in encouraging people to think rationally and allow them to refer others to purchase from SpiceFusion. </w:t>
      </w:r>
    </w:p>
    <w:p w:rsidR="00000000" w:rsidDel="00000000" w:rsidP="00000000" w:rsidRDefault="00000000" w:rsidRPr="00000000" w14:paraId="00000064">
      <w:pPr>
        <w:pStyle w:val="Heading1"/>
        <w:rPr/>
      </w:pPr>
      <w:bookmarkStart w:colFirst="0" w:colLast="0" w:name="_3dy6vkm" w:id="6"/>
      <w:bookmarkEnd w:id="6"/>
      <w:r w:rsidDel="00000000" w:rsidR="00000000" w:rsidRPr="00000000">
        <w:rPr>
          <w:rtl w:val="0"/>
        </w:rPr>
        <w:t xml:space="preserve">7. Evaluation of the business idea </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Prior to evaluating the business idea, the SWOT analysis model was applied in the context of the start-up business SpiceFusion in the UK.</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Strengths </w:t>
            </w:r>
          </w:p>
        </w:tc>
        <w:tc>
          <w:tcPr>
            <w:shd w:fill="auto" w:val="clear"/>
            <w:tcMar>
              <w:top w:w="100.0" w:type="dxa"/>
              <w:left w:w="100.0" w:type="dxa"/>
              <w:bottom w:w="100.0" w:type="dxa"/>
              <w:right w:w="100.0" w:type="dxa"/>
            </w:tcMar>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Weaknesses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8">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innovative business idea </w:t>
            </w:r>
            <w:r w:rsidDel="00000000" w:rsidR="00000000" w:rsidRPr="00000000">
              <w:rPr>
                <w:rtl w:val="0"/>
              </w:rPr>
            </w:r>
          </w:p>
          <w:p w:rsidR="00000000" w:rsidDel="00000000" w:rsidP="00000000" w:rsidRDefault="00000000" w:rsidRPr="00000000" w14:paraId="00000069">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of healthy leadership to maintain constant service </w:t>
            </w:r>
            <w:r w:rsidDel="00000000" w:rsidR="00000000" w:rsidRPr="00000000">
              <w:rPr>
                <w:rtl w:val="0"/>
              </w:rPr>
            </w:r>
          </w:p>
          <w:p w:rsidR="00000000" w:rsidDel="00000000" w:rsidP="00000000" w:rsidRDefault="00000000" w:rsidRPr="00000000" w14:paraId="0000006A">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Good amount of investment </w:t>
            </w:r>
            <w:r w:rsidDel="00000000" w:rsidR="00000000" w:rsidRPr="00000000">
              <w:rPr>
                <w:rtl w:val="0"/>
              </w:rPr>
            </w:r>
          </w:p>
          <w:p w:rsidR="00000000" w:rsidDel="00000000" w:rsidP="00000000" w:rsidRDefault="00000000" w:rsidRPr="00000000" w14:paraId="0000006B">
            <w:pPr>
              <w:keepNext w:val="0"/>
              <w:keepLines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New products portfolio as fusion products such as Indian Pizza fusion. </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C">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Lack of knowledge about market demands</w:t>
            </w:r>
            <w:r w:rsidDel="00000000" w:rsidR="00000000" w:rsidRPr="00000000">
              <w:rPr>
                <w:rtl w:val="0"/>
              </w:rPr>
            </w:r>
          </w:p>
          <w:p w:rsidR="00000000" w:rsidDel="00000000" w:rsidP="00000000" w:rsidRDefault="00000000" w:rsidRPr="00000000" w14:paraId="0000006D">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Extreme reliance on debts or loans.</w:t>
            </w:r>
            <w:r w:rsidDel="00000000" w:rsidR="00000000" w:rsidRPr="00000000">
              <w:rPr>
                <w:rtl w:val="0"/>
              </w:rPr>
            </w:r>
          </w:p>
          <w:p w:rsidR="00000000" w:rsidDel="00000000" w:rsidP="00000000" w:rsidRDefault="00000000" w:rsidRPr="00000000" w14:paraId="0000006E">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Limited financial and human capital.</w:t>
            </w:r>
            <w:r w:rsidDel="00000000" w:rsidR="00000000" w:rsidRPr="00000000">
              <w:rPr>
                <w:rtl w:val="0"/>
              </w:rPr>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Opportunities </w:t>
            </w:r>
          </w:p>
        </w:tc>
        <w:tc>
          <w:tcPr>
            <w:shd w:fill="auto" w:val="clear"/>
            <w:tcMar>
              <w:top w:w="100.0" w:type="dxa"/>
              <w:left w:w="100.0" w:type="dxa"/>
              <w:bottom w:w="100.0" w:type="dxa"/>
              <w:right w:w="100.0" w:type="dxa"/>
            </w:tcMar>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Threats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71">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Demand for fusion food products is increasing rapidly.</w:t>
            </w:r>
            <w:r w:rsidDel="00000000" w:rsidR="00000000" w:rsidRPr="00000000">
              <w:rPr>
                <w:rtl w:val="0"/>
              </w:rPr>
            </w:r>
          </w:p>
          <w:p w:rsidR="00000000" w:rsidDel="00000000" w:rsidP="00000000" w:rsidRDefault="00000000" w:rsidRPr="00000000" w14:paraId="00000072">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Growth of just-in-time delivery technology.</w:t>
            </w:r>
            <w:r w:rsidDel="00000000" w:rsidR="00000000" w:rsidRPr="00000000">
              <w:rPr>
                <w:rtl w:val="0"/>
              </w:rPr>
            </w:r>
          </w:p>
          <w:p w:rsidR="00000000" w:rsidDel="00000000" w:rsidP="00000000" w:rsidRDefault="00000000" w:rsidRPr="00000000" w14:paraId="00000073">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Low taxation gives an effective opportunity to SpiceFusion in the UK market. </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4">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Threats from other competitors in the UK in online food delivery will lead to a threat to SpiceFusion.</w:t>
            </w:r>
            <w:r w:rsidDel="00000000" w:rsidR="00000000" w:rsidRPr="00000000">
              <w:rPr>
                <w:rtl w:val="0"/>
              </w:rPr>
            </w:r>
          </w:p>
          <w:p w:rsidR="00000000" w:rsidDel="00000000" w:rsidP="00000000" w:rsidRDefault="00000000" w:rsidRPr="00000000" w14:paraId="00000075">
            <w:pPr>
              <w:keepNext w:val="0"/>
              <w:keepLines w:val="0"/>
              <w:widowControl w:val="0"/>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Extreme reliance on food fusion concepts can lead to a threat to them. </w:t>
            </w:r>
            <w:r w:rsidDel="00000000" w:rsidR="00000000" w:rsidRPr="00000000">
              <w:rPr>
                <w:rtl w:val="0"/>
              </w:rPr>
            </w:r>
          </w:p>
        </w:tc>
      </w:tr>
    </w:tbl>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2: SWOT analysis</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Self-developed)</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this, it can be analysed that food fusion business ideas of SpiceFusion can be widely appreciated as it enables them to attract young customers and generate sales. In this context, expert skills and advice will have to be granted by SpiceFusion to deliver unique products with unique platters that can influence customers to purchase again and refer others. On the other hand, a lack of knowledge about products needed in the current market can be a crucial weakness for firms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Vissak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Not only this, the Growth of just-in-time delivery systems based on the technology will be an opportunity for SpiceFusion to promote its business in the UK market. Moreover, SpiceFusion's competitors can be Franco Manca, easyPizza and Prezzo, which can threaten SpiceFusion in the UK market.</w:t>
      </w:r>
    </w:p>
    <w:p w:rsidR="00000000" w:rsidDel="00000000" w:rsidP="00000000" w:rsidRDefault="00000000" w:rsidRPr="00000000" w14:paraId="00000079">
      <w:pPr>
        <w:pStyle w:val="Heading1"/>
        <w:rPr/>
      </w:pPr>
      <w:bookmarkStart w:colFirst="0" w:colLast="0" w:name="_1t3h5sf" w:id="7"/>
      <w:bookmarkEnd w:id="7"/>
      <w:r w:rsidDel="00000000" w:rsidR="00000000" w:rsidRPr="00000000">
        <w:rPr>
          <w:rtl w:val="0"/>
        </w:rPr>
        <w:t xml:space="preserve">8. Cash flow forecast for the first 12 months </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4968671" cy="2682472"/>
            <wp:effectExtent b="0" l="0" r="0" t="0"/>
            <wp:docPr id="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968671" cy="2682472"/>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4961050" cy="3398815"/>
            <wp:effectExtent b="0" l="0" r="0" t="0"/>
            <wp:docPr id="7"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4961050" cy="3398815"/>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4282811" cy="4877223"/>
            <wp:effectExtent b="0" l="0" r="0" t="0"/>
            <wp:docPr id="6"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4282811" cy="4877223"/>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3: Cash flow chart of SpiceFusion</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Self-developed)</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this table, it can be stated that cash flow management of the new business is essential; otherwise, financial turmoil can be persistent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Khan,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this consensus, SpiceFusion will have to be focused on maintaining its opening balance to gain high profits after closing. As per the preliminary investment of SpiceFusion, it can be stated that £25000 will be its overall budget for business development. After a monthly increase, it can be reached £50000 in 12 months. Therefore, SpiceFusion will get high-end financial support in case of proper planning and implementation. </w:t>
      </w:r>
    </w:p>
    <w:p w:rsidR="00000000" w:rsidDel="00000000" w:rsidP="00000000" w:rsidRDefault="00000000" w:rsidRPr="00000000" w14:paraId="00000080">
      <w:pPr>
        <w:pStyle w:val="Heading1"/>
        <w:rPr/>
      </w:pPr>
      <w:bookmarkStart w:colFirst="0" w:colLast="0" w:name="_4d34og8" w:id="8"/>
      <w:bookmarkEnd w:id="8"/>
      <w:r w:rsidDel="00000000" w:rsidR="00000000" w:rsidRPr="00000000">
        <w:rPr>
          <w:rtl w:val="0"/>
        </w:rPr>
        <w:t xml:space="preserve">9. Conclusion </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Thus, it can be concluded that the new business idea of SpiceFusion will be based on fusion pizza delivery in the UK market. In this context, it can be stated that Indian Pizza Fusion will be the main product of SpiceFusion. For this, an affordable pricing strategy will be applied to satisfy their target customers between the age group of 18-30 years. SpiceFusion will use social media platforms and websites in the segment of promoting products in the target market. Moreover, it can be highlighted that SpiceFusion will utilise £25000 amounts concerning start-up investment that will not be exceeded. </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83">
      <w:pPr>
        <w:pStyle w:val="Heading1"/>
        <w:rPr/>
      </w:pPr>
      <w:bookmarkStart w:colFirst="0" w:colLast="0" w:name="_2s8eyo1" w:id="9"/>
      <w:bookmarkEnd w:id="9"/>
      <w:r w:rsidDel="00000000" w:rsidR="00000000" w:rsidRPr="00000000">
        <w:rPr>
          <w:rtl w:val="0"/>
        </w:rPr>
        <w:t xml:space="preserve">10. Reference List </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Derval, D., 2023. Defining Sustainable Growth Strategies. In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Frontiers in Product Innovation Strategy: Predicting Market Outcomes and Creating Winning Products for a People and Planet-friendly Future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 59-78). Cham: Springer International Publishing.</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Hrabal, M., Tuček, D., Molnár, V. and Fedorko, G., 2021. The human factor in business process management: modelling competencies of BPM roles.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Business Process Management Journal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27</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pp.275-305.</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Hwang, J., Kim, J.J. and Lee, K.W., 2021. Investigating consumer innovativeness in the context of drone food delivery services: Its impact on attitude and behavioural intentions.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Technological Forecasting and Social Change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163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p.120433.</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Khan, S.U., 2022. Financing constraints and firm-level responses to the COVID-19 pandemic: International evidence.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Research in international business and finance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59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p.101545.</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Khurana, I., Krichevskiy, D., Dempster, G. and Stimpson, S., 2020. Institutions, entrepreneurial adaptation, and the legal form of the organisation.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Entrepreneurship and Public Policy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10</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pp.261-283.</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McGrath, L.K., Kayser, O. and Dalsace, F., 2021. Mindset drives success: Selling beneficial products at the base of the pyramid.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Business Horizons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64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pp.475-487.</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Pascoe, K.M., 2022. Remote service delivery during the COVID-19 pandemic: Questioning the impact of technology on relationship-based social work practice.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The British Journal of Social Work</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52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(6), pp.3268-3287.</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Solem, B.A.A., Fredriksen, J.I. and Sørebø, Ø., 2023. Dynamic capabilities in the realisation of omnichannel retailing.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Retail &amp; Distribution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51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pp.21-38.</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Taxoo (2023)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Sole trader tax rules 2022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Taxoo</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Available at: https://www.taxoo.co.uk/sole-trader-tax/ (Accessed: 14 June 2023). </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Taylor, D., King, R. and Smith, D., 2019. Management controls, heterarchy and innovation: a case study of a start-up company.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Accounting, Auditing &amp; Accountability Journal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(6), pp.1636-1661.</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Vissak, T., Francioni, B. and Freeman, S., 2020. Foreign market entries, exits and re-entries: The role of knowledge, network relationships and decision-making logic.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Business Review</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p.101592.</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Wibowo, A., Chen, S.C., Wiangin, U., Ma, Y. and Ruangkanjanases, A., 2020. Customer behaviour as an outcome of social media marketing: The role of social media marketing activity and customer experience.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p.189.</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Wunsch, N.-G.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Pizza: Weekly consumption in the UK 2020/21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Statista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https://www.statista.com/statistics/284481/weekly-household-consumption-of-pizza-in-the-united-kingdom-uk/ (Accessed: 14 June 2023). </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0"/>
          <w:szCs w:val="20"/>
          <w:highlight w:val="white"/>
          <w:u w:val="none"/>
          <w:vertAlign w:val="baseline"/>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sectPr>
      <w:headerReference r:id="rId11" w:type="default"/>
      <w:footerReference r:id="rId1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Cambr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2590800</wp:posOffset>
              </wp:positionH>
              <wp:positionV relativeFrom="paragraph">
                <wp:posOffset>0</wp:posOffset>
              </wp:positionV>
              <wp:extent cx="762000" cy="895350"/>
              <wp:effectExtent b="0" l="0" r="0" t="0"/>
              <wp:wrapNone/>
              <wp:docPr id="1" name=""/>
              <a:graphic>
                <a:graphicData uri="http://schemas.microsoft.com/office/word/2010/wordprocessingShape">
                  <wps:wsp>
                    <wps:cNvSpPr>
                      <a:spLocks/>
                    </wps:cNvSpPr>
                    <wps:spPr bwMode="auto">
                      <a:xfrm>
                        <a:off x="0" y="0"/>
                        <a:ext cx="762000" cy="895350"/>
                      </a:xfrm>
                      <a:prstGeom prst="rect">
                        <a:avLst/>
                      </a:prstGeom>
                      <a:solidFill>
                        <a:srgbClr val="FFFFFF"/>
                      </a:solidFill>
                      <a:ln>
                        <a:noFill/>
                      </a:ln>
                      <a:extLst>
                        <a:ext uri="{91240B29-F687-4F45-9708-019B960494DF}"/>
                      </a:extLst>
                    </wps:spPr>
                    <wps:txbx>
                      <w:txbxContent>
                        <w:sdt>
                          <w:sdtPr>
                            <w:rPr>
                              <w:rFonts w:asciiTheme="majorHAnsi" w:cstheme="majorBidi" w:eastAsiaTheme="majorEastAsia" w:hAnsiTheme="majorHAnsi"/>
                              <w:sz w:val="48"/>
                              <w:szCs w:val="48"/>
                            </w:rPr>
                            <w:id w:val="1709992740"/>
                            <w:docPartObj>
                              <w:docPartGallery w:val="Page Numbers (Margins)"/>
                              <w:docPartUnique w:val="1"/>
                            </w:docPartObj>
                          </w:sdtPr>
                          <w:sdtContent>
                            <w:sdt>
                              <w:sdtPr>
                                <w:rPr>
                                  <w:rFonts w:asciiTheme="majorHAnsi" w:cstheme="majorBidi" w:eastAsiaTheme="majorEastAsia" w:hAnsiTheme="majorHAnsi"/>
                                  <w:sz w:val="48"/>
                                  <w:szCs w:val="48"/>
                                </w:rPr>
                                <w:id w:val="-1904517296"/>
                                <w:docPartObj>
                                  <w:docPartGallery w:val="Page Numbers (Margins)"/>
                                  <w:docPartUnique w:val="1"/>
                                </w:docPartObj>
                              </w:sdtPr>
                              <w:sdtContent>
                                <w:p w:rsidR="00024EF0" w:rsidDel="00000000" w:rsidP="00000000" w:rsidRDefault="00C95F24" w:rsidRPr="00000000">
                                  <w:pPr>
                                    <w:jc w:val="center"/>
                                    <w:rPr>
                                      <w:rFonts w:asciiTheme="majorHAnsi" w:cstheme="majorBidi" w:eastAsiaTheme="majorEastAsia" w:hAnsiTheme="majorHAnsi"/>
                                      <w:sz w:val="48"/>
                                      <w:szCs w:val="44"/>
                                    </w:rPr>
                                  </w:pPr>
                                  <w:r w:rsidDel="00000000" w:rsidR="00000000" w:rsidRPr="00000000">
                                    <w:rPr>
                                      <w:rFonts w:cs="Times New Roman" w:asciiTheme="minorHAnsi" w:eastAsiaTheme="minorEastAsia" w:hAnsiTheme="minorHAnsi"/>
                                    </w:rPr>
                                    <w:fldChar w:fldCharType="begin"/>
                                  </w:r>
                                  <w:r w:rsidDel="00000000" w:rsidR="00000000" w:rsidRPr="00000000">
                                    <w:instrText xml:space="preserve"> PAGE   \* MERGEFORMAT </w:instrText>
                                  </w:r>
                                  <w:r w:rsidDel="00000000" w:rsidR="00000000" w:rsidRPr="00000000">
                                    <w:rPr>
                                      <w:rFonts w:cs="Times New Roman" w:asciiTheme="minorHAnsi" w:eastAsiaTheme="minorEastAsia" w:hAnsiTheme="minorHAnsi"/>
                                    </w:rPr>
                                    <w:fldChar w:fldCharType="separate"/>
                                  </w:r>
                                  <w:r w:rsidDel="00000000" w:rsidR="00734A27" w:rsidRPr="00734A27">
                                    <w:rPr>
                                      <w:rFonts w:asciiTheme="majorHAnsi" w:cstheme="majorBidi" w:eastAsiaTheme="majorEastAsia" w:hAnsiTheme="majorHAnsi"/>
                                      <w:noProof w:val="1"/>
                                      <w:sz w:val="48"/>
                                      <w:szCs w:val="48"/>
                                    </w:rPr>
                                    <w:t>3</w:t>
                                  </w:r>
                                  <w:r w:rsidDel="00000000" w:rsidR="00000000" w:rsidRPr="00000000">
                                    <w:rPr>
                                      <w:rFonts w:asciiTheme="majorHAnsi" w:cstheme="majorBidi" w:eastAsiaTheme="majorEastAsia" w:hAnsiTheme="majorHAnsi"/>
                                      <w:noProof w:val="1"/>
                                      <w:sz w:val="48"/>
                                      <w:szCs w:val="48"/>
                                    </w:rPr>
                                    <w:fldChar w:fldCharType="end"/>
                                  </w:r>
                                </w:p>
                              </w:sdtContent>
                            </w:sdt>
                          </w:sdtContent>
                        </w:sdt>
                      </w:txbxContent>
                    </wps:txbx>
                    <wps:bodyPr anchorCtr="0" anchor="t" bIns="45720" lIns="91440" rIns="91440" rot="0" upright="1" vert="horz" wrap="square" tIns="4572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2590800</wp:posOffset>
              </wp:positionH>
              <wp:positionV relativeFrom="paragraph">
                <wp:posOffset>0</wp:posOffset>
              </wp:positionV>
              <wp:extent cx="762000" cy="895350"/>
              <wp:effectExtent b="0" l="0" r="0" t="0"/>
              <wp:wrapNone/>
              <wp:docPr id="1" name="image6.png"/>
              <a:graphic>
                <a:graphicData uri="http://schemas.openxmlformats.org/drawingml/2006/picture">
                  <pic:pic>
                    <pic:nvPicPr>
                      <pic:cNvPr id="0" name="image6.png"/>
                      <pic:cNvPicPr preferRelativeResize="0"/>
                    </pic:nvPicPr>
                    <pic:blipFill>
                      <a:blip r:embed="rId1"/>
                      <a:srcRect b="0" l="0" r="0" t="0"/>
                      <a:stretch>
                        <a:fillRect/>
                      </a:stretch>
                    </pic:blipFill>
                    <pic:spPr>
                      <a:xfrm>
                        <a:off x="0" y="0"/>
                        <a:ext cx="762000" cy="895350"/>
                      </a:xfrm>
                      <a:prstGeom prst="rect"/>
                      <a:ln/>
                    </pic:spPr>
                  </pic:pic>
                </a:graphicData>
              </a:graphic>
            </wp:anchor>
          </w:drawing>
        </mc:Fallback>
      </mc:AlternateConten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5800725</wp:posOffset>
          </wp:positionH>
          <wp:positionV relativeFrom="paragraph">
            <wp:posOffset>-285746</wp:posOffset>
          </wp:positionV>
          <wp:extent cx="895350" cy="453390"/>
          <wp:effectExtent b="0" l="0" r="0" t="0"/>
          <wp:wrapNone/>
          <wp:docPr descr="A picture containing knife  Description automatically generated" id="3" name="image1.png"/>
          <a:graphic>
            <a:graphicData uri="http://schemas.openxmlformats.org/drawingml/2006/picture">
              <pic:pic>
                <pic:nvPicPr>
                  <pic:cNvPr descr="A picture containing knife  Description automatically generated" id="0" name="image1.png"/>
                  <pic:cNvPicPr preferRelativeResize="0"/>
                </pic:nvPicPr>
                <pic:blipFill>
                  <a:blip r:embed="rId1"/>
                  <a:srcRect b="0" l="0" r="0" t="0"/>
                  <a:stretch>
                    <a:fillRect/>
                  </a:stretch>
                </pic:blipFill>
                <pic:spPr>
                  <a:xfrm>
                    <a:off x="0" y="0"/>
                    <a:ext cx="895350" cy="45339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pPr>
      <w:spacing w:line="240" w:lineRule="auto"/>
    </w:pPr>
    <w:tblPr>
      <w:tblStyleRowBandSize w:val="1"/>
      <w:tblStyleColBandSize w:val="1"/>
      <w:tblCellMar>
        <w:top w:w="100.0" w:type="dxa"/>
        <w:left w:w="100.0" w:type="dxa"/>
        <w:bottom w:w="100.0" w:type="dxa"/>
        <w:right w:w="100.0" w:type="dxa"/>
      </w:tblCellMar>
    </w:tblPr>
  </w:style>
  <w:style w:type="table" w:styleId="Table2">
    <w:basedOn w:val="TableNormal"/>
    <w:pPr>
      <w:spacing w:line="240" w:lineRule="auto"/>
    </w:pPr>
    <w:tblPr>
      <w:tblStyleRowBandSize w:val="1"/>
      <w:tblStyleColBandSize w:val="1"/>
      <w:tblCellMar>
        <w:top w:w="100.0" w:type="dxa"/>
        <w:left w:w="100.0" w:type="dxa"/>
        <w:bottom w:w="100.0" w:type="dxa"/>
        <w:right w:w="100.0" w:type="dxa"/>
      </w:tblCellMar>
    </w:tblPr>
  </w:style>
  <w:style w:type="table" w:styleId="Table3">
    <w:basedOn w:val="TableNormal"/>
    <w:pPr>
      <w:spacing w:line="240" w:lineRule="auto"/>
    </w:p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4.png"/><Relationship Id="rId12" Type="http://schemas.openxmlformats.org/officeDocument/2006/relationships/footer" Target="footer1.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7.png"/><Relationship Id="rId8" Type="http://schemas.openxmlformats.org/officeDocument/2006/relationships/image" Target="media/image3.png"/></Relationships>
</file>

<file path=word/_rels/footer1.xml.rels><?xml version="1.0" encoding="UTF-8" standalone="yes"?><Relationships xmlns="http://schemas.openxmlformats.org/package/2006/relationships"><Relationship Id="rId1"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