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32B8DA" w14:textId="77777777" w:rsidR="006C570E" w:rsidRDefault="006C570E" w:rsidP="00EB16E3">
      <w:pPr>
        <w:rPr>
          <w:rFonts w:ascii="Times New Roman" w:hAnsi="Times New Roman" w:cs="Times New Roman"/>
          <w:b/>
          <w:bCs/>
          <w:sz w:val="40"/>
          <w:szCs w:val="40"/>
          <w:lang w:val="en-GB"/>
        </w:rPr>
      </w:pPr>
    </w:p>
    <w:p w14:paraId="27E6151B" w14:textId="042B7C94" w:rsidR="006C570E" w:rsidRDefault="006C570E" w:rsidP="00EB16E3">
      <w:pPr>
        <w:rPr>
          <w:rFonts w:ascii="Times New Roman" w:hAnsi="Times New Roman" w:cs="Times New Roman"/>
          <w:b/>
          <w:bCs/>
          <w:sz w:val="40"/>
          <w:szCs w:val="40"/>
          <w:lang w:val="en-GB"/>
        </w:rPr>
      </w:pPr>
      <w:r>
        <w:rPr>
          <w:noProof/>
        </w:rPr>
        <w:drawing>
          <wp:anchor distT="0" distB="0" distL="114300" distR="114300" simplePos="0" relativeHeight="251659264" behindDoc="1" locked="0" layoutInCell="1" allowOverlap="1" wp14:anchorId="0713513A" wp14:editId="02C969CC">
            <wp:simplePos x="0" y="0"/>
            <wp:positionH relativeFrom="margin">
              <wp:align>left</wp:align>
            </wp:positionH>
            <wp:positionV relativeFrom="paragraph">
              <wp:posOffset>360045</wp:posOffset>
            </wp:positionV>
            <wp:extent cx="2590800" cy="1704340"/>
            <wp:effectExtent l="0" t="0" r="0" b="0"/>
            <wp:wrapTight wrapText="bothSides">
              <wp:wrapPolygon edited="0">
                <wp:start x="0" y="0"/>
                <wp:lineTo x="0" y="21246"/>
                <wp:lineTo x="21441" y="21246"/>
                <wp:lineTo x="21441" y="0"/>
                <wp:lineTo x="0" y="0"/>
              </wp:wrapPolygon>
            </wp:wrapTight>
            <wp:docPr id="1" name="Picture 1"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The University of Wales Trinity Saint David (UWTSD) | 4theRegion"/>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590800" cy="1704340"/>
                    </a:xfrm>
                    <a:prstGeom prst="rect">
                      <a:avLst/>
                    </a:prstGeom>
                    <a:noFill/>
                  </pic:spPr>
                </pic:pic>
              </a:graphicData>
            </a:graphic>
            <wp14:sizeRelH relativeFrom="page">
              <wp14:pctWidth>0</wp14:pctWidth>
            </wp14:sizeRelH>
            <wp14:sizeRelV relativeFrom="page">
              <wp14:pctHeight>0</wp14:pctHeight>
            </wp14:sizeRelV>
          </wp:anchor>
        </w:drawing>
      </w:r>
    </w:p>
    <w:p w14:paraId="547550BC" w14:textId="07F2AEE0" w:rsidR="00EB16E3" w:rsidRDefault="00EB16E3" w:rsidP="00EB16E3">
      <w:pPr>
        <w:rPr>
          <w:rFonts w:ascii="Times New Roman" w:hAnsi="Times New Roman" w:cs="Times New Roman"/>
          <w:b/>
          <w:bCs/>
          <w:sz w:val="40"/>
          <w:szCs w:val="40"/>
          <w:lang w:val="en-GB"/>
        </w:rPr>
      </w:pPr>
    </w:p>
    <w:p w14:paraId="33A7117E" w14:textId="77777777" w:rsidR="00EB16E3" w:rsidRDefault="00EB16E3" w:rsidP="00EB16E3">
      <w:pPr>
        <w:rPr>
          <w:b/>
          <w:bCs/>
          <w:sz w:val="24"/>
          <w:szCs w:val="24"/>
        </w:rPr>
      </w:pPr>
    </w:p>
    <w:p w14:paraId="2B56D668" w14:textId="77777777" w:rsidR="00EB16E3" w:rsidRDefault="00EB16E3" w:rsidP="00EB16E3">
      <w:pPr>
        <w:rPr>
          <w:b/>
          <w:bCs/>
          <w:sz w:val="24"/>
          <w:szCs w:val="24"/>
        </w:rPr>
      </w:pPr>
    </w:p>
    <w:p w14:paraId="3D6C2022" w14:textId="77777777" w:rsidR="00EB16E3" w:rsidRDefault="00EB16E3" w:rsidP="00EB16E3">
      <w:pPr>
        <w:rPr>
          <w:b/>
          <w:bCs/>
          <w:sz w:val="24"/>
          <w:szCs w:val="24"/>
        </w:rPr>
      </w:pPr>
    </w:p>
    <w:p w14:paraId="781995B6" w14:textId="77777777" w:rsidR="00EB16E3" w:rsidRDefault="00EB16E3" w:rsidP="00EB16E3">
      <w:pPr>
        <w:rPr>
          <w:b/>
          <w:bCs/>
          <w:sz w:val="24"/>
          <w:szCs w:val="24"/>
        </w:rPr>
      </w:pPr>
    </w:p>
    <w:p w14:paraId="08914D66" w14:textId="77777777" w:rsidR="00EB16E3" w:rsidRDefault="00EB16E3" w:rsidP="00EB16E3">
      <w:pPr>
        <w:rPr>
          <w:b/>
          <w:bCs/>
          <w:sz w:val="24"/>
          <w:szCs w:val="24"/>
        </w:rPr>
      </w:pPr>
    </w:p>
    <w:p w14:paraId="4952F348" w14:textId="77777777" w:rsidR="00EB16E3" w:rsidRDefault="00EB16E3" w:rsidP="00EB16E3">
      <w:pPr>
        <w:spacing w:line="360" w:lineRule="auto"/>
        <w:rPr>
          <w:rFonts w:ascii="Times New Roman" w:hAnsi="Times New Roman" w:cs="Times New Roman"/>
          <w:b/>
          <w:sz w:val="24"/>
          <w:szCs w:val="24"/>
        </w:rPr>
      </w:pPr>
      <w:r>
        <w:rPr>
          <w:rFonts w:ascii="Times New Roman" w:hAnsi="Times New Roman" w:cs="Times New Roman"/>
          <w:b/>
          <w:sz w:val="24"/>
          <w:szCs w:val="24"/>
        </w:rPr>
        <w:t>Student Name: JAYASURYA SHAJI</w:t>
      </w:r>
    </w:p>
    <w:p w14:paraId="0E4BF7F6" w14:textId="77777777" w:rsidR="00EB16E3" w:rsidRDefault="00EB16E3" w:rsidP="00EB16E3">
      <w:pPr>
        <w:spacing w:line="360" w:lineRule="auto"/>
        <w:rPr>
          <w:rFonts w:ascii="Times New Roman" w:hAnsi="Times New Roman" w:cs="Times New Roman"/>
          <w:b/>
          <w:sz w:val="24"/>
          <w:szCs w:val="24"/>
        </w:rPr>
      </w:pPr>
      <w:r>
        <w:rPr>
          <w:rFonts w:ascii="Times New Roman" w:hAnsi="Times New Roman" w:cs="Times New Roman"/>
          <w:b/>
          <w:sz w:val="24"/>
          <w:szCs w:val="24"/>
        </w:rPr>
        <w:t>Student ID:2132225</w:t>
      </w:r>
    </w:p>
    <w:p w14:paraId="137453F0" w14:textId="77777777" w:rsidR="00EB16E3" w:rsidRDefault="00EB16E3" w:rsidP="00EB16E3">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Module Name: Managing People -Assessment </w:t>
      </w:r>
    </w:p>
    <w:p w14:paraId="70C4E12C" w14:textId="77777777" w:rsidR="00EB16E3" w:rsidRDefault="00EB16E3" w:rsidP="00EB16E3">
      <w:pPr>
        <w:spacing w:line="360" w:lineRule="auto"/>
        <w:rPr>
          <w:rFonts w:ascii="Times New Roman" w:hAnsi="Times New Roman" w:cs="Times New Roman"/>
          <w:b/>
          <w:sz w:val="24"/>
          <w:szCs w:val="24"/>
        </w:rPr>
      </w:pPr>
      <w:r>
        <w:rPr>
          <w:rFonts w:ascii="Times New Roman" w:hAnsi="Times New Roman" w:cs="Times New Roman"/>
          <w:b/>
          <w:sz w:val="24"/>
          <w:szCs w:val="24"/>
        </w:rPr>
        <w:t>Module Code: LCMB7011</w:t>
      </w:r>
    </w:p>
    <w:p w14:paraId="4BFF3DA9" w14:textId="77777777" w:rsidR="00EB16E3" w:rsidRDefault="00EB16E3" w:rsidP="00EB16E3">
      <w:pPr>
        <w:spacing w:line="360" w:lineRule="auto"/>
        <w:rPr>
          <w:rFonts w:ascii="Times New Roman" w:hAnsi="Times New Roman" w:cs="Times New Roman"/>
          <w:b/>
          <w:sz w:val="24"/>
          <w:szCs w:val="24"/>
        </w:rPr>
      </w:pPr>
      <w:r>
        <w:rPr>
          <w:rFonts w:ascii="Times New Roman" w:hAnsi="Times New Roman" w:cs="Times New Roman"/>
          <w:b/>
          <w:sz w:val="24"/>
          <w:szCs w:val="24"/>
        </w:rPr>
        <w:t>Lecturer Name: Jean Wang</w:t>
      </w:r>
    </w:p>
    <w:p w14:paraId="19ED4CCC" w14:textId="77777777" w:rsidR="00EB16E3" w:rsidRDefault="00EB16E3" w:rsidP="00EB16E3">
      <w:pPr>
        <w:rPr>
          <w:b/>
          <w:bCs/>
          <w:sz w:val="24"/>
          <w:szCs w:val="24"/>
        </w:rPr>
      </w:pPr>
    </w:p>
    <w:p w14:paraId="3FA7DDC4" w14:textId="77777777" w:rsidR="00EB16E3" w:rsidRDefault="00EB16E3" w:rsidP="00EB16E3">
      <w:pPr>
        <w:rPr>
          <w:b/>
          <w:bCs/>
          <w:sz w:val="24"/>
          <w:szCs w:val="24"/>
        </w:rPr>
      </w:pPr>
    </w:p>
    <w:p w14:paraId="25F36FC3" w14:textId="77777777" w:rsidR="00EB16E3" w:rsidRDefault="00EB16E3" w:rsidP="00EB16E3">
      <w:pPr>
        <w:spacing w:line="360" w:lineRule="auto"/>
        <w:jc w:val="both"/>
        <w:rPr>
          <w:rFonts w:ascii="Times New Roman" w:hAnsi="Times New Roman" w:cs="Times New Roman"/>
          <w:b/>
          <w:bCs/>
          <w:sz w:val="24"/>
          <w:szCs w:val="24"/>
          <w:highlight w:val="cyan"/>
          <w:lang w:val="en-US"/>
        </w:rPr>
      </w:pPr>
    </w:p>
    <w:p w14:paraId="26942801" w14:textId="5FDBEC57" w:rsidR="00EB16E3" w:rsidRDefault="00EB16E3"/>
    <w:p w14:paraId="1306A0A5" w14:textId="004DA805" w:rsidR="00EB16E3" w:rsidRDefault="00EB16E3"/>
    <w:p w14:paraId="3E3385A2" w14:textId="599A6C12" w:rsidR="00EB16E3" w:rsidRDefault="00EB16E3"/>
    <w:p w14:paraId="1430DD10" w14:textId="319D5F38" w:rsidR="00EB16E3" w:rsidRDefault="00EB16E3"/>
    <w:p w14:paraId="7D5AA7DB" w14:textId="19E66576" w:rsidR="00EB16E3" w:rsidRDefault="00EB16E3"/>
    <w:p w14:paraId="36CF1EBC" w14:textId="42DAD4FC" w:rsidR="00EB16E3" w:rsidRDefault="00EB16E3"/>
    <w:p w14:paraId="60299459" w14:textId="362CFB24" w:rsidR="00EB16E3" w:rsidRDefault="00EB16E3"/>
    <w:p w14:paraId="76AB61A0" w14:textId="27CD3741" w:rsidR="00EB16E3" w:rsidRDefault="00EB16E3"/>
    <w:p w14:paraId="06CD8378" w14:textId="153957AE" w:rsidR="00EB16E3" w:rsidRDefault="00EB16E3"/>
    <w:p w14:paraId="53E573D2" w14:textId="24990F51" w:rsidR="00EB16E3" w:rsidRDefault="00EB16E3"/>
    <w:p w14:paraId="1EED499B" w14:textId="102D751C" w:rsidR="00EB16E3" w:rsidRDefault="00EB16E3"/>
    <w:p w14:paraId="3AF276AF" w14:textId="02BFE44E" w:rsidR="00EB16E3" w:rsidRDefault="00EB16E3"/>
    <w:p w14:paraId="16A637D1" w14:textId="01B7F83E" w:rsidR="00EB16E3" w:rsidRDefault="00EB16E3"/>
    <w:p w14:paraId="09BB0631" w14:textId="66E94AF6" w:rsidR="00EB16E3" w:rsidRDefault="00EB16E3"/>
    <w:p w14:paraId="1EEDA2F1" w14:textId="1D90AB1B" w:rsidR="00EB16E3" w:rsidRDefault="00EB16E3"/>
    <w:p w14:paraId="5200DD16" w14:textId="7DE65908" w:rsidR="00EB16E3" w:rsidRDefault="00EB16E3"/>
    <w:p w14:paraId="08F2844A" w14:textId="5AC9D270" w:rsidR="00934F56" w:rsidRDefault="00934F56"/>
    <w:p w14:paraId="0B9AFE70" w14:textId="1B82CB1B" w:rsidR="00934F56" w:rsidRDefault="00934F56"/>
    <w:p w14:paraId="03B688C7" w14:textId="4B4D976A" w:rsidR="00934F56" w:rsidRDefault="00934F56"/>
    <w:p w14:paraId="7AB68EF4" w14:textId="77777777" w:rsidR="00934F56" w:rsidRDefault="00934F56"/>
    <w:p w14:paraId="07DF2F67" w14:textId="77777777" w:rsidR="00EB16E3" w:rsidRDefault="00EB16E3" w:rsidP="00EB16E3">
      <w:pPr>
        <w:pStyle w:val="Heading1"/>
        <w:rPr>
          <w:rFonts w:cs="Times New Roman"/>
          <w:szCs w:val="24"/>
        </w:rPr>
      </w:pPr>
      <w:bookmarkStart w:id="0" w:name="_Toc123160310"/>
      <w:r>
        <w:rPr>
          <w:rFonts w:cs="Times New Roman"/>
          <w:szCs w:val="24"/>
        </w:rPr>
        <w:t>Abstract</w:t>
      </w:r>
      <w:bookmarkEnd w:id="0"/>
    </w:p>
    <w:p w14:paraId="182A2B42" w14:textId="77777777" w:rsidR="00EB16E3" w:rsidRDefault="00EB16E3" w:rsidP="00EB16E3">
      <w:pPr>
        <w:pStyle w:val="NormalWeb"/>
        <w:spacing w:before="0" w:beforeAutospacing="0" w:after="0" w:afterAutospacing="0" w:line="360" w:lineRule="auto"/>
        <w:jc w:val="both"/>
        <w:rPr>
          <w:color w:val="0E101A"/>
        </w:rPr>
      </w:pPr>
      <w:r>
        <w:t xml:space="preserve">This article is intended to </w:t>
      </w:r>
      <w:proofErr w:type="gramStart"/>
      <w:r>
        <w:t>reviewing</w:t>
      </w:r>
      <w:proofErr w:type="gramEnd"/>
      <w:r>
        <w:t xml:space="preserve"> the practice of fire and rehire of in the UK labour market and to assess the dissimilar tactics organised by different companies. Firing and rehiring tactics have occasionally led to lawful consequences because of changing contractual service terms. The </w:t>
      </w:r>
      <w:r>
        <w:rPr>
          <w:color w:val="000000" w:themeColor="text1"/>
          <w:shd w:val="clear" w:color="auto" w:fill="FFFFFF"/>
        </w:rPr>
        <w:t xml:space="preserve">fire and rehire is not unlawful, though, it transmits important lawful risk and can cause problems with workforce associations. Confidence and performance. </w:t>
      </w:r>
      <w:r>
        <w:rPr>
          <w:color w:val="0B0C0C"/>
          <w:shd w:val="clear" w:color="auto" w:fill="FFFFFF"/>
        </w:rPr>
        <w:t xml:space="preserve">The fire and hire tactics are also refers to when the company </w:t>
      </w:r>
      <w:r>
        <w:rPr>
          <w:color w:val="0B0C0C"/>
          <w:shd w:val="clear" w:color="auto" w:fill="FFFFFF"/>
        </w:rPr>
        <w:tab/>
        <w:t xml:space="preserve">terminates a worker and rehires them on new, fewer favourable terms. </w:t>
      </w:r>
      <w:r>
        <w:t xml:space="preserve">Firing and rehiring is utilised by the employers to change terms of circumstances by finishing a contractual contract to announce a new contract through rehiring the employees on unfavourable terms. </w:t>
      </w:r>
      <w:r>
        <w:rPr>
          <w:color w:val="0B0C0C"/>
          <w:shd w:val="clear" w:color="auto" w:fill="FFFFFF"/>
        </w:rPr>
        <w:t xml:space="preserve">This report is also analysing the employment laws and the employment contract. The employment laws are </w:t>
      </w:r>
      <w:r>
        <w:rPr>
          <w:color w:val="0E101A"/>
        </w:rPr>
        <w:t xml:space="preserve">significant in every organisation because, it helps in shielding both the employers and workers. Moreover, this report is also providing the legal implication of changing contractual employment terms. in addition, the employee engagement and the role of HR department involved in the fire and rehire are mentioned in this report. The old-style models of human resource management for handling contemporary employment associations and an appropriate recommendation are also provided through this report. </w:t>
      </w:r>
    </w:p>
    <w:p w14:paraId="24CA363B" w14:textId="77777777" w:rsidR="00EB16E3" w:rsidRDefault="00EB16E3" w:rsidP="00EB16E3">
      <w:pPr>
        <w:pStyle w:val="NormalWeb"/>
        <w:spacing w:before="0" w:beforeAutospacing="0" w:after="0" w:afterAutospacing="0" w:line="360" w:lineRule="auto"/>
        <w:jc w:val="both"/>
        <w:rPr>
          <w:color w:val="0E101A"/>
        </w:rPr>
      </w:pPr>
    </w:p>
    <w:p w14:paraId="7C8F3232" w14:textId="77777777" w:rsidR="00EB16E3" w:rsidRDefault="00EB16E3" w:rsidP="00EB16E3">
      <w:pPr>
        <w:pStyle w:val="NormalWeb"/>
        <w:spacing w:before="0" w:beforeAutospacing="0" w:after="0" w:afterAutospacing="0" w:line="360" w:lineRule="auto"/>
        <w:jc w:val="both"/>
        <w:rPr>
          <w:color w:val="0E101A"/>
        </w:rPr>
      </w:pPr>
    </w:p>
    <w:p w14:paraId="1C85B448" w14:textId="77777777" w:rsidR="00EB16E3" w:rsidRDefault="00EB16E3" w:rsidP="00EB16E3">
      <w:pPr>
        <w:pStyle w:val="NormalWeb"/>
        <w:spacing w:before="0" w:beforeAutospacing="0" w:after="0" w:afterAutospacing="0" w:line="360" w:lineRule="auto"/>
        <w:jc w:val="both"/>
        <w:rPr>
          <w:color w:val="0E101A"/>
        </w:rPr>
      </w:pPr>
    </w:p>
    <w:p w14:paraId="5061FB68" w14:textId="77777777" w:rsidR="00EB16E3" w:rsidRDefault="00EB16E3" w:rsidP="00EB16E3">
      <w:pPr>
        <w:pStyle w:val="NormalWeb"/>
        <w:spacing w:before="0" w:beforeAutospacing="0" w:after="0" w:afterAutospacing="0" w:line="360" w:lineRule="auto"/>
        <w:jc w:val="both"/>
        <w:rPr>
          <w:color w:val="0E101A"/>
        </w:rPr>
      </w:pPr>
    </w:p>
    <w:p w14:paraId="59F6A909" w14:textId="77777777" w:rsidR="00EB16E3" w:rsidRDefault="00EB16E3" w:rsidP="00EB16E3">
      <w:pPr>
        <w:pStyle w:val="NormalWeb"/>
        <w:spacing w:before="0" w:beforeAutospacing="0" w:after="0" w:afterAutospacing="0" w:line="360" w:lineRule="auto"/>
        <w:jc w:val="both"/>
        <w:rPr>
          <w:color w:val="0E101A"/>
        </w:rPr>
      </w:pPr>
    </w:p>
    <w:p w14:paraId="66BF9975" w14:textId="77777777" w:rsidR="00EB16E3" w:rsidRDefault="00EB16E3" w:rsidP="00EB16E3">
      <w:pPr>
        <w:pStyle w:val="NormalWeb"/>
        <w:spacing w:before="0" w:beforeAutospacing="0" w:after="0" w:afterAutospacing="0" w:line="360" w:lineRule="auto"/>
        <w:jc w:val="both"/>
        <w:rPr>
          <w:color w:val="0E101A"/>
        </w:rPr>
      </w:pPr>
    </w:p>
    <w:p w14:paraId="5F6EF984" w14:textId="77777777" w:rsidR="00EB16E3" w:rsidRDefault="00EB16E3" w:rsidP="00EB16E3">
      <w:pPr>
        <w:pStyle w:val="NormalWeb"/>
        <w:spacing w:before="0" w:beforeAutospacing="0" w:after="0" w:afterAutospacing="0" w:line="360" w:lineRule="auto"/>
        <w:jc w:val="both"/>
        <w:rPr>
          <w:color w:val="0E101A"/>
        </w:rPr>
      </w:pPr>
    </w:p>
    <w:p w14:paraId="3F6718E4" w14:textId="77777777" w:rsidR="00EB16E3" w:rsidRDefault="00EB16E3" w:rsidP="00EB16E3">
      <w:pPr>
        <w:pStyle w:val="NormalWeb"/>
        <w:spacing w:before="0" w:beforeAutospacing="0" w:after="0" w:afterAutospacing="0" w:line="360" w:lineRule="auto"/>
        <w:jc w:val="both"/>
        <w:rPr>
          <w:color w:val="0E101A"/>
        </w:rPr>
      </w:pPr>
    </w:p>
    <w:p w14:paraId="7132B7CB" w14:textId="77777777" w:rsidR="00EB16E3" w:rsidRDefault="00EB16E3" w:rsidP="00EB16E3">
      <w:pPr>
        <w:pStyle w:val="NormalWeb"/>
        <w:spacing w:before="0" w:beforeAutospacing="0" w:after="0" w:afterAutospacing="0" w:line="360" w:lineRule="auto"/>
        <w:jc w:val="both"/>
        <w:rPr>
          <w:color w:val="0E101A"/>
        </w:rPr>
      </w:pPr>
    </w:p>
    <w:p w14:paraId="41C1E633" w14:textId="77777777" w:rsidR="00EB16E3" w:rsidRDefault="00EB16E3" w:rsidP="00EB16E3">
      <w:pPr>
        <w:pStyle w:val="NormalWeb"/>
        <w:spacing w:before="0" w:beforeAutospacing="0" w:after="0" w:afterAutospacing="0" w:line="360" w:lineRule="auto"/>
        <w:jc w:val="both"/>
        <w:rPr>
          <w:color w:val="0E101A"/>
        </w:rPr>
      </w:pPr>
    </w:p>
    <w:p w14:paraId="46A90B51" w14:textId="77777777" w:rsidR="00EB16E3" w:rsidRDefault="00EB16E3" w:rsidP="00EB16E3">
      <w:pPr>
        <w:pStyle w:val="NormalWeb"/>
        <w:spacing w:before="0" w:beforeAutospacing="0" w:after="0" w:afterAutospacing="0" w:line="360" w:lineRule="auto"/>
        <w:jc w:val="both"/>
        <w:rPr>
          <w:color w:val="0E101A"/>
        </w:rPr>
      </w:pPr>
    </w:p>
    <w:p w14:paraId="5E2405A1" w14:textId="77777777" w:rsidR="00EB16E3" w:rsidRDefault="00EB16E3" w:rsidP="00EB16E3">
      <w:pPr>
        <w:pStyle w:val="NormalWeb"/>
        <w:spacing w:before="0" w:beforeAutospacing="0" w:after="0" w:afterAutospacing="0" w:line="360" w:lineRule="auto"/>
        <w:jc w:val="both"/>
        <w:rPr>
          <w:color w:val="0E101A"/>
        </w:rPr>
      </w:pPr>
    </w:p>
    <w:p w14:paraId="26F8DE36" w14:textId="77777777" w:rsidR="00EB16E3" w:rsidRDefault="00EB16E3" w:rsidP="00EB16E3">
      <w:pPr>
        <w:pStyle w:val="NormalWeb"/>
        <w:spacing w:before="0" w:beforeAutospacing="0" w:after="0" w:afterAutospacing="0" w:line="360" w:lineRule="auto"/>
        <w:jc w:val="both"/>
        <w:rPr>
          <w:color w:val="0E101A"/>
        </w:rPr>
      </w:pPr>
    </w:p>
    <w:p w14:paraId="34718699" w14:textId="77777777" w:rsidR="00EB16E3" w:rsidRDefault="00EB16E3" w:rsidP="00EB16E3">
      <w:pPr>
        <w:pStyle w:val="NormalWeb"/>
        <w:spacing w:before="0" w:beforeAutospacing="0" w:after="0" w:afterAutospacing="0" w:line="360" w:lineRule="auto"/>
        <w:jc w:val="both"/>
        <w:rPr>
          <w:color w:val="0E101A"/>
        </w:rPr>
      </w:pPr>
    </w:p>
    <w:p w14:paraId="02457247" w14:textId="77777777" w:rsidR="00EB16E3" w:rsidRDefault="00EB16E3" w:rsidP="00EB16E3">
      <w:pPr>
        <w:pStyle w:val="NormalWeb"/>
        <w:spacing w:before="0" w:beforeAutospacing="0" w:after="0" w:afterAutospacing="0" w:line="360" w:lineRule="auto"/>
        <w:jc w:val="both"/>
        <w:rPr>
          <w:color w:val="0E101A"/>
        </w:rPr>
      </w:pPr>
    </w:p>
    <w:sdt>
      <w:sdtPr>
        <w:rPr>
          <w:rFonts w:ascii="Times New Roman" w:eastAsiaTheme="minorHAnsi" w:hAnsi="Times New Roman" w:cs="Times New Roman"/>
          <w:color w:val="auto"/>
          <w:sz w:val="24"/>
          <w:szCs w:val="24"/>
          <w:lang w:val="en-IN"/>
        </w:rPr>
        <w:id w:val="-90714126"/>
        <w:docPartObj>
          <w:docPartGallery w:val="Table of Contents"/>
          <w:docPartUnique/>
        </w:docPartObj>
      </w:sdtPr>
      <w:sdtContent>
        <w:p w14:paraId="3D3DC757" w14:textId="77777777" w:rsidR="00EB16E3" w:rsidRDefault="00EB16E3" w:rsidP="00EB16E3">
          <w:pPr>
            <w:pStyle w:val="TOCHeading"/>
            <w:rPr>
              <w:rFonts w:ascii="Times New Roman" w:hAnsi="Times New Roman" w:cs="Times New Roman"/>
              <w:sz w:val="24"/>
              <w:szCs w:val="24"/>
            </w:rPr>
          </w:pPr>
          <w:r>
            <w:rPr>
              <w:rFonts w:ascii="Times New Roman" w:hAnsi="Times New Roman" w:cs="Times New Roman"/>
              <w:sz w:val="24"/>
              <w:szCs w:val="24"/>
            </w:rPr>
            <w:t>Contents</w:t>
          </w:r>
        </w:p>
        <w:p w14:paraId="06151B45" w14:textId="77777777" w:rsidR="00EB16E3" w:rsidRDefault="00000000" w:rsidP="00EB16E3">
          <w:pPr>
            <w:pStyle w:val="TOC1"/>
            <w:tabs>
              <w:tab w:val="right" w:leader="dot" w:pos="9016"/>
            </w:tabs>
            <w:rPr>
              <w:rFonts w:ascii="Times New Roman" w:hAnsi="Times New Roman" w:cs="Times New Roman"/>
              <w:noProof/>
              <w:sz w:val="24"/>
              <w:szCs w:val="24"/>
            </w:rPr>
          </w:pPr>
          <w:hyperlink r:id="rId6" w:anchor="_Toc123160310" w:history="1">
            <w:r w:rsidR="00EB16E3">
              <w:rPr>
                <w:rStyle w:val="Hyperlink"/>
                <w:rFonts w:cs="Times New Roman"/>
                <w:noProof/>
                <w:szCs w:val="24"/>
              </w:rPr>
              <w:t>Abstract</w:t>
            </w:r>
            <w:r w:rsidR="00EB16E3">
              <w:rPr>
                <w:rStyle w:val="Hyperlink"/>
                <w:rFonts w:cs="Times New Roman"/>
                <w:noProof/>
                <w:webHidden/>
                <w:szCs w:val="24"/>
              </w:rPr>
              <w:tab/>
            </w:r>
            <w:r w:rsidR="00EB16E3">
              <w:rPr>
                <w:rStyle w:val="Hyperlink"/>
                <w:rFonts w:cs="Times New Roman"/>
                <w:noProof/>
                <w:webHidden/>
                <w:szCs w:val="24"/>
              </w:rPr>
              <w:fldChar w:fldCharType="begin"/>
            </w:r>
            <w:r w:rsidR="00EB16E3">
              <w:rPr>
                <w:rStyle w:val="Hyperlink"/>
                <w:rFonts w:cs="Times New Roman"/>
                <w:noProof/>
                <w:webHidden/>
                <w:szCs w:val="24"/>
              </w:rPr>
              <w:instrText xml:space="preserve"> PAGEREF _Toc123160310 \h </w:instrText>
            </w:r>
            <w:r w:rsidR="00EB16E3">
              <w:rPr>
                <w:rStyle w:val="Hyperlink"/>
                <w:rFonts w:cs="Times New Roman"/>
                <w:noProof/>
                <w:webHidden/>
                <w:szCs w:val="24"/>
              </w:rPr>
            </w:r>
            <w:r w:rsidR="00EB16E3">
              <w:rPr>
                <w:rStyle w:val="Hyperlink"/>
                <w:rFonts w:cs="Times New Roman"/>
                <w:noProof/>
                <w:webHidden/>
                <w:szCs w:val="24"/>
              </w:rPr>
              <w:fldChar w:fldCharType="separate"/>
            </w:r>
            <w:r w:rsidR="00EB16E3">
              <w:rPr>
                <w:rStyle w:val="Hyperlink"/>
                <w:rFonts w:cs="Times New Roman"/>
                <w:noProof/>
                <w:webHidden/>
                <w:szCs w:val="24"/>
              </w:rPr>
              <w:t>2</w:t>
            </w:r>
            <w:r w:rsidR="00EB16E3">
              <w:rPr>
                <w:rStyle w:val="Hyperlink"/>
                <w:rFonts w:cs="Times New Roman"/>
                <w:noProof/>
                <w:webHidden/>
                <w:szCs w:val="24"/>
              </w:rPr>
              <w:fldChar w:fldCharType="end"/>
            </w:r>
          </w:hyperlink>
        </w:p>
        <w:p w14:paraId="72C3D532" w14:textId="77777777" w:rsidR="00EB16E3" w:rsidRDefault="00000000" w:rsidP="00EB16E3">
          <w:pPr>
            <w:pStyle w:val="TOC1"/>
            <w:tabs>
              <w:tab w:val="right" w:leader="dot" w:pos="9016"/>
            </w:tabs>
            <w:rPr>
              <w:rFonts w:ascii="Times New Roman" w:hAnsi="Times New Roman" w:cs="Times New Roman"/>
              <w:noProof/>
              <w:sz w:val="24"/>
              <w:szCs w:val="24"/>
            </w:rPr>
          </w:pPr>
          <w:hyperlink r:id="rId7" w:anchor="_Toc123160311" w:history="1">
            <w:r w:rsidR="00EB16E3">
              <w:rPr>
                <w:rStyle w:val="Hyperlink"/>
                <w:rFonts w:cs="Times New Roman"/>
                <w:noProof/>
                <w:szCs w:val="24"/>
              </w:rPr>
              <w:t>Introduction</w:t>
            </w:r>
            <w:r w:rsidR="00EB16E3">
              <w:rPr>
                <w:rStyle w:val="Hyperlink"/>
                <w:rFonts w:cs="Times New Roman"/>
                <w:noProof/>
                <w:webHidden/>
                <w:szCs w:val="24"/>
              </w:rPr>
              <w:tab/>
              <w:t>3</w:t>
            </w:r>
          </w:hyperlink>
        </w:p>
        <w:p w14:paraId="5DD6C2AB" w14:textId="77777777" w:rsidR="00EB16E3" w:rsidRDefault="00000000" w:rsidP="00EB16E3">
          <w:pPr>
            <w:pStyle w:val="TOC1"/>
            <w:tabs>
              <w:tab w:val="right" w:leader="dot" w:pos="9016"/>
            </w:tabs>
            <w:rPr>
              <w:rFonts w:ascii="Times New Roman" w:hAnsi="Times New Roman" w:cs="Times New Roman"/>
              <w:noProof/>
              <w:sz w:val="24"/>
              <w:szCs w:val="24"/>
            </w:rPr>
          </w:pPr>
          <w:hyperlink r:id="rId8" w:anchor="_Toc123160312" w:history="1">
            <w:r w:rsidR="00EB16E3">
              <w:rPr>
                <w:rStyle w:val="Hyperlink"/>
                <w:rFonts w:cs="Times New Roman"/>
                <w:noProof/>
                <w:szCs w:val="24"/>
              </w:rPr>
              <w:t>Fire and rehire tactics within the UK labour market</w:t>
            </w:r>
            <w:r w:rsidR="00EB16E3">
              <w:rPr>
                <w:rStyle w:val="Hyperlink"/>
                <w:rFonts w:cs="Times New Roman"/>
                <w:noProof/>
                <w:webHidden/>
                <w:szCs w:val="24"/>
              </w:rPr>
              <w:tab/>
              <w:t>3</w:t>
            </w:r>
          </w:hyperlink>
        </w:p>
        <w:p w14:paraId="12F6FC5B" w14:textId="77777777" w:rsidR="00EB16E3" w:rsidRDefault="00000000" w:rsidP="00EB16E3">
          <w:pPr>
            <w:pStyle w:val="TOC1"/>
            <w:tabs>
              <w:tab w:val="right" w:leader="dot" w:pos="9016"/>
            </w:tabs>
            <w:rPr>
              <w:rFonts w:ascii="Times New Roman" w:hAnsi="Times New Roman" w:cs="Times New Roman"/>
              <w:noProof/>
              <w:sz w:val="24"/>
              <w:szCs w:val="24"/>
            </w:rPr>
          </w:pPr>
          <w:hyperlink r:id="rId9" w:anchor="_Toc123160313" w:history="1">
            <w:r w:rsidR="00EB16E3">
              <w:rPr>
                <w:rStyle w:val="Hyperlink"/>
                <w:rFonts w:cs="Times New Roman"/>
                <w:noProof/>
                <w:szCs w:val="24"/>
              </w:rPr>
              <w:t>Employment law and contract</w:t>
            </w:r>
            <w:r w:rsidR="00EB16E3">
              <w:rPr>
                <w:rStyle w:val="Hyperlink"/>
                <w:rFonts w:cs="Times New Roman"/>
                <w:noProof/>
                <w:webHidden/>
                <w:szCs w:val="24"/>
              </w:rPr>
              <w:tab/>
              <w:t>6</w:t>
            </w:r>
          </w:hyperlink>
        </w:p>
        <w:p w14:paraId="283BE78E" w14:textId="77777777" w:rsidR="00EB16E3" w:rsidRDefault="00000000" w:rsidP="00EB16E3">
          <w:pPr>
            <w:pStyle w:val="TOC1"/>
            <w:tabs>
              <w:tab w:val="right" w:leader="dot" w:pos="9016"/>
            </w:tabs>
            <w:rPr>
              <w:rFonts w:ascii="Times New Roman" w:hAnsi="Times New Roman" w:cs="Times New Roman"/>
              <w:noProof/>
              <w:sz w:val="24"/>
              <w:szCs w:val="24"/>
            </w:rPr>
          </w:pPr>
          <w:hyperlink r:id="rId10" w:anchor="_Toc123160314" w:history="1">
            <w:r w:rsidR="00EB16E3">
              <w:rPr>
                <w:rStyle w:val="Hyperlink"/>
                <w:rFonts w:cs="Times New Roman"/>
                <w:noProof/>
                <w:szCs w:val="24"/>
              </w:rPr>
              <w:t>legal implications of changing contractual employment terms- 700</w:t>
            </w:r>
            <w:r w:rsidR="00EB16E3">
              <w:rPr>
                <w:rStyle w:val="Hyperlink"/>
                <w:rFonts w:cs="Times New Roman"/>
                <w:noProof/>
                <w:webHidden/>
                <w:szCs w:val="24"/>
              </w:rPr>
              <w:tab/>
              <w:t>7</w:t>
            </w:r>
          </w:hyperlink>
        </w:p>
        <w:p w14:paraId="1D2F0AC7" w14:textId="77777777" w:rsidR="00EB16E3" w:rsidRDefault="00000000" w:rsidP="00EB16E3">
          <w:pPr>
            <w:pStyle w:val="TOC1"/>
            <w:tabs>
              <w:tab w:val="right" w:leader="dot" w:pos="9016"/>
            </w:tabs>
            <w:rPr>
              <w:rFonts w:ascii="Times New Roman" w:hAnsi="Times New Roman" w:cs="Times New Roman"/>
              <w:noProof/>
              <w:sz w:val="24"/>
              <w:szCs w:val="24"/>
            </w:rPr>
          </w:pPr>
          <w:hyperlink r:id="rId11" w:anchor="_Toc123160315" w:history="1">
            <w:r w:rsidR="00EB16E3">
              <w:rPr>
                <w:rStyle w:val="Hyperlink"/>
                <w:rFonts w:cs="Times New Roman"/>
                <w:noProof/>
                <w:szCs w:val="24"/>
              </w:rPr>
              <w:t>Employee engagement</w:t>
            </w:r>
            <w:r w:rsidR="00EB16E3">
              <w:rPr>
                <w:rStyle w:val="Hyperlink"/>
                <w:rFonts w:cs="Times New Roman"/>
                <w:noProof/>
                <w:webHidden/>
                <w:szCs w:val="24"/>
              </w:rPr>
              <w:tab/>
              <w:t>7</w:t>
            </w:r>
          </w:hyperlink>
        </w:p>
        <w:p w14:paraId="30BD461E" w14:textId="77777777" w:rsidR="00EB16E3" w:rsidRDefault="00000000" w:rsidP="00EB16E3">
          <w:pPr>
            <w:pStyle w:val="TOC1"/>
            <w:tabs>
              <w:tab w:val="right" w:leader="dot" w:pos="9016"/>
            </w:tabs>
            <w:rPr>
              <w:rFonts w:ascii="Times New Roman" w:hAnsi="Times New Roman" w:cs="Times New Roman"/>
              <w:noProof/>
              <w:sz w:val="24"/>
              <w:szCs w:val="24"/>
            </w:rPr>
          </w:pPr>
          <w:hyperlink r:id="rId12" w:anchor="_Toc123160316" w:history="1">
            <w:r w:rsidR="00EB16E3">
              <w:rPr>
                <w:rStyle w:val="Hyperlink"/>
                <w:rFonts w:cs="Times New Roman"/>
                <w:noProof/>
                <w:szCs w:val="24"/>
              </w:rPr>
              <w:t>HR involvement in the fire and rehire</w:t>
            </w:r>
            <w:r w:rsidR="00EB16E3">
              <w:rPr>
                <w:rStyle w:val="Hyperlink"/>
                <w:rFonts w:cs="Times New Roman"/>
                <w:noProof/>
                <w:webHidden/>
                <w:szCs w:val="24"/>
              </w:rPr>
              <w:tab/>
              <w:t>8</w:t>
            </w:r>
          </w:hyperlink>
        </w:p>
        <w:p w14:paraId="6837ADDC" w14:textId="77777777" w:rsidR="00EB16E3" w:rsidRDefault="00000000" w:rsidP="00EB16E3">
          <w:pPr>
            <w:pStyle w:val="TOC1"/>
            <w:tabs>
              <w:tab w:val="right" w:leader="dot" w:pos="9016"/>
            </w:tabs>
            <w:rPr>
              <w:rFonts w:ascii="Times New Roman" w:hAnsi="Times New Roman" w:cs="Times New Roman"/>
              <w:noProof/>
              <w:sz w:val="24"/>
              <w:szCs w:val="24"/>
            </w:rPr>
          </w:pPr>
          <w:hyperlink r:id="rId13" w:anchor="_Toc123160317" w:history="1">
            <w:r w:rsidR="00EB16E3">
              <w:rPr>
                <w:rStyle w:val="Hyperlink"/>
                <w:rFonts w:cs="Times New Roman"/>
                <w:noProof/>
                <w:szCs w:val="24"/>
              </w:rPr>
              <w:t>Traditional models of HRM for managing contemporary employment relations- 600</w:t>
            </w:r>
            <w:r w:rsidR="00EB16E3">
              <w:rPr>
                <w:rStyle w:val="Hyperlink"/>
                <w:rFonts w:cs="Times New Roman"/>
                <w:noProof/>
                <w:webHidden/>
                <w:szCs w:val="24"/>
              </w:rPr>
              <w:tab/>
              <w:t>10</w:t>
            </w:r>
          </w:hyperlink>
        </w:p>
        <w:p w14:paraId="3B15BD45" w14:textId="77777777" w:rsidR="00EB16E3" w:rsidRDefault="00000000" w:rsidP="00EB16E3">
          <w:pPr>
            <w:pStyle w:val="TOC1"/>
            <w:tabs>
              <w:tab w:val="right" w:leader="dot" w:pos="9016"/>
            </w:tabs>
            <w:rPr>
              <w:rFonts w:ascii="Times New Roman" w:hAnsi="Times New Roman" w:cs="Times New Roman"/>
              <w:noProof/>
              <w:sz w:val="24"/>
              <w:szCs w:val="24"/>
            </w:rPr>
          </w:pPr>
          <w:hyperlink r:id="rId14" w:anchor="_Toc123160318" w:history="1">
            <w:r w:rsidR="00EB16E3">
              <w:rPr>
                <w:rStyle w:val="Hyperlink"/>
                <w:rFonts w:cs="Times New Roman"/>
                <w:noProof/>
                <w:szCs w:val="24"/>
              </w:rPr>
              <w:t>Recommendation</w:t>
            </w:r>
            <w:r w:rsidR="00EB16E3">
              <w:rPr>
                <w:rStyle w:val="Hyperlink"/>
                <w:rFonts w:cs="Times New Roman"/>
                <w:noProof/>
                <w:webHidden/>
                <w:szCs w:val="24"/>
              </w:rPr>
              <w:tab/>
              <w:t>10</w:t>
            </w:r>
          </w:hyperlink>
        </w:p>
        <w:p w14:paraId="4C0ACC91" w14:textId="77777777" w:rsidR="00EB16E3" w:rsidRDefault="00000000" w:rsidP="00EB16E3">
          <w:pPr>
            <w:pStyle w:val="TOC1"/>
            <w:tabs>
              <w:tab w:val="right" w:leader="dot" w:pos="9016"/>
            </w:tabs>
            <w:rPr>
              <w:rFonts w:ascii="Times New Roman" w:hAnsi="Times New Roman" w:cs="Times New Roman"/>
              <w:noProof/>
              <w:sz w:val="24"/>
              <w:szCs w:val="24"/>
            </w:rPr>
          </w:pPr>
          <w:hyperlink r:id="rId15" w:anchor="_Toc123160319" w:history="1">
            <w:r w:rsidR="00EB16E3">
              <w:rPr>
                <w:rStyle w:val="Hyperlink"/>
                <w:rFonts w:cs="Times New Roman"/>
                <w:noProof/>
                <w:szCs w:val="24"/>
              </w:rPr>
              <w:t>Conclusion</w:t>
            </w:r>
            <w:r w:rsidR="00EB16E3">
              <w:rPr>
                <w:rStyle w:val="Hyperlink"/>
                <w:rFonts w:cs="Times New Roman"/>
                <w:noProof/>
                <w:webHidden/>
                <w:szCs w:val="24"/>
              </w:rPr>
              <w:tab/>
              <w:t>11</w:t>
            </w:r>
          </w:hyperlink>
        </w:p>
        <w:p w14:paraId="5556C1F9" w14:textId="77777777" w:rsidR="00EB16E3" w:rsidRDefault="00000000" w:rsidP="00EB16E3">
          <w:pPr>
            <w:pStyle w:val="TOC1"/>
            <w:tabs>
              <w:tab w:val="right" w:leader="dot" w:pos="9016"/>
            </w:tabs>
            <w:rPr>
              <w:rFonts w:ascii="Times New Roman" w:hAnsi="Times New Roman" w:cs="Times New Roman"/>
              <w:noProof/>
              <w:sz w:val="24"/>
              <w:szCs w:val="24"/>
            </w:rPr>
          </w:pPr>
          <w:hyperlink r:id="rId16" w:anchor="_Toc123160320" w:history="1">
            <w:r w:rsidR="00EB16E3">
              <w:rPr>
                <w:rStyle w:val="Hyperlink"/>
                <w:rFonts w:cs="Times New Roman"/>
                <w:noProof/>
                <w:szCs w:val="24"/>
              </w:rPr>
              <w:t>References</w:t>
            </w:r>
            <w:r w:rsidR="00EB16E3">
              <w:rPr>
                <w:rStyle w:val="Hyperlink"/>
                <w:rFonts w:cs="Times New Roman"/>
                <w:noProof/>
                <w:webHidden/>
                <w:szCs w:val="24"/>
              </w:rPr>
              <w:tab/>
              <w:t>11</w:t>
            </w:r>
          </w:hyperlink>
        </w:p>
        <w:p w14:paraId="7C5C4B7D" w14:textId="77777777" w:rsidR="00EB16E3" w:rsidRDefault="00000000" w:rsidP="00EB16E3">
          <w:pPr>
            <w:rPr>
              <w:rFonts w:ascii="Times New Roman" w:hAnsi="Times New Roman" w:cs="Times New Roman"/>
              <w:sz w:val="24"/>
              <w:szCs w:val="24"/>
            </w:rPr>
          </w:pPr>
        </w:p>
      </w:sdtContent>
    </w:sdt>
    <w:p w14:paraId="7BC8F909" w14:textId="77777777" w:rsidR="00EB16E3" w:rsidRDefault="00EB16E3" w:rsidP="00EB16E3">
      <w:pPr>
        <w:pStyle w:val="NormalWeb"/>
        <w:spacing w:before="0" w:beforeAutospacing="0" w:after="0" w:afterAutospacing="0" w:line="360" w:lineRule="auto"/>
        <w:jc w:val="both"/>
        <w:rPr>
          <w:color w:val="0E101A"/>
        </w:rPr>
      </w:pPr>
    </w:p>
    <w:p w14:paraId="6806CD92" w14:textId="77777777" w:rsidR="00EB16E3" w:rsidRDefault="00EB16E3" w:rsidP="00EB16E3">
      <w:pPr>
        <w:pStyle w:val="NormalWeb"/>
        <w:spacing w:before="0" w:beforeAutospacing="0" w:after="0" w:afterAutospacing="0" w:line="360" w:lineRule="auto"/>
        <w:jc w:val="both"/>
        <w:rPr>
          <w:color w:val="0E101A"/>
        </w:rPr>
      </w:pPr>
    </w:p>
    <w:p w14:paraId="68094B41" w14:textId="77777777" w:rsidR="00EB16E3" w:rsidRDefault="00EB16E3" w:rsidP="00EB16E3">
      <w:pPr>
        <w:pStyle w:val="NormalWeb"/>
        <w:spacing w:before="0" w:beforeAutospacing="0" w:after="0" w:afterAutospacing="0" w:line="360" w:lineRule="auto"/>
        <w:jc w:val="both"/>
        <w:rPr>
          <w:color w:val="0E101A"/>
        </w:rPr>
      </w:pPr>
    </w:p>
    <w:p w14:paraId="4798E80F" w14:textId="77777777" w:rsidR="00EB16E3" w:rsidRDefault="00EB16E3" w:rsidP="00EB16E3">
      <w:pPr>
        <w:pStyle w:val="NormalWeb"/>
        <w:spacing w:before="0" w:beforeAutospacing="0" w:after="0" w:afterAutospacing="0" w:line="360" w:lineRule="auto"/>
        <w:jc w:val="both"/>
        <w:rPr>
          <w:color w:val="0E101A"/>
        </w:rPr>
      </w:pPr>
    </w:p>
    <w:p w14:paraId="500B736C" w14:textId="77777777" w:rsidR="00EB16E3" w:rsidRDefault="00EB16E3" w:rsidP="00EB16E3">
      <w:pPr>
        <w:pStyle w:val="NormalWeb"/>
        <w:spacing w:before="0" w:beforeAutospacing="0" w:after="0" w:afterAutospacing="0" w:line="360" w:lineRule="auto"/>
        <w:jc w:val="both"/>
        <w:rPr>
          <w:color w:val="0E101A"/>
        </w:rPr>
      </w:pPr>
    </w:p>
    <w:p w14:paraId="6257C642" w14:textId="77777777" w:rsidR="00EB16E3" w:rsidRDefault="00EB16E3" w:rsidP="00EB16E3">
      <w:pPr>
        <w:pStyle w:val="NormalWeb"/>
        <w:spacing w:before="0" w:beforeAutospacing="0" w:after="0" w:afterAutospacing="0" w:line="360" w:lineRule="auto"/>
        <w:jc w:val="both"/>
        <w:rPr>
          <w:color w:val="0E101A"/>
        </w:rPr>
      </w:pPr>
    </w:p>
    <w:p w14:paraId="5C5DAB84" w14:textId="77777777" w:rsidR="00EB16E3" w:rsidRDefault="00EB16E3" w:rsidP="00EB16E3">
      <w:pPr>
        <w:pStyle w:val="NormalWeb"/>
        <w:spacing w:before="0" w:beforeAutospacing="0" w:after="0" w:afterAutospacing="0" w:line="360" w:lineRule="auto"/>
        <w:jc w:val="both"/>
        <w:rPr>
          <w:color w:val="0E101A"/>
        </w:rPr>
      </w:pPr>
    </w:p>
    <w:p w14:paraId="1089C31E" w14:textId="77777777" w:rsidR="00EB16E3" w:rsidRDefault="00EB16E3" w:rsidP="00EB16E3">
      <w:pPr>
        <w:pStyle w:val="NormalWeb"/>
        <w:spacing w:before="0" w:beforeAutospacing="0" w:after="0" w:afterAutospacing="0" w:line="360" w:lineRule="auto"/>
        <w:jc w:val="both"/>
        <w:rPr>
          <w:color w:val="0E101A"/>
        </w:rPr>
      </w:pPr>
    </w:p>
    <w:p w14:paraId="100F1969" w14:textId="77777777" w:rsidR="00EB16E3" w:rsidRDefault="00EB16E3" w:rsidP="00EB16E3">
      <w:pPr>
        <w:pStyle w:val="NormalWeb"/>
        <w:spacing w:before="0" w:beforeAutospacing="0" w:after="0" w:afterAutospacing="0" w:line="360" w:lineRule="auto"/>
        <w:jc w:val="both"/>
        <w:rPr>
          <w:color w:val="0E101A"/>
        </w:rPr>
      </w:pPr>
    </w:p>
    <w:p w14:paraId="2E4E9DDF" w14:textId="77777777" w:rsidR="00EB16E3" w:rsidRDefault="00EB16E3" w:rsidP="00EB16E3">
      <w:pPr>
        <w:pStyle w:val="NormalWeb"/>
        <w:spacing w:before="0" w:beforeAutospacing="0" w:after="0" w:afterAutospacing="0" w:line="360" w:lineRule="auto"/>
        <w:jc w:val="both"/>
        <w:rPr>
          <w:color w:val="0E101A"/>
        </w:rPr>
      </w:pPr>
    </w:p>
    <w:p w14:paraId="190B4DDA" w14:textId="77777777" w:rsidR="00EB16E3" w:rsidRDefault="00EB16E3" w:rsidP="00EB16E3">
      <w:pPr>
        <w:pStyle w:val="NormalWeb"/>
        <w:spacing w:before="0" w:beforeAutospacing="0" w:after="0" w:afterAutospacing="0" w:line="360" w:lineRule="auto"/>
        <w:jc w:val="both"/>
        <w:rPr>
          <w:color w:val="0E101A"/>
        </w:rPr>
      </w:pPr>
    </w:p>
    <w:p w14:paraId="61B675DE" w14:textId="77777777" w:rsidR="00EB16E3" w:rsidRDefault="00EB16E3" w:rsidP="00EB16E3">
      <w:pPr>
        <w:pStyle w:val="NormalWeb"/>
        <w:spacing w:before="0" w:beforeAutospacing="0" w:after="0" w:afterAutospacing="0" w:line="360" w:lineRule="auto"/>
        <w:jc w:val="both"/>
        <w:rPr>
          <w:color w:val="0E101A"/>
        </w:rPr>
      </w:pPr>
    </w:p>
    <w:p w14:paraId="2FD49F0A" w14:textId="77777777" w:rsidR="00EB16E3" w:rsidRDefault="00EB16E3" w:rsidP="00EB16E3">
      <w:pPr>
        <w:pStyle w:val="NormalWeb"/>
        <w:spacing w:before="0" w:beforeAutospacing="0" w:after="0" w:afterAutospacing="0" w:line="360" w:lineRule="auto"/>
        <w:jc w:val="both"/>
        <w:rPr>
          <w:color w:val="0E101A"/>
        </w:rPr>
      </w:pPr>
    </w:p>
    <w:p w14:paraId="0AE610DD" w14:textId="77777777" w:rsidR="00EB16E3" w:rsidRDefault="00EB16E3" w:rsidP="00EB16E3">
      <w:pPr>
        <w:pStyle w:val="NormalWeb"/>
        <w:spacing w:before="0" w:beforeAutospacing="0" w:after="0" w:afterAutospacing="0" w:line="360" w:lineRule="auto"/>
        <w:jc w:val="both"/>
        <w:rPr>
          <w:color w:val="0E101A"/>
        </w:rPr>
      </w:pPr>
    </w:p>
    <w:p w14:paraId="372193AD" w14:textId="77777777" w:rsidR="00EB16E3" w:rsidRDefault="00EB16E3" w:rsidP="00EB16E3">
      <w:pPr>
        <w:pStyle w:val="NormalWeb"/>
        <w:spacing w:before="0" w:beforeAutospacing="0" w:after="0" w:afterAutospacing="0" w:line="360" w:lineRule="auto"/>
        <w:jc w:val="both"/>
        <w:rPr>
          <w:color w:val="0E101A"/>
        </w:rPr>
      </w:pPr>
    </w:p>
    <w:p w14:paraId="1E2B1FD4" w14:textId="77777777" w:rsidR="00EB16E3" w:rsidRDefault="00EB16E3" w:rsidP="00EB16E3">
      <w:pPr>
        <w:pStyle w:val="NormalWeb"/>
        <w:spacing w:before="0" w:beforeAutospacing="0" w:after="0" w:afterAutospacing="0" w:line="360" w:lineRule="auto"/>
        <w:jc w:val="both"/>
        <w:rPr>
          <w:color w:val="0E101A"/>
        </w:rPr>
      </w:pPr>
    </w:p>
    <w:p w14:paraId="7770C288" w14:textId="77777777" w:rsidR="00EB16E3" w:rsidRDefault="00EB16E3" w:rsidP="00EB16E3">
      <w:pPr>
        <w:pStyle w:val="NormalWeb"/>
        <w:spacing w:before="0" w:beforeAutospacing="0" w:after="0" w:afterAutospacing="0" w:line="360" w:lineRule="auto"/>
        <w:jc w:val="both"/>
        <w:rPr>
          <w:color w:val="0E101A"/>
        </w:rPr>
      </w:pPr>
    </w:p>
    <w:p w14:paraId="3BE3D64A" w14:textId="77777777" w:rsidR="00EB16E3" w:rsidRDefault="00EB16E3" w:rsidP="00EB16E3">
      <w:pPr>
        <w:pStyle w:val="NormalWeb"/>
        <w:spacing w:before="0" w:beforeAutospacing="0" w:after="0" w:afterAutospacing="0" w:line="360" w:lineRule="auto"/>
        <w:jc w:val="both"/>
        <w:rPr>
          <w:color w:val="0E101A"/>
        </w:rPr>
      </w:pPr>
    </w:p>
    <w:p w14:paraId="2EA0AA87" w14:textId="77777777" w:rsidR="00EB16E3" w:rsidRDefault="00EB16E3" w:rsidP="00EB16E3">
      <w:pPr>
        <w:pStyle w:val="NormalWeb"/>
        <w:spacing w:before="0" w:beforeAutospacing="0" w:after="0" w:afterAutospacing="0" w:line="360" w:lineRule="auto"/>
        <w:jc w:val="both"/>
        <w:rPr>
          <w:color w:val="0E101A"/>
        </w:rPr>
      </w:pPr>
    </w:p>
    <w:p w14:paraId="64BAC81F" w14:textId="77777777" w:rsidR="00EB16E3" w:rsidRDefault="00EB16E3" w:rsidP="00EB16E3">
      <w:pPr>
        <w:pStyle w:val="Heading1"/>
        <w:rPr>
          <w:rFonts w:cs="Times New Roman"/>
          <w:szCs w:val="24"/>
        </w:rPr>
      </w:pPr>
      <w:bookmarkStart w:id="1" w:name="_Toc123160311"/>
      <w:r>
        <w:rPr>
          <w:rFonts w:cs="Times New Roman"/>
          <w:szCs w:val="24"/>
        </w:rPr>
        <w:t>Introduction</w:t>
      </w:r>
      <w:bookmarkEnd w:id="1"/>
    </w:p>
    <w:p w14:paraId="6C9C2740" w14:textId="77777777" w:rsidR="00EB16E3" w:rsidRDefault="00EB16E3" w:rsidP="00EB16E3">
      <w:pPr>
        <w:pStyle w:val="NormalWeb"/>
        <w:spacing w:before="0" w:beforeAutospacing="0" w:after="0" w:afterAutospacing="0" w:line="360" w:lineRule="auto"/>
        <w:jc w:val="both"/>
        <w:rPr>
          <w:rStyle w:val="Strong"/>
          <w:rFonts w:eastAsiaTheme="majorEastAsia"/>
          <w:b w:val="0"/>
          <w:bCs w:val="0"/>
          <w:color w:val="000000" w:themeColor="text1"/>
          <w:shd w:val="clear" w:color="auto" w:fill="FFFFFF"/>
        </w:rPr>
      </w:pPr>
      <w:r>
        <w:rPr>
          <w:color w:val="000000" w:themeColor="text1"/>
          <w:shd w:val="clear" w:color="auto" w:fill="FFFFFF"/>
        </w:rPr>
        <w:t>fire and rehire is a process of impressive various agreement terms on employees by terminating them and rehiring them on the new terms, characteristically without the contract of the employees</w:t>
      </w:r>
      <w:bookmarkStart w:id="2" w:name="_Hlk123001512"/>
      <w:r>
        <w:rPr>
          <w:color w:val="000000" w:themeColor="text1"/>
          <w:shd w:val="clear" w:color="auto" w:fill="FFFFFF"/>
        </w:rPr>
        <w:t xml:space="preserve">. Fire and rehire is not unlawful, though, it transmits important lawful risk and can cause problems with labour force relations, </w:t>
      </w:r>
      <w:proofErr w:type="gramStart"/>
      <w:r>
        <w:rPr>
          <w:color w:val="000000" w:themeColor="text1"/>
          <w:shd w:val="clear" w:color="auto" w:fill="FFFFFF"/>
        </w:rPr>
        <w:t>confidence</w:t>
      </w:r>
      <w:proofErr w:type="gramEnd"/>
      <w:r>
        <w:rPr>
          <w:color w:val="000000" w:themeColor="text1"/>
          <w:shd w:val="clear" w:color="auto" w:fill="FFFFFF"/>
        </w:rPr>
        <w:t xml:space="preserve"> and presentation. </w:t>
      </w:r>
      <w:r>
        <w:rPr>
          <w:color w:val="0B0C0C"/>
          <w:shd w:val="clear" w:color="auto" w:fill="FFFFFF"/>
        </w:rPr>
        <w:t>The fire and hire tactics are also refers to when a company terminates an employee and rehires them on new, less-favourable terms.</w:t>
      </w:r>
      <w:bookmarkEnd w:id="2"/>
      <w:r>
        <w:rPr>
          <w:color w:val="0B0C0C"/>
          <w:shd w:val="clear" w:color="auto" w:fill="FFFFFF"/>
        </w:rPr>
        <w:t xml:space="preserve"> The government has always been clear that utilising the fire and rehire as an exchanging method is totally intolerable, and that imagine companies to treat their employees honestly. As per the opinion of </w:t>
      </w:r>
      <w:r>
        <w:rPr>
          <w:color w:val="222222"/>
          <w:shd w:val="clear" w:color="auto" w:fill="FFFFFF"/>
        </w:rPr>
        <w:t>Nolan (2021</w:t>
      </w:r>
      <w:r>
        <w:rPr>
          <w:color w:val="0B0C0C"/>
          <w:shd w:val="clear" w:color="auto" w:fill="FFFFFF"/>
        </w:rPr>
        <w:t>), the fire and rehire tactics are frequently used when employers need to modify the terms and conditions of their labours. It can take place when an organisation is in monetary suffering and requirements to cut costs to stay in business</w:t>
      </w:r>
      <w:r>
        <w:rPr>
          <w:rStyle w:val="Strong"/>
          <w:rFonts w:eastAsiaTheme="majorEastAsia"/>
          <w:color w:val="000000" w:themeColor="text1"/>
          <w:shd w:val="clear" w:color="auto" w:fill="FFFFFF"/>
        </w:rPr>
        <w:t>.</w:t>
      </w:r>
    </w:p>
    <w:p w14:paraId="3D9AA1DC" w14:textId="77777777" w:rsidR="00EB16E3" w:rsidRDefault="00EB16E3" w:rsidP="00EB16E3">
      <w:pPr>
        <w:pStyle w:val="NormalWeb"/>
        <w:spacing w:before="0" w:beforeAutospacing="0" w:after="0" w:afterAutospacing="0" w:line="360" w:lineRule="auto"/>
        <w:jc w:val="both"/>
        <w:rPr>
          <w:b/>
          <w:bCs/>
          <w:color w:val="0E101A"/>
        </w:rPr>
      </w:pPr>
      <w:r>
        <w:rPr>
          <w:rStyle w:val="Strong"/>
          <w:rFonts w:eastAsiaTheme="majorEastAsia"/>
          <w:color w:val="000000" w:themeColor="text1"/>
          <w:shd w:val="clear" w:color="auto" w:fill="FFFFFF"/>
        </w:rPr>
        <w:t xml:space="preserve">This report is mainly focusing on the practice of fire and rehire, and in this report reviewing the practice of fire and rehire strategies within the UK labour market to assess the method taken by the dissimilar organisations. In addition, this report is also </w:t>
      </w:r>
      <w:proofErr w:type="gramStart"/>
      <w:r>
        <w:rPr>
          <w:rStyle w:val="Strong"/>
          <w:rFonts w:eastAsiaTheme="majorEastAsia"/>
          <w:color w:val="000000" w:themeColor="text1"/>
          <w:shd w:val="clear" w:color="auto" w:fill="FFFFFF"/>
        </w:rPr>
        <w:t>explains</w:t>
      </w:r>
      <w:proofErr w:type="gramEnd"/>
      <w:r>
        <w:rPr>
          <w:rStyle w:val="Strong"/>
          <w:rFonts w:eastAsiaTheme="majorEastAsia"/>
          <w:color w:val="000000" w:themeColor="text1"/>
          <w:shd w:val="clear" w:color="auto" w:fill="FFFFFF"/>
        </w:rPr>
        <w:t xml:space="preserve"> the employment law and employment contract. In addition, the legal implications of changing contractual employment terms are mentioning through this report and the role of HR involvement in fire and hire is also mentioning through this report. Furthermore, the traditional models of HRM for managing contemporary employment relations are also explaining. Finally, this report providing an appropriate recommendation also. </w:t>
      </w:r>
    </w:p>
    <w:p w14:paraId="70404611" w14:textId="77777777" w:rsidR="00EB16E3" w:rsidRDefault="00EB16E3" w:rsidP="00EB16E3">
      <w:pPr>
        <w:pStyle w:val="Heading1"/>
        <w:rPr>
          <w:rFonts w:cs="Times New Roman"/>
          <w:szCs w:val="24"/>
        </w:rPr>
      </w:pPr>
      <w:bookmarkStart w:id="3" w:name="_Toc123160312"/>
      <w:r>
        <w:rPr>
          <w:rFonts w:cs="Times New Roman"/>
          <w:szCs w:val="24"/>
        </w:rPr>
        <w:t>Fire and rehire tactics within the UK labour market</w:t>
      </w:r>
      <w:bookmarkEnd w:id="3"/>
    </w:p>
    <w:p w14:paraId="6CCCEF83" w14:textId="77777777" w:rsidR="00EB16E3" w:rsidRDefault="00EB16E3" w:rsidP="00EB16E3">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According to </w:t>
      </w:r>
      <w:r>
        <w:rPr>
          <w:rFonts w:ascii="Times New Roman" w:hAnsi="Times New Roman" w:cs="Times New Roman"/>
          <w:color w:val="222222"/>
          <w:sz w:val="24"/>
          <w:szCs w:val="24"/>
          <w:shd w:val="clear" w:color="auto" w:fill="FFFFFF"/>
        </w:rPr>
        <w:t xml:space="preserve">Bernstein (2022), </w:t>
      </w:r>
      <w:r>
        <w:rPr>
          <w:rFonts w:ascii="Times New Roman" w:hAnsi="Times New Roman" w:cs="Times New Roman"/>
          <w:sz w:val="24"/>
          <w:szCs w:val="24"/>
          <w:lang w:val="en-US"/>
        </w:rPr>
        <w:t xml:space="preserve">simply put, an employer wants to change the employee's contract. Changes are usually </w:t>
      </w:r>
      <w:proofErr w:type="spellStart"/>
      <w:r>
        <w:rPr>
          <w:rFonts w:ascii="Times New Roman" w:hAnsi="Times New Roman" w:cs="Times New Roman"/>
          <w:sz w:val="24"/>
          <w:szCs w:val="24"/>
          <w:lang w:val="en-US"/>
        </w:rPr>
        <w:t>unfavourable</w:t>
      </w:r>
      <w:proofErr w:type="spellEnd"/>
      <w:r>
        <w:rPr>
          <w:rFonts w:ascii="Times New Roman" w:hAnsi="Times New Roman" w:cs="Times New Roman"/>
          <w:sz w:val="24"/>
          <w:szCs w:val="24"/>
          <w:lang w:val="en-US"/>
        </w:rPr>
        <w:t xml:space="preserve"> to employees in some way, such as reduced pay and benefits and increased working hours, and employees are either opposed or unlikely to agree. But the changed terms and conditions are </w:t>
      </w:r>
      <w:proofErr w:type="spellStart"/>
      <w:r>
        <w:rPr>
          <w:rFonts w:ascii="Times New Roman" w:hAnsi="Times New Roman" w:cs="Times New Roman"/>
          <w:sz w:val="24"/>
          <w:szCs w:val="24"/>
          <w:lang w:val="en-US"/>
        </w:rPr>
        <w:t>favourable</w:t>
      </w:r>
      <w:proofErr w:type="spellEnd"/>
      <w:r>
        <w:rPr>
          <w:rFonts w:ascii="Times New Roman" w:hAnsi="Times New Roman" w:cs="Times New Roman"/>
          <w:sz w:val="24"/>
          <w:szCs w:val="24"/>
          <w:lang w:val="en-US"/>
        </w:rPr>
        <w:t xml:space="preserve"> for the employer. In this scenario, the employer makes a step to terminate the contract and invites the respected employer or </w:t>
      </w:r>
      <w:r>
        <w:rPr>
          <w:rFonts w:ascii="Times New Roman" w:hAnsi="Times New Roman" w:cs="Times New Roman"/>
          <w:sz w:val="24"/>
          <w:szCs w:val="24"/>
          <w:lang w:val="en-US"/>
        </w:rPr>
        <w:lastRenderedPageBreak/>
        <w:t xml:space="preserve">employees to reapply for the redesigned role to implement the changes. Employees on short-term contracts or less than two years of service are likely targets of this tactic. </w:t>
      </w:r>
    </w:p>
    <w:p w14:paraId="0D0D5FD1" w14:textId="77777777" w:rsidR="00EB16E3" w:rsidRDefault="00EB16E3" w:rsidP="00EB16E3">
      <w:pPr>
        <w:spacing w:line="360" w:lineRule="auto"/>
        <w:jc w:val="both"/>
        <w:rPr>
          <w:rFonts w:ascii="Times New Roman" w:hAnsi="Times New Roman" w:cs="Times New Roman"/>
          <w:sz w:val="24"/>
          <w:szCs w:val="24"/>
          <w:lang w:val="en-US"/>
        </w:rPr>
      </w:pPr>
      <w:proofErr w:type="spellStart"/>
      <w:r>
        <w:rPr>
          <w:rFonts w:ascii="Times New Roman" w:hAnsi="Times New Roman" w:cs="Times New Roman"/>
          <w:color w:val="222222"/>
          <w:sz w:val="24"/>
          <w:szCs w:val="24"/>
          <w:shd w:val="clear" w:color="auto" w:fill="FFFFFF"/>
        </w:rPr>
        <w:t>Cockbain</w:t>
      </w:r>
      <w:proofErr w:type="spellEnd"/>
      <w:r>
        <w:rPr>
          <w:rFonts w:ascii="Times New Roman" w:hAnsi="Times New Roman" w:cs="Times New Roman"/>
          <w:color w:val="222222"/>
          <w:sz w:val="24"/>
          <w:szCs w:val="24"/>
          <w:shd w:val="clear" w:color="auto" w:fill="FFFFFF"/>
        </w:rPr>
        <w:t xml:space="preserve"> and </w:t>
      </w:r>
      <w:proofErr w:type="spellStart"/>
      <w:r>
        <w:rPr>
          <w:rFonts w:ascii="Times New Roman" w:hAnsi="Times New Roman" w:cs="Times New Roman"/>
          <w:color w:val="222222"/>
          <w:sz w:val="24"/>
          <w:szCs w:val="24"/>
          <w:shd w:val="clear" w:color="auto" w:fill="FFFFFF"/>
        </w:rPr>
        <w:t>Posch</w:t>
      </w:r>
      <w:proofErr w:type="spellEnd"/>
      <w:r>
        <w:rPr>
          <w:rFonts w:ascii="Times New Roman" w:hAnsi="Times New Roman" w:cs="Times New Roman"/>
          <w:color w:val="222222"/>
          <w:sz w:val="24"/>
          <w:szCs w:val="24"/>
          <w:shd w:val="clear" w:color="auto" w:fill="FFFFFF"/>
        </w:rPr>
        <w:t xml:space="preserve"> (2022) </w:t>
      </w:r>
      <w:r>
        <w:rPr>
          <w:rFonts w:ascii="Times New Roman" w:hAnsi="Times New Roman" w:cs="Times New Roman"/>
          <w:sz w:val="24"/>
          <w:szCs w:val="24"/>
          <w:lang w:val="en-US"/>
        </w:rPr>
        <w:t>state that there is a general belief that the tactic of firing and rehiring is outrageous, morally bankrupt, and legally wrong and terrible, and unions have opposed the practice for years. The employees and their unions considered this approach appalling; employers need only show a legitimate business reason to act in accordance with the law and not a breach of contract.</w:t>
      </w:r>
    </w:p>
    <w:p w14:paraId="552185B4" w14:textId="77777777" w:rsidR="00EB16E3" w:rsidRDefault="00EB16E3" w:rsidP="00EB16E3">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Even if the practice were undertaken in the </w:t>
      </w:r>
      <w:proofErr w:type="spellStart"/>
      <w:r>
        <w:rPr>
          <w:rFonts w:ascii="Times New Roman" w:hAnsi="Times New Roman" w:cs="Times New Roman"/>
          <w:sz w:val="24"/>
          <w:szCs w:val="24"/>
          <w:lang w:val="en-US"/>
        </w:rPr>
        <w:t>organisation</w:t>
      </w:r>
      <w:proofErr w:type="spellEnd"/>
      <w:r>
        <w:rPr>
          <w:rFonts w:ascii="Times New Roman" w:hAnsi="Times New Roman" w:cs="Times New Roman"/>
          <w:sz w:val="24"/>
          <w:szCs w:val="24"/>
          <w:lang w:val="en-US"/>
        </w:rPr>
        <w:t xml:space="preserve">, the risk behind this concept was </w:t>
      </w:r>
      <w:proofErr w:type="gramStart"/>
      <w:r>
        <w:rPr>
          <w:rFonts w:ascii="Times New Roman" w:hAnsi="Times New Roman" w:cs="Times New Roman"/>
          <w:sz w:val="24"/>
          <w:szCs w:val="24"/>
          <w:lang w:val="en-US"/>
        </w:rPr>
        <w:t>really high</w:t>
      </w:r>
      <w:proofErr w:type="gramEnd"/>
      <w:r>
        <w:rPr>
          <w:rFonts w:ascii="Times New Roman" w:hAnsi="Times New Roman" w:cs="Times New Roman"/>
          <w:sz w:val="24"/>
          <w:szCs w:val="24"/>
          <w:lang w:val="en-US"/>
        </w:rPr>
        <w:t xml:space="preserve">, mainly because of the reduced commitment and engagement of the rehired employees towards the company. At the same time, the relationship with the rehired employees also will be less. Moreover, the company using the hiring and rehiring strategy may make the recruitment of the company challenging. Job seekers have more choices regarding where to work.  Moreover, a company to the hiring ad recruiting practice is especially less attractive to job seekers and results in difficulties for the </w:t>
      </w:r>
      <w:proofErr w:type="spellStart"/>
      <w:r>
        <w:rPr>
          <w:rFonts w:ascii="Times New Roman" w:hAnsi="Times New Roman" w:cs="Times New Roman"/>
          <w:sz w:val="24"/>
          <w:szCs w:val="24"/>
          <w:lang w:val="en-US"/>
        </w:rPr>
        <w:t>organisation</w:t>
      </w:r>
      <w:proofErr w:type="spellEnd"/>
      <w:r>
        <w:rPr>
          <w:rFonts w:ascii="Times New Roman" w:hAnsi="Times New Roman" w:cs="Times New Roman"/>
          <w:sz w:val="24"/>
          <w:szCs w:val="24"/>
          <w:lang w:val="en-US"/>
        </w:rPr>
        <w:t xml:space="preserve"> to hire skilled and qualified employees (</w:t>
      </w:r>
      <w:r>
        <w:rPr>
          <w:rFonts w:ascii="Times New Roman" w:hAnsi="Times New Roman" w:cs="Times New Roman"/>
          <w:color w:val="222222"/>
          <w:sz w:val="24"/>
          <w:szCs w:val="24"/>
          <w:shd w:val="clear" w:color="auto" w:fill="FFFFFF"/>
        </w:rPr>
        <w:t>Bernstein, 2022).</w:t>
      </w:r>
    </w:p>
    <w:p w14:paraId="02132DC0" w14:textId="77777777" w:rsidR="00EB16E3" w:rsidRDefault="00EB16E3" w:rsidP="00EB16E3">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sz w:val="24"/>
          <w:szCs w:val="24"/>
          <w:lang w:val="en-US"/>
        </w:rPr>
        <w:t xml:space="preserve">This practice </w:t>
      </w:r>
      <w:proofErr w:type="gramStart"/>
      <w:r>
        <w:rPr>
          <w:rFonts w:ascii="Times New Roman" w:hAnsi="Times New Roman" w:cs="Times New Roman"/>
          <w:sz w:val="24"/>
          <w:szCs w:val="24"/>
          <w:lang w:val="en-US"/>
        </w:rPr>
        <w:t>in itself is</w:t>
      </w:r>
      <w:proofErr w:type="gramEnd"/>
      <w:r>
        <w:rPr>
          <w:rFonts w:ascii="Times New Roman" w:hAnsi="Times New Roman" w:cs="Times New Roman"/>
          <w:sz w:val="24"/>
          <w:szCs w:val="24"/>
          <w:lang w:val="en-US"/>
        </w:rPr>
        <w:t xml:space="preserve"> not illegal. However, as it involves redundancy, employers may face unfair dismissal claims. If many employees are involved, the employer is legally obliged to negotiate collective redundancies first. This was the case with British Gas, a 9-month dispute with a boiler engineer. The concept of firing and rehiring enables the employer to change the terms and conditions of the employee contract tough firing and rehiring them with new and revised terms and conditions. In the UK, this approach is not unlawful; there are </w:t>
      </w:r>
      <w:proofErr w:type="gramStart"/>
      <w:r>
        <w:rPr>
          <w:rFonts w:ascii="Times New Roman" w:hAnsi="Times New Roman" w:cs="Times New Roman"/>
          <w:sz w:val="24"/>
          <w:szCs w:val="24"/>
          <w:lang w:val="en-US"/>
        </w:rPr>
        <w:t>a number of</w:t>
      </w:r>
      <w:proofErr w:type="gram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organisations</w:t>
      </w:r>
      <w:proofErr w:type="spellEnd"/>
      <w:r>
        <w:rPr>
          <w:rFonts w:ascii="Times New Roman" w:hAnsi="Times New Roman" w:cs="Times New Roman"/>
          <w:sz w:val="24"/>
          <w:szCs w:val="24"/>
          <w:lang w:val="en-US"/>
        </w:rPr>
        <w:t xml:space="preserve"> that have adopted the same strategy with their employees. Even if it is not unlawful, it involves higher risk (</w:t>
      </w:r>
      <w:r>
        <w:rPr>
          <w:rFonts w:ascii="Times New Roman" w:hAnsi="Times New Roman" w:cs="Times New Roman"/>
          <w:color w:val="222222"/>
          <w:sz w:val="24"/>
          <w:szCs w:val="24"/>
          <w:shd w:val="clear" w:color="auto" w:fill="FFFFFF"/>
        </w:rPr>
        <w:t>Nolan, 2021).</w:t>
      </w:r>
    </w:p>
    <w:p w14:paraId="34CECCAF" w14:textId="77777777" w:rsidR="00EB16E3" w:rsidRDefault="00EB16E3" w:rsidP="00EB16E3">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During the initial lockdown due to COVID-19, there were </w:t>
      </w:r>
      <w:proofErr w:type="gramStart"/>
      <w:r>
        <w:rPr>
          <w:rFonts w:ascii="Times New Roman" w:hAnsi="Times New Roman" w:cs="Times New Roman"/>
          <w:color w:val="222222"/>
          <w:sz w:val="24"/>
          <w:szCs w:val="24"/>
          <w:shd w:val="clear" w:color="auto" w:fill="FFFFFF"/>
        </w:rPr>
        <w:t>a number of</w:t>
      </w:r>
      <w:proofErr w:type="gramEnd"/>
      <w:r>
        <w:rPr>
          <w:rFonts w:ascii="Times New Roman" w:hAnsi="Times New Roman" w:cs="Times New Roman"/>
          <w:color w:val="222222"/>
          <w:sz w:val="24"/>
          <w:szCs w:val="24"/>
          <w:shd w:val="clear" w:color="auto" w:fill="FFFFFF"/>
        </w:rPr>
        <w:t xml:space="preserve"> issues undergone with organisations all around the world. However, in May 2020, the British Gas workers introduced new contacts, including new terms and conditions. Without the additional pay, the new contract increased the working hours of the employees. In addition to that, the premium payment for weekends and bank holidays was reduced (</w:t>
      </w:r>
      <w:r>
        <w:rPr>
          <w:rFonts w:ascii="Times New Roman" w:hAnsi="Times New Roman" w:cs="Times New Roman"/>
          <w:sz w:val="24"/>
          <w:szCs w:val="24"/>
          <w:lang w:val="en-US"/>
        </w:rPr>
        <w:t>The Economic Times, 2021).</w:t>
      </w:r>
      <w:r>
        <w:rPr>
          <w:rFonts w:ascii="Times New Roman" w:hAnsi="Times New Roman" w:cs="Times New Roman"/>
          <w:color w:val="222222"/>
          <w:sz w:val="24"/>
          <w:szCs w:val="24"/>
          <w:shd w:val="clear" w:color="auto" w:fill="FFFFFF"/>
          <w:lang w:val="en-US"/>
        </w:rPr>
        <w:t xml:space="preserve"> </w:t>
      </w:r>
    </w:p>
    <w:p w14:paraId="7C8F1650" w14:textId="77777777" w:rsidR="00EB16E3" w:rsidRDefault="00EB16E3" w:rsidP="00EB16E3">
      <w:pPr>
        <w:spacing w:line="360" w:lineRule="auto"/>
        <w:jc w:val="both"/>
        <w:rPr>
          <w:rFonts w:ascii="Times New Roman" w:hAnsi="Times New Roman" w:cs="Times New Roman"/>
          <w:color w:val="222222"/>
          <w:sz w:val="24"/>
          <w:szCs w:val="24"/>
          <w:shd w:val="clear" w:color="auto" w:fill="FFFFFF"/>
        </w:rPr>
      </w:pPr>
      <w:proofErr w:type="spellStart"/>
      <w:r>
        <w:rPr>
          <w:rFonts w:ascii="Times New Roman" w:hAnsi="Times New Roman" w:cs="Times New Roman"/>
          <w:color w:val="222222"/>
          <w:sz w:val="24"/>
          <w:szCs w:val="24"/>
          <w:shd w:val="clear" w:color="auto" w:fill="FFFFFF"/>
        </w:rPr>
        <w:t>Tiemeyer</w:t>
      </w:r>
      <w:proofErr w:type="spellEnd"/>
      <w:r>
        <w:rPr>
          <w:rFonts w:ascii="Times New Roman" w:hAnsi="Times New Roman" w:cs="Times New Roman"/>
          <w:color w:val="222222"/>
          <w:sz w:val="24"/>
          <w:szCs w:val="24"/>
          <w:shd w:val="clear" w:color="auto" w:fill="FFFFFF"/>
        </w:rPr>
        <w:t xml:space="preserve"> (2021) illustrate</w:t>
      </w:r>
      <w:r>
        <w:rPr>
          <w:rFonts w:ascii="Times New Roman" w:hAnsi="Times New Roman" w:cs="Times New Roman"/>
          <w:sz w:val="24"/>
          <w:szCs w:val="24"/>
          <w:lang w:val="en-US"/>
        </w:rPr>
        <w:t xml:space="preserve">s that the COVID-19 pandemic and related quarantines have had a significant impact on the </w:t>
      </w:r>
      <w:proofErr w:type="spellStart"/>
      <w:r>
        <w:rPr>
          <w:rFonts w:ascii="Times New Roman" w:hAnsi="Times New Roman" w:cs="Times New Roman"/>
          <w:sz w:val="24"/>
          <w:szCs w:val="24"/>
          <w:lang w:val="en-US"/>
        </w:rPr>
        <w:t>labour</w:t>
      </w:r>
      <w:proofErr w:type="spellEnd"/>
      <w:r>
        <w:rPr>
          <w:rFonts w:ascii="Times New Roman" w:hAnsi="Times New Roman" w:cs="Times New Roman"/>
          <w:sz w:val="24"/>
          <w:szCs w:val="24"/>
          <w:lang w:val="en-US"/>
        </w:rPr>
        <w:t xml:space="preserve"> market. There have been many disputes about the use of layoff and rehire tactics during the pandemic. There is an unknown number of workers affected by the fire and rehiring during the pandemic. </w:t>
      </w:r>
      <w:r>
        <w:rPr>
          <w:rFonts w:ascii="Times New Roman" w:hAnsi="Times New Roman" w:cs="Times New Roman"/>
          <w:sz w:val="24"/>
          <w:szCs w:val="24"/>
          <w:shd w:val="clear" w:color="auto" w:fill="FFFFFF"/>
        </w:rPr>
        <w:t xml:space="preserve">Some British employers have been accused of taking </w:t>
      </w:r>
      <w:r>
        <w:rPr>
          <w:rFonts w:ascii="Times New Roman" w:hAnsi="Times New Roman" w:cs="Times New Roman"/>
          <w:sz w:val="24"/>
          <w:szCs w:val="24"/>
          <w:shd w:val="clear" w:color="auto" w:fill="FFFFFF"/>
        </w:rPr>
        <w:lastRenderedPageBreak/>
        <w:t xml:space="preserve">highly controversial measures during the pandemic time as a part of ensuring the financial stability of their businesses as the coronavirus wreaks havoc on the economy.  </w:t>
      </w:r>
    </w:p>
    <w:p w14:paraId="1857E982" w14:textId="77777777" w:rsidR="00EB16E3" w:rsidRDefault="00EB16E3" w:rsidP="00EB16E3">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sz w:val="24"/>
          <w:szCs w:val="24"/>
          <w:shd w:val="clear" w:color="auto" w:fill="FFFFFF"/>
        </w:rPr>
        <w:t>The practice of sacking employees and rehiring them on unfair terms started again become familiar when British Gas sacked around 500 engineers after refusing to accept the new code of conduct framed by the company. British Airways staff also faced a similar problem and clashed with the national airline's management over proposed redundancies. In addition to those, the supermarket giant ASDA was also under a similar challenge in 2019 (</w:t>
      </w:r>
      <w:proofErr w:type="spellStart"/>
      <w:r>
        <w:rPr>
          <w:rFonts w:ascii="Times New Roman" w:hAnsi="Times New Roman" w:cs="Times New Roman"/>
          <w:color w:val="222222"/>
          <w:sz w:val="24"/>
          <w:szCs w:val="24"/>
          <w:shd w:val="clear" w:color="auto" w:fill="FFFFFF"/>
        </w:rPr>
        <w:t>Cockbain</w:t>
      </w:r>
      <w:proofErr w:type="spellEnd"/>
      <w:r>
        <w:rPr>
          <w:rFonts w:ascii="Times New Roman" w:hAnsi="Times New Roman" w:cs="Times New Roman"/>
          <w:color w:val="222222"/>
          <w:sz w:val="24"/>
          <w:szCs w:val="24"/>
          <w:shd w:val="clear" w:color="auto" w:fill="FFFFFF"/>
        </w:rPr>
        <w:t xml:space="preserve"> and </w:t>
      </w:r>
      <w:proofErr w:type="spellStart"/>
      <w:r>
        <w:rPr>
          <w:rFonts w:ascii="Times New Roman" w:hAnsi="Times New Roman" w:cs="Times New Roman"/>
          <w:color w:val="222222"/>
          <w:sz w:val="24"/>
          <w:szCs w:val="24"/>
          <w:shd w:val="clear" w:color="auto" w:fill="FFFFFF"/>
        </w:rPr>
        <w:t>Posch</w:t>
      </w:r>
      <w:proofErr w:type="spellEnd"/>
      <w:r>
        <w:rPr>
          <w:rFonts w:ascii="Times New Roman" w:hAnsi="Times New Roman" w:cs="Times New Roman"/>
          <w:color w:val="222222"/>
          <w:sz w:val="24"/>
          <w:szCs w:val="24"/>
          <w:shd w:val="clear" w:color="auto" w:fill="FFFFFF"/>
        </w:rPr>
        <w:t>, 2022).</w:t>
      </w:r>
    </w:p>
    <w:p w14:paraId="7FA5F02C" w14:textId="77777777" w:rsidR="00EB16E3" w:rsidRDefault="00EB16E3" w:rsidP="00EB16E3">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shd w:val="clear" w:color="auto" w:fill="FFFFFF"/>
        </w:rPr>
        <w:t xml:space="preserve">The coffee workers at the distribution centre staff at Tesco were also under dispute of the new contact. Even if the fire and redeployment approach was legal in the UK, the former prime minister of the UK, Boris Johnson “also treated it as “unacceptable". Even if labour parties and trade unions in the UK have worked to be the concept. Moreover, the trade unions termed the particular approach of the employer as a disease. These diseases are ripping through the workplace. Even if the concept was in practice in neighbouring Ireland, it was banned in Ireland. And the concept was unknown in Germany. At the same time, in Canada, the policy was legal, and it was particularly mainly the non-unionid employees in private organisations. But while considering the context of the fire and rehiring in the US, a debate on the practice has taken place </w:t>
      </w:r>
      <w:r>
        <w:rPr>
          <w:rFonts w:ascii="Times New Roman" w:hAnsi="Times New Roman" w:cs="Times New Roman"/>
          <w:sz w:val="24"/>
          <w:szCs w:val="24"/>
          <w:lang w:val="en-US"/>
        </w:rPr>
        <w:t>The Economic Tomes (2021)</w:t>
      </w:r>
    </w:p>
    <w:p w14:paraId="1BFBC0EC" w14:textId="77777777" w:rsidR="00EB16E3" w:rsidRDefault="00EB16E3" w:rsidP="00EB16E3">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sz w:val="24"/>
          <w:szCs w:val="24"/>
          <w:shd w:val="clear" w:color="auto" w:fill="FFFFFF"/>
        </w:rPr>
        <w:t xml:space="preserve">As reported by </w:t>
      </w:r>
      <w:r>
        <w:rPr>
          <w:rFonts w:ascii="Times New Roman" w:hAnsi="Times New Roman" w:cs="Times New Roman"/>
          <w:color w:val="222222"/>
          <w:sz w:val="24"/>
          <w:szCs w:val="24"/>
          <w:shd w:val="clear" w:color="auto" w:fill="FFFFFF"/>
        </w:rPr>
        <w:t>Ewing and Hendy (2020),</w:t>
      </w:r>
      <w:r>
        <w:rPr>
          <w:rFonts w:ascii="Times New Roman" w:hAnsi="Times New Roman" w:cs="Times New Roman"/>
          <w:sz w:val="24"/>
          <w:szCs w:val="24"/>
          <w:shd w:val="clear" w:color="auto" w:fill="FFFFFF"/>
        </w:rPr>
        <w:t xml:space="preserve"> British Gas, British Airways, and Tower Hamlets council are using this tactic to put staff on longer working hours, lower pay and less compensation and other benefits causing stress and anxiety in the staff. And the sleepless nights </w:t>
      </w:r>
      <w:proofErr w:type="gramStart"/>
      <w:r>
        <w:rPr>
          <w:rFonts w:ascii="Times New Roman" w:hAnsi="Times New Roman" w:cs="Times New Roman"/>
          <w:sz w:val="24"/>
          <w:szCs w:val="24"/>
          <w:shd w:val="clear" w:color="auto" w:fill="FFFFFF"/>
        </w:rPr>
        <w:t>as a result of</w:t>
      </w:r>
      <w:proofErr w:type="gramEnd"/>
      <w:r>
        <w:rPr>
          <w:rFonts w:ascii="Times New Roman" w:hAnsi="Times New Roman" w:cs="Times New Roman"/>
          <w:sz w:val="24"/>
          <w:szCs w:val="24"/>
          <w:shd w:val="clear" w:color="auto" w:fill="FFFFFF"/>
        </w:rPr>
        <w:t xml:space="preserve"> the British gas engineers went on strike. General, Municipal, Boilermakers (GMB) was the trade union that supported the move of the British Gas employee strike. Although trade unions participated in this strike, it was not widely reflected in the media and encouraged the company's hiring and rehiring practices. </w:t>
      </w:r>
    </w:p>
    <w:p w14:paraId="2424D7CE" w14:textId="77777777" w:rsidR="00EB16E3" w:rsidRDefault="00EB16E3" w:rsidP="00EB16E3">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Considering the case of British Gas </w:t>
      </w:r>
      <w:r>
        <w:rPr>
          <w:rFonts w:ascii="Times New Roman" w:hAnsi="Times New Roman" w:cs="Times New Roman"/>
          <w:color w:val="222222"/>
          <w:sz w:val="24"/>
          <w:szCs w:val="24"/>
          <w:shd w:val="clear" w:color="auto" w:fill="FFFFFF"/>
        </w:rPr>
        <w:t xml:space="preserve">Devereux and Wadsworth (2022), </w:t>
      </w:r>
      <w:r>
        <w:rPr>
          <w:rFonts w:ascii="Times New Roman" w:hAnsi="Times New Roman" w:cs="Times New Roman"/>
          <w:sz w:val="24"/>
          <w:szCs w:val="24"/>
          <w:shd w:val="clear" w:color="auto" w:fill="FFFFFF"/>
        </w:rPr>
        <w:t xml:space="preserve">states that if the employees reject the terms of the new contract, it shows that employers have options open before resorting to dismissal and re-employment as a last resort. In other words, to avoid litigation, employees must be given due process, proper notice, proper counselling, and the opportunity to accept or reject new terms and conditions before being fired for re-employment. In contrast, the Dubai-based P&amp;O Ferries sacked 800 staff via video message with no plans to </w:t>
      </w:r>
      <w:r>
        <w:rPr>
          <w:rFonts w:ascii="Times New Roman" w:hAnsi="Times New Roman" w:cs="Times New Roman"/>
          <w:sz w:val="24"/>
          <w:szCs w:val="24"/>
          <w:shd w:val="clear" w:color="auto" w:fill="FFFFFF"/>
        </w:rPr>
        <w:lastRenderedPageBreak/>
        <w:t xml:space="preserve">rehire them, replacing them with agency staff on the same day as the result of covid 19 and related restrictions in operating the business. </w:t>
      </w:r>
    </w:p>
    <w:p w14:paraId="3477CAE9" w14:textId="77777777" w:rsidR="00EB16E3" w:rsidRDefault="00EB16E3" w:rsidP="00EB16E3">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Through research </w:t>
      </w:r>
      <w:r>
        <w:rPr>
          <w:rFonts w:ascii="Times New Roman" w:hAnsi="Times New Roman" w:cs="Times New Roman"/>
          <w:color w:val="222222"/>
          <w:sz w:val="24"/>
          <w:szCs w:val="24"/>
          <w:shd w:val="clear" w:color="auto" w:fill="FFFFFF"/>
        </w:rPr>
        <w:t>Lansley (2021),</w:t>
      </w:r>
      <w:r>
        <w:rPr>
          <w:rFonts w:ascii="Times New Roman" w:hAnsi="Times New Roman" w:cs="Times New Roman"/>
          <w:sz w:val="24"/>
          <w:szCs w:val="24"/>
          <w:shd w:val="clear" w:color="auto" w:fill="FFFFFF"/>
        </w:rPr>
        <w:t xml:space="preserve"> it was found that: The same approach has been adopted by various other organisations in the UK. The employer's friendly approach to fire and rehiring has become more controversial. To this end, the UK government instead deployed the Advisory, Counselling and Arbitration Service (ACAS) to </w:t>
      </w:r>
      <w:proofErr w:type="gramStart"/>
      <w:r>
        <w:rPr>
          <w:rFonts w:ascii="Times New Roman" w:hAnsi="Times New Roman" w:cs="Times New Roman"/>
          <w:sz w:val="24"/>
          <w:szCs w:val="24"/>
          <w:shd w:val="clear" w:color="auto" w:fill="FFFFFF"/>
        </w:rPr>
        <w:t>conduct an investigation</w:t>
      </w:r>
      <w:proofErr w:type="gramEnd"/>
      <w:r>
        <w:rPr>
          <w:rFonts w:ascii="Times New Roman" w:hAnsi="Times New Roman" w:cs="Times New Roman"/>
          <w:sz w:val="24"/>
          <w:szCs w:val="24"/>
          <w:shd w:val="clear" w:color="auto" w:fill="FFFFFF"/>
        </w:rPr>
        <w:t xml:space="preserve"> regarding the approach.</w:t>
      </w:r>
    </w:p>
    <w:p w14:paraId="72B014A6" w14:textId="77777777" w:rsidR="00EB16E3" w:rsidRDefault="00EB16E3" w:rsidP="00EB16E3">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And asked ACAS to provide detailed guidance for employers to avoid redundancies and re-employment of staff. Based on that, ACAS has issued guidance for employers. Based on the guideline, employers must inform and consult their employees or representatives </w:t>
      </w:r>
      <w:proofErr w:type="gramStart"/>
      <w:r>
        <w:rPr>
          <w:rFonts w:ascii="Times New Roman" w:hAnsi="Times New Roman" w:cs="Times New Roman"/>
          <w:sz w:val="24"/>
          <w:szCs w:val="24"/>
          <w:shd w:val="clear" w:color="auto" w:fill="FFFFFF"/>
        </w:rPr>
        <w:t>on the basis of</w:t>
      </w:r>
      <w:proofErr w:type="gramEnd"/>
      <w:r>
        <w:rPr>
          <w:rFonts w:ascii="Times New Roman" w:hAnsi="Times New Roman" w:cs="Times New Roman"/>
          <w:sz w:val="24"/>
          <w:szCs w:val="24"/>
          <w:shd w:val="clear" w:color="auto" w:fill="FFFFFF"/>
        </w:rPr>
        <w:t xml:space="preserve"> the change and, if the change is unacceptable, provide information on the expected impact on it. Warn employers, especially at the beginning of the discussion, not to use threats of what will happen if they do not agree to the proposed changes. Employee representatives and managers are advised to undergo consultation and negotiation training to ensure effective discussions (</w:t>
      </w:r>
      <w:r>
        <w:rPr>
          <w:rFonts w:ascii="Times New Roman" w:hAnsi="Times New Roman" w:cs="Times New Roman"/>
          <w:color w:val="222222"/>
          <w:sz w:val="24"/>
          <w:szCs w:val="24"/>
          <w:shd w:val="clear" w:color="auto" w:fill="FFFFFF"/>
        </w:rPr>
        <w:t xml:space="preserve">Codd and Ferguson, 2020). </w:t>
      </w:r>
      <w:r>
        <w:rPr>
          <w:rFonts w:ascii="Times New Roman" w:hAnsi="Times New Roman" w:cs="Times New Roman"/>
          <w:sz w:val="24"/>
          <w:szCs w:val="24"/>
          <w:shd w:val="clear" w:color="auto" w:fill="FFFFFF"/>
        </w:rPr>
        <w:t xml:space="preserve"> </w:t>
      </w:r>
    </w:p>
    <w:p w14:paraId="6815137F" w14:textId="77777777" w:rsidR="00EB16E3" w:rsidRDefault="00EB16E3" w:rsidP="00EB16E3">
      <w:pPr>
        <w:pStyle w:val="Heading1"/>
        <w:rPr>
          <w:rFonts w:cs="Times New Roman"/>
          <w:szCs w:val="24"/>
        </w:rPr>
      </w:pPr>
      <w:bookmarkStart w:id="4" w:name="_Toc123160313"/>
      <w:bookmarkStart w:id="5" w:name="_Hlk122988537"/>
      <w:r>
        <w:rPr>
          <w:rFonts w:cs="Times New Roman"/>
          <w:szCs w:val="24"/>
        </w:rPr>
        <w:t>Employment law and contract</w:t>
      </w:r>
      <w:bookmarkEnd w:id="4"/>
    </w:p>
    <w:p w14:paraId="0B99DE42" w14:textId="77777777" w:rsidR="00EB16E3" w:rsidRDefault="00EB16E3" w:rsidP="00EB16E3">
      <w:pPr>
        <w:pStyle w:val="NormalWeb"/>
        <w:spacing w:before="0" w:beforeAutospacing="0" w:after="0" w:afterAutospacing="0" w:line="360" w:lineRule="auto"/>
        <w:jc w:val="both"/>
        <w:rPr>
          <w:color w:val="0E101A"/>
        </w:rPr>
      </w:pPr>
      <w:r>
        <w:rPr>
          <w:color w:val="0E101A"/>
        </w:rPr>
        <w:t xml:space="preserve">As per the observation of </w:t>
      </w:r>
      <w:r>
        <w:rPr>
          <w:color w:val="222222"/>
          <w:shd w:val="clear" w:color="auto" w:fill="FFFFFF"/>
        </w:rPr>
        <w:t>Weber et al. (2022</w:t>
      </w:r>
      <w:r>
        <w:rPr>
          <w:color w:val="0E101A"/>
        </w:rPr>
        <w:t xml:space="preserve">), service rules facilitate the connection among workers, employing objects, trade unions, and the government, cooperative labour law narrates to the three-way connection between worker, manager, and union. Individual employment law concerns workers' rights at work also through the contract for work. In the opinion of </w:t>
      </w:r>
      <w:proofErr w:type="spellStart"/>
      <w:r>
        <w:rPr>
          <w:color w:val="222222"/>
          <w:shd w:val="clear" w:color="auto" w:fill="FFFFFF"/>
        </w:rPr>
        <w:t>Cahuc</w:t>
      </w:r>
      <w:proofErr w:type="spellEnd"/>
      <w:r>
        <w:rPr>
          <w:color w:val="222222"/>
          <w:shd w:val="clear" w:color="auto" w:fill="FFFFFF"/>
        </w:rPr>
        <w:t xml:space="preserve"> et al. (2022</w:t>
      </w:r>
      <w:r>
        <w:rPr>
          <w:color w:val="0E101A"/>
        </w:rPr>
        <w:t xml:space="preserve">), UK service laws are in place to make sure that both managers and workers are endangered. offering legislation on notice, holidays, discrimination and more, these rules are in place to defend workers' rights while also safeguarding a company's welfare and keeping the association among the two fairs. From the view of </w:t>
      </w:r>
      <w:r>
        <w:rPr>
          <w:color w:val="222222"/>
          <w:shd w:val="clear" w:color="auto" w:fill="FFFFFF"/>
        </w:rPr>
        <w:t>Ameri et al. (2018</w:t>
      </w:r>
      <w:r>
        <w:rPr>
          <w:color w:val="0E101A"/>
        </w:rPr>
        <w:t xml:space="preserve">), employment law is significant in every organisation because, it aids in defending both the managers and workers. The main purpose of employment law is to bring simplicity and clarity about working relations to everyone involved. While laws are often believed to be about fairness, it's </w:t>
      </w:r>
      <w:proofErr w:type="gramStart"/>
      <w:r>
        <w:rPr>
          <w:color w:val="0E101A"/>
        </w:rPr>
        <w:t>actually more</w:t>
      </w:r>
      <w:proofErr w:type="gramEnd"/>
      <w:r>
        <w:rPr>
          <w:color w:val="0E101A"/>
        </w:rPr>
        <w:t xml:space="preserve"> precise to say that employment law is just as greatly about founding clarity. Basically, employment law in the UK is a group of laws and other legal deliberations that govern the association between workers and its employers. For workers, it governs what they can ask of employees, what they are permitted to deliver, and what establishes an employee's authorized rights at work. </w:t>
      </w:r>
    </w:p>
    <w:p w14:paraId="28F04BC4" w14:textId="77777777" w:rsidR="00EB16E3" w:rsidRDefault="00EB16E3" w:rsidP="00EB16E3">
      <w:pPr>
        <w:pStyle w:val="NormalWeb"/>
        <w:spacing w:before="0" w:beforeAutospacing="0" w:after="0" w:afterAutospacing="0" w:line="360" w:lineRule="auto"/>
        <w:jc w:val="both"/>
        <w:rPr>
          <w:color w:val="0E101A"/>
        </w:rPr>
      </w:pPr>
      <w:r>
        <w:rPr>
          <w:color w:val="0E101A"/>
        </w:rPr>
        <w:lastRenderedPageBreak/>
        <w:t xml:space="preserve">As per the observation of </w:t>
      </w:r>
      <w:r>
        <w:rPr>
          <w:color w:val="222222"/>
          <w:shd w:val="clear" w:color="auto" w:fill="FFFFFF"/>
        </w:rPr>
        <w:t>Barker &amp; Christensen (2019</w:t>
      </w:r>
      <w:r>
        <w:rPr>
          <w:color w:val="0E101A"/>
        </w:rPr>
        <w:t xml:space="preserve">), employment law also controls the labour market and sets maximum or least bounds on salaries or working hours, moreover nationally or in specific segments or industries. Employment rules were put into place to defend workers from dangerous or unhealthy work environments, insight from employers and illegal compensation. It has also been helpful for managers as well when the laws are correctly tracked. Service laws safeguard employees </w:t>
      </w:r>
      <w:proofErr w:type="gramStart"/>
      <w:r>
        <w:rPr>
          <w:color w:val="0E101A"/>
        </w:rPr>
        <w:t>are able to</w:t>
      </w:r>
      <w:proofErr w:type="gramEnd"/>
      <w:r>
        <w:rPr>
          <w:color w:val="0E101A"/>
        </w:rPr>
        <w:t xml:space="preserve"> effort in a fair and safe work environment and offer that they are justly rewarded. In return, workers often do their work with advanced quality and enjoy each workday more. One of the chief determinations of employment laws is to ensure employees are protected from discrimination. As per the view of </w:t>
      </w:r>
      <w:proofErr w:type="spellStart"/>
      <w:r>
        <w:rPr>
          <w:color w:val="222222"/>
          <w:shd w:val="clear" w:color="auto" w:fill="FFFFFF"/>
        </w:rPr>
        <w:t>Estlund</w:t>
      </w:r>
      <w:proofErr w:type="spellEnd"/>
      <w:r>
        <w:rPr>
          <w:color w:val="222222"/>
          <w:shd w:val="clear" w:color="auto" w:fill="FFFFFF"/>
        </w:rPr>
        <w:t xml:space="preserve"> (2018</w:t>
      </w:r>
      <w:r>
        <w:rPr>
          <w:color w:val="0E101A"/>
        </w:rPr>
        <w:t xml:space="preserve">), insight within the workplace can take place in many various procedures. It could be as simple as demoting an employee due to age or gender. Employment law occurs to support the balance of employers and employees alike. It also offers the economic steadiness by giving employers the right to freely function the business </w:t>
      </w:r>
      <w:proofErr w:type="gramStart"/>
      <w:r>
        <w:rPr>
          <w:color w:val="0E101A"/>
        </w:rPr>
        <w:t>as long as</w:t>
      </w:r>
      <w:proofErr w:type="gramEnd"/>
      <w:r>
        <w:rPr>
          <w:color w:val="0E101A"/>
        </w:rPr>
        <w:t xml:space="preserve"> they equally treat staff and do not favour, annoy, or depiction employees to insecure working circumstances. Employment law is also significant for soothing an economy and enhancing the excellence of life within a nation, state and nearby by offering harmless occupation chances. </w:t>
      </w:r>
    </w:p>
    <w:p w14:paraId="2597641D" w14:textId="77777777" w:rsidR="00EB16E3" w:rsidRDefault="00EB16E3" w:rsidP="00EB16E3">
      <w:pPr>
        <w:pStyle w:val="NormalWeb"/>
        <w:spacing w:before="0" w:beforeAutospacing="0" w:after="0" w:afterAutospacing="0" w:line="360" w:lineRule="auto"/>
        <w:jc w:val="both"/>
        <w:rPr>
          <w:color w:val="000000" w:themeColor="text1"/>
          <w:shd w:val="clear" w:color="auto" w:fill="FFFFFF"/>
        </w:rPr>
      </w:pPr>
      <w:r>
        <w:rPr>
          <w:color w:val="000000" w:themeColor="text1"/>
          <w:shd w:val="clear" w:color="auto" w:fill="FFFFFF"/>
        </w:rPr>
        <w:t xml:space="preserve">An Employment Contract, also identified as an employment agreement, is a document that summaries the rights, responsibilities, and duties of an employer and worker. The main reason for a service agreement is to offer job safety to the worker and safeguard that employers are also protected from risks like lesser productivity that can happen due to unclear working hours. </w:t>
      </w:r>
    </w:p>
    <w:p w14:paraId="3BE87212" w14:textId="77777777" w:rsidR="00EB16E3" w:rsidRDefault="00EB16E3" w:rsidP="00EB16E3">
      <w:pPr>
        <w:pStyle w:val="Heading1"/>
        <w:rPr>
          <w:rFonts w:cs="Times New Roman"/>
          <w:szCs w:val="24"/>
        </w:rPr>
      </w:pPr>
      <w:bookmarkStart w:id="6" w:name="_Toc123160314"/>
      <w:bookmarkEnd w:id="5"/>
      <w:r>
        <w:rPr>
          <w:rFonts w:cs="Times New Roman"/>
          <w:szCs w:val="24"/>
        </w:rPr>
        <w:t>Legal implications of changing contractual employment terms</w:t>
      </w:r>
    </w:p>
    <w:bookmarkEnd w:id="6"/>
    <w:p w14:paraId="5F6CE598" w14:textId="77777777" w:rsidR="00EB16E3" w:rsidRDefault="00EB16E3" w:rsidP="00EB16E3">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There are various legal implications before changing the employment terms that have been previously agreed upon by both the employees and employers. The employers can invite legal trouble if the employees do not agree to the contract changes. In case the employees insist and coerce the employees to sign the changes in employment terms, it can invite legal consequences under various provisions of the relevant labour and contract legislations. The UK Government guideline insists on getting the agreement of the employees through consultation and negotiation (</w:t>
      </w:r>
      <w:proofErr w:type="spellStart"/>
      <w:r>
        <w:rPr>
          <w:rFonts w:ascii="Times New Roman" w:hAnsi="Times New Roman" w:cs="Times New Roman"/>
          <w:color w:val="222222"/>
          <w:sz w:val="24"/>
          <w:szCs w:val="24"/>
          <w:shd w:val="clear" w:color="auto" w:fill="FFFFFF"/>
        </w:rPr>
        <w:t>Mik</w:t>
      </w:r>
      <w:proofErr w:type="spellEnd"/>
      <w:r>
        <w:rPr>
          <w:rFonts w:ascii="Times New Roman" w:hAnsi="Times New Roman" w:cs="Times New Roman"/>
          <w:color w:val="222222"/>
          <w:sz w:val="24"/>
          <w:szCs w:val="24"/>
          <w:shd w:val="clear" w:color="auto" w:fill="FFFFFF"/>
        </w:rPr>
        <w:t>, 2017</w:t>
      </w:r>
      <w:r>
        <w:rPr>
          <w:rFonts w:ascii="Times New Roman" w:hAnsi="Times New Roman" w:cs="Times New Roman"/>
          <w:bCs/>
          <w:sz w:val="24"/>
          <w:szCs w:val="24"/>
        </w:rPr>
        <w:t xml:space="preserve">). The reasons for the change in terms must be clearly communicated. </w:t>
      </w:r>
    </w:p>
    <w:p w14:paraId="6FB0D5E0" w14:textId="77777777" w:rsidR="00EB16E3" w:rsidRDefault="00EB16E3" w:rsidP="00EB16E3">
      <w:pPr>
        <w:spacing w:line="360" w:lineRule="auto"/>
        <w:jc w:val="both"/>
        <w:rPr>
          <w:rFonts w:ascii="Times New Roman" w:hAnsi="Times New Roman" w:cs="Times New Roman"/>
          <w:bCs/>
          <w:sz w:val="24"/>
          <w:szCs w:val="24"/>
        </w:rPr>
      </w:pPr>
      <w:r>
        <w:rPr>
          <w:rFonts w:ascii="Times New Roman" w:hAnsi="Times New Roman" w:cs="Times New Roman"/>
          <w:color w:val="222222"/>
          <w:sz w:val="24"/>
          <w:szCs w:val="24"/>
          <w:shd w:val="clear" w:color="auto" w:fill="FFFFFF"/>
        </w:rPr>
        <w:t xml:space="preserve">Barbieri and </w:t>
      </w:r>
      <w:proofErr w:type="spellStart"/>
      <w:r>
        <w:rPr>
          <w:rFonts w:ascii="Times New Roman" w:hAnsi="Times New Roman" w:cs="Times New Roman"/>
          <w:color w:val="222222"/>
          <w:sz w:val="24"/>
          <w:szCs w:val="24"/>
          <w:shd w:val="clear" w:color="auto" w:fill="FFFFFF"/>
        </w:rPr>
        <w:t>Cutuli</w:t>
      </w:r>
      <w:proofErr w:type="spellEnd"/>
      <w:r>
        <w:rPr>
          <w:rFonts w:ascii="Times New Roman" w:hAnsi="Times New Roman" w:cs="Times New Roman"/>
          <w:color w:val="222222"/>
          <w:sz w:val="24"/>
          <w:szCs w:val="24"/>
          <w:shd w:val="clear" w:color="auto" w:fill="FFFFFF"/>
        </w:rPr>
        <w:t xml:space="preserve"> (2016)</w:t>
      </w:r>
      <w:r>
        <w:rPr>
          <w:rFonts w:ascii="Times New Roman" w:hAnsi="Times New Roman" w:cs="Times New Roman"/>
          <w:bCs/>
          <w:sz w:val="24"/>
          <w:szCs w:val="24"/>
        </w:rPr>
        <w:t xml:space="preserve"> point out that there can be situations in which the contract can be terminated through unilateral agreement. The issue of employment contracts and contract modifications has been a widely discussed issue in the context of the rise of the gig economy. The rise of the contingent workforce has brought more flexibility in contract terms. The effects of the proposed changes in employment contracts can be expressed changes, implied </w:t>
      </w:r>
      <w:proofErr w:type="gramStart"/>
      <w:r>
        <w:rPr>
          <w:rFonts w:ascii="Times New Roman" w:hAnsi="Times New Roman" w:cs="Times New Roman"/>
          <w:bCs/>
          <w:sz w:val="24"/>
          <w:szCs w:val="24"/>
        </w:rPr>
        <w:t>changes</w:t>
      </w:r>
      <w:proofErr w:type="gramEnd"/>
      <w:r>
        <w:rPr>
          <w:rFonts w:ascii="Times New Roman" w:hAnsi="Times New Roman" w:cs="Times New Roman"/>
          <w:bCs/>
          <w:sz w:val="24"/>
          <w:szCs w:val="24"/>
        </w:rPr>
        <w:t xml:space="preserve"> </w:t>
      </w:r>
      <w:r>
        <w:rPr>
          <w:rFonts w:ascii="Times New Roman" w:hAnsi="Times New Roman" w:cs="Times New Roman"/>
          <w:bCs/>
          <w:sz w:val="24"/>
          <w:szCs w:val="24"/>
        </w:rPr>
        <w:lastRenderedPageBreak/>
        <w:t>or incorporated changes. The expressed changes are the ones that were explicitly mentioned and have expressly agreed upon. The implied terms in the contract can be a result of custom and practice. The incorporated terms will be a result of the legislation (</w:t>
      </w:r>
      <w:proofErr w:type="spellStart"/>
      <w:r>
        <w:rPr>
          <w:rFonts w:ascii="Times New Roman" w:hAnsi="Times New Roman" w:cs="Times New Roman"/>
          <w:color w:val="222222"/>
          <w:sz w:val="24"/>
          <w:szCs w:val="24"/>
          <w:shd w:val="clear" w:color="auto" w:fill="FFFFFF"/>
        </w:rPr>
        <w:t>Wagenaar</w:t>
      </w:r>
      <w:proofErr w:type="spellEnd"/>
      <w:r>
        <w:rPr>
          <w:rFonts w:ascii="Times New Roman" w:hAnsi="Times New Roman" w:cs="Times New Roman"/>
          <w:color w:val="222222"/>
          <w:sz w:val="24"/>
          <w:szCs w:val="24"/>
          <w:shd w:val="clear" w:color="auto" w:fill="FFFFFF"/>
        </w:rPr>
        <w:t xml:space="preserve"> et al., 2015</w:t>
      </w:r>
      <w:r>
        <w:rPr>
          <w:rFonts w:ascii="Times New Roman" w:hAnsi="Times New Roman" w:cs="Times New Roman"/>
          <w:bCs/>
          <w:sz w:val="24"/>
          <w:szCs w:val="24"/>
        </w:rPr>
        <w:t xml:space="preserve">). </w:t>
      </w:r>
    </w:p>
    <w:p w14:paraId="6E09F486" w14:textId="77777777" w:rsidR="00EB16E3" w:rsidRDefault="00EB16E3" w:rsidP="00EB16E3">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The employer will not always be required to make amendments to the contract in case existing terms are broad to accommodate the new terms set by the employer.   At the same time, employers often include flexible clauses in contracts to enable later alternations. The ambiguity in such clauses does not provide the employer with any rights to amend or renegotiate contracts at their will (</w:t>
      </w:r>
      <w:r>
        <w:rPr>
          <w:rFonts w:ascii="Times New Roman" w:hAnsi="Times New Roman" w:cs="Times New Roman"/>
          <w:color w:val="222222"/>
          <w:sz w:val="24"/>
          <w:szCs w:val="24"/>
          <w:shd w:val="clear" w:color="auto" w:fill="FFFFFF"/>
        </w:rPr>
        <w:t>Dawson et al., 2017</w:t>
      </w:r>
      <w:r>
        <w:rPr>
          <w:rFonts w:ascii="Times New Roman" w:hAnsi="Times New Roman" w:cs="Times New Roman"/>
          <w:bCs/>
          <w:sz w:val="24"/>
          <w:szCs w:val="24"/>
        </w:rPr>
        <w:t xml:space="preserve">). Similarly, employment regulations and courts only allow a reasonable amount of flexibility to employment contracts. The rights of the employers to alter the contract are not applicable to expressed changes in the existing contract unless it has been unilaterally agreed by both parties. </w:t>
      </w:r>
    </w:p>
    <w:p w14:paraId="0EF6A627" w14:textId="77777777" w:rsidR="00EB16E3" w:rsidRDefault="00EB16E3" w:rsidP="00EB16E3">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The agreement from the employees to the new contract or changes in contract conditions should be an express agreement. The employer has no right under any circumstances to unilaterally amend the terms of the contract. The oral agreement from the employees is not favourable to employers as it is legally vulnerable (</w:t>
      </w:r>
      <w:proofErr w:type="spellStart"/>
      <w:r>
        <w:rPr>
          <w:rFonts w:ascii="Times New Roman" w:hAnsi="Times New Roman" w:cs="Times New Roman"/>
          <w:color w:val="222222"/>
          <w:sz w:val="24"/>
          <w:szCs w:val="24"/>
          <w:shd w:val="clear" w:color="auto" w:fill="FFFFFF"/>
        </w:rPr>
        <w:t>Eldor</w:t>
      </w:r>
      <w:proofErr w:type="spellEnd"/>
      <w:r>
        <w:rPr>
          <w:rFonts w:ascii="Times New Roman" w:hAnsi="Times New Roman" w:cs="Times New Roman"/>
          <w:color w:val="222222"/>
          <w:sz w:val="24"/>
          <w:szCs w:val="24"/>
          <w:shd w:val="clear" w:color="auto" w:fill="FFFFFF"/>
        </w:rPr>
        <w:t xml:space="preserve"> and Vigoda-Gadot, 2017</w:t>
      </w:r>
      <w:r>
        <w:rPr>
          <w:rFonts w:ascii="Times New Roman" w:hAnsi="Times New Roman" w:cs="Times New Roman"/>
          <w:bCs/>
          <w:sz w:val="24"/>
          <w:szCs w:val="24"/>
        </w:rPr>
        <w:t xml:space="preserve">). </w:t>
      </w:r>
      <w:proofErr w:type="gramStart"/>
      <w:r>
        <w:rPr>
          <w:rFonts w:ascii="Times New Roman" w:hAnsi="Times New Roman" w:cs="Times New Roman"/>
          <w:bCs/>
          <w:sz w:val="24"/>
          <w:szCs w:val="24"/>
        </w:rPr>
        <w:t>In order to</w:t>
      </w:r>
      <w:proofErr w:type="gramEnd"/>
      <w:r>
        <w:rPr>
          <w:rFonts w:ascii="Times New Roman" w:hAnsi="Times New Roman" w:cs="Times New Roman"/>
          <w:bCs/>
          <w:sz w:val="24"/>
          <w:szCs w:val="24"/>
        </w:rPr>
        <w:t xml:space="preserve"> ensure that the amendment to the contract is legally binding, the employee must benefit from the contract for their express consent. Generally, the benefits for the employees are the continuation of their employment with the employer, which is sufficient for the contract to be binding (</w:t>
      </w:r>
      <w:r>
        <w:rPr>
          <w:rFonts w:ascii="Times New Roman" w:hAnsi="Times New Roman" w:cs="Times New Roman"/>
          <w:color w:val="222222"/>
          <w:sz w:val="24"/>
          <w:szCs w:val="24"/>
          <w:shd w:val="clear" w:color="auto" w:fill="FFFFFF"/>
        </w:rPr>
        <w:t>Manas et al., 2019</w:t>
      </w:r>
      <w:r>
        <w:rPr>
          <w:rFonts w:ascii="Times New Roman" w:hAnsi="Times New Roman" w:cs="Times New Roman"/>
          <w:bCs/>
          <w:sz w:val="24"/>
          <w:szCs w:val="24"/>
        </w:rPr>
        <w:t xml:space="preserve">).  </w:t>
      </w:r>
    </w:p>
    <w:p w14:paraId="2750E82E" w14:textId="77777777" w:rsidR="00EB16E3" w:rsidRDefault="00EB16E3" w:rsidP="00EB16E3">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The case of British Gas mentions the involvement of unions in the strikes by boiler engineers. The labour unions are recognised under the relevant legislation and have stakes in the contract amendments. The unions can act as the agent of the employees in contract negotiations and help to generate collective agreement (</w:t>
      </w:r>
      <w:r>
        <w:rPr>
          <w:rFonts w:ascii="Times New Roman" w:hAnsi="Times New Roman" w:cs="Times New Roman"/>
          <w:color w:val="222222"/>
          <w:sz w:val="24"/>
          <w:szCs w:val="24"/>
          <w:shd w:val="clear" w:color="auto" w:fill="FFFFFF"/>
        </w:rPr>
        <w:t xml:space="preserve">Warner and </w:t>
      </w:r>
      <w:proofErr w:type="spellStart"/>
      <w:r>
        <w:rPr>
          <w:rFonts w:ascii="Times New Roman" w:hAnsi="Times New Roman" w:cs="Times New Roman"/>
          <w:color w:val="222222"/>
          <w:sz w:val="24"/>
          <w:szCs w:val="24"/>
          <w:shd w:val="clear" w:color="auto" w:fill="FFFFFF"/>
        </w:rPr>
        <w:t>Hefetz</w:t>
      </w:r>
      <w:proofErr w:type="spellEnd"/>
      <w:r>
        <w:rPr>
          <w:rFonts w:ascii="Times New Roman" w:hAnsi="Times New Roman" w:cs="Times New Roman"/>
          <w:color w:val="222222"/>
          <w:sz w:val="24"/>
          <w:szCs w:val="24"/>
          <w:shd w:val="clear" w:color="auto" w:fill="FFFFFF"/>
        </w:rPr>
        <w:t>, 2020</w:t>
      </w:r>
      <w:r>
        <w:rPr>
          <w:rFonts w:ascii="Times New Roman" w:hAnsi="Times New Roman" w:cs="Times New Roman"/>
          <w:bCs/>
          <w:sz w:val="24"/>
          <w:szCs w:val="24"/>
        </w:rPr>
        <w:t xml:space="preserve">). In case employers decide on unilateral changes to the terms of the contract by expecting the implied agreement of the workforce, there are various possible ways for resistance. The workforce can adopt a standing and suing strategy in which they continue to work under the employer but claim for the breach of contract. The employees can also seek pressure tactics like resignation or refusal to work in case of severe breaches.     </w:t>
      </w:r>
    </w:p>
    <w:p w14:paraId="65E80786" w14:textId="77777777" w:rsidR="00EB16E3" w:rsidRDefault="00EB16E3" w:rsidP="00EB16E3">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The dismissal and rehiring tactics adopted by British gas and other organisations while trying to unilaterally impose changes in contracts can invite several legal consequences. The employees have the right to claim and sue for wrongful dismissal in case the employer tries to dismiss them without prior notice. In addition, the employees can claim unfair dismissal </w:t>
      </w:r>
      <w:r>
        <w:rPr>
          <w:rFonts w:ascii="Times New Roman" w:hAnsi="Times New Roman" w:cs="Times New Roman"/>
          <w:bCs/>
          <w:sz w:val="24"/>
          <w:szCs w:val="24"/>
        </w:rPr>
        <w:lastRenderedPageBreak/>
        <w:t>without any justifiable reasons. At the same, the employment Rights Act 1996 contains provisions for the dismissal of the workforce in case they file to agree to the new terms of the contract (</w:t>
      </w:r>
      <w:proofErr w:type="spellStart"/>
      <w:r>
        <w:rPr>
          <w:rFonts w:ascii="Times New Roman" w:hAnsi="Times New Roman" w:cs="Times New Roman"/>
          <w:color w:val="222222"/>
          <w:sz w:val="24"/>
          <w:szCs w:val="24"/>
          <w:shd w:val="clear" w:color="auto" w:fill="FFFFFF"/>
        </w:rPr>
        <w:t>Meijerink</w:t>
      </w:r>
      <w:proofErr w:type="spellEnd"/>
      <w:r>
        <w:rPr>
          <w:rFonts w:ascii="Times New Roman" w:hAnsi="Times New Roman" w:cs="Times New Roman"/>
          <w:color w:val="222222"/>
          <w:sz w:val="24"/>
          <w:szCs w:val="24"/>
          <w:shd w:val="clear" w:color="auto" w:fill="FFFFFF"/>
        </w:rPr>
        <w:t xml:space="preserve"> and Keegan, 2019</w:t>
      </w:r>
      <w:r>
        <w:rPr>
          <w:rFonts w:ascii="Times New Roman" w:hAnsi="Times New Roman" w:cs="Times New Roman"/>
          <w:bCs/>
          <w:sz w:val="24"/>
          <w:szCs w:val="24"/>
        </w:rPr>
        <w:t>). At the same time, the legislation mandates that there should be a clear reason for businesses to make amendments to contracts.   In case the employers are planning to terminate more than 20 employees, such actions must be notified to the authorities under Trade Union and Labour Relations Act 1992 (</w:t>
      </w:r>
      <w:r>
        <w:rPr>
          <w:rFonts w:ascii="Times New Roman" w:hAnsi="Times New Roman" w:cs="Times New Roman"/>
          <w:color w:val="222222"/>
          <w:sz w:val="24"/>
          <w:szCs w:val="24"/>
          <w:shd w:val="clear" w:color="auto" w:fill="FFFFFF"/>
        </w:rPr>
        <w:t>Chan, 2019</w:t>
      </w:r>
      <w:r>
        <w:rPr>
          <w:rFonts w:ascii="Times New Roman" w:hAnsi="Times New Roman" w:cs="Times New Roman"/>
          <w:bCs/>
          <w:sz w:val="24"/>
          <w:szCs w:val="24"/>
        </w:rPr>
        <w:t xml:space="preserve">). A failure to notify such actions can be considered a criminal offence, and the employer may have to compensate the workforce. </w:t>
      </w:r>
    </w:p>
    <w:p w14:paraId="11757F37" w14:textId="77777777" w:rsidR="00EB16E3" w:rsidRDefault="00EB16E3" w:rsidP="00EB16E3">
      <w:pPr>
        <w:pStyle w:val="Heading1"/>
        <w:rPr>
          <w:rFonts w:cs="Times New Roman"/>
          <w:szCs w:val="24"/>
        </w:rPr>
      </w:pPr>
      <w:bookmarkStart w:id="7" w:name="_Hlk122995870"/>
      <w:bookmarkStart w:id="8" w:name="_Toc123160315"/>
      <w:r>
        <w:rPr>
          <w:rFonts w:cs="Times New Roman"/>
          <w:szCs w:val="24"/>
        </w:rPr>
        <w:t>Employee engagement</w:t>
      </w:r>
      <w:bookmarkEnd w:id="7"/>
      <w:bookmarkEnd w:id="8"/>
    </w:p>
    <w:p w14:paraId="639E2B28" w14:textId="77777777" w:rsidR="00EB16E3" w:rsidRDefault="00EB16E3" w:rsidP="00EB16E3">
      <w:pPr>
        <w:pStyle w:val="NormalWeb"/>
        <w:spacing w:before="0" w:beforeAutospacing="0" w:after="0" w:afterAutospacing="0" w:line="360" w:lineRule="auto"/>
        <w:jc w:val="both"/>
        <w:rPr>
          <w:color w:val="0E101A"/>
        </w:rPr>
      </w:pPr>
      <w:r>
        <w:rPr>
          <w:color w:val="0E101A"/>
        </w:rPr>
        <w:t xml:space="preserve">As per the observation of </w:t>
      </w:r>
      <w:r>
        <w:rPr>
          <w:color w:val="222222"/>
          <w:shd w:val="clear" w:color="auto" w:fill="FFFFFF"/>
        </w:rPr>
        <w:t xml:space="preserve">Sun &amp; </w:t>
      </w:r>
      <w:proofErr w:type="spellStart"/>
      <w:r>
        <w:rPr>
          <w:color w:val="222222"/>
          <w:shd w:val="clear" w:color="auto" w:fill="FFFFFF"/>
        </w:rPr>
        <w:t>Bunchapattanasakda</w:t>
      </w:r>
      <w:proofErr w:type="spellEnd"/>
      <w:r>
        <w:rPr>
          <w:color w:val="222222"/>
          <w:shd w:val="clear" w:color="auto" w:fill="FFFFFF"/>
        </w:rPr>
        <w:t xml:space="preserve"> (2019</w:t>
      </w:r>
      <w:r>
        <w:rPr>
          <w:color w:val="0E101A"/>
        </w:rPr>
        <w:t xml:space="preserve">), Worker engagement denotes to the obligation and connection of the employees to their employer. The employee engagement enhances the success of a company. The high stages of appointment expand performance at all levels of the organisation. They inspire lasting worker relations as well as the loyalty of the customers. the employee engagement is significant because the organisation with an engaged workforce is more </w:t>
      </w:r>
      <w:proofErr w:type="gramStart"/>
      <w:r>
        <w:rPr>
          <w:color w:val="0E101A"/>
        </w:rPr>
        <w:t>fruitful</w:t>
      </w:r>
      <w:proofErr w:type="gramEnd"/>
      <w:r>
        <w:rPr>
          <w:color w:val="0E101A"/>
        </w:rPr>
        <w:t xml:space="preserve"> and the productivity is also enhancing. The employees are pleased and fascinated in their work so they’re more likely to stick around. As per the opinion of </w:t>
      </w:r>
      <w:r>
        <w:rPr>
          <w:color w:val="222222"/>
          <w:shd w:val="clear" w:color="auto" w:fill="FFFFFF"/>
        </w:rPr>
        <w:t>Kwon &amp; Kim (2020</w:t>
      </w:r>
      <w:r>
        <w:rPr>
          <w:color w:val="0E101A"/>
        </w:rPr>
        <w:t xml:space="preserve">), engaged employees will influence their networks and refer top talent into the organisation. Buyer faithfulness increases because of the mutual quality and amenities that comes from the employees who are </w:t>
      </w:r>
      <w:proofErr w:type="gramStart"/>
      <w:r>
        <w:rPr>
          <w:color w:val="0E101A"/>
        </w:rPr>
        <w:t>engaged</w:t>
      </w:r>
      <w:proofErr w:type="gramEnd"/>
      <w:r>
        <w:rPr>
          <w:color w:val="0E101A"/>
        </w:rPr>
        <w:t xml:space="preserve"> and the involved employees are more possible to look at the improved picture because they comprehend their place and purpose in the business and how what they do can affect the outcome of the organisation. All of this influences the monetary health of the business. An effective employee engagement strategy is built on communication and faith among workers and employers. To foster worker engagement, leadership should model the organisation’s core values, take pride in the company, inspire professional </w:t>
      </w:r>
      <w:proofErr w:type="gramStart"/>
      <w:r>
        <w:rPr>
          <w:color w:val="0E101A"/>
        </w:rPr>
        <w:t>growth</w:t>
      </w:r>
      <w:proofErr w:type="gramEnd"/>
      <w:r>
        <w:rPr>
          <w:color w:val="0E101A"/>
        </w:rPr>
        <w:t xml:space="preserve"> and support each the goal of an individual.  </w:t>
      </w:r>
    </w:p>
    <w:p w14:paraId="45EA96FD" w14:textId="77777777" w:rsidR="00EB16E3" w:rsidRDefault="00EB16E3" w:rsidP="00EB16E3">
      <w:pPr>
        <w:pStyle w:val="NormalWeb"/>
        <w:spacing w:before="0" w:beforeAutospacing="0" w:after="0" w:afterAutospacing="0" w:line="360" w:lineRule="auto"/>
        <w:jc w:val="both"/>
        <w:rPr>
          <w:color w:val="0E101A"/>
        </w:rPr>
      </w:pPr>
      <w:r>
        <w:rPr>
          <w:color w:val="0E101A"/>
        </w:rPr>
        <w:t xml:space="preserve">From the view of </w:t>
      </w:r>
      <w:proofErr w:type="spellStart"/>
      <w:r>
        <w:rPr>
          <w:color w:val="222222"/>
          <w:shd w:val="clear" w:color="auto" w:fill="FFFFFF"/>
        </w:rPr>
        <w:t>Motyka</w:t>
      </w:r>
      <w:proofErr w:type="spellEnd"/>
      <w:r>
        <w:rPr>
          <w:color w:val="222222"/>
          <w:shd w:val="clear" w:color="auto" w:fill="FFFFFF"/>
        </w:rPr>
        <w:t xml:space="preserve"> (2018)</w:t>
      </w:r>
      <w:r>
        <w:rPr>
          <w:color w:val="0E101A"/>
        </w:rPr>
        <w:t xml:space="preserve">, extremely involved workers grasp very favourable opinions of their place of work. When workers feel related to their teams, love their jobs, and have optimistic feelings about the organisation. Organisations with high employee engagement decrease both income and signing costs and detached employees are a main factor contributing to high worker turnover. Engaging workers is serious for retaining top talent and is a significant piece of the employee gratification puzzle, as disengaged employees are more likely to leave their jobs. Employee engagement is one of the most significant pointers in evaluating work gratification. Workers nowadays want to be complicated in their work, excited about the </w:t>
      </w:r>
      <w:r>
        <w:rPr>
          <w:color w:val="0E101A"/>
        </w:rPr>
        <w:lastRenderedPageBreak/>
        <w:t xml:space="preserve">organisation they work for, have an intelligence of fitting, and be afforded suppleness around agendas and position. As per the observation of </w:t>
      </w:r>
      <w:proofErr w:type="spellStart"/>
      <w:r>
        <w:rPr>
          <w:color w:val="222222"/>
          <w:shd w:val="clear" w:color="auto" w:fill="FFFFFF"/>
        </w:rPr>
        <w:t>Chanana</w:t>
      </w:r>
      <w:proofErr w:type="spellEnd"/>
      <w:r>
        <w:rPr>
          <w:color w:val="222222"/>
          <w:shd w:val="clear" w:color="auto" w:fill="FFFFFF"/>
        </w:rPr>
        <w:t xml:space="preserve"> (2021</w:t>
      </w:r>
      <w:r>
        <w:rPr>
          <w:color w:val="0E101A"/>
        </w:rPr>
        <w:t xml:space="preserve">), low employee engagement can be caused by numerous features which containing lack of gratitude by managers, poor business communication and not having a better comprehending of the mission, vision and values of the organisation and involvement labours. Moreover, employee engagement is a strategic business objective because engaged employees lead to lasting employee retention, advanced employee performance, better-quality of work, and the success of an organisation. Employee engagement is about being encompassed completely as a participant of the team attentive on clear goals, trusted and authorised receiving regular and positive feedback, supported in emerging new skills, and recognised for accomplishment. The joining of the gratification of worker’s basic requirements have been determined to straight connect to sensation appreciated by the employer thereby becoming devoted and engaged at work. According to </w:t>
      </w:r>
      <w:r>
        <w:rPr>
          <w:color w:val="222222"/>
          <w:shd w:val="clear" w:color="auto" w:fill="FFFFFF"/>
        </w:rPr>
        <w:t>Arifin et al. (2019</w:t>
      </w:r>
      <w:r>
        <w:rPr>
          <w:color w:val="0E101A"/>
        </w:rPr>
        <w:t xml:space="preserve">), the involved employees often grow an emotional connection to their job and </w:t>
      </w:r>
      <w:proofErr w:type="gramStart"/>
      <w:r>
        <w:rPr>
          <w:color w:val="0E101A"/>
        </w:rPr>
        <w:t>company, and</w:t>
      </w:r>
      <w:proofErr w:type="gramEnd"/>
      <w:r>
        <w:rPr>
          <w:color w:val="0E101A"/>
        </w:rPr>
        <w:t xml:space="preserve"> will be attentive on working toward the goal of an organisation. Though companies may describe employee engagement according to their own requirements. </w:t>
      </w:r>
      <w:r>
        <w:rPr>
          <w:color w:val="000000" w:themeColor="text1"/>
          <w:spacing w:val="-3"/>
        </w:rPr>
        <w:t>Employee involvement improves work culture, lessens turnover, surges efficiency, builds better work and client relations, and affects incomes. High worker involvement also goes employee into the best supporters.</w:t>
      </w:r>
    </w:p>
    <w:p w14:paraId="53AF529B" w14:textId="77777777" w:rsidR="00EB16E3" w:rsidRDefault="00EB16E3" w:rsidP="00EB16E3">
      <w:pPr>
        <w:pStyle w:val="Heading1"/>
        <w:rPr>
          <w:rFonts w:cs="Times New Roman"/>
          <w:szCs w:val="24"/>
        </w:rPr>
      </w:pPr>
      <w:bookmarkStart w:id="9" w:name="_Toc123160316"/>
      <w:r>
        <w:rPr>
          <w:rFonts w:cs="Times New Roman"/>
          <w:szCs w:val="24"/>
        </w:rPr>
        <w:t>HR involvement in the fire and rehire</w:t>
      </w:r>
      <w:bookmarkEnd w:id="9"/>
    </w:p>
    <w:p w14:paraId="0800F754" w14:textId="77777777" w:rsidR="00EB16E3" w:rsidRDefault="00EB16E3" w:rsidP="00EB16E3">
      <w:pPr>
        <w:spacing w:line="360" w:lineRule="auto"/>
        <w:jc w:val="both"/>
        <w:rPr>
          <w:rFonts w:ascii="Times New Roman" w:hAnsi="Times New Roman" w:cs="Times New Roman"/>
          <w:sz w:val="24"/>
          <w:szCs w:val="24"/>
        </w:rPr>
      </w:pPr>
      <w:r>
        <w:rPr>
          <w:rFonts w:ascii="Times New Roman" w:hAnsi="Times New Roman" w:cs="Times New Roman"/>
          <w:sz w:val="24"/>
          <w:szCs w:val="24"/>
        </w:rPr>
        <w:t>Human resource department play an important role when terminating or hiring employees. as the employee laying off impacts the organisation's future performance and the company's reputation, most companies would like to avoid the practice of laying off. But the practice makes applicable when the unavoidable situation arises. At the same time, even if the firing is undertaken in an organisation, the HR department ensures the process runs professionally and smoothly. Moreover, the HR team also strive to ensure that all parties are treated fairly and within the law (</w:t>
      </w:r>
      <w:r>
        <w:rPr>
          <w:rFonts w:ascii="Times New Roman" w:hAnsi="Times New Roman" w:cs="Times New Roman"/>
          <w:color w:val="222222"/>
          <w:sz w:val="24"/>
          <w:szCs w:val="24"/>
          <w:shd w:val="clear" w:color="auto" w:fill="FFFFFF"/>
        </w:rPr>
        <w:t xml:space="preserve">Bal and Brookes, 2022). </w:t>
      </w:r>
      <w:r>
        <w:rPr>
          <w:rFonts w:ascii="Times New Roman" w:hAnsi="Times New Roman" w:cs="Times New Roman"/>
          <w:sz w:val="24"/>
          <w:szCs w:val="24"/>
        </w:rPr>
        <w:t xml:space="preserve"> </w:t>
      </w:r>
    </w:p>
    <w:p w14:paraId="281CFE06" w14:textId="77777777" w:rsidR="00EB16E3" w:rsidRDefault="00EB16E3" w:rsidP="00EB16E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Pr>
          <w:rFonts w:ascii="Times New Roman" w:hAnsi="Times New Roman" w:cs="Times New Roman"/>
          <w:color w:val="222222"/>
          <w:sz w:val="24"/>
          <w:szCs w:val="24"/>
          <w:shd w:val="clear" w:color="auto" w:fill="FFFFFF"/>
        </w:rPr>
        <w:t xml:space="preserve">Shackleton (2022), </w:t>
      </w:r>
      <w:r>
        <w:rPr>
          <w:rFonts w:ascii="Times New Roman" w:hAnsi="Times New Roman" w:cs="Times New Roman"/>
          <w:sz w:val="24"/>
          <w:szCs w:val="24"/>
        </w:rPr>
        <w:t xml:space="preserve">almost companies have </w:t>
      </w:r>
      <w:proofErr w:type="gramStart"/>
      <w:r>
        <w:rPr>
          <w:rFonts w:ascii="Times New Roman" w:hAnsi="Times New Roman" w:cs="Times New Roman"/>
          <w:sz w:val="24"/>
          <w:szCs w:val="24"/>
        </w:rPr>
        <w:t>particular policies</w:t>
      </w:r>
      <w:proofErr w:type="gramEnd"/>
      <w:r>
        <w:rPr>
          <w:rFonts w:ascii="Times New Roman" w:hAnsi="Times New Roman" w:cs="Times New Roman"/>
          <w:sz w:val="24"/>
          <w:szCs w:val="24"/>
        </w:rPr>
        <w:t xml:space="preserve"> and codes of conduct regarding the firing process. And most of cases it was undertaken with the help of the human resource department of the organisation. HR professionals receive special training on hiring and firing laws and anti-discrimination best practices. It also helps protect companies from lawsuits of wrongful termination that arise when employees claim against the fire as it was a non-fireable offence. At the same time, while firing the employees, it is important that a member of the HR department needs to be present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describe to the employees about </w:t>
      </w:r>
      <w:r>
        <w:rPr>
          <w:rFonts w:ascii="Times New Roman" w:hAnsi="Times New Roman" w:cs="Times New Roman"/>
          <w:sz w:val="24"/>
          <w:szCs w:val="24"/>
        </w:rPr>
        <w:lastRenderedPageBreak/>
        <w:t xml:space="preserve">reason behind the approach and the following procedure undertaken with respect to the practice. As SHRM explains, HR personnel are trained to use a separate language for this conversation. Because professionalism and courtesy are expected regardless of the outgoing employee's transgressions, they are also responsible for answering staff questions. </w:t>
      </w:r>
    </w:p>
    <w:p w14:paraId="7B4A01F8" w14:textId="77777777" w:rsidR="00EB16E3" w:rsidRDefault="00EB16E3" w:rsidP="00EB16E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Even if the fire and rehiring practices are not beneficial for the employees. This approach was widely used in the UK, especially in the covid scenario. As the human resource departments are directly related to the worker's welfare, hiring, and employee appraisal performance management etc. The human resource department of the organisation also plays an important role in the firing and rehiring of employees. as employees are part of the human resource department of the organisation, changing the employee contract is also undertaken due to the interference of the senior executives of the human resource department. All the important business decisions with respect to the employees are found to be undertaken within the HR department. At the same time, before implementing the policies into action, the HR department also undertook analysis and </w:t>
      </w:r>
      <w:proofErr w:type="gramStart"/>
      <w:r>
        <w:rPr>
          <w:rFonts w:ascii="Times New Roman" w:hAnsi="Times New Roman" w:cs="Times New Roman"/>
          <w:sz w:val="24"/>
          <w:szCs w:val="24"/>
        </w:rPr>
        <w:t>counter-actions</w:t>
      </w:r>
      <w:proofErr w:type="gramEnd"/>
      <w:r>
        <w:rPr>
          <w:rFonts w:ascii="Times New Roman" w:hAnsi="Times New Roman" w:cs="Times New Roman"/>
          <w:sz w:val="24"/>
          <w:szCs w:val="24"/>
        </w:rPr>
        <w:t xml:space="preserve"> to deal with the new policies (</w:t>
      </w:r>
      <w:proofErr w:type="spellStart"/>
      <w:r>
        <w:rPr>
          <w:rFonts w:ascii="Times New Roman" w:hAnsi="Times New Roman" w:cs="Times New Roman"/>
          <w:color w:val="222222"/>
          <w:sz w:val="24"/>
          <w:szCs w:val="24"/>
          <w:shd w:val="clear" w:color="auto" w:fill="FFFFFF"/>
        </w:rPr>
        <w:t>Kniffin</w:t>
      </w:r>
      <w:proofErr w:type="spellEnd"/>
      <w:r>
        <w:rPr>
          <w:rFonts w:ascii="Times New Roman" w:hAnsi="Times New Roman" w:cs="Times New Roman"/>
          <w:color w:val="222222"/>
          <w:sz w:val="24"/>
          <w:szCs w:val="24"/>
          <w:shd w:val="clear" w:color="auto" w:fill="FFFFFF"/>
        </w:rPr>
        <w:t xml:space="preserve"> et al., 2021).</w:t>
      </w:r>
    </w:p>
    <w:p w14:paraId="613A8678" w14:textId="77777777" w:rsidR="00EB16E3" w:rsidRDefault="00EB16E3" w:rsidP="00EB16E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According to </w:t>
      </w:r>
      <w:r>
        <w:rPr>
          <w:rFonts w:ascii="Times New Roman" w:hAnsi="Times New Roman" w:cs="Times New Roman"/>
          <w:color w:val="222222"/>
          <w:sz w:val="24"/>
          <w:szCs w:val="24"/>
          <w:shd w:val="clear" w:color="auto" w:fill="FFFFFF"/>
        </w:rPr>
        <w:t>Ngoc et al. (2021),</w:t>
      </w:r>
      <w:r>
        <w:rPr>
          <w:rFonts w:ascii="Times New Roman" w:hAnsi="Times New Roman" w:cs="Times New Roman"/>
          <w:sz w:val="24"/>
          <w:szCs w:val="24"/>
        </w:rPr>
        <w:t xml:space="preserve"> recruitment, training and development, talent management, reward management, and management of other employee benefits and employee welfare are the major functions of the HR department. As a multidisciplinary function, HR has a holistic role while dealing with employees. Making decisions with respect to employee benefits is easy for the HR department to implement. On the other hand, taking decisions that are attractive for employers and distractive for employees is critical to implementing for the HR department. As firing and rehiring involve changing the employees’ contract, and more probably, the contract is beneficial for the employers. HR department struggles to deal with the situation. </w:t>
      </w:r>
    </w:p>
    <w:p w14:paraId="1D45A1B5" w14:textId="77777777" w:rsidR="00EB16E3" w:rsidRDefault="00EB16E3" w:rsidP="00EB16E3">
      <w:pPr>
        <w:spacing w:line="360" w:lineRule="auto"/>
        <w:jc w:val="both"/>
        <w:rPr>
          <w:rFonts w:ascii="Times New Roman" w:hAnsi="Times New Roman" w:cs="Times New Roman"/>
          <w:sz w:val="24"/>
          <w:szCs w:val="24"/>
        </w:rPr>
      </w:pPr>
      <w:r>
        <w:rPr>
          <w:rFonts w:ascii="Times New Roman" w:hAnsi="Times New Roman" w:cs="Times New Roman"/>
          <w:color w:val="222222"/>
          <w:sz w:val="24"/>
          <w:szCs w:val="24"/>
          <w:shd w:val="clear" w:color="auto" w:fill="FFFFFF"/>
        </w:rPr>
        <w:t xml:space="preserve">Shackleton (2022) </w:t>
      </w:r>
      <w:r>
        <w:rPr>
          <w:rFonts w:ascii="Times New Roman" w:hAnsi="Times New Roman" w:cs="Times New Roman"/>
          <w:sz w:val="24"/>
          <w:szCs w:val="24"/>
        </w:rPr>
        <w:t xml:space="preserve">noted the need for HR leaders to encourage and facilitate more agile and fluid organisations by moving away from business partners to create employee engagement. </w:t>
      </w:r>
    </w:p>
    <w:p w14:paraId="135956C0" w14:textId="77777777" w:rsidR="00EB16E3" w:rsidRDefault="00EB16E3" w:rsidP="00EB16E3">
      <w:pPr>
        <w:spacing w:line="360" w:lineRule="auto"/>
        <w:jc w:val="both"/>
        <w:rPr>
          <w:rFonts w:ascii="Times New Roman" w:hAnsi="Times New Roman" w:cs="Times New Roman"/>
          <w:sz w:val="24"/>
          <w:szCs w:val="24"/>
        </w:rPr>
      </w:pPr>
      <w:r>
        <w:rPr>
          <w:rFonts w:ascii="Times New Roman" w:hAnsi="Times New Roman" w:cs="Times New Roman"/>
          <w:sz w:val="24"/>
          <w:szCs w:val="24"/>
        </w:rPr>
        <w:t>Therefore, HR should be more prominent in their discussions with employees and give employers and employees more time to discuss issues before SOSR as a reason for firing or rehiring.</w:t>
      </w:r>
    </w:p>
    <w:p w14:paraId="6561CDDA" w14:textId="77777777" w:rsidR="00EB16E3" w:rsidRDefault="00EB16E3" w:rsidP="00EB16E3">
      <w:pPr>
        <w:pStyle w:val="Heading1"/>
        <w:rPr>
          <w:rFonts w:cs="Times New Roman"/>
          <w:szCs w:val="24"/>
        </w:rPr>
      </w:pPr>
      <w:bookmarkStart w:id="10" w:name="_Toc123160317"/>
      <w:r>
        <w:rPr>
          <w:rFonts w:cs="Times New Roman"/>
          <w:szCs w:val="24"/>
        </w:rPr>
        <w:t>Traditional models of HRM for managing contemporary employment relations</w:t>
      </w:r>
    </w:p>
    <w:p w14:paraId="742316AF" w14:textId="77777777" w:rsidR="00EB16E3" w:rsidRDefault="00EB16E3" w:rsidP="00EB16E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Human Resource Management is one of the extensively studied research areas, and as a result, there are </w:t>
      </w:r>
      <w:proofErr w:type="gramStart"/>
      <w:r>
        <w:rPr>
          <w:rFonts w:ascii="Times New Roman" w:hAnsi="Times New Roman" w:cs="Times New Roman"/>
          <w:sz w:val="24"/>
          <w:szCs w:val="24"/>
        </w:rPr>
        <w:t>a large number of</w:t>
      </w:r>
      <w:proofErr w:type="gramEnd"/>
      <w:r>
        <w:rPr>
          <w:rFonts w:ascii="Times New Roman" w:hAnsi="Times New Roman" w:cs="Times New Roman"/>
          <w:sz w:val="24"/>
          <w:szCs w:val="24"/>
        </w:rPr>
        <w:t xml:space="preserve"> theoretical frameworks that can be used to understand contemporary </w:t>
      </w:r>
      <w:r>
        <w:rPr>
          <w:rFonts w:ascii="Times New Roman" w:hAnsi="Times New Roman" w:cs="Times New Roman"/>
          <w:sz w:val="24"/>
          <w:szCs w:val="24"/>
        </w:rPr>
        <w:lastRenderedPageBreak/>
        <w:t xml:space="preserve">employment relations. Some of the widely acclaimed models include Harvard Model, the Warwick model, the 5Ps model, and Ulrich Model. </w:t>
      </w:r>
    </w:p>
    <w:p w14:paraId="012A2666" w14:textId="77777777" w:rsidR="00EB16E3" w:rsidRDefault="00EB16E3" w:rsidP="00EB16E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Harvard model, developed in 1984, is among the most prominent HRM models. The Harvard model outlines five elements of HRM, including situational factors, stakeholder interests, HRM policies, HRM outcomes and </w:t>
      </w:r>
      <w:proofErr w:type="gramStart"/>
      <w:r>
        <w:rPr>
          <w:rFonts w:ascii="Times New Roman" w:hAnsi="Times New Roman" w:cs="Times New Roman"/>
          <w:sz w:val="24"/>
          <w:szCs w:val="24"/>
        </w:rPr>
        <w:t>Longer</w:t>
      </w:r>
      <w:proofErr w:type="gramEnd"/>
      <w:r>
        <w:rPr>
          <w:rFonts w:ascii="Times New Roman" w:hAnsi="Times New Roman" w:cs="Times New Roman"/>
          <w:sz w:val="24"/>
          <w:szCs w:val="24"/>
        </w:rPr>
        <w:t xml:space="preserve"> consequences. The correlation between the interests of the different components of the Harvard framework is identified to be impacting the overall HRM outcomes. The interests of the stakeholders in the organisation are shaped by situational factors. The HRM outcomes, as per the Harvard model, are commitment, Competence, Congruence, cost-effectiveness etc. The improvements in these HRM outcomes can foster motivation and cooperation among the workforce through improvements in individual well-being and organisational well-being. The Harvard model enables organisations to view HR as an asset and a source of competitive advantage. </w:t>
      </w:r>
    </w:p>
    <w:p w14:paraId="490FBD0B" w14:textId="77777777" w:rsidR="00EB16E3" w:rsidRDefault="00EB16E3" w:rsidP="00EB16E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Warwick mode is another prominent HRM model developed in the 1990s to provide an analytical approach to HRM. The Warwick model has some similarities to the Harvard HRM model, and it has components which are the outer context, inner context, business strategy content, HRM context, and HRM content. The outer context of HRM includes political, </w:t>
      </w:r>
      <w:proofErr w:type="gramStart"/>
      <w:r>
        <w:rPr>
          <w:rFonts w:ascii="Times New Roman" w:hAnsi="Times New Roman" w:cs="Times New Roman"/>
          <w:sz w:val="24"/>
          <w:szCs w:val="24"/>
        </w:rPr>
        <w:t>technical</w:t>
      </w:r>
      <w:proofErr w:type="gramEnd"/>
      <w:r>
        <w:rPr>
          <w:rFonts w:ascii="Times New Roman" w:hAnsi="Times New Roman" w:cs="Times New Roman"/>
          <w:sz w:val="24"/>
          <w:szCs w:val="24"/>
        </w:rPr>
        <w:t xml:space="preserve"> and competitive factors. The inner context influencing HRM includes organisational structure, leadership, organisational culture, task, technology, etc. The business objectives, market, and business strategies constitute the business strategy context. The read systems, employee retention, HR flow, etc., comes under the HRM context. The Warwick HRM framework can be used for balancing the internal and external contexts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enhance performance and growth. </w:t>
      </w:r>
    </w:p>
    <w:p w14:paraId="7BD42C5B" w14:textId="77777777" w:rsidR="00EB16E3" w:rsidRDefault="00EB16E3" w:rsidP="00EB16E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5Ps HRM model is another highly relevant HRM framework relevant to Global HRM practices. The 5Ps model was developed in 1992 by Randall S Schuler and included five core elements which are purpose, principles, processes, </w:t>
      </w:r>
      <w:proofErr w:type="gramStart"/>
      <w:r>
        <w:rPr>
          <w:rFonts w:ascii="Times New Roman" w:hAnsi="Times New Roman" w:cs="Times New Roman"/>
          <w:sz w:val="24"/>
          <w:szCs w:val="24"/>
        </w:rPr>
        <w:t>people</w:t>
      </w:r>
      <w:proofErr w:type="gramEnd"/>
      <w:r>
        <w:rPr>
          <w:rFonts w:ascii="Times New Roman" w:hAnsi="Times New Roman" w:cs="Times New Roman"/>
          <w:sz w:val="24"/>
          <w:szCs w:val="24"/>
        </w:rPr>
        <w:t xml:space="preserve"> and performance. The development of a strategic HRM framework is achieved through a balance between these five elements. The mission, vision and objectives define the purpose of HRM. The principles are the operational protocols contributing to the purpose. The human resource working as per principles and purpose is the people element. The effectiveness of human resources is measured by their performance against established standards.</w:t>
      </w:r>
    </w:p>
    <w:p w14:paraId="15B690CD" w14:textId="77777777" w:rsidR="00EB16E3" w:rsidRDefault="00EB16E3" w:rsidP="00EB16E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Ulrich HRM model, also known as the business partner model, is one of the first frameworks of modern-day HRM. Under the Ulrich model, the HRM functions are assigned to </w:t>
      </w:r>
      <w:r>
        <w:rPr>
          <w:rFonts w:ascii="Times New Roman" w:hAnsi="Times New Roman" w:cs="Times New Roman"/>
          <w:sz w:val="24"/>
          <w:szCs w:val="24"/>
        </w:rPr>
        <w:lastRenderedPageBreak/>
        <w:t xml:space="preserve">four roles which are strategic partner, change agent, administrative </w:t>
      </w:r>
      <w:proofErr w:type="gramStart"/>
      <w:r>
        <w:rPr>
          <w:rFonts w:ascii="Times New Roman" w:hAnsi="Times New Roman" w:cs="Times New Roman"/>
          <w:sz w:val="24"/>
          <w:szCs w:val="24"/>
        </w:rPr>
        <w:t>expert</w:t>
      </w:r>
      <w:proofErr w:type="gramEnd"/>
      <w:r>
        <w:rPr>
          <w:rFonts w:ascii="Times New Roman" w:hAnsi="Times New Roman" w:cs="Times New Roman"/>
          <w:sz w:val="24"/>
          <w:szCs w:val="24"/>
        </w:rPr>
        <w:t xml:space="preserve"> and employee champion. The Ulrich model differentiates from other traditional HRM models by emphasising people rather than strategies and functions. The people-centric approach emphasises the responsibilities of the CEO and top-level management in improving the grand scheme of things through effective HRM interventions.  </w:t>
      </w:r>
      <w:bookmarkEnd w:id="10"/>
    </w:p>
    <w:p w14:paraId="17DDD820" w14:textId="77777777" w:rsidR="00EB16E3" w:rsidRDefault="00EB16E3" w:rsidP="00EB16E3">
      <w:pPr>
        <w:pStyle w:val="Heading1"/>
        <w:rPr>
          <w:rFonts w:cs="Times New Roman"/>
          <w:szCs w:val="24"/>
        </w:rPr>
      </w:pPr>
      <w:bookmarkStart w:id="11" w:name="_Toc123160318"/>
      <w:r>
        <w:rPr>
          <w:rFonts w:cs="Times New Roman"/>
          <w:szCs w:val="24"/>
        </w:rPr>
        <w:t>Recommendation</w:t>
      </w:r>
      <w:bookmarkEnd w:id="11"/>
    </w:p>
    <w:p w14:paraId="34B8FA53" w14:textId="77777777" w:rsidR="00EB16E3" w:rsidRDefault="00EB16E3" w:rsidP="00EB16E3">
      <w:pPr>
        <w:spacing w:line="360" w:lineRule="auto"/>
        <w:jc w:val="both"/>
        <w:rPr>
          <w:rFonts w:ascii="Times New Roman" w:hAnsi="Times New Roman" w:cs="Times New Roman"/>
          <w:sz w:val="24"/>
          <w:szCs w:val="24"/>
        </w:rPr>
      </w:pPr>
      <w:r>
        <w:rPr>
          <w:rFonts w:ascii="Times New Roman" w:hAnsi="Times New Roman" w:cs="Times New Roman"/>
          <w:sz w:val="24"/>
          <w:szCs w:val="24"/>
        </w:rPr>
        <w:t>Following are the recommendations:</w:t>
      </w:r>
    </w:p>
    <w:p w14:paraId="37680C8F" w14:textId="77777777" w:rsidR="00EB16E3" w:rsidRDefault="00EB16E3" w:rsidP="00EB16E3">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government should take immediate action to force employers to negotiate contract changes with employees and their unions rather than following the bureaucratic approach in practice. </w:t>
      </w:r>
    </w:p>
    <w:p w14:paraId="2DB68B96" w14:textId="77777777" w:rsidR="00EB16E3" w:rsidRDefault="00EB16E3" w:rsidP="00EB16E3">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The government work to change the law and to make it more difficult to employ dismissal and re-employment tactics.</w:t>
      </w:r>
    </w:p>
    <w:p w14:paraId="4F15D7D4" w14:textId="77777777" w:rsidR="00EB16E3" w:rsidRDefault="00EB16E3" w:rsidP="00EB16E3">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Employers should engage in collective bargaining with employers and unions rather than making unilateral layoff or rehire decisions.</w:t>
      </w:r>
    </w:p>
    <w:p w14:paraId="1405ADCB" w14:textId="77777777" w:rsidR="00EB16E3" w:rsidRDefault="00EB16E3" w:rsidP="00EB16E3">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Rather than taking unilateral decisions regarding firing and rehiring, employers need to consult with other employers and trade unions. Before making the final decision of firing and rehiring, the discussion with trade unions further helps to reduce the employee's misbehaviour.</w:t>
      </w:r>
    </w:p>
    <w:p w14:paraId="38E90D0D" w14:textId="77777777" w:rsidR="00EB16E3" w:rsidRDefault="00EB16E3" w:rsidP="00EB16E3">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Moreover, </w:t>
      </w:r>
      <w:proofErr w:type="gramStart"/>
      <w:r>
        <w:rPr>
          <w:rFonts w:ascii="Times New Roman" w:hAnsi="Times New Roman" w:cs="Times New Roman"/>
          <w:sz w:val="24"/>
          <w:szCs w:val="24"/>
        </w:rPr>
        <w:t>the majority of</w:t>
      </w:r>
      <w:proofErr w:type="gramEnd"/>
      <w:r>
        <w:rPr>
          <w:rFonts w:ascii="Times New Roman" w:hAnsi="Times New Roman" w:cs="Times New Roman"/>
          <w:sz w:val="24"/>
          <w:szCs w:val="24"/>
        </w:rPr>
        <w:t xml:space="preserve"> the problem that arises with respect to the fire and rehires approaches are mainly because of the uncertainty of the decisions without prior knowledge and notice (</w:t>
      </w:r>
      <w:r>
        <w:rPr>
          <w:rFonts w:ascii="Times New Roman" w:hAnsi="Times New Roman" w:cs="Times New Roman"/>
          <w:color w:val="222222"/>
          <w:sz w:val="24"/>
          <w:szCs w:val="24"/>
          <w:shd w:val="clear" w:color="auto" w:fill="FFFFFF"/>
        </w:rPr>
        <w:t>Stone et al., 2019).</w:t>
      </w:r>
      <w:r>
        <w:rPr>
          <w:rFonts w:ascii="Times New Roman" w:hAnsi="Times New Roman" w:cs="Times New Roman"/>
          <w:sz w:val="24"/>
          <w:szCs w:val="24"/>
        </w:rPr>
        <w:t xml:space="preserve"> So, it is recommended the employers adopt prior acknowledgement before firing and rehiring. At the same time, the employers need to give time for the employees and their respective trade unions to respond collectively. </w:t>
      </w:r>
    </w:p>
    <w:p w14:paraId="5FA6906D" w14:textId="77777777" w:rsidR="00EB16E3" w:rsidRDefault="00EB16E3" w:rsidP="00EB16E3">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the above discussion, it was recognised that a good number of companies had adopted this strategy as a part of changing the terms and conditions of the employee contract. The covid 19 pandemic has become the major reason behind the increasing number of fires and rehiring. As a response to ensure financial stability, many UK organisations adopted the same tactic. Before putting the concept into practice, companies need to think from the employee's perspective. Rather than working against the employees, it is recommended that employers work with the employees. Moreover, the employers and the leaders need to pay attention to the changing needs of the </w:t>
      </w:r>
      <w:r>
        <w:rPr>
          <w:rFonts w:ascii="Times New Roman" w:hAnsi="Times New Roman" w:cs="Times New Roman"/>
          <w:sz w:val="24"/>
          <w:szCs w:val="24"/>
        </w:rPr>
        <w:lastRenderedPageBreak/>
        <w:t>employee and their priorities and ensure the relationship with them will help the employer to attract the talent back (</w:t>
      </w:r>
      <w:r>
        <w:rPr>
          <w:rFonts w:ascii="Times New Roman" w:hAnsi="Times New Roman" w:cs="Times New Roman"/>
          <w:color w:val="222222"/>
          <w:sz w:val="24"/>
          <w:szCs w:val="24"/>
          <w:shd w:val="clear" w:color="auto" w:fill="FFFFFF"/>
        </w:rPr>
        <w:t>Lansley, 2021).</w:t>
      </w:r>
      <w:r>
        <w:rPr>
          <w:rFonts w:ascii="Times New Roman" w:hAnsi="Times New Roman" w:cs="Times New Roman"/>
          <w:sz w:val="24"/>
          <w:szCs w:val="24"/>
        </w:rPr>
        <w:t xml:space="preserve"> </w:t>
      </w:r>
    </w:p>
    <w:p w14:paraId="13FF843C" w14:textId="77777777" w:rsidR="00EB16E3" w:rsidRDefault="00EB16E3" w:rsidP="00EB16E3">
      <w:pPr>
        <w:pStyle w:val="Heading1"/>
        <w:rPr>
          <w:rFonts w:cs="Times New Roman"/>
          <w:szCs w:val="24"/>
        </w:rPr>
      </w:pPr>
      <w:bookmarkStart w:id="12" w:name="_Toc123160319"/>
      <w:r>
        <w:rPr>
          <w:rFonts w:cs="Times New Roman"/>
          <w:szCs w:val="24"/>
        </w:rPr>
        <w:t>Conclusion</w:t>
      </w:r>
      <w:bookmarkEnd w:id="12"/>
    </w:p>
    <w:p w14:paraId="4C80B515" w14:textId="77777777" w:rsidR="00EB16E3" w:rsidRDefault="00EB16E3" w:rsidP="00EB16E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changing business world, it is difficult for business organisations to ensure effective human resource practices. Due to the current uncertainties of covid 19, many of the organisations in the UK have undergone the fire and rehiring strategy. Even if the employees reacted to it through the strike, the financial condition and the unavoidable firing compelled the companies to practice the same. Focusing on the concept of firing and rehiring, this assignment evaluated this approach with respect to the UK. The case of British Gas is also described in the report. In addition to that, </w:t>
      </w:r>
      <w:proofErr w:type="gramStart"/>
      <w:r>
        <w:rPr>
          <w:rFonts w:ascii="Times New Roman" w:hAnsi="Times New Roman" w:cs="Times New Roman"/>
          <w:sz w:val="24"/>
          <w:szCs w:val="24"/>
        </w:rPr>
        <w:t>a number of</w:t>
      </w:r>
      <w:proofErr w:type="gramEnd"/>
      <w:r>
        <w:rPr>
          <w:rFonts w:ascii="Times New Roman" w:hAnsi="Times New Roman" w:cs="Times New Roman"/>
          <w:sz w:val="24"/>
          <w:szCs w:val="24"/>
        </w:rPr>
        <w:t xml:space="preserve"> examples of firing and rehiring are mentioned throughout this work. Along with that, the role of the HR department in the firing and rehiring concept was critically analysed. </w:t>
      </w:r>
    </w:p>
    <w:p w14:paraId="00AFC4D1" w14:textId="77777777" w:rsidR="00EB16E3" w:rsidRDefault="00EB16E3" w:rsidP="00EB16E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Increasing the working hours, reducing payment or any other compensations, and benefits through changing the employment agreement is the source of firing and rehiring tactics in the UK labour market. Finally, the employees disagree with accepting the new term and policies, resulting in the firing and rehiring practice. Even by concept, it looks like illegal; it is not unlawful in the UK and many other countries. Even if the companies adopt this tactic, there are many challenges, including reduced </w:t>
      </w:r>
      <w:proofErr w:type="gramStart"/>
      <w:r>
        <w:rPr>
          <w:rFonts w:ascii="Times New Roman" w:hAnsi="Times New Roman" w:cs="Times New Roman"/>
          <w:sz w:val="24"/>
          <w:szCs w:val="24"/>
        </w:rPr>
        <w:t>employees</w:t>
      </w:r>
      <w:proofErr w:type="gramEnd"/>
      <w:r>
        <w:rPr>
          <w:rFonts w:ascii="Times New Roman" w:hAnsi="Times New Roman" w:cs="Times New Roman"/>
          <w:sz w:val="24"/>
          <w:szCs w:val="24"/>
        </w:rPr>
        <w:t xml:space="preserve"> engagement, and commitment, and reduction of brand image and reputation of the company, due to media coverage and word-of-mouth communication are the risk factor behind it. </w:t>
      </w:r>
    </w:p>
    <w:p w14:paraId="721E45C3" w14:textId="77777777" w:rsidR="00EB16E3" w:rsidRDefault="00EB16E3" w:rsidP="00EB16E3">
      <w:pPr>
        <w:rPr>
          <w:rFonts w:ascii="Times New Roman" w:eastAsiaTheme="majorEastAsia" w:hAnsi="Times New Roman" w:cs="Times New Roman"/>
          <w:b/>
          <w:sz w:val="24"/>
          <w:szCs w:val="24"/>
          <w:lang w:val="en-GB"/>
        </w:rPr>
      </w:pPr>
      <w:r>
        <w:rPr>
          <w:rFonts w:ascii="Times New Roman" w:hAnsi="Times New Roman" w:cs="Times New Roman"/>
          <w:sz w:val="24"/>
          <w:szCs w:val="24"/>
        </w:rPr>
        <w:br w:type="page"/>
      </w:r>
      <w:bookmarkStart w:id="13" w:name="_Toc123160320"/>
    </w:p>
    <w:p w14:paraId="0E6740C1" w14:textId="77777777" w:rsidR="00EB16E3" w:rsidRDefault="00EB16E3" w:rsidP="00EB16E3">
      <w:pPr>
        <w:pStyle w:val="Heading1"/>
        <w:rPr>
          <w:rFonts w:cs="Times New Roman"/>
          <w:szCs w:val="24"/>
        </w:rPr>
      </w:pPr>
      <w:r>
        <w:rPr>
          <w:rFonts w:cs="Times New Roman"/>
          <w:szCs w:val="24"/>
        </w:rPr>
        <w:lastRenderedPageBreak/>
        <w:t>References</w:t>
      </w:r>
      <w:bookmarkEnd w:id="13"/>
      <w:r>
        <w:rPr>
          <w:rFonts w:cs="Times New Roman"/>
          <w:szCs w:val="24"/>
        </w:rPr>
        <w:t xml:space="preserve"> </w:t>
      </w:r>
    </w:p>
    <w:p w14:paraId="2A2BF552" w14:textId="77777777" w:rsidR="00EB16E3" w:rsidRDefault="00EB16E3" w:rsidP="00EB16E3">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Ameri, M., Schur, L., </w:t>
      </w:r>
      <w:proofErr w:type="spellStart"/>
      <w:r>
        <w:rPr>
          <w:rFonts w:ascii="Times New Roman" w:hAnsi="Times New Roman" w:cs="Times New Roman"/>
          <w:color w:val="222222"/>
          <w:sz w:val="24"/>
          <w:szCs w:val="24"/>
          <w:shd w:val="clear" w:color="auto" w:fill="FFFFFF"/>
        </w:rPr>
        <w:t>Adya</w:t>
      </w:r>
      <w:proofErr w:type="spellEnd"/>
      <w:r>
        <w:rPr>
          <w:rFonts w:ascii="Times New Roman" w:hAnsi="Times New Roman" w:cs="Times New Roman"/>
          <w:color w:val="222222"/>
          <w:sz w:val="24"/>
          <w:szCs w:val="24"/>
          <w:shd w:val="clear" w:color="auto" w:fill="FFFFFF"/>
        </w:rPr>
        <w:t xml:space="preserve">, M., Bentley, F. S., McKay, P., &amp; Kruse, D. (2018). The disability employment puzzle: A field experiment on employer hiring </w:t>
      </w:r>
      <w:proofErr w:type="spellStart"/>
      <w:r>
        <w:rPr>
          <w:rFonts w:ascii="Times New Roman" w:hAnsi="Times New Roman" w:cs="Times New Roman"/>
          <w:color w:val="222222"/>
          <w:sz w:val="24"/>
          <w:szCs w:val="24"/>
          <w:shd w:val="clear" w:color="auto" w:fill="FFFFFF"/>
        </w:rPr>
        <w:t>behavior</w:t>
      </w:r>
      <w:proofErr w:type="spellEnd"/>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ILR Review</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71</w:t>
      </w:r>
      <w:r>
        <w:rPr>
          <w:rFonts w:ascii="Times New Roman" w:hAnsi="Times New Roman" w:cs="Times New Roman"/>
          <w:color w:val="222222"/>
          <w:sz w:val="24"/>
          <w:szCs w:val="24"/>
          <w:shd w:val="clear" w:color="auto" w:fill="FFFFFF"/>
        </w:rPr>
        <w:t>(2), 329-364.</w:t>
      </w:r>
    </w:p>
    <w:p w14:paraId="736F1005" w14:textId="77777777" w:rsidR="00EB16E3" w:rsidRDefault="00EB16E3" w:rsidP="00EB16E3">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Arifin, Z., </w:t>
      </w:r>
      <w:proofErr w:type="spellStart"/>
      <w:r>
        <w:rPr>
          <w:rFonts w:ascii="Times New Roman" w:hAnsi="Times New Roman" w:cs="Times New Roman"/>
          <w:color w:val="222222"/>
          <w:sz w:val="24"/>
          <w:szCs w:val="24"/>
          <w:shd w:val="clear" w:color="auto" w:fill="FFFFFF"/>
        </w:rPr>
        <w:t>Nirwanto</w:t>
      </w:r>
      <w:proofErr w:type="spellEnd"/>
      <w:r>
        <w:rPr>
          <w:rFonts w:ascii="Times New Roman" w:hAnsi="Times New Roman" w:cs="Times New Roman"/>
          <w:color w:val="222222"/>
          <w:sz w:val="24"/>
          <w:szCs w:val="24"/>
          <w:shd w:val="clear" w:color="auto" w:fill="FFFFFF"/>
        </w:rPr>
        <w:t>, N., &amp; Manan, A. (2019). Improving the effect of work satisfaction on job performance through employee engagement. </w:t>
      </w:r>
      <w:r>
        <w:rPr>
          <w:rFonts w:ascii="Times New Roman" w:hAnsi="Times New Roman" w:cs="Times New Roman"/>
          <w:i/>
          <w:iCs/>
          <w:color w:val="222222"/>
          <w:sz w:val="24"/>
          <w:szCs w:val="24"/>
          <w:shd w:val="clear" w:color="auto" w:fill="FFFFFF"/>
        </w:rPr>
        <w:t>International Journal of Multi-Discipline Science (IJ-MDS)</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2</w:t>
      </w:r>
      <w:r>
        <w:rPr>
          <w:rFonts w:ascii="Times New Roman" w:hAnsi="Times New Roman" w:cs="Times New Roman"/>
          <w:color w:val="222222"/>
          <w:sz w:val="24"/>
          <w:szCs w:val="24"/>
          <w:shd w:val="clear" w:color="auto" w:fill="FFFFFF"/>
        </w:rPr>
        <w:t>(1), 1-9.</w:t>
      </w:r>
    </w:p>
    <w:p w14:paraId="06C689BB" w14:textId="77777777" w:rsidR="00EB16E3" w:rsidRDefault="00EB16E3" w:rsidP="00EB16E3">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Bal, M. and Brookes, A. (2022) How Sustainable Is Human Resource Management Really? An Argument for Radical Sustainability. </w:t>
      </w:r>
      <w:r>
        <w:rPr>
          <w:rFonts w:ascii="Times New Roman" w:hAnsi="Times New Roman" w:cs="Times New Roman"/>
          <w:i/>
          <w:iCs/>
          <w:color w:val="222222"/>
          <w:sz w:val="24"/>
          <w:szCs w:val="24"/>
          <w:shd w:val="clear" w:color="auto" w:fill="FFFFFF"/>
        </w:rPr>
        <w:t>Sustainability</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14</w:t>
      </w:r>
      <w:r>
        <w:rPr>
          <w:rFonts w:ascii="Times New Roman" w:hAnsi="Times New Roman" w:cs="Times New Roman"/>
          <w:color w:val="222222"/>
          <w:sz w:val="24"/>
          <w:szCs w:val="24"/>
          <w:shd w:val="clear" w:color="auto" w:fill="FFFFFF"/>
        </w:rPr>
        <w:t>(7), p.4219.</w:t>
      </w:r>
    </w:p>
    <w:p w14:paraId="099E6C6E" w14:textId="77777777" w:rsidR="00EB16E3" w:rsidRDefault="00EB16E3" w:rsidP="00EB16E3">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Barbieri, P. and </w:t>
      </w:r>
      <w:proofErr w:type="spellStart"/>
      <w:r>
        <w:rPr>
          <w:rFonts w:ascii="Times New Roman" w:hAnsi="Times New Roman" w:cs="Times New Roman"/>
          <w:color w:val="222222"/>
          <w:sz w:val="24"/>
          <w:szCs w:val="24"/>
          <w:shd w:val="clear" w:color="auto" w:fill="FFFFFF"/>
        </w:rPr>
        <w:t>Cutuli</w:t>
      </w:r>
      <w:proofErr w:type="spellEnd"/>
      <w:r>
        <w:rPr>
          <w:rFonts w:ascii="Times New Roman" w:hAnsi="Times New Roman" w:cs="Times New Roman"/>
          <w:color w:val="222222"/>
          <w:sz w:val="24"/>
          <w:szCs w:val="24"/>
          <w:shd w:val="clear" w:color="auto" w:fill="FFFFFF"/>
        </w:rPr>
        <w:t>, G. (2016) Employment protection legislation, labour market dualism, and inequality in Europe. </w:t>
      </w:r>
      <w:r>
        <w:rPr>
          <w:rFonts w:ascii="Times New Roman" w:hAnsi="Times New Roman" w:cs="Times New Roman"/>
          <w:i/>
          <w:iCs/>
          <w:color w:val="222222"/>
          <w:sz w:val="24"/>
          <w:szCs w:val="24"/>
          <w:shd w:val="clear" w:color="auto" w:fill="FFFFFF"/>
        </w:rPr>
        <w:t>European Sociological Review</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32</w:t>
      </w:r>
      <w:r>
        <w:rPr>
          <w:rFonts w:ascii="Times New Roman" w:hAnsi="Times New Roman" w:cs="Times New Roman"/>
          <w:color w:val="222222"/>
          <w:sz w:val="24"/>
          <w:szCs w:val="24"/>
          <w:shd w:val="clear" w:color="auto" w:fill="FFFFFF"/>
        </w:rPr>
        <w:t>(4), pp.501-516.</w:t>
      </w:r>
    </w:p>
    <w:p w14:paraId="1DB272DB" w14:textId="77777777" w:rsidR="00EB16E3" w:rsidRDefault="00EB16E3" w:rsidP="00EB16E3">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Barker, K., &amp; Christensen, K. (Eds.). (2019). </w:t>
      </w:r>
      <w:r>
        <w:rPr>
          <w:rFonts w:ascii="Times New Roman" w:hAnsi="Times New Roman" w:cs="Times New Roman"/>
          <w:i/>
          <w:iCs/>
          <w:color w:val="222222"/>
          <w:sz w:val="24"/>
          <w:szCs w:val="24"/>
          <w:shd w:val="clear" w:color="auto" w:fill="FFFFFF"/>
        </w:rPr>
        <w:t>Contingent work: American employment relations in transition</w:t>
      </w:r>
      <w:r>
        <w:rPr>
          <w:rFonts w:ascii="Times New Roman" w:hAnsi="Times New Roman" w:cs="Times New Roman"/>
          <w:color w:val="222222"/>
          <w:sz w:val="24"/>
          <w:szCs w:val="24"/>
          <w:shd w:val="clear" w:color="auto" w:fill="FFFFFF"/>
        </w:rPr>
        <w:t>. Cornell University Press.</w:t>
      </w:r>
    </w:p>
    <w:p w14:paraId="61ED0C8E" w14:textId="77777777" w:rsidR="00EB16E3" w:rsidRDefault="00EB16E3" w:rsidP="00EB16E3">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Bernstein, A. (2022) Recent trends in employment law. </w:t>
      </w:r>
      <w:r>
        <w:rPr>
          <w:rFonts w:ascii="Times New Roman" w:hAnsi="Times New Roman" w:cs="Times New Roman"/>
          <w:i/>
          <w:iCs/>
          <w:color w:val="222222"/>
          <w:sz w:val="24"/>
          <w:szCs w:val="24"/>
          <w:shd w:val="clear" w:color="auto" w:fill="FFFFFF"/>
        </w:rPr>
        <w:t>Nursing And Residential Care</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24</w:t>
      </w:r>
      <w:r>
        <w:rPr>
          <w:rFonts w:ascii="Times New Roman" w:hAnsi="Times New Roman" w:cs="Times New Roman"/>
          <w:color w:val="222222"/>
          <w:sz w:val="24"/>
          <w:szCs w:val="24"/>
          <w:shd w:val="clear" w:color="auto" w:fill="FFFFFF"/>
        </w:rPr>
        <w:t>(8), pp.1-4.</w:t>
      </w:r>
    </w:p>
    <w:p w14:paraId="5E078AFC" w14:textId="77777777" w:rsidR="00EB16E3" w:rsidRDefault="00EB16E3" w:rsidP="00EB16E3">
      <w:pPr>
        <w:spacing w:line="360" w:lineRule="auto"/>
        <w:jc w:val="both"/>
        <w:rPr>
          <w:rFonts w:ascii="Times New Roman" w:hAnsi="Times New Roman" w:cs="Times New Roman"/>
          <w:color w:val="222222"/>
          <w:sz w:val="24"/>
          <w:szCs w:val="24"/>
          <w:shd w:val="clear" w:color="auto" w:fill="FFFFFF"/>
        </w:rPr>
      </w:pPr>
      <w:proofErr w:type="spellStart"/>
      <w:r>
        <w:rPr>
          <w:rFonts w:ascii="Times New Roman" w:hAnsi="Times New Roman" w:cs="Times New Roman"/>
          <w:color w:val="222222"/>
          <w:sz w:val="24"/>
          <w:szCs w:val="24"/>
          <w:shd w:val="clear" w:color="auto" w:fill="FFFFFF"/>
        </w:rPr>
        <w:t>Cahuc</w:t>
      </w:r>
      <w:proofErr w:type="spellEnd"/>
      <w:r>
        <w:rPr>
          <w:rFonts w:ascii="Times New Roman" w:hAnsi="Times New Roman" w:cs="Times New Roman"/>
          <w:color w:val="222222"/>
          <w:sz w:val="24"/>
          <w:szCs w:val="24"/>
          <w:shd w:val="clear" w:color="auto" w:fill="FFFFFF"/>
        </w:rPr>
        <w:t xml:space="preserve">, P., Carry, P., </w:t>
      </w:r>
      <w:proofErr w:type="spellStart"/>
      <w:r>
        <w:rPr>
          <w:rFonts w:ascii="Times New Roman" w:hAnsi="Times New Roman" w:cs="Times New Roman"/>
          <w:color w:val="222222"/>
          <w:sz w:val="24"/>
          <w:szCs w:val="24"/>
          <w:shd w:val="clear" w:color="auto" w:fill="FFFFFF"/>
        </w:rPr>
        <w:t>Malherbet</w:t>
      </w:r>
      <w:proofErr w:type="spellEnd"/>
      <w:r>
        <w:rPr>
          <w:rFonts w:ascii="Times New Roman" w:hAnsi="Times New Roman" w:cs="Times New Roman"/>
          <w:color w:val="222222"/>
          <w:sz w:val="24"/>
          <w:szCs w:val="24"/>
          <w:shd w:val="clear" w:color="auto" w:fill="FFFFFF"/>
        </w:rPr>
        <w:t>, F., &amp; Martins, P. S. (2022). Employment Effects of Restricting Fixed-Term Contracts: Theory and Evidence.</w:t>
      </w:r>
    </w:p>
    <w:p w14:paraId="626BD8DC" w14:textId="77777777" w:rsidR="00EB16E3" w:rsidRDefault="00EB16E3" w:rsidP="00EB16E3">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Chan, A. (2019) </w:t>
      </w:r>
      <w:proofErr w:type="spellStart"/>
      <w:r>
        <w:rPr>
          <w:rFonts w:ascii="Times New Roman" w:hAnsi="Times New Roman" w:cs="Times New Roman"/>
          <w:color w:val="222222"/>
          <w:sz w:val="24"/>
          <w:szCs w:val="24"/>
          <w:shd w:val="clear" w:color="auto" w:fill="FFFFFF"/>
        </w:rPr>
        <w:t>Labor</w:t>
      </w:r>
      <w:proofErr w:type="spellEnd"/>
      <w:r>
        <w:rPr>
          <w:rFonts w:ascii="Times New Roman" w:hAnsi="Times New Roman" w:cs="Times New Roman"/>
          <w:color w:val="222222"/>
          <w:sz w:val="24"/>
          <w:szCs w:val="24"/>
          <w:shd w:val="clear" w:color="auto" w:fill="FFFFFF"/>
        </w:rPr>
        <w:t xml:space="preserve"> relations in foreign-funded ventures, Chinese trade unions, and the prospects for collective bargaining. In </w:t>
      </w:r>
      <w:r>
        <w:rPr>
          <w:rFonts w:ascii="Times New Roman" w:hAnsi="Times New Roman" w:cs="Times New Roman"/>
          <w:i/>
          <w:iCs/>
          <w:color w:val="222222"/>
          <w:sz w:val="24"/>
          <w:szCs w:val="24"/>
          <w:shd w:val="clear" w:color="auto" w:fill="FFFFFF"/>
        </w:rPr>
        <w:t>Adjusting to Capitalism</w:t>
      </w:r>
      <w:r>
        <w:rPr>
          <w:rFonts w:ascii="Times New Roman" w:hAnsi="Times New Roman" w:cs="Times New Roman"/>
          <w:color w:val="222222"/>
          <w:sz w:val="24"/>
          <w:szCs w:val="24"/>
          <w:shd w:val="clear" w:color="auto" w:fill="FFFFFF"/>
        </w:rPr>
        <w:t> (pp. 122-149). Routledge.</w:t>
      </w:r>
    </w:p>
    <w:p w14:paraId="5E6B5EAA" w14:textId="77777777" w:rsidR="00EB16E3" w:rsidRDefault="00EB16E3" w:rsidP="00EB16E3">
      <w:pPr>
        <w:spacing w:line="360" w:lineRule="auto"/>
        <w:jc w:val="both"/>
        <w:rPr>
          <w:rFonts w:ascii="Times New Roman" w:hAnsi="Times New Roman" w:cs="Times New Roman"/>
          <w:color w:val="222222"/>
          <w:sz w:val="24"/>
          <w:szCs w:val="24"/>
          <w:shd w:val="clear" w:color="auto" w:fill="FFFFFF"/>
        </w:rPr>
      </w:pPr>
      <w:proofErr w:type="spellStart"/>
      <w:r>
        <w:rPr>
          <w:rFonts w:ascii="Times New Roman" w:hAnsi="Times New Roman" w:cs="Times New Roman"/>
          <w:color w:val="222222"/>
          <w:sz w:val="24"/>
          <w:szCs w:val="24"/>
          <w:shd w:val="clear" w:color="auto" w:fill="FFFFFF"/>
        </w:rPr>
        <w:t>Chanana</w:t>
      </w:r>
      <w:proofErr w:type="spellEnd"/>
      <w:r>
        <w:rPr>
          <w:rFonts w:ascii="Times New Roman" w:hAnsi="Times New Roman" w:cs="Times New Roman"/>
          <w:color w:val="222222"/>
          <w:sz w:val="24"/>
          <w:szCs w:val="24"/>
          <w:shd w:val="clear" w:color="auto" w:fill="FFFFFF"/>
        </w:rPr>
        <w:t>, N. (2021). Employee engagement practices during COVID‐19 lockdown. </w:t>
      </w:r>
      <w:r>
        <w:rPr>
          <w:rFonts w:ascii="Times New Roman" w:hAnsi="Times New Roman" w:cs="Times New Roman"/>
          <w:i/>
          <w:iCs/>
          <w:color w:val="222222"/>
          <w:sz w:val="24"/>
          <w:szCs w:val="24"/>
          <w:shd w:val="clear" w:color="auto" w:fill="FFFFFF"/>
        </w:rPr>
        <w:t>Journal of public affairs</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21</w:t>
      </w:r>
      <w:r>
        <w:rPr>
          <w:rFonts w:ascii="Times New Roman" w:hAnsi="Times New Roman" w:cs="Times New Roman"/>
          <w:color w:val="222222"/>
          <w:sz w:val="24"/>
          <w:szCs w:val="24"/>
          <w:shd w:val="clear" w:color="auto" w:fill="FFFFFF"/>
        </w:rPr>
        <w:t>(4), e2508.</w:t>
      </w:r>
    </w:p>
    <w:p w14:paraId="581B8B6E" w14:textId="77777777" w:rsidR="00EB16E3" w:rsidRDefault="00EB16E3" w:rsidP="00EB16E3">
      <w:pPr>
        <w:spacing w:line="360" w:lineRule="auto"/>
        <w:jc w:val="both"/>
        <w:rPr>
          <w:rFonts w:ascii="Times New Roman" w:hAnsi="Times New Roman" w:cs="Times New Roman"/>
          <w:color w:val="222222"/>
          <w:sz w:val="24"/>
          <w:szCs w:val="24"/>
          <w:shd w:val="clear" w:color="auto" w:fill="FFFFFF"/>
        </w:rPr>
      </w:pPr>
      <w:proofErr w:type="spellStart"/>
      <w:r>
        <w:rPr>
          <w:rFonts w:ascii="Times New Roman" w:hAnsi="Times New Roman" w:cs="Times New Roman"/>
          <w:color w:val="222222"/>
          <w:sz w:val="24"/>
          <w:szCs w:val="24"/>
          <w:shd w:val="clear" w:color="auto" w:fill="FFFFFF"/>
        </w:rPr>
        <w:t>Cockbain</w:t>
      </w:r>
      <w:proofErr w:type="spellEnd"/>
      <w:r>
        <w:rPr>
          <w:rFonts w:ascii="Times New Roman" w:hAnsi="Times New Roman" w:cs="Times New Roman"/>
          <w:color w:val="222222"/>
          <w:sz w:val="24"/>
          <w:szCs w:val="24"/>
          <w:shd w:val="clear" w:color="auto" w:fill="FFFFFF"/>
        </w:rPr>
        <w:t xml:space="preserve">, E. and </w:t>
      </w:r>
      <w:proofErr w:type="spellStart"/>
      <w:r>
        <w:rPr>
          <w:rFonts w:ascii="Times New Roman" w:hAnsi="Times New Roman" w:cs="Times New Roman"/>
          <w:color w:val="222222"/>
          <w:sz w:val="24"/>
          <w:szCs w:val="24"/>
          <w:shd w:val="clear" w:color="auto" w:fill="FFFFFF"/>
        </w:rPr>
        <w:t>Posch</w:t>
      </w:r>
      <w:proofErr w:type="spellEnd"/>
      <w:r>
        <w:rPr>
          <w:rFonts w:ascii="Times New Roman" w:hAnsi="Times New Roman" w:cs="Times New Roman"/>
          <w:color w:val="222222"/>
          <w:sz w:val="24"/>
          <w:szCs w:val="24"/>
          <w:shd w:val="clear" w:color="auto" w:fill="FFFFFF"/>
        </w:rPr>
        <w:t>, K. (2022) Precarious work and labour market abuses: mapping the UK landscape. </w:t>
      </w:r>
      <w:r>
        <w:rPr>
          <w:rFonts w:ascii="Times New Roman" w:hAnsi="Times New Roman" w:cs="Times New Roman"/>
          <w:i/>
          <w:iCs/>
          <w:color w:val="222222"/>
          <w:sz w:val="24"/>
          <w:szCs w:val="24"/>
          <w:shd w:val="clear" w:color="auto" w:fill="FFFFFF"/>
        </w:rPr>
        <w:t>LSE Business Review</w:t>
      </w:r>
      <w:r>
        <w:rPr>
          <w:rFonts w:ascii="Times New Roman" w:hAnsi="Times New Roman" w:cs="Times New Roman"/>
          <w:color w:val="222222"/>
          <w:sz w:val="24"/>
          <w:szCs w:val="24"/>
          <w:shd w:val="clear" w:color="auto" w:fill="FFFFFF"/>
        </w:rPr>
        <w:t>.</w:t>
      </w:r>
    </w:p>
    <w:p w14:paraId="33C0D57A" w14:textId="77777777" w:rsidR="00EB16E3" w:rsidRDefault="00EB16E3" w:rsidP="00EB16E3">
      <w:pPr>
        <w:spacing w:line="360" w:lineRule="auto"/>
        <w:jc w:val="both"/>
        <w:rPr>
          <w:rFonts w:ascii="Times New Roman" w:hAnsi="Times New Roman" w:cs="Times New Roman"/>
          <w:b/>
          <w:bCs/>
          <w:sz w:val="24"/>
          <w:szCs w:val="24"/>
        </w:rPr>
      </w:pPr>
      <w:r>
        <w:rPr>
          <w:rFonts w:ascii="Times New Roman" w:hAnsi="Times New Roman" w:cs="Times New Roman"/>
          <w:color w:val="222222"/>
          <w:sz w:val="24"/>
          <w:szCs w:val="24"/>
          <w:shd w:val="clear" w:color="auto" w:fill="FFFFFF"/>
        </w:rPr>
        <w:t xml:space="preserve">Codd, F. and Ferguson, D. (2020) The covid-19 outbreak and employment rights, PP. 123-132. </w:t>
      </w:r>
    </w:p>
    <w:p w14:paraId="07CA6CFC" w14:textId="77777777" w:rsidR="00EB16E3" w:rsidRDefault="00EB16E3" w:rsidP="00EB16E3">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Dawson, C., </w:t>
      </w:r>
      <w:proofErr w:type="spellStart"/>
      <w:r>
        <w:rPr>
          <w:rFonts w:ascii="Times New Roman" w:hAnsi="Times New Roman" w:cs="Times New Roman"/>
          <w:color w:val="222222"/>
          <w:sz w:val="24"/>
          <w:szCs w:val="24"/>
          <w:shd w:val="clear" w:color="auto" w:fill="FFFFFF"/>
        </w:rPr>
        <w:t>Veliziotis</w:t>
      </w:r>
      <w:proofErr w:type="spellEnd"/>
      <w:r>
        <w:rPr>
          <w:rFonts w:ascii="Times New Roman" w:hAnsi="Times New Roman" w:cs="Times New Roman"/>
          <w:color w:val="222222"/>
          <w:sz w:val="24"/>
          <w:szCs w:val="24"/>
          <w:shd w:val="clear" w:color="auto" w:fill="FFFFFF"/>
        </w:rPr>
        <w:t>, M. and Hopkins, B. (2017) Temporary employment, job satisfaction and subjective well-being. </w:t>
      </w:r>
      <w:r>
        <w:rPr>
          <w:rFonts w:ascii="Times New Roman" w:hAnsi="Times New Roman" w:cs="Times New Roman"/>
          <w:i/>
          <w:iCs/>
          <w:color w:val="222222"/>
          <w:sz w:val="24"/>
          <w:szCs w:val="24"/>
          <w:shd w:val="clear" w:color="auto" w:fill="FFFFFF"/>
        </w:rPr>
        <w:t>Economic and industrial democracy</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38</w:t>
      </w:r>
      <w:r>
        <w:rPr>
          <w:rFonts w:ascii="Times New Roman" w:hAnsi="Times New Roman" w:cs="Times New Roman"/>
          <w:color w:val="222222"/>
          <w:sz w:val="24"/>
          <w:szCs w:val="24"/>
          <w:shd w:val="clear" w:color="auto" w:fill="FFFFFF"/>
        </w:rPr>
        <w:t>(1), pp.69-98.</w:t>
      </w:r>
    </w:p>
    <w:p w14:paraId="7BC3B3D8" w14:textId="77777777" w:rsidR="00EB16E3" w:rsidRDefault="00EB16E3" w:rsidP="00EB16E3">
      <w:pPr>
        <w:spacing w:line="360" w:lineRule="auto"/>
        <w:jc w:val="both"/>
        <w:rPr>
          <w:rFonts w:ascii="Times New Roman" w:hAnsi="Times New Roman" w:cs="Times New Roman"/>
          <w:b/>
          <w:bCs/>
          <w:sz w:val="24"/>
          <w:szCs w:val="24"/>
        </w:rPr>
      </w:pPr>
      <w:r>
        <w:rPr>
          <w:rFonts w:ascii="Times New Roman" w:hAnsi="Times New Roman" w:cs="Times New Roman"/>
          <w:color w:val="222222"/>
          <w:sz w:val="24"/>
          <w:szCs w:val="24"/>
          <w:shd w:val="clear" w:color="auto" w:fill="FFFFFF"/>
        </w:rPr>
        <w:t>Devereux, H. and Wadsworth, E. (2022) Forgotten keyworkers: the experiences of British seafarers during the COVID-19 pandemic. </w:t>
      </w:r>
      <w:r>
        <w:rPr>
          <w:rFonts w:ascii="Times New Roman" w:hAnsi="Times New Roman" w:cs="Times New Roman"/>
          <w:i/>
          <w:iCs/>
          <w:color w:val="222222"/>
          <w:sz w:val="24"/>
          <w:szCs w:val="24"/>
          <w:shd w:val="clear" w:color="auto" w:fill="FFFFFF"/>
        </w:rPr>
        <w:t>The Economic and Labour Relations Review</w:t>
      </w:r>
      <w:r>
        <w:rPr>
          <w:rFonts w:ascii="Times New Roman" w:hAnsi="Times New Roman" w:cs="Times New Roman"/>
          <w:color w:val="222222"/>
          <w:sz w:val="24"/>
          <w:szCs w:val="24"/>
          <w:shd w:val="clear" w:color="auto" w:fill="FFFFFF"/>
        </w:rPr>
        <w:t>, p.10353046221079136.</w:t>
      </w:r>
    </w:p>
    <w:p w14:paraId="1DD75D6E" w14:textId="77777777" w:rsidR="00EB16E3" w:rsidRDefault="00EB16E3" w:rsidP="00EB16E3">
      <w:pPr>
        <w:spacing w:line="360" w:lineRule="auto"/>
        <w:jc w:val="both"/>
        <w:rPr>
          <w:rFonts w:ascii="Times New Roman" w:hAnsi="Times New Roman" w:cs="Times New Roman"/>
          <w:color w:val="222222"/>
          <w:sz w:val="24"/>
          <w:szCs w:val="24"/>
          <w:shd w:val="clear" w:color="auto" w:fill="FFFFFF"/>
        </w:rPr>
      </w:pPr>
      <w:proofErr w:type="spellStart"/>
      <w:r>
        <w:rPr>
          <w:rFonts w:ascii="Times New Roman" w:hAnsi="Times New Roman" w:cs="Times New Roman"/>
          <w:color w:val="222222"/>
          <w:sz w:val="24"/>
          <w:szCs w:val="24"/>
          <w:shd w:val="clear" w:color="auto" w:fill="FFFFFF"/>
        </w:rPr>
        <w:lastRenderedPageBreak/>
        <w:t>Eldor</w:t>
      </w:r>
      <w:proofErr w:type="spellEnd"/>
      <w:r>
        <w:rPr>
          <w:rFonts w:ascii="Times New Roman" w:hAnsi="Times New Roman" w:cs="Times New Roman"/>
          <w:color w:val="222222"/>
          <w:sz w:val="24"/>
          <w:szCs w:val="24"/>
          <w:shd w:val="clear" w:color="auto" w:fill="FFFFFF"/>
        </w:rPr>
        <w:t xml:space="preserve">, L. and Vigoda-Gadot, E. (2017) The nature of employee engagement: Rethinking the employee–organisation relationship. </w:t>
      </w:r>
      <w:r>
        <w:rPr>
          <w:rFonts w:ascii="Times New Roman" w:hAnsi="Times New Roman" w:cs="Times New Roman"/>
          <w:i/>
          <w:iCs/>
          <w:color w:val="222222"/>
          <w:sz w:val="24"/>
          <w:szCs w:val="24"/>
          <w:shd w:val="clear" w:color="auto" w:fill="FFFFFF"/>
        </w:rPr>
        <w:t>The International Journal of Human Resource Management</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28</w:t>
      </w:r>
      <w:r>
        <w:rPr>
          <w:rFonts w:ascii="Times New Roman" w:hAnsi="Times New Roman" w:cs="Times New Roman"/>
          <w:color w:val="222222"/>
          <w:sz w:val="24"/>
          <w:szCs w:val="24"/>
          <w:shd w:val="clear" w:color="auto" w:fill="FFFFFF"/>
        </w:rPr>
        <w:t>(3), pp.526-552.</w:t>
      </w:r>
    </w:p>
    <w:p w14:paraId="6A281774" w14:textId="77777777" w:rsidR="00EB16E3" w:rsidRDefault="00EB16E3" w:rsidP="00EB16E3">
      <w:pPr>
        <w:spacing w:line="360" w:lineRule="auto"/>
        <w:jc w:val="both"/>
        <w:rPr>
          <w:rFonts w:ascii="Times New Roman" w:hAnsi="Times New Roman" w:cs="Times New Roman"/>
          <w:color w:val="222222"/>
          <w:sz w:val="24"/>
          <w:szCs w:val="24"/>
          <w:shd w:val="clear" w:color="auto" w:fill="FFFFFF"/>
        </w:rPr>
      </w:pPr>
      <w:proofErr w:type="spellStart"/>
      <w:r>
        <w:rPr>
          <w:rFonts w:ascii="Times New Roman" w:hAnsi="Times New Roman" w:cs="Times New Roman"/>
          <w:color w:val="222222"/>
          <w:sz w:val="24"/>
          <w:szCs w:val="24"/>
          <w:shd w:val="clear" w:color="auto" w:fill="FFFFFF"/>
        </w:rPr>
        <w:t>Estlund</w:t>
      </w:r>
      <w:proofErr w:type="spellEnd"/>
      <w:r>
        <w:rPr>
          <w:rFonts w:ascii="Times New Roman" w:hAnsi="Times New Roman" w:cs="Times New Roman"/>
          <w:color w:val="222222"/>
          <w:sz w:val="24"/>
          <w:szCs w:val="24"/>
          <w:shd w:val="clear" w:color="auto" w:fill="FFFFFF"/>
        </w:rPr>
        <w:t>, C. (2018). What should we do after work? Automation and employment law. </w:t>
      </w:r>
      <w:r>
        <w:rPr>
          <w:rFonts w:ascii="Times New Roman" w:hAnsi="Times New Roman" w:cs="Times New Roman"/>
          <w:i/>
          <w:iCs/>
          <w:color w:val="222222"/>
          <w:sz w:val="24"/>
          <w:szCs w:val="24"/>
          <w:shd w:val="clear" w:color="auto" w:fill="FFFFFF"/>
        </w:rPr>
        <w:t>The Yale Law Journal</w:t>
      </w:r>
      <w:r>
        <w:rPr>
          <w:rFonts w:ascii="Times New Roman" w:hAnsi="Times New Roman" w:cs="Times New Roman"/>
          <w:color w:val="222222"/>
          <w:sz w:val="24"/>
          <w:szCs w:val="24"/>
          <w:shd w:val="clear" w:color="auto" w:fill="FFFFFF"/>
        </w:rPr>
        <w:t>, 254-326.</w:t>
      </w:r>
    </w:p>
    <w:p w14:paraId="1F18BCD2" w14:textId="77777777" w:rsidR="00EB16E3" w:rsidRDefault="00EB16E3" w:rsidP="00EB16E3">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Ewing, K.D. and Hendy, L. (2020) Covid-19 and the failure of labour law: Part 1. </w:t>
      </w:r>
      <w:r>
        <w:rPr>
          <w:rFonts w:ascii="Times New Roman" w:hAnsi="Times New Roman" w:cs="Times New Roman"/>
          <w:i/>
          <w:iCs/>
          <w:color w:val="222222"/>
          <w:sz w:val="24"/>
          <w:szCs w:val="24"/>
          <w:shd w:val="clear" w:color="auto" w:fill="FFFFFF"/>
        </w:rPr>
        <w:t>Industrial Law Journal</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49</w:t>
      </w:r>
      <w:r>
        <w:rPr>
          <w:rFonts w:ascii="Times New Roman" w:hAnsi="Times New Roman" w:cs="Times New Roman"/>
          <w:color w:val="222222"/>
          <w:sz w:val="24"/>
          <w:szCs w:val="24"/>
          <w:shd w:val="clear" w:color="auto" w:fill="FFFFFF"/>
        </w:rPr>
        <w:t>(4), pp.497-538.</w:t>
      </w:r>
    </w:p>
    <w:p w14:paraId="13108B8D" w14:textId="77777777" w:rsidR="00EB16E3" w:rsidRDefault="00EB16E3" w:rsidP="00EB16E3">
      <w:pPr>
        <w:spacing w:line="360" w:lineRule="auto"/>
        <w:jc w:val="both"/>
        <w:rPr>
          <w:rFonts w:ascii="Times New Roman" w:hAnsi="Times New Roman" w:cs="Times New Roman"/>
          <w:b/>
          <w:bCs/>
          <w:sz w:val="24"/>
          <w:szCs w:val="24"/>
        </w:rPr>
      </w:pPr>
      <w:proofErr w:type="spellStart"/>
      <w:r>
        <w:rPr>
          <w:rFonts w:ascii="Times New Roman" w:hAnsi="Times New Roman" w:cs="Times New Roman"/>
          <w:color w:val="222222"/>
          <w:sz w:val="24"/>
          <w:szCs w:val="24"/>
          <w:shd w:val="clear" w:color="auto" w:fill="FFFFFF"/>
        </w:rPr>
        <w:t>Kniffin</w:t>
      </w:r>
      <w:proofErr w:type="spellEnd"/>
      <w:r>
        <w:rPr>
          <w:rFonts w:ascii="Times New Roman" w:hAnsi="Times New Roman" w:cs="Times New Roman"/>
          <w:color w:val="222222"/>
          <w:sz w:val="24"/>
          <w:szCs w:val="24"/>
          <w:shd w:val="clear" w:color="auto" w:fill="FFFFFF"/>
        </w:rPr>
        <w:t xml:space="preserve">, K.M., Narayanan, J., </w:t>
      </w:r>
      <w:proofErr w:type="spellStart"/>
      <w:r>
        <w:rPr>
          <w:rFonts w:ascii="Times New Roman" w:hAnsi="Times New Roman" w:cs="Times New Roman"/>
          <w:color w:val="222222"/>
          <w:sz w:val="24"/>
          <w:szCs w:val="24"/>
          <w:shd w:val="clear" w:color="auto" w:fill="FFFFFF"/>
        </w:rPr>
        <w:t>Anseel</w:t>
      </w:r>
      <w:proofErr w:type="spellEnd"/>
      <w:r>
        <w:rPr>
          <w:rFonts w:ascii="Times New Roman" w:hAnsi="Times New Roman" w:cs="Times New Roman"/>
          <w:color w:val="222222"/>
          <w:sz w:val="24"/>
          <w:szCs w:val="24"/>
          <w:shd w:val="clear" w:color="auto" w:fill="FFFFFF"/>
        </w:rPr>
        <w:t xml:space="preserve">, F., </w:t>
      </w:r>
      <w:proofErr w:type="spellStart"/>
      <w:r>
        <w:rPr>
          <w:rFonts w:ascii="Times New Roman" w:hAnsi="Times New Roman" w:cs="Times New Roman"/>
          <w:color w:val="222222"/>
          <w:sz w:val="24"/>
          <w:szCs w:val="24"/>
          <w:shd w:val="clear" w:color="auto" w:fill="FFFFFF"/>
        </w:rPr>
        <w:t>Antonakis</w:t>
      </w:r>
      <w:proofErr w:type="spellEnd"/>
      <w:r>
        <w:rPr>
          <w:rFonts w:ascii="Times New Roman" w:hAnsi="Times New Roman" w:cs="Times New Roman"/>
          <w:color w:val="222222"/>
          <w:sz w:val="24"/>
          <w:szCs w:val="24"/>
          <w:shd w:val="clear" w:color="auto" w:fill="FFFFFF"/>
        </w:rPr>
        <w:t xml:space="preserve">, J., Ashford, S.P., Bakker, A.B., Bamberger, P., </w:t>
      </w:r>
      <w:proofErr w:type="spellStart"/>
      <w:r>
        <w:rPr>
          <w:rFonts w:ascii="Times New Roman" w:hAnsi="Times New Roman" w:cs="Times New Roman"/>
          <w:color w:val="222222"/>
          <w:sz w:val="24"/>
          <w:szCs w:val="24"/>
          <w:shd w:val="clear" w:color="auto" w:fill="FFFFFF"/>
        </w:rPr>
        <w:t>Bapuji</w:t>
      </w:r>
      <w:proofErr w:type="spellEnd"/>
      <w:r>
        <w:rPr>
          <w:rFonts w:ascii="Times New Roman" w:hAnsi="Times New Roman" w:cs="Times New Roman"/>
          <w:color w:val="222222"/>
          <w:sz w:val="24"/>
          <w:szCs w:val="24"/>
          <w:shd w:val="clear" w:color="auto" w:fill="FFFFFF"/>
        </w:rPr>
        <w:t xml:space="preserve">, H., </w:t>
      </w:r>
      <w:proofErr w:type="spellStart"/>
      <w:r>
        <w:rPr>
          <w:rFonts w:ascii="Times New Roman" w:hAnsi="Times New Roman" w:cs="Times New Roman"/>
          <w:color w:val="222222"/>
          <w:sz w:val="24"/>
          <w:szCs w:val="24"/>
          <w:shd w:val="clear" w:color="auto" w:fill="FFFFFF"/>
        </w:rPr>
        <w:t>Bhave</w:t>
      </w:r>
      <w:proofErr w:type="spellEnd"/>
      <w:r>
        <w:rPr>
          <w:rFonts w:ascii="Times New Roman" w:hAnsi="Times New Roman" w:cs="Times New Roman"/>
          <w:color w:val="222222"/>
          <w:sz w:val="24"/>
          <w:szCs w:val="24"/>
          <w:shd w:val="clear" w:color="auto" w:fill="FFFFFF"/>
        </w:rPr>
        <w:t xml:space="preserve">, D.P., Choi, V.K. and </w:t>
      </w:r>
      <w:proofErr w:type="spellStart"/>
      <w:r>
        <w:rPr>
          <w:rFonts w:ascii="Times New Roman" w:hAnsi="Times New Roman" w:cs="Times New Roman"/>
          <w:color w:val="222222"/>
          <w:sz w:val="24"/>
          <w:szCs w:val="24"/>
          <w:shd w:val="clear" w:color="auto" w:fill="FFFFFF"/>
        </w:rPr>
        <w:t>Creary</w:t>
      </w:r>
      <w:proofErr w:type="spellEnd"/>
      <w:r>
        <w:rPr>
          <w:rFonts w:ascii="Times New Roman" w:hAnsi="Times New Roman" w:cs="Times New Roman"/>
          <w:color w:val="222222"/>
          <w:sz w:val="24"/>
          <w:szCs w:val="24"/>
          <w:shd w:val="clear" w:color="auto" w:fill="FFFFFF"/>
        </w:rPr>
        <w:t>, S.J. (2021) COVID-19 and the workplace: Implications, issues, and insights for future research and action. </w:t>
      </w:r>
      <w:r>
        <w:rPr>
          <w:rFonts w:ascii="Times New Roman" w:hAnsi="Times New Roman" w:cs="Times New Roman"/>
          <w:i/>
          <w:iCs/>
          <w:color w:val="222222"/>
          <w:sz w:val="24"/>
          <w:szCs w:val="24"/>
          <w:shd w:val="clear" w:color="auto" w:fill="FFFFFF"/>
        </w:rPr>
        <w:t>American Psychologist</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76</w:t>
      </w:r>
      <w:r>
        <w:rPr>
          <w:rFonts w:ascii="Times New Roman" w:hAnsi="Times New Roman" w:cs="Times New Roman"/>
          <w:color w:val="222222"/>
          <w:sz w:val="24"/>
          <w:szCs w:val="24"/>
          <w:shd w:val="clear" w:color="auto" w:fill="FFFFFF"/>
        </w:rPr>
        <w:t>(1), p.63.</w:t>
      </w:r>
    </w:p>
    <w:p w14:paraId="7CC649BB" w14:textId="77777777" w:rsidR="00EB16E3" w:rsidRDefault="00EB16E3" w:rsidP="00EB16E3">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Kwon, K., &amp; Kim, T. (2020). An integrative literature review of employee engagement and innovative </w:t>
      </w:r>
      <w:proofErr w:type="spellStart"/>
      <w:r>
        <w:rPr>
          <w:rFonts w:ascii="Times New Roman" w:hAnsi="Times New Roman" w:cs="Times New Roman"/>
          <w:color w:val="222222"/>
          <w:sz w:val="24"/>
          <w:szCs w:val="24"/>
          <w:shd w:val="clear" w:color="auto" w:fill="FFFFFF"/>
        </w:rPr>
        <w:t>behavior</w:t>
      </w:r>
      <w:proofErr w:type="spellEnd"/>
      <w:r>
        <w:rPr>
          <w:rFonts w:ascii="Times New Roman" w:hAnsi="Times New Roman" w:cs="Times New Roman"/>
          <w:color w:val="222222"/>
          <w:sz w:val="24"/>
          <w:szCs w:val="24"/>
          <w:shd w:val="clear" w:color="auto" w:fill="FFFFFF"/>
        </w:rPr>
        <w:t>: Revisiting the JD-R model. </w:t>
      </w:r>
      <w:r>
        <w:rPr>
          <w:rFonts w:ascii="Times New Roman" w:hAnsi="Times New Roman" w:cs="Times New Roman"/>
          <w:i/>
          <w:iCs/>
          <w:color w:val="222222"/>
          <w:sz w:val="24"/>
          <w:szCs w:val="24"/>
          <w:shd w:val="clear" w:color="auto" w:fill="FFFFFF"/>
        </w:rPr>
        <w:t>Human Resource Management Review</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30</w:t>
      </w:r>
      <w:r>
        <w:rPr>
          <w:rFonts w:ascii="Times New Roman" w:hAnsi="Times New Roman" w:cs="Times New Roman"/>
          <w:color w:val="222222"/>
          <w:sz w:val="24"/>
          <w:szCs w:val="24"/>
          <w:shd w:val="clear" w:color="auto" w:fill="FFFFFF"/>
        </w:rPr>
        <w:t>(2), 100704.</w:t>
      </w:r>
    </w:p>
    <w:p w14:paraId="5E077CE6" w14:textId="77777777" w:rsidR="00EB16E3" w:rsidRDefault="00EB16E3" w:rsidP="00EB16E3">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Lansley, S. (2021) Burning injustice. In </w:t>
      </w:r>
      <w:r>
        <w:rPr>
          <w:rFonts w:ascii="Times New Roman" w:hAnsi="Times New Roman" w:cs="Times New Roman"/>
          <w:i/>
          <w:iCs/>
          <w:color w:val="222222"/>
          <w:sz w:val="24"/>
          <w:szCs w:val="24"/>
          <w:shd w:val="clear" w:color="auto" w:fill="FFFFFF"/>
        </w:rPr>
        <w:t>The Richer, The Poorer</w:t>
      </w:r>
      <w:r>
        <w:rPr>
          <w:rFonts w:ascii="Times New Roman" w:hAnsi="Times New Roman" w:cs="Times New Roman"/>
          <w:color w:val="222222"/>
          <w:sz w:val="24"/>
          <w:szCs w:val="24"/>
          <w:shd w:val="clear" w:color="auto" w:fill="FFFFFF"/>
        </w:rPr>
        <w:t>, pp. 224-230.</w:t>
      </w:r>
    </w:p>
    <w:p w14:paraId="604F6808" w14:textId="77777777" w:rsidR="00EB16E3" w:rsidRDefault="00EB16E3" w:rsidP="00EB16E3">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Manas, NHN, Salleh, S., </w:t>
      </w:r>
      <w:proofErr w:type="spellStart"/>
      <w:r>
        <w:rPr>
          <w:rFonts w:ascii="Times New Roman" w:hAnsi="Times New Roman" w:cs="Times New Roman"/>
          <w:color w:val="222222"/>
          <w:sz w:val="24"/>
          <w:szCs w:val="24"/>
          <w:shd w:val="clear" w:color="auto" w:fill="FFFFFF"/>
        </w:rPr>
        <w:t>Othaman</w:t>
      </w:r>
      <w:proofErr w:type="spellEnd"/>
      <w:r>
        <w:rPr>
          <w:rFonts w:ascii="Times New Roman" w:hAnsi="Times New Roman" w:cs="Times New Roman"/>
          <w:color w:val="222222"/>
          <w:sz w:val="24"/>
          <w:szCs w:val="24"/>
          <w:shd w:val="clear" w:color="auto" w:fill="FFFFFF"/>
        </w:rPr>
        <w:t xml:space="preserve">, S.S., </w:t>
      </w:r>
      <w:proofErr w:type="spellStart"/>
      <w:r>
        <w:rPr>
          <w:rFonts w:ascii="Times New Roman" w:hAnsi="Times New Roman" w:cs="Times New Roman"/>
          <w:color w:val="222222"/>
          <w:sz w:val="24"/>
          <w:szCs w:val="24"/>
          <w:shd w:val="clear" w:color="auto" w:fill="FFFFFF"/>
        </w:rPr>
        <w:t>Ridzuan</w:t>
      </w:r>
      <w:proofErr w:type="spellEnd"/>
      <w:r>
        <w:rPr>
          <w:rFonts w:ascii="Times New Roman" w:hAnsi="Times New Roman" w:cs="Times New Roman"/>
          <w:color w:val="222222"/>
          <w:sz w:val="24"/>
          <w:szCs w:val="24"/>
          <w:shd w:val="clear" w:color="auto" w:fill="FFFFFF"/>
        </w:rPr>
        <w:t>, M.R. and Abd Rahman, N.A.S. (2019) A comparative study on the rights and protection provided for the fixed-term contract employees between Malaysia and the United Kingdom. </w:t>
      </w:r>
      <w:r>
        <w:rPr>
          <w:rFonts w:ascii="Times New Roman" w:hAnsi="Times New Roman" w:cs="Times New Roman"/>
          <w:i/>
          <w:iCs/>
          <w:color w:val="222222"/>
          <w:sz w:val="24"/>
          <w:szCs w:val="24"/>
          <w:shd w:val="clear" w:color="auto" w:fill="FFFFFF"/>
        </w:rPr>
        <w:t>Journal of Administrative Science</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16</w:t>
      </w:r>
      <w:r>
        <w:rPr>
          <w:rFonts w:ascii="Times New Roman" w:hAnsi="Times New Roman" w:cs="Times New Roman"/>
          <w:color w:val="222222"/>
          <w:sz w:val="24"/>
          <w:szCs w:val="24"/>
          <w:shd w:val="clear" w:color="auto" w:fill="FFFFFF"/>
        </w:rPr>
        <w:t>(2), pp.1-19.</w:t>
      </w:r>
    </w:p>
    <w:p w14:paraId="6156EAFF" w14:textId="77777777" w:rsidR="00EB16E3" w:rsidRDefault="00EB16E3" w:rsidP="00EB16E3">
      <w:pPr>
        <w:spacing w:line="360" w:lineRule="auto"/>
        <w:jc w:val="both"/>
        <w:rPr>
          <w:rFonts w:ascii="Times New Roman" w:hAnsi="Times New Roman" w:cs="Times New Roman"/>
          <w:color w:val="222222"/>
          <w:sz w:val="24"/>
          <w:szCs w:val="24"/>
          <w:shd w:val="clear" w:color="auto" w:fill="FFFFFF"/>
        </w:rPr>
      </w:pPr>
      <w:proofErr w:type="spellStart"/>
      <w:r>
        <w:rPr>
          <w:rFonts w:ascii="Times New Roman" w:hAnsi="Times New Roman" w:cs="Times New Roman"/>
          <w:color w:val="222222"/>
          <w:sz w:val="24"/>
          <w:szCs w:val="24"/>
          <w:shd w:val="clear" w:color="auto" w:fill="FFFFFF"/>
        </w:rPr>
        <w:t>Meijerink</w:t>
      </w:r>
      <w:proofErr w:type="spellEnd"/>
      <w:r>
        <w:rPr>
          <w:rFonts w:ascii="Times New Roman" w:hAnsi="Times New Roman" w:cs="Times New Roman"/>
          <w:color w:val="222222"/>
          <w:sz w:val="24"/>
          <w:szCs w:val="24"/>
          <w:shd w:val="clear" w:color="auto" w:fill="FFFFFF"/>
        </w:rPr>
        <w:t>, J. and Keegan, A. (2019) Conceptualising human resource management in the gig economy: Toward a platform ecosystem perspective. </w:t>
      </w:r>
      <w:r>
        <w:rPr>
          <w:rFonts w:ascii="Times New Roman" w:hAnsi="Times New Roman" w:cs="Times New Roman"/>
          <w:i/>
          <w:iCs/>
          <w:color w:val="222222"/>
          <w:sz w:val="24"/>
          <w:szCs w:val="24"/>
          <w:shd w:val="clear" w:color="auto" w:fill="FFFFFF"/>
        </w:rPr>
        <w:t>Journal of managerial psychology</w:t>
      </w:r>
      <w:r>
        <w:rPr>
          <w:rFonts w:ascii="Times New Roman" w:hAnsi="Times New Roman" w:cs="Times New Roman"/>
          <w:color w:val="222222"/>
          <w:sz w:val="24"/>
          <w:szCs w:val="24"/>
          <w:shd w:val="clear" w:color="auto" w:fill="FFFFFF"/>
        </w:rPr>
        <w:t>.</w:t>
      </w:r>
    </w:p>
    <w:p w14:paraId="5E822EA6" w14:textId="77777777" w:rsidR="00EB16E3" w:rsidRDefault="00EB16E3" w:rsidP="00EB16E3">
      <w:pPr>
        <w:spacing w:line="360" w:lineRule="auto"/>
        <w:jc w:val="both"/>
        <w:rPr>
          <w:rFonts w:ascii="Times New Roman" w:hAnsi="Times New Roman" w:cs="Times New Roman"/>
          <w:color w:val="222222"/>
          <w:sz w:val="24"/>
          <w:szCs w:val="24"/>
          <w:shd w:val="clear" w:color="auto" w:fill="FFFFFF"/>
        </w:rPr>
      </w:pPr>
      <w:proofErr w:type="spellStart"/>
      <w:r>
        <w:rPr>
          <w:rFonts w:ascii="Times New Roman" w:hAnsi="Times New Roman" w:cs="Times New Roman"/>
          <w:color w:val="222222"/>
          <w:sz w:val="24"/>
          <w:szCs w:val="24"/>
          <w:shd w:val="clear" w:color="auto" w:fill="FFFFFF"/>
        </w:rPr>
        <w:t>Mik</w:t>
      </w:r>
      <w:proofErr w:type="spellEnd"/>
      <w:r>
        <w:rPr>
          <w:rFonts w:ascii="Times New Roman" w:hAnsi="Times New Roman" w:cs="Times New Roman"/>
          <w:color w:val="222222"/>
          <w:sz w:val="24"/>
          <w:szCs w:val="24"/>
          <w:shd w:val="clear" w:color="auto" w:fill="FFFFFF"/>
        </w:rPr>
        <w:t xml:space="preserve">, E. (2017) Smart contracts: terminology, technical </w:t>
      </w:r>
      <w:proofErr w:type="gramStart"/>
      <w:r>
        <w:rPr>
          <w:rFonts w:ascii="Times New Roman" w:hAnsi="Times New Roman" w:cs="Times New Roman"/>
          <w:color w:val="222222"/>
          <w:sz w:val="24"/>
          <w:szCs w:val="24"/>
          <w:shd w:val="clear" w:color="auto" w:fill="FFFFFF"/>
        </w:rPr>
        <w:t>limitations</w:t>
      </w:r>
      <w:proofErr w:type="gramEnd"/>
      <w:r>
        <w:rPr>
          <w:rFonts w:ascii="Times New Roman" w:hAnsi="Times New Roman" w:cs="Times New Roman"/>
          <w:color w:val="222222"/>
          <w:sz w:val="24"/>
          <w:szCs w:val="24"/>
          <w:shd w:val="clear" w:color="auto" w:fill="FFFFFF"/>
        </w:rPr>
        <w:t xml:space="preserve"> and real-world complexity. </w:t>
      </w:r>
      <w:r>
        <w:rPr>
          <w:rFonts w:ascii="Times New Roman" w:hAnsi="Times New Roman" w:cs="Times New Roman"/>
          <w:i/>
          <w:iCs/>
          <w:color w:val="222222"/>
          <w:sz w:val="24"/>
          <w:szCs w:val="24"/>
          <w:shd w:val="clear" w:color="auto" w:fill="FFFFFF"/>
        </w:rPr>
        <w:t>Law, Innovation and Technology</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9</w:t>
      </w:r>
      <w:r>
        <w:rPr>
          <w:rFonts w:ascii="Times New Roman" w:hAnsi="Times New Roman" w:cs="Times New Roman"/>
          <w:color w:val="222222"/>
          <w:sz w:val="24"/>
          <w:szCs w:val="24"/>
          <w:shd w:val="clear" w:color="auto" w:fill="FFFFFF"/>
        </w:rPr>
        <w:t>(2), pp.269-300.</w:t>
      </w:r>
    </w:p>
    <w:p w14:paraId="4344735E" w14:textId="77777777" w:rsidR="00EB16E3" w:rsidRDefault="00EB16E3" w:rsidP="00EB16E3">
      <w:pPr>
        <w:spacing w:line="360" w:lineRule="auto"/>
        <w:jc w:val="both"/>
        <w:rPr>
          <w:rFonts w:ascii="Times New Roman" w:hAnsi="Times New Roman" w:cs="Times New Roman"/>
          <w:color w:val="222222"/>
          <w:sz w:val="24"/>
          <w:szCs w:val="24"/>
          <w:shd w:val="clear" w:color="auto" w:fill="FFFFFF"/>
        </w:rPr>
      </w:pPr>
      <w:proofErr w:type="spellStart"/>
      <w:r>
        <w:rPr>
          <w:rFonts w:ascii="Times New Roman" w:hAnsi="Times New Roman" w:cs="Times New Roman"/>
          <w:color w:val="222222"/>
          <w:sz w:val="24"/>
          <w:szCs w:val="24"/>
          <w:shd w:val="clear" w:color="auto" w:fill="FFFFFF"/>
        </w:rPr>
        <w:t>Motyka</w:t>
      </w:r>
      <w:proofErr w:type="spellEnd"/>
      <w:r>
        <w:rPr>
          <w:rFonts w:ascii="Times New Roman" w:hAnsi="Times New Roman" w:cs="Times New Roman"/>
          <w:color w:val="222222"/>
          <w:sz w:val="24"/>
          <w:szCs w:val="24"/>
          <w:shd w:val="clear" w:color="auto" w:fill="FFFFFF"/>
        </w:rPr>
        <w:t>, B. (2018). Employee engagement and performance: a systematic literature review. </w:t>
      </w:r>
      <w:r>
        <w:rPr>
          <w:rFonts w:ascii="Times New Roman" w:hAnsi="Times New Roman" w:cs="Times New Roman"/>
          <w:i/>
          <w:iCs/>
          <w:color w:val="222222"/>
          <w:sz w:val="24"/>
          <w:szCs w:val="24"/>
          <w:shd w:val="clear" w:color="auto" w:fill="FFFFFF"/>
        </w:rPr>
        <w:t>International Journal of Management and Economics</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54</w:t>
      </w:r>
      <w:r>
        <w:rPr>
          <w:rFonts w:ascii="Times New Roman" w:hAnsi="Times New Roman" w:cs="Times New Roman"/>
          <w:color w:val="222222"/>
          <w:sz w:val="24"/>
          <w:szCs w:val="24"/>
          <w:shd w:val="clear" w:color="auto" w:fill="FFFFFF"/>
        </w:rPr>
        <w:t>(3), 227-244.</w:t>
      </w:r>
    </w:p>
    <w:p w14:paraId="340AA78E" w14:textId="77777777" w:rsidR="00EB16E3" w:rsidRDefault="00EB16E3" w:rsidP="00EB16E3">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Ngoc </w:t>
      </w:r>
      <w:proofErr w:type="spellStart"/>
      <w:r>
        <w:rPr>
          <w:rFonts w:ascii="Times New Roman" w:hAnsi="Times New Roman" w:cs="Times New Roman"/>
          <w:color w:val="222222"/>
          <w:sz w:val="24"/>
          <w:szCs w:val="24"/>
          <w:shd w:val="clear" w:color="auto" w:fill="FFFFFF"/>
        </w:rPr>
        <w:t>Su</w:t>
      </w:r>
      <w:proofErr w:type="spellEnd"/>
      <w:r>
        <w:rPr>
          <w:rFonts w:ascii="Times New Roman" w:hAnsi="Times New Roman" w:cs="Times New Roman"/>
          <w:color w:val="222222"/>
          <w:sz w:val="24"/>
          <w:szCs w:val="24"/>
          <w:shd w:val="clear" w:color="auto" w:fill="FFFFFF"/>
        </w:rPr>
        <w:t xml:space="preserve">, D., Luc </w:t>
      </w:r>
      <w:proofErr w:type="spellStart"/>
      <w:r>
        <w:rPr>
          <w:rFonts w:ascii="Times New Roman" w:hAnsi="Times New Roman" w:cs="Times New Roman"/>
          <w:color w:val="222222"/>
          <w:sz w:val="24"/>
          <w:szCs w:val="24"/>
          <w:shd w:val="clear" w:color="auto" w:fill="FFFFFF"/>
        </w:rPr>
        <w:t>Tra</w:t>
      </w:r>
      <w:proofErr w:type="spellEnd"/>
      <w:r>
        <w:rPr>
          <w:rFonts w:ascii="Times New Roman" w:hAnsi="Times New Roman" w:cs="Times New Roman"/>
          <w:color w:val="222222"/>
          <w:sz w:val="24"/>
          <w:szCs w:val="24"/>
          <w:shd w:val="clear" w:color="auto" w:fill="FFFFFF"/>
        </w:rPr>
        <w:t xml:space="preserve">, D., </w:t>
      </w:r>
      <w:proofErr w:type="spellStart"/>
      <w:r>
        <w:rPr>
          <w:rFonts w:ascii="Times New Roman" w:hAnsi="Times New Roman" w:cs="Times New Roman"/>
          <w:color w:val="222222"/>
          <w:sz w:val="24"/>
          <w:szCs w:val="24"/>
          <w:shd w:val="clear" w:color="auto" w:fill="FFFFFF"/>
        </w:rPr>
        <w:t>Thi</w:t>
      </w:r>
      <w:proofErr w:type="spellEnd"/>
      <w:r>
        <w:rPr>
          <w:rFonts w:ascii="Times New Roman" w:hAnsi="Times New Roman" w:cs="Times New Roman"/>
          <w:color w:val="222222"/>
          <w:sz w:val="24"/>
          <w:szCs w:val="24"/>
          <w:shd w:val="clear" w:color="auto" w:fill="FFFFFF"/>
        </w:rPr>
        <w:t xml:space="preserve"> Huynh, H.M., Nguyen, H.H.T. and </w:t>
      </w:r>
      <w:proofErr w:type="spellStart"/>
      <w:r>
        <w:rPr>
          <w:rFonts w:ascii="Times New Roman" w:hAnsi="Times New Roman" w:cs="Times New Roman"/>
          <w:color w:val="222222"/>
          <w:sz w:val="24"/>
          <w:szCs w:val="24"/>
          <w:shd w:val="clear" w:color="auto" w:fill="FFFFFF"/>
        </w:rPr>
        <w:t>O’Mahony</w:t>
      </w:r>
      <w:proofErr w:type="spellEnd"/>
      <w:r>
        <w:rPr>
          <w:rFonts w:ascii="Times New Roman" w:hAnsi="Times New Roman" w:cs="Times New Roman"/>
          <w:color w:val="222222"/>
          <w:sz w:val="24"/>
          <w:szCs w:val="24"/>
          <w:shd w:val="clear" w:color="auto" w:fill="FFFFFF"/>
        </w:rPr>
        <w:t>, B. (2021) Enhancing resilience in the Covid-19 crisis: lessons from human resource management practices in Vietnam. </w:t>
      </w:r>
      <w:r>
        <w:rPr>
          <w:rFonts w:ascii="Times New Roman" w:hAnsi="Times New Roman" w:cs="Times New Roman"/>
          <w:i/>
          <w:iCs/>
          <w:color w:val="222222"/>
          <w:sz w:val="24"/>
          <w:szCs w:val="24"/>
          <w:shd w:val="clear" w:color="auto" w:fill="FFFFFF"/>
        </w:rPr>
        <w:t>Current Issues in Tourism</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24</w:t>
      </w:r>
      <w:r>
        <w:rPr>
          <w:rFonts w:ascii="Times New Roman" w:hAnsi="Times New Roman" w:cs="Times New Roman"/>
          <w:color w:val="222222"/>
          <w:sz w:val="24"/>
          <w:szCs w:val="24"/>
          <w:shd w:val="clear" w:color="auto" w:fill="FFFFFF"/>
        </w:rPr>
        <w:t>(22), pp.3189-3205.</w:t>
      </w:r>
    </w:p>
    <w:p w14:paraId="17CAB43A" w14:textId="77777777" w:rsidR="00EB16E3" w:rsidRDefault="00EB16E3" w:rsidP="00EB16E3">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Nolan, H. (2021) The British Gas Fire. </w:t>
      </w:r>
      <w:r>
        <w:rPr>
          <w:rFonts w:ascii="Times New Roman" w:hAnsi="Times New Roman" w:cs="Times New Roman"/>
          <w:i/>
          <w:iCs/>
          <w:color w:val="222222"/>
          <w:sz w:val="24"/>
          <w:szCs w:val="24"/>
          <w:shd w:val="clear" w:color="auto" w:fill="FFFFFF"/>
        </w:rPr>
        <w:t>International Union Rights</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28</w:t>
      </w:r>
      <w:r>
        <w:rPr>
          <w:rFonts w:ascii="Times New Roman" w:hAnsi="Times New Roman" w:cs="Times New Roman"/>
          <w:color w:val="222222"/>
          <w:sz w:val="24"/>
          <w:szCs w:val="24"/>
          <w:shd w:val="clear" w:color="auto" w:fill="FFFFFF"/>
        </w:rPr>
        <w:t>(2), pp.22-23.</w:t>
      </w:r>
    </w:p>
    <w:p w14:paraId="5670CD0A" w14:textId="77777777" w:rsidR="00EB16E3" w:rsidRDefault="00EB16E3" w:rsidP="00EB16E3">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Nolan, H. (2021). The British Gas Fire. </w:t>
      </w:r>
      <w:r>
        <w:rPr>
          <w:rFonts w:ascii="Times New Roman" w:hAnsi="Times New Roman" w:cs="Times New Roman"/>
          <w:i/>
          <w:iCs/>
          <w:color w:val="222222"/>
          <w:sz w:val="24"/>
          <w:szCs w:val="24"/>
          <w:shd w:val="clear" w:color="auto" w:fill="FFFFFF"/>
        </w:rPr>
        <w:t>International Union Rights</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28</w:t>
      </w:r>
      <w:r>
        <w:rPr>
          <w:rFonts w:ascii="Times New Roman" w:hAnsi="Times New Roman" w:cs="Times New Roman"/>
          <w:color w:val="222222"/>
          <w:sz w:val="24"/>
          <w:szCs w:val="24"/>
          <w:shd w:val="clear" w:color="auto" w:fill="FFFFFF"/>
        </w:rPr>
        <w:t>(2), 22-23.</w:t>
      </w:r>
    </w:p>
    <w:p w14:paraId="4076ECC6" w14:textId="77777777" w:rsidR="00EB16E3" w:rsidRDefault="00EB16E3" w:rsidP="00EB16E3">
      <w:pPr>
        <w:spacing w:line="360" w:lineRule="auto"/>
        <w:jc w:val="both"/>
        <w:rPr>
          <w:rFonts w:ascii="Times New Roman" w:hAnsi="Times New Roman" w:cs="Times New Roman"/>
          <w:b/>
          <w:bCs/>
          <w:sz w:val="24"/>
          <w:szCs w:val="24"/>
        </w:rPr>
      </w:pPr>
      <w:r>
        <w:rPr>
          <w:rFonts w:ascii="Times New Roman" w:hAnsi="Times New Roman" w:cs="Times New Roman"/>
          <w:color w:val="222222"/>
          <w:sz w:val="24"/>
          <w:szCs w:val="24"/>
          <w:shd w:val="clear" w:color="auto" w:fill="FFFFFF"/>
        </w:rPr>
        <w:lastRenderedPageBreak/>
        <w:t>Shackleton, L. (2022) Summertime Blues: Unions, strikes and the law in 2022. </w:t>
      </w:r>
      <w:r>
        <w:rPr>
          <w:rFonts w:ascii="Times New Roman" w:hAnsi="Times New Roman" w:cs="Times New Roman"/>
          <w:i/>
          <w:iCs/>
          <w:color w:val="222222"/>
          <w:sz w:val="24"/>
          <w:szCs w:val="24"/>
          <w:shd w:val="clear" w:color="auto" w:fill="FFFFFF"/>
        </w:rPr>
        <w:t>Institute of Economic Affairs Monographs, Forthcoming, IEA Briefing Paper</w:t>
      </w:r>
      <w:r>
        <w:rPr>
          <w:rFonts w:ascii="Times New Roman" w:hAnsi="Times New Roman" w:cs="Times New Roman"/>
          <w:color w:val="222222"/>
          <w:sz w:val="24"/>
          <w:szCs w:val="24"/>
          <w:shd w:val="clear" w:color="auto" w:fill="FFFFFF"/>
        </w:rPr>
        <w:t>, pp.56-59.</w:t>
      </w:r>
    </w:p>
    <w:p w14:paraId="2D66303D" w14:textId="77777777" w:rsidR="00EB16E3" w:rsidRDefault="00EB16E3" w:rsidP="00EB16E3">
      <w:pPr>
        <w:spacing w:line="360" w:lineRule="auto"/>
        <w:jc w:val="both"/>
        <w:rPr>
          <w:rFonts w:ascii="Times New Roman" w:hAnsi="Times New Roman" w:cs="Times New Roman"/>
          <w:b/>
          <w:bCs/>
          <w:sz w:val="24"/>
          <w:szCs w:val="24"/>
        </w:rPr>
      </w:pPr>
      <w:r>
        <w:rPr>
          <w:rFonts w:ascii="Times New Roman" w:hAnsi="Times New Roman" w:cs="Times New Roman"/>
          <w:color w:val="222222"/>
          <w:sz w:val="24"/>
          <w:szCs w:val="24"/>
          <w:shd w:val="clear" w:color="auto" w:fill="FFFFFF"/>
        </w:rPr>
        <w:t xml:space="preserve">Stone, R.P., </w:t>
      </w:r>
      <w:proofErr w:type="spellStart"/>
      <w:r>
        <w:rPr>
          <w:rFonts w:ascii="Times New Roman" w:hAnsi="Times New Roman" w:cs="Times New Roman"/>
          <w:color w:val="222222"/>
          <w:sz w:val="24"/>
          <w:szCs w:val="24"/>
          <w:shd w:val="clear" w:color="auto" w:fill="FFFFFF"/>
        </w:rPr>
        <w:t>Leuty</w:t>
      </w:r>
      <w:proofErr w:type="spellEnd"/>
      <w:r>
        <w:rPr>
          <w:rFonts w:ascii="Times New Roman" w:hAnsi="Times New Roman" w:cs="Times New Roman"/>
          <w:color w:val="222222"/>
          <w:sz w:val="24"/>
          <w:szCs w:val="24"/>
          <w:shd w:val="clear" w:color="auto" w:fill="FFFFFF"/>
        </w:rPr>
        <w:t xml:space="preserve">, M.E., Rayburn, </w:t>
      </w:r>
      <w:proofErr w:type="gramStart"/>
      <w:r>
        <w:rPr>
          <w:rFonts w:ascii="Times New Roman" w:hAnsi="Times New Roman" w:cs="Times New Roman"/>
          <w:color w:val="222222"/>
          <w:sz w:val="24"/>
          <w:szCs w:val="24"/>
          <w:shd w:val="clear" w:color="auto" w:fill="FFFFFF"/>
        </w:rPr>
        <w:t>R.</w:t>
      </w:r>
      <w:proofErr w:type="gramEnd"/>
      <w:r>
        <w:rPr>
          <w:rFonts w:ascii="Times New Roman" w:hAnsi="Times New Roman" w:cs="Times New Roman"/>
          <w:color w:val="222222"/>
          <w:sz w:val="24"/>
          <w:szCs w:val="24"/>
          <w:shd w:val="clear" w:color="auto" w:fill="FFFFFF"/>
        </w:rPr>
        <w:t xml:space="preserve"> and Wu, B.H. (2019) Person–environment fit at work: Relationships with workplace behaviours. </w:t>
      </w:r>
      <w:r>
        <w:rPr>
          <w:rFonts w:ascii="Times New Roman" w:hAnsi="Times New Roman" w:cs="Times New Roman"/>
          <w:i/>
          <w:iCs/>
          <w:color w:val="222222"/>
          <w:sz w:val="24"/>
          <w:szCs w:val="24"/>
          <w:shd w:val="clear" w:color="auto" w:fill="FFFFFF"/>
        </w:rPr>
        <w:t>Australian Journal of Career Development</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28</w:t>
      </w:r>
      <w:r>
        <w:rPr>
          <w:rFonts w:ascii="Times New Roman" w:hAnsi="Times New Roman" w:cs="Times New Roman"/>
          <w:color w:val="222222"/>
          <w:sz w:val="24"/>
          <w:szCs w:val="24"/>
          <w:shd w:val="clear" w:color="auto" w:fill="FFFFFF"/>
        </w:rPr>
        <w:t>(3), pp.234-244.</w:t>
      </w:r>
    </w:p>
    <w:p w14:paraId="44555280" w14:textId="77777777" w:rsidR="00EB16E3" w:rsidRDefault="00EB16E3" w:rsidP="00EB16E3">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Sun, L., &amp; </w:t>
      </w:r>
      <w:proofErr w:type="spellStart"/>
      <w:r>
        <w:rPr>
          <w:rFonts w:ascii="Times New Roman" w:hAnsi="Times New Roman" w:cs="Times New Roman"/>
          <w:color w:val="222222"/>
          <w:sz w:val="24"/>
          <w:szCs w:val="24"/>
          <w:shd w:val="clear" w:color="auto" w:fill="FFFFFF"/>
        </w:rPr>
        <w:t>Bunchapattanasakda</w:t>
      </w:r>
      <w:proofErr w:type="spellEnd"/>
      <w:r>
        <w:rPr>
          <w:rFonts w:ascii="Times New Roman" w:hAnsi="Times New Roman" w:cs="Times New Roman"/>
          <w:color w:val="222222"/>
          <w:sz w:val="24"/>
          <w:szCs w:val="24"/>
          <w:shd w:val="clear" w:color="auto" w:fill="FFFFFF"/>
        </w:rPr>
        <w:t>, C. (2019). Employee engagement: A literature review. </w:t>
      </w:r>
      <w:r>
        <w:rPr>
          <w:rFonts w:ascii="Times New Roman" w:hAnsi="Times New Roman" w:cs="Times New Roman"/>
          <w:i/>
          <w:iCs/>
          <w:color w:val="222222"/>
          <w:sz w:val="24"/>
          <w:szCs w:val="24"/>
          <w:shd w:val="clear" w:color="auto" w:fill="FFFFFF"/>
        </w:rPr>
        <w:t>International Journal of Human Resource Studies</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9</w:t>
      </w:r>
      <w:r>
        <w:rPr>
          <w:rFonts w:ascii="Times New Roman" w:hAnsi="Times New Roman" w:cs="Times New Roman"/>
          <w:color w:val="222222"/>
          <w:sz w:val="24"/>
          <w:szCs w:val="24"/>
          <w:shd w:val="clear" w:color="auto" w:fill="FFFFFF"/>
        </w:rPr>
        <w:t>(1), 63-80.</w:t>
      </w:r>
    </w:p>
    <w:p w14:paraId="184AD723" w14:textId="77777777" w:rsidR="00EB16E3" w:rsidRDefault="00EB16E3" w:rsidP="00EB16E3">
      <w:pPr>
        <w:spacing w:line="360" w:lineRule="auto"/>
        <w:jc w:val="both"/>
        <w:rPr>
          <w:rFonts w:ascii="Times New Roman" w:hAnsi="Times New Roman" w:cs="Times New Roman"/>
          <w:sz w:val="24"/>
          <w:szCs w:val="24"/>
        </w:rPr>
      </w:pPr>
      <w:r>
        <w:rPr>
          <w:rFonts w:ascii="Times New Roman" w:hAnsi="Times New Roman" w:cs="Times New Roman"/>
          <w:sz w:val="24"/>
          <w:szCs w:val="24"/>
          <w:lang w:val="en-US"/>
        </w:rPr>
        <w:t>The Economic Times (2021</w:t>
      </w:r>
      <w:r>
        <w:rPr>
          <w:rFonts w:ascii="Times New Roman" w:hAnsi="Times New Roman" w:cs="Times New Roman"/>
          <w:i/>
          <w:iCs/>
          <w:sz w:val="24"/>
          <w:szCs w:val="24"/>
          <w:lang w:val="en-US"/>
        </w:rPr>
        <w:t xml:space="preserve">) </w:t>
      </w:r>
      <w:r>
        <w:rPr>
          <w:rFonts w:ascii="Times New Roman" w:hAnsi="Times New Roman" w:cs="Times New Roman"/>
          <w:i/>
          <w:iCs/>
          <w:color w:val="000000"/>
          <w:sz w:val="24"/>
          <w:szCs w:val="24"/>
          <w:shd w:val="clear" w:color="auto" w:fill="FFFFFF"/>
        </w:rPr>
        <w:t>Fire and rehire: Britain's new labour battleground?</w:t>
      </w:r>
      <w:r>
        <w:rPr>
          <w:rFonts w:ascii="Times New Roman" w:hAnsi="Times New Roman" w:cs="Times New Roman"/>
          <w:color w:val="000000"/>
          <w:sz w:val="24"/>
          <w:szCs w:val="24"/>
        </w:rPr>
        <w:t xml:space="preserve"> Available at: </w:t>
      </w:r>
      <w:hyperlink r:id="rId17" w:history="1">
        <w:r>
          <w:rPr>
            <w:rStyle w:val="Hyperlink"/>
            <w:rFonts w:cs="Times New Roman"/>
            <w:szCs w:val="24"/>
            <w:lang w:val="en-US"/>
          </w:rPr>
          <w:t>https://economictimes.indiatimes.com/news/international/business/fire-and-rehire-britains-new-labour-battleground/articleshow/82493598.cms</w:t>
        </w:r>
      </w:hyperlink>
      <w:r>
        <w:rPr>
          <w:rFonts w:ascii="Times New Roman" w:hAnsi="Times New Roman" w:cs="Times New Roman"/>
          <w:sz w:val="24"/>
          <w:szCs w:val="24"/>
          <w:lang w:val="en-US"/>
        </w:rPr>
        <w:t xml:space="preserve"> (accessed on; December 28</w:t>
      </w:r>
      <w:proofErr w:type="gramStart"/>
      <w:r>
        <w:rPr>
          <w:rFonts w:ascii="Times New Roman" w:hAnsi="Times New Roman" w:cs="Times New Roman"/>
          <w:sz w:val="24"/>
          <w:szCs w:val="24"/>
          <w:lang w:val="en-US"/>
        </w:rPr>
        <w:t xml:space="preserve"> 2022</w:t>
      </w:r>
      <w:proofErr w:type="gramEnd"/>
      <w:r>
        <w:rPr>
          <w:rFonts w:ascii="Times New Roman" w:hAnsi="Times New Roman" w:cs="Times New Roman"/>
          <w:sz w:val="24"/>
          <w:szCs w:val="24"/>
          <w:lang w:val="en-US"/>
        </w:rPr>
        <w:t xml:space="preserve">). </w:t>
      </w:r>
    </w:p>
    <w:p w14:paraId="0A2C1D01" w14:textId="77777777" w:rsidR="00EB16E3" w:rsidRDefault="00EB16E3" w:rsidP="00EB16E3">
      <w:pPr>
        <w:spacing w:line="360" w:lineRule="auto"/>
        <w:jc w:val="both"/>
        <w:rPr>
          <w:rFonts w:ascii="Times New Roman" w:hAnsi="Times New Roman" w:cs="Times New Roman"/>
          <w:color w:val="222222"/>
          <w:sz w:val="24"/>
          <w:szCs w:val="24"/>
          <w:shd w:val="clear" w:color="auto" w:fill="FFFFFF"/>
        </w:rPr>
      </w:pPr>
      <w:proofErr w:type="spellStart"/>
      <w:r>
        <w:rPr>
          <w:rFonts w:ascii="Times New Roman" w:hAnsi="Times New Roman" w:cs="Times New Roman"/>
          <w:color w:val="222222"/>
          <w:sz w:val="24"/>
          <w:szCs w:val="24"/>
          <w:shd w:val="clear" w:color="auto" w:fill="FFFFFF"/>
        </w:rPr>
        <w:t>Tiemeyer</w:t>
      </w:r>
      <w:proofErr w:type="spellEnd"/>
      <w:r>
        <w:rPr>
          <w:rFonts w:ascii="Times New Roman" w:hAnsi="Times New Roman" w:cs="Times New Roman"/>
          <w:color w:val="222222"/>
          <w:sz w:val="24"/>
          <w:szCs w:val="24"/>
          <w:shd w:val="clear" w:color="auto" w:fill="FFFFFF"/>
        </w:rPr>
        <w:t>, P. (2021) Phil Taylor and Sian Moore, Cabin Crew Conflict: The British Airways Dispute 2009–11 (London: Pluto Press 2019). </w:t>
      </w:r>
      <w:r>
        <w:rPr>
          <w:rFonts w:ascii="Times New Roman" w:hAnsi="Times New Roman" w:cs="Times New Roman"/>
          <w:i/>
          <w:iCs/>
          <w:color w:val="222222"/>
          <w:sz w:val="24"/>
          <w:szCs w:val="24"/>
          <w:shd w:val="clear" w:color="auto" w:fill="FFFFFF"/>
        </w:rPr>
        <w:t xml:space="preserve">Labour: Journal of Canadian Labour Studies/Le Travail: revue </w:t>
      </w:r>
      <w:proofErr w:type="spellStart"/>
      <w:r>
        <w:rPr>
          <w:rFonts w:ascii="Times New Roman" w:hAnsi="Times New Roman" w:cs="Times New Roman"/>
          <w:i/>
          <w:iCs/>
          <w:color w:val="222222"/>
          <w:sz w:val="24"/>
          <w:szCs w:val="24"/>
          <w:shd w:val="clear" w:color="auto" w:fill="FFFFFF"/>
        </w:rPr>
        <w:t>d’Études</w:t>
      </w:r>
      <w:proofErr w:type="spellEnd"/>
      <w:r>
        <w:rPr>
          <w:rFonts w:ascii="Times New Roman" w:hAnsi="Times New Roman" w:cs="Times New Roman"/>
          <w:i/>
          <w:iCs/>
          <w:color w:val="222222"/>
          <w:sz w:val="24"/>
          <w:szCs w:val="24"/>
          <w:shd w:val="clear" w:color="auto" w:fill="FFFFFF"/>
        </w:rPr>
        <w:t xml:space="preserve"> </w:t>
      </w:r>
      <w:proofErr w:type="spellStart"/>
      <w:r>
        <w:rPr>
          <w:rFonts w:ascii="Times New Roman" w:hAnsi="Times New Roman" w:cs="Times New Roman"/>
          <w:i/>
          <w:iCs/>
          <w:color w:val="222222"/>
          <w:sz w:val="24"/>
          <w:szCs w:val="24"/>
          <w:shd w:val="clear" w:color="auto" w:fill="FFFFFF"/>
        </w:rPr>
        <w:t>Ouvrières</w:t>
      </w:r>
      <w:proofErr w:type="spellEnd"/>
      <w:r>
        <w:rPr>
          <w:rFonts w:ascii="Times New Roman" w:hAnsi="Times New Roman" w:cs="Times New Roman"/>
          <w:i/>
          <w:iCs/>
          <w:color w:val="222222"/>
          <w:sz w:val="24"/>
          <w:szCs w:val="24"/>
          <w:shd w:val="clear" w:color="auto" w:fill="FFFFFF"/>
        </w:rPr>
        <w:t xml:space="preserve"> </w:t>
      </w:r>
      <w:proofErr w:type="spellStart"/>
      <w:r>
        <w:rPr>
          <w:rFonts w:ascii="Times New Roman" w:hAnsi="Times New Roman" w:cs="Times New Roman"/>
          <w:i/>
          <w:iCs/>
          <w:color w:val="222222"/>
          <w:sz w:val="24"/>
          <w:szCs w:val="24"/>
          <w:shd w:val="clear" w:color="auto" w:fill="FFFFFF"/>
        </w:rPr>
        <w:t>Canadiennes</w:t>
      </w:r>
      <w:proofErr w:type="spellEnd"/>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87</w:t>
      </w:r>
      <w:r>
        <w:rPr>
          <w:rFonts w:ascii="Times New Roman" w:hAnsi="Times New Roman" w:cs="Times New Roman"/>
          <w:color w:val="222222"/>
          <w:sz w:val="24"/>
          <w:szCs w:val="24"/>
          <w:shd w:val="clear" w:color="auto" w:fill="FFFFFF"/>
        </w:rPr>
        <w:t>, pp.208-210.</w:t>
      </w:r>
    </w:p>
    <w:p w14:paraId="5961672F" w14:textId="77777777" w:rsidR="00EB16E3" w:rsidRDefault="00EB16E3" w:rsidP="00EB16E3">
      <w:pPr>
        <w:spacing w:line="360" w:lineRule="auto"/>
        <w:jc w:val="both"/>
        <w:rPr>
          <w:rFonts w:ascii="Times New Roman" w:hAnsi="Times New Roman" w:cs="Times New Roman"/>
          <w:color w:val="222222"/>
          <w:sz w:val="24"/>
          <w:szCs w:val="24"/>
          <w:shd w:val="clear" w:color="auto" w:fill="FFFFFF"/>
        </w:rPr>
      </w:pPr>
      <w:proofErr w:type="spellStart"/>
      <w:r>
        <w:rPr>
          <w:rFonts w:ascii="Times New Roman" w:hAnsi="Times New Roman" w:cs="Times New Roman"/>
          <w:color w:val="222222"/>
          <w:sz w:val="24"/>
          <w:szCs w:val="24"/>
          <w:shd w:val="clear" w:color="auto" w:fill="FFFFFF"/>
        </w:rPr>
        <w:t>Wagenaar</w:t>
      </w:r>
      <w:proofErr w:type="spellEnd"/>
      <w:r>
        <w:rPr>
          <w:rFonts w:ascii="Times New Roman" w:hAnsi="Times New Roman" w:cs="Times New Roman"/>
          <w:color w:val="222222"/>
          <w:sz w:val="24"/>
          <w:szCs w:val="24"/>
          <w:shd w:val="clear" w:color="auto" w:fill="FFFFFF"/>
        </w:rPr>
        <w:t xml:space="preserve">, A.F., </w:t>
      </w:r>
      <w:proofErr w:type="spellStart"/>
      <w:r>
        <w:rPr>
          <w:rFonts w:ascii="Times New Roman" w:hAnsi="Times New Roman" w:cs="Times New Roman"/>
          <w:color w:val="222222"/>
          <w:sz w:val="24"/>
          <w:szCs w:val="24"/>
          <w:shd w:val="clear" w:color="auto" w:fill="FFFFFF"/>
        </w:rPr>
        <w:t>Kompier</w:t>
      </w:r>
      <w:proofErr w:type="spellEnd"/>
      <w:r>
        <w:rPr>
          <w:rFonts w:ascii="Times New Roman" w:hAnsi="Times New Roman" w:cs="Times New Roman"/>
          <w:color w:val="222222"/>
          <w:sz w:val="24"/>
          <w:szCs w:val="24"/>
          <w:shd w:val="clear" w:color="auto" w:fill="FFFFFF"/>
        </w:rPr>
        <w:t xml:space="preserve">, M.A., </w:t>
      </w:r>
      <w:proofErr w:type="spellStart"/>
      <w:r>
        <w:rPr>
          <w:rFonts w:ascii="Times New Roman" w:hAnsi="Times New Roman" w:cs="Times New Roman"/>
          <w:color w:val="222222"/>
          <w:sz w:val="24"/>
          <w:szCs w:val="24"/>
          <w:shd w:val="clear" w:color="auto" w:fill="FFFFFF"/>
        </w:rPr>
        <w:t>Houtman</w:t>
      </w:r>
      <w:proofErr w:type="spellEnd"/>
      <w:r>
        <w:rPr>
          <w:rFonts w:ascii="Times New Roman" w:hAnsi="Times New Roman" w:cs="Times New Roman"/>
          <w:color w:val="222222"/>
          <w:sz w:val="24"/>
          <w:szCs w:val="24"/>
          <w:shd w:val="clear" w:color="auto" w:fill="FFFFFF"/>
        </w:rPr>
        <w:t xml:space="preserve">, I.L., van den </w:t>
      </w:r>
      <w:proofErr w:type="spellStart"/>
      <w:r>
        <w:rPr>
          <w:rFonts w:ascii="Times New Roman" w:hAnsi="Times New Roman" w:cs="Times New Roman"/>
          <w:color w:val="222222"/>
          <w:sz w:val="24"/>
          <w:szCs w:val="24"/>
          <w:shd w:val="clear" w:color="auto" w:fill="FFFFFF"/>
        </w:rPr>
        <w:t>Bossche</w:t>
      </w:r>
      <w:proofErr w:type="spellEnd"/>
      <w:r>
        <w:rPr>
          <w:rFonts w:ascii="Times New Roman" w:hAnsi="Times New Roman" w:cs="Times New Roman"/>
          <w:color w:val="222222"/>
          <w:sz w:val="24"/>
          <w:szCs w:val="24"/>
          <w:shd w:val="clear" w:color="auto" w:fill="FFFFFF"/>
        </w:rPr>
        <w:t xml:space="preserve">, SN and Taris, TW (2015) Who gets fired, who gets rehired: the role of workers' contract, age, health, workability, performance, work satisfaction and employee investments. </w:t>
      </w:r>
      <w:r>
        <w:rPr>
          <w:rFonts w:ascii="Times New Roman" w:hAnsi="Times New Roman" w:cs="Times New Roman"/>
          <w:i/>
          <w:iCs/>
          <w:color w:val="222222"/>
          <w:sz w:val="24"/>
          <w:szCs w:val="24"/>
          <w:shd w:val="clear" w:color="auto" w:fill="FFFFFF"/>
        </w:rPr>
        <w:t>International archives of occupational and environmental health</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88</w:t>
      </w:r>
      <w:r>
        <w:rPr>
          <w:rFonts w:ascii="Times New Roman" w:hAnsi="Times New Roman" w:cs="Times New Roman"/>
          <w:color w:val="222222"/>
          <w:sz w:val="24"/>
          <w:szCs w:val="24"/>
          <w:shd w:val="clear" w:color="auto" w:fill="FFFFFF"/>
        </w:rPr>
        <w:t>(3), pp.321-334.</w:t>
      </w:r>
    </w:p>
    <w:p w14:paraId="08C05C48" w14:textId="77777777" w:rsidR="00EB16E3" w:rsidRDefault="00EB16E3" w:rsidP="00EB16E3">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Warner, M.E. and </w:t>
      </w:r>
      <w:proofErr w:type="spellStart"/>
      <w:r>
        <w:rPr>
          <w:rFonts w:ascii="Times New Roman" w:hAnsi="Times New Roman" w:cs="Times New Roman"/>
          <w:color w:val="222222"/>
          <w:sz w:val="24"/>
          <w:szCs w:val="24"/>
          <w:shd w:val="clear" w:color="auto" w:fill="FFFFFF"/>
        </w:rPr>
        <w:t>Hefetz</w:t>
      </w:r>
      <w:proofErr w:type="spellEnd"/>
      <w:r>
        <w:rPr>
          <w:rFonts w:ascii="Times New Roman" w:hAnsi="Times New Roman" w:cs="Times New Roman"/>
          <w:color w:val="222222"/>
          <w:sz w:val="24"/>
          <w:szCs w:val="24"/>
          <w:shd w:val="clear" w:color="auto" w:fill="FFFFFF"/>
        </w:rPr>
        <w:t xml:space="preserve">, A. (2020) Contracting dynamics and unionisation: managing labour, </w:t>
      </w:r>
      <w:proofErr w:type="gramStart"/>
      <w:r>
        <w:rPr>
          <w:rFonts w:ascii="Times New Roman" w:hAnsi="Times New Roman" w:cs="Times New Roman"/>
          <w:color w:val="222222"/>
          <w:sz w:val="24"/>
          <w:szCs w:val="24"/>
          <w:shd w:val="clear" w:color="auto" w:fill="FFFFFF"/>
        </w:rPr>
        <w:t>contracts</w:t>
      </w:r>
      <w:proofErr w:type="gramEnd"/>
      <w:r>
        <w:rPr>
          <w:rFonts w:ascii="Times New Roman" w:hAnsi="Times New Roman" w:cs="Times New Roman"/>
          <w:color w:val="222222"/>
          <w:sz w:val="24"/>
          <w:szCs w:val="24"/>
          <w:shd w:val="clear" w:color="auto" w:fill="FFFFFF"/>
        </w:rPr>
        <w:t xml:space="preserve"> and markets. </w:t>
      </w:r>
      <w:r>
        <w:rPr>
          <w:rFonts w:ascii="Times New Roman" w:hAnsi="Times New Roman" w:cs="Times New Roman"/>
          <w:i/>
          <w:iCs/>
          <w:color w:val="222222"/>
          <w:sz w:val="24"/>
          <w:szCs w:val="24"/>
          <w:shd w:val="clear" w:color="auto" w:fill="FFFFFF"/>
        </w:rPr>
        <w:t>Local Government Studies</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46</w:t>
      </w:r>
      <w:r>
        <w:rPr>
          <w:rFonts w:ascii="Times New Roman" w:hAnsi="Times New Roman" w:cs="Times New Roman"/>
          <w:color w:val="222222"/>
          <w:sz w:val="24"/>
          <w:szCs w:val="24"/>
          <w:shd w:val="clear" w:color="auto" w:fill="FFFFFF"/>
        </w:rPr>
        <w:t>(2), pp.228-252.</w:t>
      </w:r>
    </w:p>
    <w:p w14:paraId="56A0E057" w14:textId="77777777" w:rsidR="00EB16E3" w:rsidRDefault="00EB16E3" w:rsidP="00EB16E3">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Weber, D. J., Al-</w:t>
      </w:r>
      <w:proofErr w:type="spellStart"/>
      <w:r>
        <w:rPr>
          <w:rFonts w:ascii="Times New Roman" w:hAnsi="Times New Roman" w:cs="Times New Roman"/>
          <w:color w:val="222222"/>
          <w:sz w:val="24"/>
          <w:szCs w:val="24"/>
          <w:shd w:val="clear" w:color="auto" w:fill="FFFFFF"/>
        </w:rPr>
        <w:t>Tawfiq</w:t>
      </w:r>
      <w:proofErr w:type="spellEnd"/>
      <w:r>
        <w:rPr>
          <w:rFonts w:ascii="Times New Roman" w:hAnsi="Times New Roman" w:cs="Times New Roman"/>
          <w:color w:val="222222"/>
          <w:sz w:val="24"/>
          <w:szCs w:val="24"/>
          <w:shd w:val="clear" w:color="auto" w:fill="FFFFFF"/>
        </w:rPr>
        <w:t xml:space="preserve">, J. A., Babcock, H. M., Bryant, K., Drees, M., </w:t>
      </w:r>
      <w:proofErr w:type="spellStart"/>
      <w:r>
        <w:rPr>
          <w:rFonts w:ascii="Times New Roman" w:hAnsi="Times New Roman" w:cs="Times New Roman"/>
          <w:color w:val="222222"/>
          <w:sz w:val="24"/>
          <w:szCs w:val="24"/>
          <w:shd w:val="clear" w:color="auto" w:fill="FFFFFF"/>
        </w:rPr>
        <w:t>Elshaboury</w:t>
      </w:r>
      <w:proofErr w:type="spellEnd"/>
      <w:r>
        <w:rPr>
          <w:rFonts w:ascii="Times New Roman" w:hAnsi="Times New Roman" w:cs="Times New Roman"/>
          <w:color w:val="222222"/>
          <w:sz w:val="24"/>
          <w:szCs w:val="24"/>
          <w:shd w:val="clear" w:color="auto" w:fill="FFFFFF"/>
        </w:rPr>
        <w:t xml:space="preserve">, R., ... &amp; Young, H. (2022). </w:t>
      </w:r>
      <w:proofErr w:type="spellStart"/>
      <w:r>
        <w:rPr>
          <w:rFonts w:ascii="Times New Roman" w:hAnsi="Times New Roman" w:cs="Times New Roman"/>
          <w:color w:val="222222"/>
          <w:sz w:val="24"/>
          <w:szCs w:val="24"/>
          <w:shd w:val="clear" w:color="auto" w:fill="FFFFFF"/>
        </w:rPr>
        <w:t>Multisociety</w:t>
      </w:r>
      <w:proofErr w:type="spellEnd"/>
      <w:r>
        <w:rPr>
          <w:rFonts w:ascii="Times New Roman" w:hAnsi="Times New Roman" w:cs="Times New Roman"/>
          <w:color w:val="222222"/>
          <w:sz w:val="24"/>
          <w:szCs w:val="24"/>
          <w:shd w:val="clear" w:color="auto" w:fill="FFFFFF"/>
        </w:rPr>
        <w:t xml:space="preserve"> statement on coronavirus disease 2019 (COVID-19) vaccination as a condition of employment for healthcare personnel. </w:t>
      </w:r>
      <w:r>
        <w:rPr>
          <w:rFonts w:ascii="Times New Roman" w:hAnsi="Times New Roman" w:cs="Times New Roman"/>
          <w:i/>
          <w:iCs/>
          <w:color w:val="222222"/>
          <w:sz w:val="24"/>
          <w:szCs w:val="24"/>
          <w:shd w:val="clear" w:color="auto" w:fill="FFFFFF"/>
        </w:rPr>
        <w:t>Infection Control &amp; Hospital Epidemiology</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43</w:t>
      </w:r>
      <w:r>
        <w:rPr>
          <w:rFonts w:ascii="Times New Roman" w:hAnsi="Times New Roman" w:cs="Times New Roman"/>
          <w:color w:val="222222"/>
          <w:sz w:val="24"/>
          <w:szCs w:val="24"/>
          <w:shd w:val="clear" w:color="auto" w:fill="FFFFFF"/>
        </w:rPr>
        <w:t>(1), 3-11.</w:t>
      </w:r>
    </w:p>
    <w:p w14:paraId="74CB4D8F" w14:textId="77777777" w:rsidR="00EB16E3" w:rsidRDefault="00EB16E3" w:rsidP="00EB16E3">
      <w:pPr>
        <w:spacing w:line="360" w:lineRule="auto"/>
        <w:jc w:val="both"/>
        <w:rPr>
          <w:rFonts w:ascii="Times New Roman" w:hAnsi="Times New Roman" w:cs="Times New Roman"/>
          <w:sz w:val="24"/>
          <w:szCs w:val="24"/>
          <w:lang w:val="en-US"/>
        </w:rPr>
      </w:pPr>
    </w:p>
    <w:p w14:paraId="3DAF5AF1" w14:textId="0B4097C9" w:rsidR="00EB16E3" w:rsidRDefault="00EB16E3"/>
    <w:p w14:paraId="480BB164" w14:textId="77777777" w:rsidR="00EB16E3" w:rsidRDefault="00EB16E3"/>
    <w:sectPr w:rsidR="00EB16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1612F3"/>
    <w:multiLevelType w:val="hybridMultilevel"/>
    <w:tmpl w:val="6ABC4CF6"/>
    <w:lvl w:ilvl="0" w:tplc="46967396">
      <w:start w:val="1"/>
      <w:numFmt w:val="bullet"/>
      <w:lvlText w:val=""/>
      <w:lvlJc w:val="left"/>
      <w:pPr>
        <w:ind w:left="720" w:hanging="360"/>
      </w:pPr>
      <w:rPr>
        <w:rFonts w:ascii="Symbol" w:hAnsi="Symbol" w:hint="default"/>
      </w:rPr>
    </w:lvl>
    <w:lvl w:ilvl="1" w:tplc="C3C00FF6">
      <w:start w:val="1"/>
      <w:numFmt w:val="bullet"/>
      <w:lvlText w:val="o"/>
      <w:lvlJc w:val="left"/>
      <w:pPr>
        <w:ind w:left="1440" w:hanging="360"/>
      </w:pPr>
      <w:rPr>
        <w:rFonts w:ascii="Courier New" w:hAnsi="Courier New" w:cs="Courier New" w:hint="default"/>
      </w:rPr>
    </w:lvl>
    <w:lvl w:ilvl="2" w:tplc="C8806436">
      <w:start w:val="1"/>
      <w:numFmt w:val="bullet"/>
      <w:lvlText w:val=""/>
      <w:lvlJc w:val="left"/>
      <w:pPr>
        <w:ind w:left="2160" w:hanging="360"/>
      </w:pPr>
      <w:rPr>
        <w:rFonts w:ascii="Wingdings" w:hAnsi="Wingdings" w:hint="default"/>
      </w:rPr>
    </w:lvl>
    <w:lvl w:ilvl="3" w:tplc="E71CB26C">
      <w:start w:val="1"/>
      <w:numFmt w:val="bullet"/>
      <w:lvlText w:val=""/>
      <w:lvlJc w:val="left"/>
      <w:pPr>
        <w:ind w:left="2880" w:hanging="360"/>
      </w:pPr>
      <w:rPr>
        <w:rFonts w:ascii="Symbol" w:hAnsi="Symbol" w:hint="default"/>
      </w:rPr>
    </w:lvl>
    <w:lvl w:ilvl="4" w:tplc="739A4790">
      <w:start w:val="1"/>
      <w:numFmt w:val="bullet"/>
      <w:lvlText w:val="o"/>
      <w:lvlJc w:val="left"/>
      <w:pPr>
        <w:ind w:left="3600" w:hanging="360"/>
      </w:pPr>
      <w:rPr>
        <w:rFonts w:ascii="Courier New" w:hAnsi="Courier New" w:cs="Courier New" w:hint="default"/>
      </w:rPr>
    </w:lvl>
    <w:lvl w:ilvl="5" w:tplc="CC128BE2">
      <w:start w:val="1"/>
      <w:numFmt w:val="bullet"/>
      <w:lvlText w:val=""/>
      <w:lvlJc w:val="left"/>
      <w:pPr>
        <w:ind w:left="4320" w:hanging="360"/>
      </w:pPr>
      <w:rPr>
        <w:rFonts w:ascii="Wingdings" w:hAnsi="Wingdings" w:hint="default"/>
      </w:rPr>
    </w:lvl>
    <w:lvl w:ilvl="6" w:tplc="E078F504">
      <w:start w:val="1"/>
      <w:numFmt w:val="bullet"/>
      <w:lvlText w:val=""/>
      <w:lvlJc w:val="left"/>
      <w:pPr>
        <w:ind w:left="5040" w:hanging="360"/>
      </w:pPr>
      <w:rPr>
        <w:rFonts w:ascii="Symbol" w:hAnsi="Symbol" w:hint="default"/>
      </w:rPr>
    </w:lvl>
    <w:lvl w:ilvl="7" w:tplc="464C686C">
      <w:start w:val="1"/>
      <w:numFmt w:val="bullet"/>
      <w:lvlText w:val="o"/>
      <w:lvlJc w:val="left"/>
      <w:pPr>
        <w:ind w:left="5760" w:hanging="360"/>
      </w:pPr>
      <w:rPr>
        <w:rFonts w:ascii="Courier New" w:hAnsi="Courier New" w:cs="Courier New" w:hint="default"/>
      </w:rPr>
    </w:lvl>
    <w:lvl w:ilvl="8" w:tplc="77243E3E">
      <w:start w:val="1"/>
      <w:numFmt w:val="bullet"/>
      <w:lvlText w:val=""/>
      <w:lvlJc w:val="left"/>
      <w:pPr>
        <w:ind w:left="6480" w:hanging="360"/>
      </w:pPr>
      <w:rPr>
        <w:rFonts w:ascii="Wingdings" w:hAnsi="Wingdings" w:hint="default"/>
      </w:rPr>
    </w:lvl>
  </w:abstractNum>
  <w:abstractNum w:abstractNumId="1" w15:restartNumberingAfterBreak="0">
    <w:nsid w:val="614F5D26"/>
    <w:multiLevelType w:val="hybridMultilevel"/>
    <w:tmpl w:val="AFDAF252"/>
    <w:lvl w:ilvl="0" w:tplc="93A24E14">
      <w:start w:val="1"/>
      <w:numFmt w:val="bullet"/>
      <w:lvlText w:val=""/>
      <w:lvlJc w:val="left"/>
      <w:pPr>
        <w:ind w:left="720" w:hanging="360"/>
      </w:pPr>
      <w:rPr>
        <w:rFonts w:ascii="Symbol" w:hAnsi="Symbol" w:hint="default"/>
      </w:rPr>
    </w:lvl>
    <w:lvl w:ilvl="1" w:tplc="B40A7BBC">
      <w:start w:val="1"/>
      <w:numFmt w:val="bullet"/>
      <w:lvlText w:val="o"/>
      <w:lvlJc w:val="left"/>
      <w:pPr>
        <w:ind w:left="1440" w:hanging="360"/>
      </w:pPr>
      <w:rPr>
        <w:rFonts w:ascii="Courier New" w:hAnsi="Courier New" w:cs="Courier New" w:hint="default"/>
      </w:rPr>
    </w:lvl>
    <w:lvl w:ilvl="2" w:tplc="5E3CB9B8">
      <w:start w:val="1"/>
      <w:numFmt w:val="bullet"/>
      <w:lvlText w:val=""/>
      <w:lvlJc w:val="left"/>
      <w:pPr>
        <w:ind w:left="2160" w:hanging="360"/>
      </w:pPr>
      <w:rPr>
        <w:rFonts w:ascii="Wingdings" w:hAnsi="Wingdings" w:hint="default"/>
      </w:rPr>
    </w:lvl>
    <w:lvl w:ilvl="3" w:tplc="5792131E">
      <w:start w:val="1"/>
      <w:numFmt w:val="bullet"/>
      <w:lvlText w:val=""/>
      <w:lvlJc w:val="left"/>
      <w:pPr>
        <w:ind w:left="2880" w:hanging="360"/>
      </w:pPr>
      <w:rPr>
        <w:rFonts w:ascii="Symbol" w:hAnsi="Symbol" w:hint="default"/>
      </w:rPr>
    </w:lvl>
    <w:lvl w:ilvl="4" w:tplc="BD9A327E">
      <w:start w:val="1"/>
      <w:numFmt w:val="bullet"/>
      <w:lvlText w:val="o"/>
      <w:lvlJc w:val="left"/>
      <w:pPr>
        <w:ind w:left="3600" w:hanging="360"/>
      </w:pPr>
      <w:rPr>
        <w:rFonts w:ascii="Courier New" w:hAnsi="Courier New" w:cs="Courier New" w:hint="default"/>
      </w:rPr>
    </w:lvl>
    <w:lvl w:ilvl="5" w:tplc="92C8AAAA">
      <w:start w:val="1"/>
      <w:numFmt w:val="bullet"/>
      <w:lvlText w:val=""/>
      <w:lvlJc w:val="left"/>
      <w:pPr>
        <w:ind w:left="4320" w:hanging="360"/>
      </w:pPr>
      <w:rPr>
        <w:rFonts w:ascii="Wingdings" w:hAnsi="Wingdings" w:hint="default"/>
      </w:rPr>
    </w:lvl>
    <w:lvl w:ilvl="6" w:tplc="ACC4865E">
      <w:start w:val="1"/>
      <w:numFmt w:val="bullet"/>
      <w:lvlText w:val=""/>
      <w:lvlJc w:val="left"/>
      <w:pPr>
        <w:ind w:left="5040" w:hanging="360"/>
      </w:pPr>
      <w:rPr>
        <w:rFonts w:ascii="Symbol" w:hAnsi="Symbol" w:hint="default"/>
      </w:rPr>
    </w:lvl>
    <w:lvl w:ilvl="7" w:tplc="3B70ADA8">
      <w:start w:val="1"/>
      <w:numFmt w:val="bullet"/>
      <w:lvlText w:val="o"/>
      <w:lvlJc w:val="left"/>
      <w:pPr>
        <w:ind w:left="5760" w:hanging="360"/>
      </w:pPr>
      <w:rPr>
        <w:rFonts w:ascii="Courier New" w:hAnsi="Courier New" w:cs="Courier New" w:hint="default"/>
      </w:rPr>
    </w:lvl>
    <w:lvl w:ilvl="8" w:tplc="90385A6A">
      <w:start w:val="1"/>
      <w:numFmt w:val="bullet"/>
      <w:lvlText w:val=""/>
      <w:lvlJc w:val="left"/>
      <w:pPr>
        <w:ind w:left="6480" w:hanging="360"/>
      </w:pPr>
      <w:rPr>
        <w:rFonts w:ascii="Wingdings" w:hAnsi="Wingdings" w:hint="default"/>
      </w:rPr>
    </w:lvl>
  </w:abstractNum>
  <w:num w:numId="1" w16cid:durableId="1918005863">
    <w:abstractNumId w:val="1"/>
  </w:num>
  <w:num w:numId="2" w16cid:durableId="1972065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16E3"/>
    <w:rsid w:val="006C570E"/>
    <w:rsid w:val="00934F56"/>
    <w:rsid w:val="00EB16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BD23A8"/>
  <w15:chartTrackingRefBased/>
  <w15:docId w15:val="{AA4B2D19-71D0-43E7-AC9A-693A6F3900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16E3"/>
    <w:pPr>
      <w:spacing w:line="256" w:lineRule="auto"/>
    </w:pPr>
    <w:rPr>
      <w:lang w:val="en-IN"/>
    </w:rPr>
  </w:style>
  <w:style w:type="paragraph" w:styleId="Heading1">
    <w:name w:val="heading 1"/>
    <w:basedOn w:val="Normal"/>
    <w:next w:val="Normal"/>
    <w:link w:val="Heading1Char"/>
    <w:autoRedefine/>
    <w:uiPriority w:val="9"/>
    <w:qFormat/>
    <w:rsid w:val="00EB16E3"/>
    <w:pPr>
      <w:keepNext/>
      <w:keepLines/>
      <w:spacing w:before="240" w:after="0" w:line="360" w:lineRule="auto"/>
      <w:jc w:val="both"/>
      <w:outlineLvl w:val="0"/>
    </w:pPr>
    <w:rPr>
      <w:rFonts w:ascii="Times New Roman" w:eastAsiaTheme="majorEastAsia" w:hAnsi="Times New Roman" w:cstheme="majorBidi"/>
      <w:b/>
      <w:sz w:val="24"/>
      <w:szCs w:val="3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16E3"/>
    <w:rPr>
      <w:rFonts w:ascii="Times New Roman" w:eastAsiaTheme="majorEastAsia" w:hAnsi="Times New Roman" w:cstheme="majorBidi"/>
      <w:b/>
      <w:sz w:val="24"/>
      <w:szCs w:val="32"/>
    </w:rPr>
  </w:style>
  <w:style w:type="character" w:styleId="Hyperlink">
    <w:name w:val="Hyperlink"/>
    <w:basedOn w:val="DefaultParagraphFont"/>
    <w:uiPriority w:val="99"/>
    <w:semiHidden/>
    <w:unhideWhenUsed/>
    <w:rsid w:val="00EB16E3"/>
    <w:rPr>
      <w:color w:val="0000FF"/>
      <w:u w:val="single"/>
    </w:rPr>
  </w:style>
  <w:style w:type="paragraph" w:styleId="NormalWeb">
    <w:name w:val="Normal (Web)"/>
    <w:basedOn w:val="Normal"/>
    <w:uiPriority w:val="99"/>
    <w:semiHidden/>
    <w:unhideWhenUsed/>
    <w:rsid w:val="00EB16E3"/>
    <w:pPr>
      <w:spacing w:before="100" w:beforeAutospacing="1" w:after="100" w:afterAutospacing="1" w:line="240" w:lineRule="auto"/>
    </w:pPr>
    <w:rPr>
      <w:rFonts w:ascii="Times New Roman" w:eastAsia="Times New Roman" w:hAnsi="Times New Roman" w:cs="Times New Roman"/>
      <w:sz w:val="24"/>
      <w:szCs w:val="24"/>
      <w:lang w:eastAsia="en-IN" w:bidi="ml-IN"/>
    </w:rPr>
  </w:style>
  <w:style w:type="paragraph" w:styleId="TOC1">
    <w:name w:val="toc 1"/>
    <w:basedOn w:val="Normal"/>
    <w:next w:val="Normal"/>
    <w:autoRedefine/>
    <w:uiPriority w:val="39"/>
    <w:semiHidden/>
    <w:unhideWhenUsed/>
    <w:rsid w:val="00EB16E3"/>
    <w:pPr>
      <w:spacing w:after="100"/>
    </w:pPr>
  </w:style>
  <w:style w:type="paragraph" w:styleId="ListParagraph">
    <w:name w:val="List Paragraph"/>
    <w:basedOn w:val="Normal"/>
    <w:uiPriority w:val="34"/>
    <w:qFormat/>
    <w:rsid w:val="00EB16E3"/>
    <w:pPr>
      <w:ind w:left="720"/>
      <w:contextualSpacing/>
    </w:pPr>
  </w:style>
  <w:style w:type="paragraph" w:styleId="TOCHeading">
    <w:name w:val="TOC Heading"/>
    <w:basedOn w:val="Heading1"/>
    <w:next w:val="Normal"/>
    <w:uiPriority w:val="39"/>
    <w:semiHidden/>
    <w:unhideWhenUsed/>
    <w:qFormat/>
    <w:rsid w:val="00EB16E3"/>
    <w:pPr>
      <w:spacing w:line="256" w:lineRule="auto"/>
      <w:jc w:val="left"/>
      <w:outlineLvl w:val="9"/>
    </w:pPr>
    <w:rPr>
      <w:rFonts w:asciiTheme="majorHAnsi" w:hAnsiTheme="majorHAnsi"/>
      <w:b w:val="0"/>
      <w:color w:val="2F5496" w:themeColor="accent1" w:themeShade="BF"/>
      <w:sz w:val="32"/>
      <w:lang w:val="en-US"/>
    </w:rPr>
  </w:style>
  <w:style w:type="character" w:styleId="Strong">
    <w:name w:val="Strong"/>
    <w:basedOn w:val="DefaultParagraphFont"/>
    <w:uiPriority w:val="22"/>
    <w:qFormat/>
    <w:rsid w:val="00EB16E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49539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jayas\Downloads\LCMB7011_%20managing%20people_FINAL.edited%20(1).docx" TargetMode="External"/><Relationship Id="rId13" Type="http://schemas.openxmlformats.org/officeDocument/2006/relationships/hyperlink" Target="file:///C:\Users\jayas\Downloads\LCMB7011_%20managing%20people_FINAL.edited%20(1).docx"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file:///C:\Users\jayas\Downloads\LCMB7011_%20managing%20people_FINAL.edited%20(1).docx" TargetMode="External"/><Relationship Id="rId12" Type="http://schemas.openxmlformats.org/officeDocument/2006/relationships/hyperlink" Target="file:///C:\Users\jayas\Downloads\LCMB7011_%20managing%20people_FINAL.edited%20(1).docx" TargetMode="External"/><Relationship Id="rId17" Type="http://schemas.openxmlformats.org/officeDocument/2006/relationships/hyperlink" Target="about:blank" TargetMode="External"/><Relationship Id="rId2" Type="http://schemas.openxmlformats.org/officeDocument/2006/relationships/styles" Target="styles.xml"/><Relationship Id="rId16" Type="http://schemas.openxmlformats.org/officeDocument/2006/relationships/hyperlink" Target="file:///C:\Users\jayas\Downloads\LCMB7011_%20managing%20people_FINAL.edited%20(1).docx" TargetMode="External"/><Relationship Id="rId1" Type="http://schemas.openxmlformats.org/officeDocument/2006/relationships/numbering" Target="numbering.xml"/><Relationship Id="rId6" Type="http://schemas.openxmlformats.org/officeDocument/2006/relationships/hyperlink" Target="file:///C:\Users\jayas\Downloads\LCMB7011_%20managing%20people_FINAL.edited%20(1).docx" TargetMode="External"/><Relationship Id="rId11" Type="http://schemas.openxmlformats.org/officeDocument/2006/relationships/hyperlink" Target="file:///C:\Users\jayas\Downloads\LCMB7011_%20managing%20people_FINAL.edited%20(1).docx" TargetMode="External"/><Relationship Id="rId5" Type="http://schemas.openxmlformats.org/officeDocument/2006/relationships/image" Target="media/image1.jpeg"/><Relationship Id="rId15" Type="http://schemas.openxmlformats.org/officeDocument/2006/relationships/hyperlink" Target="file:///C:\Users\jayas\Downloads\LCMB7011_%20managing%20people_FINAL.edited%20(1).docx" TargetMode="External"/><Relationship Id="rId10" Type="http://schemas.openxmlformats.org/officeDocument/2006/relationships/hyperlink" Target="file:///C:\Users\jayas\Downloads\LCMB7011_%20managing%20people_FINAL.edited%20(1).docx"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file:///C:\Users\jayas\Downloads\LCMB7011_%20managing%20people_FINAL.edited%20(1).docx" TargetMode="External"/><Relationship Id="rId14" Type="http://schemas.openxmlformats.org/officeDocument/2006/relationships/hyperlink" Target="file:///C:\Users\jayas\Downloads\LCMB7011_%20managing%20people_FINAL.edited%20(1).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18</Pages>
  <Words>5981</Words>
  <Characters>34093</Characters>
  <Application>Microsoft Office Word</Application>
  <DocSecurity>0</DocSecurity>
  <Lines>284</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Jayasurya chandana</dc:creator>
  <cp:keywords/>
  <dc:description/>
  <cp:lastModifiedBy>Jayasurya chandana</cp:lastModifiedBy>
  <cp:revision>4</cp:revision>
  <dcterms:created xsi:type="dcterms:W3CDTF">2023-01-07T21:43:00Z</dcterms:created>
  <dcterms:modified xsi:type="dcterms:W3CDTF">2023-01-07T21:53:00Z</dcterms:modified>
</cp:coreProperties>
</file>