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79F76" w14:textId="087D86B7" w:rsidR="002C7E3B" w:rsidRDefault="00732F6F">
      <w:r>
        <w:rPr>
          <w:noProof/>
        </w:rPr>
        <w:drawing>
          <wp:inline distT="0" distB="0" distL="0" distR="0" wp14:anchorId="52A5CA82" wp14:editId="0662550C">
            <wp:extent cx="2011680" cy="1115695"/>
            <wp:effectExtent l="0" t="0" r="7620" b="8255"/>
            <wp:docPr id="980490096"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490096" name="Picture 1" descr="A black and yellow logo&#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11680" cy="1115695"/>
                    </a:xfrm>
                    <a:prstGeom prst="rect">
                      <a:avLst/>
                    </a:prstGeom>
                    <a:noFill/>
                  </pic:spPr>
                </pic:pic>
              </a:graphicData>
            </a:graphic>
          </wp:inline>
        </w:drawing>
      </w:r>
    </w:p>
    <w:p w14:paraId="5447590B" w14:textId="6B5D7C1E" w:rsidR="00F42FA0" w:rsidRPr="00732F6F" w:rsidRDefault="00732F6F">
      <w:pPr>
        <w:rPr>
          <w:b/>
          <w:bCs/>
        </w:rPr>
      </w:pPr>
      <w:r w:rsidRPr="00732F6F">
        <w:rPr>
          <w:b/>
          <w:bCs/>
        </w:rPr>
        <w:t xml:space="preserve">Program: BSc (Hons) Health and Social Care </w:t>
      </w:r>
    </w:p>
    <w:p w14:paraId="028239E5" w14:textId="0E9FDC42" w:rsidR="00732F6F" w:rsidRPr="00732F6F" w:rsidRDefault="00732F6F">
      <w:pPr>
        <w:rPr>
          <w:b/>
          <w:bCs/>
        </w:rPr>
      </w:pPr>
      <w:r w:rsidRPr="00732F6F">
        <w:rPr>
          <w:b/>
          <w:bCs/>
        </w:rPr>
        <w:t xml:space="preserve">Module Name: Protecting and Supporting Families in Health Care </w:t>
      </w:r>
    </w:p>
    <w:p w14:paraId="2E7A9025" w14:textId="08A296B2" w:rsidR="00732F6F" w:rsidRPr="00732F6F" w:rsidRDefault="00732F6F">
      <w:pPr>
        <w:rPr>
          <w:b/>
          <w:bCs/>
        </w:rPr>
      </w:pPr>
      <w:r w:rsidRPr="00732F6F">
        <w:rPr>
          <w:b/>
          <w:bCs/>
        </w:rPr>
        <w:t>Module Code: BMHP5021_LON</w:t>
      </w:r>
    </w:p>
    <w:p w14:paraId="0B8CF6AD" w14:textId="7B7FDB10" w:rsidR="00732F6F" w:rsidRDefault="00732F6F">
      <w:pPr>
        <w:rPr>
          <w:b/>
          <w:bCs/>
        </w:rPr>
      </w:pPr>
      <w:r w:rsidRPr="00732F6F">
        <w:rPr>
          <w:b/>
          <w:bCs/>
        </w:rPr>
        <w:t>Assignment: 1</w:t>
      </w:r>
    </w:p>
    <w:p w14:paraId="5AB19ECD" w14:textId="77777777" w:rsidR="00732F6F" w:rsidRDefault="00732F6F">
      <w:pPr>
        <w:rPr>
          <w:b/>
          <w:bCs/>
        </w:rPr>
      </w:pPr>
    </w:p>
    <w:p w14:paraId="2A242D34" w14:textId="367CF2F4" w:rsidR="00732F6F" w:rsidRDefault="00732F6F">
      <w:pPr>
        <w:rPr>
          <w:b/>
          <w:bCs/>
        </w:rPr>
      </w:pPr>
      <w:r>
        <w:rPr>
          <w:b/>
          <w:bCs/>
        </w:rPr>
        <w:t>Name: Antonio De Jesus Soares</w:t>
      </w:r>
    </w:p>
    <w:p w14:paraId="666A862A" w14:textId="4AA1F2BB" w:rsidR="00732F6F" w:rsidRDefault="00732F6F">
      <w:pPr>
        <w:rPr>
          <w:b/>
          <w:bCs/>
        </w:rPr>
      </w:pPr>
      <w:r>
        <w:rPr>
          <w:b/>
          <w:bCs/>
        </w:rPr>
        <w:t>ID: 2335800</w:t>
      </w:r>
    </w:p>
    <w:p w14:paraId="4289901C" w14:textId="3FA22D1B" w:rsidR="00732F6F" w:rsidRDefault="005C662C">
      <w:pPr>
        <w:rPr>
          <w:b/>
          <w:bCs/>
        </w:rPr>
      </w:pPr>
      <w:r>
        <w:rPr>
          <w:b/>
          <w:bCs/>
        </w:rPr>
        <w:t>Assignment 1 Study Case Child F review with References</w:t>
      </w:r>
    </w:p>
    <w:p w14:paraId="540C023A" w14:textId="3B2818EE" w:rsidR="00345637" w:rsidRDefault="00345637">
      <w:pPr>
        <w:rPr>
          <w:b/>
          <w:bCs/>
        </w:rPr>
      </w:pPr>
      <w:r>
        <w:rPr>
          <w:b/>
          <w:bCs/>
        </w:rPr>
        <w:t xml:space="preserve">Summited 28-NOV-2025 </w:t>
      </w:r>
    </w:p>
    <w:p w14:paraId="0DEACD67" w14:textId="77777777" w:rsidR="00732F6F" w:rsidRDefault="00732F6F">
      <w:pPr>
        <w:rPr>
          <w:b/>
          <w:bCs/>
        </w:rPr>
      </w:pPr>
    </w:p>
    <w:p w14:paraId="342ED680" w14:textId="77777777" w:rsidR="005C662C" w:rsidRDefault="005C662C">
      <w:pPr>
        <w:rPr>
          <w:b/>
          <w:bCs/>
        </w:rPr>
      </w:pPr>
    </w:p>
    <w:p w14:paraId="69E534FD" w14:textId="77777777" w:rsidR="005C662C" w:rsidRDefault="005C662C">
      <w:pPr>
        <w:rPr>
          <w:b/>
          <w:bCs/>
        </w:rPr>
      </w:pPr>
    </w:p>
    <w:p w14:paraId="2F9B2EC4" w14:textId="77777777" w:rsidR="005C662C" w:rsidRDefault="005C662C">
      <w:pPr>
        <w:rPr>
          <w:b/>
          <w:bCs/>
        </w:rPr>
      </w:pPr>
    </w:p>
    <w:p w14:paraId="7FB4212B" w14:textId="77777777" w:rsidR="005C662C" w:rsidRDefault="005C662C">
      <w:pPr>
        <w:rPr>
          <w:b/>
          <w:bCs/>
        </w:rPr>
      </w:pPr>
    </w:p>
    <w:p w14:paraId="31F5FB9C" w14:textId="77777777" w:rsidR="005C662C" w:rsidRDefault="005C662C">
      <w:pPr>
        <w:rPr>
          <w:b/>
          <w:bCs/>
        </w:rPr>
      </w:pPr>
    </w:p>
    <w:p w14:paraId="701D465B" w14:textId="77777777" w:rsidR="005C662C" w:rsidRDefault="005C662C">
      <w:pPr>
        <w:rPr>
          <w:b/>
          <w:bCs/>
        </w:rPr>
      </w:pPr>
    </w:p>
    <w:p w14:paraId="43E27D0F" w14:textId="77777777" w:rsidR="005C662C" w:rsidRDefault="005C662C">
      <w:pPr>
        <w:rPr>
          <w:b/>
          <w:bCs/>
        </w:rPr>
      </w:pPr>
    </w:p>
    <w:p w14:paraId="71535A7A" w14:textId="77777777" w:rsidR="005C662C" w:rsidRDefault="005C662C">
      <w:pPr>
        <w:rPr>
          <w:b/>
          <w:bCs/>
        </w:rPr>
      </w:pPr>
    </w:p>
    <w:p w14:paraId="4345A189" w14:textId="77777777" w:rsidR="005C662C" w:rsidRDefault="005C662C">
      <w:pPr>
        <w:rPr>
          <w:b/>
          <w:bCs/>
        </w:rPr>
      </w:pPr>
    </w:p>
    <w:p w14:paraId="40FC91D2" w14:textId="77777777" w:rsidR="005C662C" w:rsidRDefault="005C662C">
      <w:pPr>
        <w:rPr>
          <w:b/>
          <w:bCs/>
        </w:rPr>
      </w:pPr>
    </w:p>
    <w:p w14:paraId="3B8FBCB4" w14:textId="77777777" w:rsidR="005C662C" w:rsidRDefault="005C662C">
      <w:pPr>
        <w:rPr>
          <w:b/>
          <w:bCs/>
        </w:rPr>
      </w:pPr>
    </w:p>
    <w:p w14:paraId="05E51EDD" w14:textId="77777777" w:rsidR="005C662C" w:rsidRDefault="005C662C">
      <w:pPr>
        <w:rPr>
          <w:b/>
          <w:bCs/>
        </w:rPr>
      </w:pPr>
    </w:p>
    <w:p w14:paraId="6F5E8259" w14:textId="77777777" w:rsidR="005C662C" w:rsidRDefault="005C662C">
      <w:pPr>
        <w:rPr>
          <w:b/>
          <w:bCs/>
        </w:rPr>
      </w:pPr>
    </w:p>
    <w:p w14:paraId="50881241" w14:textId="77777777" w:rsidR="005C662C" w:rsidRPr="00732F6F" w:rsidRDefault="005C662C">
      <w:pPr>
        <w:rPr>
          <w:b/>
          <w:bCs/>
        </w:rPr>
      </w:pPr>
    </w:p>
    <w:p w14:paraId="374C4805" w14:textId="77777777" w:rsidR="00F42FA0" w:rsidRPr="005C662C" w:rsidRDefault="00F42FA0" w:rsidP="00F42FA0">
      <w:pPr>
        <w:rPr>
          <w:b/>
          <w:bCs/>
        </w:rPr>
      </w:pPr>
      <w:r w:rsidRPr="005C662C">
        <w:rPr>
          <w:b/>
          <w:bCs/>
        </w:rPr>
        <w:t>References:</w:t>
      </w:r>
    </w:p>
    <w:p w14:paraId="0473BD2A" w14:textId="056609D6" w:rsidR="00F42FA0" w:rsidRDefault="00F42FA0" w:rsidP="00F42FA0">
      <w:r>
        <w:t xml:space="preserve">Hanson, C.L., Crandall, A., Barnes, M.D., Magnusson, B., Novilla, M.L.B. and King, J., 2019. Family-focused public health: </w:t>
      </w:r>
      <w:r w:rsidR="00732F6F">
        <w:t>supporting</w:t>
      </w:r>
      <w:r>
        <w:t xml:space="preserve"> homes and families in policy and practice. Frontiers in public health, 7, p.59.</w:t>
      </w:r>
    </w:p>
    <w:p w14:paraId="672CA376" w14:textId="77777777" w:rsidR="00F42FA0" w:rsidRDefault="00F42FA0" w:rsidP="00F42FA0">
      <w:r>
        <w:t>Cates, D.S., Gomes, P.G. and Krasilovsky, A.M., 2018. Behavioral health support for patients, families, and healthcare workers. In Bioemergency Planning: A Guide for Healthcare Facilities (pp. 195-214). Cham: Springer International Publishing.</w:t>
      </w:r>
    </w:p>
    <w:p w14:paraId="3687D057" w14:textId="77777777" w:rsidR="00F42FA0" w:rsidRDefault="00F42FA0" w:rsidP="00F42FA0">
      <w:r>
        <w:t>Dugdale, L.S., Esbensen, K.L., Sulmasy, L.S. and ACP Ethics, Professionalism and Human Rights Committee*, 2023. Ethical guidance on family caregiving, support, and visitation in hospitals and residential health care facilities, including during public health emergencies: an American College of Physicians position paper. Journal of general internal medicine, 38(8), pp.1986-1993.</w:t>
      </w:r>
    </w:p>
    <w:p w14:paraId="135077B8" w14:textId="77777777" w:rsidR="00F42FA0" w:rsidRDefault="00F42FA0" w:rsidP="00F42FA0">
      <w:r>
        <w:t>Richardson, D., Carraro, A., Cebotari, V., Gromada, A. and Rees, G., 2020. Supporting families and children beyond COVID-19: Social protection in high-income countries.</w:t>
      </w:r>
    </w:p>
    <w:p w14:paraId="110D86B8" w14:textId="77777777" w:rsidR="00F42FA0" w:rsidRDefault="00F42FA0" w:rsidP="00F42FA0">
      <w:r>
        <w:t>Devaney, C. and Gregor, C.M., 2017. Child protection and family support practice in Ireland: A contribution to present debates from a historical perspective. Child &amp; Family Social Work, 22(3), pp.1255-1263.</w:t>
      </w:r>
    </w:p>
    <w:p w14:paraId="4EF5EF26" w14:textId="77777777" w:rsidR="00F42FA0" w:rsidRDefault="00F42FA0" w:rsidP="00F42FA0">
      <w:r>
        <w:t>Wong, C.A., Houry, D. and Cohen, M.K., 2024. Integrating public health and health care—protecting health as a team sport. The New England journal of medicine, 390(19), p.1739.</w:t>
      </w:r>
    </w:p>
    <w:p w14:paraId="4BE46862" w14:textId="77777777" w:rsidR="00F42FA0" w:rsidRDefault="00F42FA0" w:rsidP="00F42FA0">
      <w:r>
        <w:t>Halms, T., Strasser, M., Papazova, I., Reicherts, P., Zerbini, G., Grundey, S., Täumer, E., OhmerKluge, M., Kunz, M. and Hasan, A., 2023. What do healthcare workers need? A qualitative study on support strategies to protect mental health of healthcare workers during the SARS-CoV-2 pandemic. BMC psychiatry, 23(1), p.195.</w:t>
      </w:r>
    </w:p>
    <w:p w14:paraId="148560CE" w14:textId="77777777" w:rsidR="00F42FA0" w:rsidRDefault="00F42FA0" w:rsidP="00F42FA0">
      <w:r>
        <w:t>Boddison, A. and Soan, S., 2022. The Coproduction illusion: considering the relative success rates and efficiency rates of securing an Education, Health and Care plan when requested by families or education professionals. Journal of Research in Special Educational Needs, 22(2), pp.91-104.</w:t>
      </w:r>
    </w:p>
    <w:p w14:paraId="5BDF7336" w14:textId="77777777" w:rsidR="00F42FA0" w:rsidRDefault="00F42FA0" w:rsidP="00F42FA0">
      <w:r>
        <w:t>Catton, H., 2020. Nursing in the COVID‐19 pandemic and beyond: protecting, saving, supporting and honouring nurses. International nursing review, 67(2), pp.157-159.</w:t>
      </w:r>
    </w:p>
    <w:p w14:paraId="466BE0D1" w14:textId="2653B72F" w:rsidR="00F42FA0" w:rsidRDefault="00F42FA0" w:rsidP="00F42FA0">
      <w:r>
        <w:t xml:space="preserve">De Kock, J.H., Latham, H.A., Leslie, S.J., Grindle, M., Munoz, S.A., Ellis, L., Polson, R. and O’Malley, C.M., 2021. A rapid review of the impact of COVID-19 on the mental health of healthcare workers: implications for supporting psychological well-being. BMC public health, 21(1), p.104. </w:t>
      </w:r>
    </w:p>
    <w:sectPr w:rsidR="00F42F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7C6BD" w14:textId="77777777" w:rsidR="003F08AF" w:rsidRDefault="003F08AF" w:rsidP="00732F6F">
      <w:pPr>
        <w:spacing w:after="0" w:line="240" w:lineRule="auto"/>
      </w:pPr>
      <w:r>
        <w:separator/>
      </w:r>
    </w:p>
  </w:endnote>
  <w:endnote w:type="continuationSeparator" w:id="0">
    <w:p w14:paraId="3946B166" w14:textId="77777777" w:rsidR="003F08AF" w:rsidRDefault="003F08AF" w:rsidP="00732F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3E0B3" w14:textId="77777777" w:rsidR="003F08AF" w:rsidRDefault="003F08AF" w:rsidP="00732F6F">
      <w:pPr>
        <w:spacing w:after="0" w:line="240" w:lineRule="auto"/>
      </w:pPr>
      <w:r>
        <w:separator/>
      </w:r>
    </w:p>
  </w:footnote>
  <w:footnote w:type="continuationSeparator" w:id="0">
    <w:p w14:paraId="52EC0CD1" w14:textId="77777777" w:rsidR="003F08AF" w:rsidRDefault="003F08AF" w:rsidP="00732F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FA0"/>
    <w:rsid w:val="002C7E3B"/>
    <w:rsid w:val="00345637"/>
    <w:rsid w:val="003F08AF"/>
    <w:rsid w:val="005C662C"/>
    <w:rsid w:val="00732F6F"/>
    <w:rsid w:val="00E314E8"/>
    <w:rsid w:val="00F42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07CFA"/>
  <w15:chartTrackingRefBased/>
  <w15:docId w15:val="{762BB571-F14D-4D76-B090-1CFAC0065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FA0"/>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F42FA0"/>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F42FA0"/>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F42FA0"/>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F42FA0"/>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F42F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2F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2F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2F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FA0"/>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F42FA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F42FA0"/>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F42FA0"/>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F42FA0"/>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F42F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F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F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FA0"/>
    <w:rPr>
      <w:rFonts w:eastAsiaTheme="majorEastAsia" w:cstheme="majorBidi"/>
      <w:color w:val="272727" w:themeColor="text1" w:themeTint="D8"/>
    </w:rPr>
  </w:style>
  <w:style w:type="paragraph" w:styleId="Title">
    <w:name w:val="Title"/>
    <w:basedOn w:val="Normal"/>
    <w:next w:val="Normal"/>
    <w:link w:val="TitleChar"/>
    <w:uiPriority w:val="10"/>
    <w:qFormat/>
    <w:rsid w:val="00F42F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F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FA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F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FA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2FA0"/>
    <w:rPr>
      <w:i/>
      <w:iCs/>
      <w:color w:val="404040" w:themeColor="text1" w:themeTint="BF"/>
    </w:rPr>
  </w:style>
  <w:style w:type="paragraph" w:styleId="ListParagraph">
    <w:name w:val="List Paragraph"/>
    <w:basedOn w:val="Normal"/>
    <w:uiPriority w:val="34"/>
    <w:qFormat/>
    <w:rsid w:val="00F42FA0"/>
    <w:pPr>
      <w:ind w:left="720"/>
      <w:contextualSpacing/>
    </w:pPr>
  </w:style>
  <w:style w:type="character" w:styleId="IntenseEmphasis">
    <w:name w:val="Intense Emphasis"/>
    <w:basedOn w:val="DefaultParagraphFont"/>
    <w:uiPriority w:val="21"/>
    <w:qFormat/>
    <w:rsid w:val="00F42FA0"/>
    <w:rPr>
      <w:i/>
      <w:iCs/>
      <w:color w:val="365F91" w:themeColor="accent1" w:themeShade="BF"/>
    </w:rPr>
  </w:style>
  <w:style w:type="paragraph" w:styleId="IntenseQuote">
    <w:name w:val="Intense Quote"/>
    <w:basedOn w:val="Normal"/>
    <w:next w:val="Normal"/>
    <w:link w:val="IntenseQuoteChar"/>
    <w:uiPriority w:val="30"/>
    <w:qFormat/>
    <w:rsid w:val="00F42FA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42FA0"/>
    <w:rPr>
      <w:i/>
      <w:iCs/>
      <w:color w:val="365F91" w:themeColor="accent1" w:themeShade="BF"/>
    </w:rPr>
  </w:style>
  <w:style w:type="character" w:styleId="IntenseReference">
    <w:name w:val="Intense Reference"/>
    <w:basedOn w:val="DefaultParagraphFont"/>
    <w:uiPriority w:val="32"/>
    <w:qFormat/>
    <w:rsid w:val="00F42FA0"/>
    <w:rPr>
      <w:b/>
      <w:bCs/>
      <w:smallCaps/>
      <w:color w:val="365F91" w:themeColor="accent1" w:themeShade="BF"/>
      <w:spacing w:val="5"/>
    </w:rPr>
  </w:style>
  <w:style w:type="paragraph" w:styleId="Header">
    <w:name w:val="header"/>
    <w:basedOn w:val="Normal"/>
    <w:link w:val="HeaderChar"/>
    <w:uiPriority w:val="99"/>
    <w:unhideWhenUsed/>
    <w:rsid w:val="00732F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F6F"/>
  </w:style>
  <w:style w:type="paragraph" w:styleId="Footer">
    <w:name w:val="footer"/>
    <w:basedOn w:val="Normal"/>
    <w:link w:val="FooterChar"/>
    <w:uiPriority w:val="99"/>
    <w:unhideWhenUsed/>
    <w:rsid w:val="00732F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F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2</Pages>
  <Words>411</Words>
  <Characters>2344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De Jesus Soares (2335800)</dc:creator>
  <cp:keywords/>
  <dc:description/>
  <cp:lastModifiedBy>Antonio De Jesus Soares (2335800)</cp:lastModifiedBy>
  <cp:revision>2</cp:revision>
  <dcterms:created xsi:type="dcterms:W3CDTF">2025-11-28T10:00:00Z</dcterms:created>
  <dcterms:modified xsi:type="dcterms:W3CDTF">2025-11-28T10:40:00Z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f0db748b-d968-42d0-beac-e4bcfbdec528</vt:lpwstr>
  </property>
</Properties>
</file>