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spacing w:after="240"/>
        <w:jc w:val="center"/>
        <w:rPr>
          <w:rFonts w:ascii="Times New Roman" w:cs="Times New Roman" w:hAnsi="Times New Roman" w:eastAsia="Times New Roman"/>
          <w:sz w:val="28"/>
          <w:szCs w:val="28"/>
          <w:u w:val="single"/>
          <w:shd w:val="clear" w:color="auto" w:fill="ffffff"/>
        </w:rPr>
      </w:pPr>
      <w:r>
        <w:rPr>
          <w:rFonts w:ascii="Times New Roman" w:hAnsi="Times New Roman"/>
          <w:sz w:val="28"/>
          <w:szCs w:val="28"/>
          <w:u w:val="single"/>
          <w:shd w:val="clear" w:color="auto" w:fill="ffffff"/>
          <w:rtl w:val="0"/>
          <w:lang w:val="en-US"/>
        </w:rPr>
        <w:t>Assessment Feedback</w:t>
      </w:r>
    </w:p>
    <w:p>
      <w:pPr>
        <w:pStyle w:val="Default"/>
        <w:spacing w:after="240"/>
        <w:jc w:val="center"/>
        <w:rPr>
          <w:rFonts w:ascii="Times New Roman" w:cs="Times New Roman" w:hAnsi="Times New Roman" w:eastAsia="Times New Roman"/>
          <w:sz w:val="28"/>
          <w:szCs w:val="28"/>
          <w:shd w:val="clear" w:color="auto" w:fill="ffffff"/>
        </w:rPr>
      </w:pPr>
      <w:r>
        <w:rPr>
          <w:rFonts w:ascii="Times New Roman" w:hAnsi="Times New Roman"/>
          <w:sz w:val="28"/>
          <w:szCs w:val="28"/>
          <w:shd w:val="clear" w:color="auto" w:fill="ffffff"/>
          <w:rtl w:val="0"/>
          <w:lang w:val="en-US"/>
        </w:rPr>
        <w:t>Student No</w:t>
      </w:r>
      <w:r>
        <w:rPr>
          <w:rFonts w:ascii="Times New Roman" w:hAnsi="Times New Roman"/>
          <w:sz w:val="28"/>
          <w:szCs w:val="28"/>
          <w:shd w:val="clear" w:color="auto" w:fill="ffffff"/>
          <w:rtl w:val="0"/>
          <w:lang w:val="en-US"/>
        </w:rPr>
        <w:t>.</w:t>
      </w:r>
      <w:r>
        <w:rPr>
          <w:rFonts w:ascii="Times New Roman" w:hAnsi="Times New Roman"/>
          <w:sz w:val="28"/>
          <w:szCs w:val="28"/>
          <w:shd w:val="clear" w:color="auto" w:fill="ffffff"/>
          <w:rtl w:val="0"/>
          <w:lang w:val="en-US"/>
        </w:rPr>
        <w:t>/Name:</w:t>
      </w:r>
      <w:r>
        <w:rPr>
          <w:rFonts w:ascii="Times New Roman" w:hAnsi="Times New Roman"/>
          <w:sz w:val="28"/>
          <w:szCs w:val="28"/>
          <w:shd w:val="clear" w:color="auto" w:fill="ffffff"/>
          <w:rtl w:val="0"/>
          <w:lang w:val="en-US"/>
        </w:rPr>
        <w:t>J</w:t>
      </w:r>
      <w:r>
        <w:rPr>
          <w:rFonts w:ascii="Times New Roman" w:hAnsi="Times New Roman"/>
          <w:sz w:val="28"/>
          <w:szCs w:val="28"/>
          <w:shd w:val="clear" w:color="auto" w:fill="ffffff"/>
          <w:rtl w:val="0"/>
          <w:lang w:val="en-US"/>
        </w:rPr>
        <w:t>ames Sudale/1903598</w:t>
      </w:r>
      <w:r>
        <w:rPr>
          <w:rFonts w:ascii="Arial Unicode MS" w:cs="Arial Unicode MS" w:hAnsi="Arial Unicode MS" w:eastAsia="Arial Unicode MS"/>
          <w:b w:val="0"/>
          <w:bCs w:val="0"/>
          <w:i w:val="0"/>
          <w:iCs w:val="0"/>
          <w:sz w:val="28"/>
          <w:szCs w:val="28"/>
          <w:shd w:val="clear" w:color="auto" w:fill="ffffff"/>
        </w:rPr>
        <w:br w:type="textWrapping"/>
      </w:r>
      <w:r>
        <w:rPr>
          <w:rFonts w:ascii="Times New Roman" w:hAnsi="Times New Roman"/>
          <w:sz w:val="28"/>
          <w:szCs w:val="28"/>
          <w:shd w:val="clear" w:color="auto" w:fill="ffffff"/>
          <w:rtl w:val="0"/>
          <w:lang w:val="en-US"/>
        </w:rPr>
        <w:t xml:space="preserve">Module: </w:t>
      </w:r>
      <w:r>
        <w:rPr>
          <w:rFonts w:ascii="Times New Roman" w:hAnsi="Times New Roman"/>
          <w:sz w:val="28"/>
          <w:szCs w:val="28"/>
          <w:shd w:val="clear" w:color="auto" w:fill="ffffff"/>
          <w:rtl w:val="0"/>
          <w:lang w:val="en-US"/>
        </w:rPr>
        <w:t>Introduction to Sports Therapy</w:t>
      </w:r>
      <w:r>
        <w:rPr>
          <w:rFonts w:ascii="Times New Roman" w:hAnsi="Times New Roman"/>
          <w:sz w:val="28"/>
          <w:szCs w:val="28"/>
          <w:shd w:val="clear" w:color="auto" w:fill="ffffff"/>
          <w:rtl w:val="0"/>
          <w:lang w:val="en-US"/>
        </w:rPr>
        <w:t xml:space="preserve"> </w:t>
      </w:r>
    </w:p>
    <w:p>
      <w:pPr>
        <w:pStyle w:val="Default"/>
        <w:spacing w:after="240"/>
        <w:jc w:val="center"/>
        <w:rPr>
          <w:rFonts w:ascii="Times New Roman" w:cs="Times New Roman" w:hAnsi="Times New Roman" w:eastAsia="Times New Roman"/>
          <w:sz w:val="24"/>
          <w:szCs w:val="24"/>
          <w:shd w:val="clear" w:color="auto" w:fill="ffffff"/>
        </w:rPr>
      </w:pPr>
      <w:r>
        <w:rPr>
          <w:rFonts w:ascii="Times New Roman" w:hAnsi="Times New Roman"/>
          <w:sz w:val="28"/>
          <w:szCs w:val="28"/>
          <w:shd w:val="clear" w:color="auto" w:fill="ffffff"/>
          <w:rtl w:val="0"/>
          <w:lang w:val="en-US"/>
        </w:rPr>
        <w:t>Module Code: SHSS406</w:t>
      </w:r>
      <w:r>
        <w:rPr>
          <w:rFonts w:ascii="Times New Roman" w:hAnsi="Times New Roman"/>
          <w:sz w:val="28"/>
          <w:szCs w:val="28"/>
          <w:shd w:val="clear" w:color="auto" w:fill="ffffff"/>
          <w:rtl w:val="0"/>
          <w:lang w:val="en-US"/>
        </w:rPr>
        <w:t>5</w:t>
      </w:r>
      <w:r>
        <w:rPr>
          <w:rFonts w:ascii="Times New Roman" w:cs="Times New Roman" w:hAnsi="Times New Roman" w:eastAsia="Times New Roman"/>
          <w:sz w:val="28"/>
          <w:szCs w:val="28"/>
          <w:shd w:val="clear" w:color="auto" w:fill="ffffff"/>
        </w:rPr>
        <mc:AlternateContent>
          <mc:Choice Requires="wps">
            <w:drawing>
              <wp:anchor distT="152400" distB="152400" distL="152400" distR="152400" simplePos="0" relativeHeight="251659264" behindDoc="0" locked="0" layoutInCell="1" allowOverlap="1">
                <wp:simplePos x="0" y="0"/>
                <wp:positionH relativeFrom="margin">
                  <wp:posOffset>-6350</wp:posOffset>
                </wp:positionH>
                <wp:positionV relativeFrom="line">
                  <wp:posOffset>8162989</wp:posOffset>
                </wp:positionV>
                <wp:extent cx="306028" cy="379031"/>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microsoft.com/office/word/2010/wordprocessingShape">
                    <wps:wsp>
                      <wps:cNvSpPr txBox="1"/>
                      <wps:spPr>
                        <a:xfrm>
                          <a:off x="0" y="0"/>
                          <a:ext cx="306028" cy="379031"/>
                        </a:xfrm>
                        <a:prstGeom prst="rect">
                          <a:avLst/>
                        </a:prstGeom>
                        <a:noFill/>
                        <a:ln w="12700" cap="flat">
                          <a:noFill/>
                          <a:miter lim="400000"/>
                        </a:ln>
                        <a:effectLst/>
                      </wps:spPr>
                      <wps:txbx>
                        <w:txbxContent>
                          <w:p>
                            <w:pPr>
                              <w:pStyle w:val="Caption"/>
                            </w:pPr>
                            <w:r>
                              <w:rPr>
                                <w:rFonts w:ascii="Times New Roman" w:hAnsi="Times New Roman"/>
                                <w:sz w:val="20"/>
                                <w:szCs w:val="20"/>
                                <w:rtl w:val="0"/>
                                <w:lang w:val="en-US"/>
                              </w:rPr>
                              <w:t>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0.5pt;margin-top:642.8pt;width:24.1pt;height:29.8pt;z-index:2516592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pPr>
                      <w:r>
                        <w:rPr>
                          <w:rFonts w:ascii="Times New Roman" w:hAnsi="Times New Roman"/>
                          <w:sz w:val="20"/>
                          <w:szCs w:val="20"/>
                          <w:rtl w:val="0"/>
                          <w:lang w:val="en-US"/>
                        </w:rPr>
                        <w:t>1</w:t>
                      </w:r>
                    </w:p>
                  </w:txbxContent>
                </v:textbox>
                <w10:wrap type="through" side="bothSides" anchorx="margin"/>
              </v:shape>
            </w:pict>
          </mc:Fallback>
        </mc:AlternateContent>
      </w:r>
      <w:r>
        <w:rPr>
          <w:rFonts w:ascii="Times New Roman" w:hAnsi="Times New Roman"/>
          <w:sz w:val="24"/>
          <w:szCs w:val="24"/>
          <w:shd w:val="clear" w:color="auto" w:fill="ffffff"/>
          <w:rtl w:val="0"/>
          <w:lang w:val="en-US"/>
        </w:rPr>
        <w:t xml:space="preserve"> </w:t>
      </w:r>
    </w:p>
    <w:tbl>
      <w:tblPr>
        <w:tblW w:w="1561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24"/>
        <w:gridCol w:w="1036"/>
        <w:gridCol w:w="1458"/>
        <w:gridCol w:w="1324"/>
        <w:gridCol w:w="540"/>
        <w:gridCol w:w="1658"/>
        <w:gridCol w:w="568"/>
        <w:gridCol w:w="896"/>
        <w:gridCol w:w="1383"/>
        <w:gridCol w:w="1525"/>
        <w:gridCol w:w="271"/>
        <w:gridCol w:w="1340"/>
        <w:gridCol w:w="1590"/>
      </w:tblGrid>
      <w:tr>
        <w:tblPrEx>
          <w:shd w:val="clear" w:color="auto" w:fill="ced7e7"/>
        </w:tblPrEx>
        <w:trPr>
          <w:trHeight w:val="227" w:hRule="atLeast"/>
        </w:trPr>
        <w:tc>
          <w:tcPr>
            <w:tcW w:type="dxa" w:w="15613"/>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w:jc w:val="center"/>
            </w:pPr>
            <w:r>
              <w:rPr>
                <w:b w:val="1"/>
                <w:bCs w:val="1"/>
                <w:sz w:val="18"/>
                <w:szCs w:val="18"/>
                <w:rtl w:val="0"/>
                <w:lang w:val="en-US"/>
              </w:rPr>
              <w:t>Personal Evaluation</w:t>
            </w:r>
            <w:r>
              <w:rPr>
                <w:b w:val="0"/>
                <w:bCs w:val="0"/>
                <w:sz w:val="18"/>
                <w:szCs w:val="18"/>
                <w:rtl w:val="0"/>
                <w:lang w:val="en-US"/>
              </w:rPr>
              <w:t xml:space="preserve"> – </w:t>
            </w:r>
            <w:r>
              <w:rPr>
                <w:b w:val="0"/>
                <w:bCs w:val="0"/>
                <w:sz w:val="18"/>
                <w:szCs w:val="18"/>
                <w:rtl w:val="0"/>
                <w:lang w:val="en-US"/>
              </w:rPr>
              <w:t xml:space="preserve">to support your academic progress please complete the section below </w:t>
            </w:r>
            <w:r>
              <w:rPr>
                <w:b w:val="1"/>
                <w:bCs w:val="1"/>
                <w:sz w:val="18"/>
                <w:szCs w:val="18"/>
                <w:u w:val="single"/>
                <w:rtl w:val="0"/>
                <w:lang w:val="en-US"/>
              </w:rPr>
              <w:t>BEFORE</w:t>
            </w:r>
            <w:r>
              <w:rPr>
                <w:b w:val="0"/>
                <w:bCs w:val="0"/>
                <w:sz w:val="18"/>
                <w:szCs w:val="18"/>
                <w:rtl w:val="0"/>
                <w:lang w:val="en-US"/>
              </w:rPr>
              <w:t xml:space="preserve"> submitting your work.</w:t>
            </w:r>
          </w:p>
        </w:tc>
      </w:tr>
      <w:tr>
        <w:tblPrEx>
          <w:shd w:val="clear" w:color="auto" w:fill="ced7e7"/>
        </w:tblPrEx>
        <w:trPr>
          <w:trHeight w:val="604" w:hRule="atLeast"/>
        </w:trPr>
        <w:tc>
          <w:tcPr>
            <w:tcW w:type="dxa" w:w="3060"/>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pPr>
            <w:r>
              <w:rPr>
                <w:rFonts w:ascii="Calibri" w:cs="Calibri" w:hAnsi="Calibri" w:eastAsia="Calibri"/>
                <w:sz w:val="14"/>
                <w:szCs w:val="14"/>
                <w:rtl w:val="0"/>
                <w:lang w:val="en-US"/>
              </w:rPr>
              <w:t>What do you consider to be the best aspects of this work?</w:t>
            </w:r>
          </w:p>
        </w:tc>
        <w:tc>
          <w:tcPr>
            <w:tcW w:type="dxa" w:w="12552"/>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t xml:space="preserve">Variety of research used in the study </w:t>
            </w:r>
          </w:p>
        </w:tc>
      </w:tr>
      <w:tr>
        <w:tblPrEx>
          <w:shd w:val="clear" w:color="auto" w:fill="ced7e7"/>
        </w:tblPrEx>
        <w:trPr>
          <w:trHeight w:val="811" w:hRule="atLeast"/>
        </w:trPr>
        <w:tc>
          <w:tcPr>
            <w:tcW w:type="dxa" w:w="3060"/>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pPr>
            <w:r>
              <w:rPr>
                <w:rFonts w:ascii="Calibri" w:cs="Calibri" w:hAnsi="Calibri" w:eastAsia="Calibri"/>
                <w:sz w:val="14"/>
                <w:szCs w:val="14"/>
                <w:rtl w:val="0"/>
                <w:lang w:val="en-US"/>
              </w:rPr>
              <w:t>Which aspects do you consider could have been improved in this piece of work?</w:t>
            </w:r>
          </w:p>
        </w:tc>
        <w:tc>
          <w:tcPr>
            <w:tcW w:type="dxa" w:w="12552"/>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t>More research into contraindications of both cryo and thermo</w:t>
            </w:r>
          </w:p>
        </w:tc>
      </w:tr>
      <w:tr>
        <w:tblPrEx>
          <w:shd w:val="clear" w:color="auto" w:fill="ced7e7"/>
        </w:tblPrEx>
        <w:trPr>
          <w:trHeight w:val="811" w:hRule="atLeast"/>
        </w:trPr>
        <w:tc>
          <w:tcPr>
            <w:tcW w:type="dxa" w:w="3060"/>
            <w:gridSpan w:val="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spacing w:line="276" w:lineRule="auto"/>
              <w:ind w:left="113" w:right="113" w:firstLine="0"/>
            </w:pPr>
            <w:r>
              <w:rPr>
                <w:rFonts w:ascii="Calibri" w:cs="Calibri" w:hAnsi="Calibri" w:eastAsia="Calibri"/>
                <w:sz w:val="14"/>
                <w:szCs w:val="14"/>
                <w:rtl w:val="0"/>
                <w:lang w:val="en-US"/>
              </w:rPr>
              <w:t>What have you found most satisfying whilst undertaking this submission?</w:t>
            </w:r>
          </w:p>
        </w:tc>
        <w:tc>
          <w:tcPr>
            <w:tcW w:type="dxa" w:w="12552"/>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14:textOutline>
                  <w14:noFill/>
                </w14:textOutline>
                <w14:textFill>
                  <w14:solidFill>
                    <w14:srgbClr w14:val="000000"/>
                  </w14:solidFill>
                </w14:textFill>
              </w:rPr>
              <w:t>The wide range of research involved and learning different management of treating soft tissue.</w:t>
            </w:r>
          </w:p>
        </w:tc>
      </w:tr>
      <w:tr>
        <w:tblPrEx>
          <w:shd w:val="clear" w:color="auto" w:fill="ced7e7"/>
        </w:tblPrEx>
        <w:trPr>
          <w:trHeight w:val="302" w:hRule="atLeast"/>
        </w:trPr>
        <w:tc>
          <w:tcPr>
            <w:tcW w:type="dxa" w:w="2024"/>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b w:val="1"/>
                <w:bCs w:val="1"/>
                <w:lang w:val="en-US"/>
              </w:rPr>
            </w:pPr>
          </w:p>
          <w:p>
            <w:pPr>
              <w:pStyle w:val="Body"/>
              <w:bidi w:val="0"/>
              <w:ind w:left="0" w:right="0" w:firstLine="0"/>
              <w:jc w:val="center"/>
              <w:rPr>
                <w:rtl w:val="0"/>
              </w:rPr>
            </w:pPr>
            <w:r>
              <w:rPr>
                <w:b w:val="1"/>
                <w:bCs w:val="1"/>
                <w:sz w:val="14"/>
                <w:szCs w:val="14"/>
                <w:rtl w:val="0"/>
                <w:lang w:val="en-US"/>
              </w:rPr>
              <w:t>ASSESSMENT CRITERIA</w:t>
            </w:r>
          </w:p>
        </w:tc>
        <w:tc>
          <w:tcPr>
            <w:tcW w:type="dxa" w:w="1036"/>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widowControl w:val="0"/>
              <w:ind w:left="113" w:right="113" w:firstLine="0"/>
              <w:rPr>
                <w:rFonts w:ascii="Calibri" w:cs="Calibri" w:hAnsi="Calibri" w:eastAsia="Calibri"/>
                <w:sz w:val="10"/>
                <w:szCs w:val="10"/>
              </w:rPr>
            </w:pPr>
            <w:r>
              <w:rPr>
                <w:rFonts w:ascii="Calibri" w:cs="Calibri" w:hAnsi="Calibri" w:eastAsia="Calibri"/>
                <w:sz w:val="10"/>
                <w:szCs w:val="10"/>
                <w:rtl w:val="0"/>
                <w:lang w:val="en-US"/>
              </w:rPr>
              <w:t>Learning</w:t>
            </w:r>
          </w:p>
          <w:p>
            <w:pPr>
              <w:pStyle w:val="Body"/>
              <w:widowControl w:val="0"/>
              <w:bidi w:val="0"/>
              <w:ind w:left="113" w:right="113" w:firstLine="0"/>
              <w:jc w:val="left"/>
              <w:rPr>
                <w:rFonts w:ascii="Calibri" w:cs="Calibri" w:hAnsi="Calibri" w:eastAsia="Calibri"/>
                <w:sz w:val="10"/>
                <w:szCs w:val="10"/>
                <w:rtl w:val="0"/>
              </w:rPr>
            </w:pPr>
            <w:r>
              <w:rPr>
                <w:rFonts w:ascii="Calibri" w:cs="Calibri" w:hAnsi="Calibri" w:eastAsia="Calibri"/>
                <w:sz w:val="10"/>
                <w:szCs w:val="10"/>
                <w:rtl w:val="0"/>
                <w:lang w:val="en-US"/>
              </w:rPr>
              <w:t>Outcomes</w:t>
            </w:r>
          </w:p>
          <w:p>
            <w:pPr>
              <w:pStyle w:val="Body"/>
              <w:widowControl w:val="0"/>
              <w:ind w:left="113" w:right="113" w:firstLine="0"/>
            </w:pPr>
            <w:r>
              <w:rPr>
                <w:rFonts w:ascii="Calibri" w:cs="Calibri" w:hAnsi="Calibri" w:eastAsia="Calibri"/>
                <w:sz w:val="10"/>
                <w:szCs w:val="10"/>
                <w:lang w:val="en-US"/>
              </w:rPr>
            </w:r>
          </w:p>
        </w:tc>
        <w:tc>
          <w:tcPr>
            <w:tcW w:type="dxa" w:w="12552"/>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jc w:val="center"/>
            </w:pPr>
            <w:r>
              <w:rPr>
                <w:b w:val="1"/>
                <w:bCs w:val="1"/>
                <w:rtl w:val="0"/>
                <w:lang w:val="en-US"/>
              </w:rPr>
              <w:t>GRADE</w:t>
            </w:r>
          </w:p>
        </w:tc>
      </w:tr>
      <w:tr>
        <w:tblPrEx>
          <w:shd w:val="clear" w:color="auto" w:fill="ced7e7"/>
        </w:tblPrEx>
        <w:trPr>
          <w:trHeight w:val="248" w:hRule="atLeast"/>
        </w:trPr>
        <w:tc>
          <w:tcPr>
            <w:tcW w:type="dxa" w:w="2024"/>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1036"/>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1457"/>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 xml:space="preserve">0-30 </w:t>
            </w:r>
          </w:p>
        </w:tc>
        <w:tc>
          <w:tcPr>
            <w:tcW w:type="dxa" w:w="1863"/>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30-39</w:t>
            </w:r>
          </w:p>
        </w:tc>
        <w:tc>
          <w:tcPr>
            <w:tcW w:type="dxa" w:w="165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40-49</w:t>
            </w:r>
          </w:p>
        </w:tc>
        <w:tc>
          <w:tcPr>
            <w:tcW w:type="dxa" w:w="146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50-59</w:t>
            </w:r>
          </w:p>
        </w:tc>
        <w:tc>
          <w:tcPr>
            <w:tcW w:type="dxa" w:w="138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60-69</w:t>
            </w:r>
          </w:p>
        </w:tc>
        <w:tc>
          <w:tcPr>
            <w:tcW w:type="dxa" w:w="152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70-79</w:t>
            </w:r>
          </w:p>
        </w:tc>
        <w:tc>
          <w:tcPr>
            <w:tcW w:type="dxa" w:w="1611"/>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80-89</w:t>
            </w:r>
          </w:p>
        </w:tc>
        <w:tc>
          <w:tcPr>
            <w:tcW w:type="dxa" w:w="159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spacing w:line="276" w:lineRule="auto"/>
            </w:pPr>
            <w:r>
              <w:rPr>
                <w:rFonts w:ascii="Calibri" w:cs="Calibri" w:hAnsi="Calibri" w:eastAsia="Calibri"/>
                <w:sz w:val="18"/>
                <w:szCs w:val="18"/>
                <w:rtl w:val="0"/>
                <w:lang w:val="en-US"/>
              </w:rPr>
              <w:t>90-100</w:t>
            </w:r>
          </w:p>
        </w:tc>
      </w:tr>
      <w:tr>
        <w:tblPrEx>
          <w:shd w:val="clear" w:color="auto" w:fill="ced7e7"/>
        </w:tblPrEx>
        <w:trPr>
          <w:trHeight w:val="1095" w:hRule="atLeast"/>
        </w:trPr>
        <w:tc>
          <w:tcPr>
            <w:tcW w:type="dxa" w:w="2024"/>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jc w:val="center"/>
              <w:rPr>
                <w:rFonts w:ascii="Calibri" w:cs="Calibri" w:hAnsi="Calibri" w:eastAsia="Calibri"/>
                <w:sz w:val="18"/>
                <w:szCs w:val="18"/>
              </w:rPr>
            </w:pPr>
            <w:r>
              <w:rPr>
                <w:rFonts w:ascii="Calibri" w:cs="Calibri" w:hAnsi="Calibri" w:eastAsia="Calibri"/>
                <w:sz w:val="18"/>
                <w:szCs w:val="18"/>
                <w:rtl w:val="0"/>
                <w:lang w:val="en-US"/>
              </w:rPr>
              <w:t>Introduction</w:t>
            </w:r>
          </w:p>
          <w:p>
            <w:pPr>
              <w:pStyle w:val="Body"/>
              <w:bidi w:val="0"/>
              <w:spacing w:line="276" w:lineRule="auto"/>
              <w:ind w:left="0" w:right="0" w:firstLine="0"/>
              <w:jc w:val="center"/>
              <w:rPr>
                <w:rtl w:val="0"/>
              </w:rPr>
            </w:pPr>
            <w:r>
              <w:rPr>
                <w:rFonts w:ascii="Calibri" w:cs="Calibri" w:hAnsi="Calibri" w:eastAsia="Calibri"/>
                <w:sz w:val="18"/>
                <w:szCs w:val="18"/>
                <w:rtl w:val="0"/>
                <w:lang w:val="en-US"/>
              </w:rPr>
              <w:t>(5%)</w:t>
            </w:r>
          </w:p>
        </w:tc>
        <w:tc>
          <w:tcPr>
            <w:tcW w:type="dxa" w:w="1036"/>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sz w:val="18"/>
                <w:szCs w:val="18"/>
                <w:rtl w:val="0"/>
                <w:lang w:val="en-US"/>
              </w:rPr>
              <w:t>1&amp;2</w:t>
            </w:r>
          </w:p>
        </w:tc>
        <w:tc>
          <w:tcPr>
            <w:tcW w:type="dxa" w:w="1457"/>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None presented or irrelevant content </w:t>
            </w:r>
          </w:p>
        </w:tc>
        <w:tc>
          <w:tcPr>
            <w:tcW w:type="dxa" w:w="186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Fails to introduce the topic. May introduce </w:t>
            </w:r>
            <w:r>
              <w:rPr>
                <w:rFonts w:ascii="Calibri" w:cs="Calibri" w:hAnsi="Calibri" w:eastAsia="Calibri"/>
                <w:sz w:val="14"/>
                <w:szCs w:val="14"/>
                <w:rtl w:val="0"/>
                <w:lang w:val="en-US"/>
              </w:rPr>
              <w:t>‘</w:t>
            </w:r>
            <w:r>
              <w:rPr>
                <w:rFonts w:ascii="Calibri" w:cs="Calibri" w:hAnsi="Calibri" w:eastAsia="Calibri"/>
                <w:sz w:val="14"/>
                <w:szCs w:val="14"/>
                <w:rtl w:val="0"/>
                <w:lang w:val="en-US"/>
              </w:rPr>
              <w:t>essay</w:t>
            </w:r>
            <w:r>
              <w:rPr>
                <w:rFonts w:ascii="Calibri" w:cs="Calibri" w:hAnsi="Calibri" w:eastAsia="Calibri"/>
                <w:sz w:val="14"/>
                <w:szCs w:val="14"/>
                <w:rtl w:val="0"/>
                <w:lang w:val="en-US"/>
              </w:rPr>
              <w:t xml:space="preserve">’ </w:t>
            </w:r>
            <w:r>
              <w:rPr>
                <w:rFonts w:ascii="Calibri" w:cs="Calibri" w:hAnsi="Calibri" w:eastAsia="Calibri"/>
                <w:sz w:val="14"/>
                <w:szCs w:val="14"/>
                <w:rtl w:val="0"/>
                <w:lang w:val="en-US"/>
              </w:rPr>
              <w:t xml:space="preserve">rather than topic </w:t>
            </w:r>
          </w:p>
        </w:tc>
        <w:tc>
          <w:tcPr>
            <w:tcW w:type="dxa" w:w="165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Offers a basic definition of terms </w:t>
            </w:r>
          </w:p>
        </w:tc>
        <w:tc>
          <w:tcPr>
            <w:tcW w:type="dxa" w:w="146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Introduces the basic concepts </w:t>
            </w:r>
          </w:p>
        </w:tc>
        <w:tc>
          <w:tcPr>
            <w:tcW w:type="dxa" w:w="138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Introduces the basic concepts and sets the scene </w:t>
            </w:r>
          </w:p>
        </w:tc>
        <w:tc>
          <w:tcPr>
            <w:tcW w:type="dxa" w:w="15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Sets the academic scene. </w:t>
            </w:r>
          </w:p>
        </w:tc>
        <w:tc>
          <w:tcPr>
            <w:tcW w:type="dxa" w:w="1611"/>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Sets academic scene in new context </w:t>
            </w:r>
          </w:p>
        </w:tc>
        <w:tc>
          <w:tcPr>
            <w:tcW w:type="dxa" w:w="159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Offers new insight </w:t>
            </w:r>
          </w:p>
        </w:tc>
      </w:tr>
      <w:tr>
        <w:tblPrEx>
          <w:shd w:val="clear" w:color="auto" w:fill="ced7e7"/>
        </w:tblPrEx>
        <w:trPr>
          <w:trHeight w:val="1995" w:hRule="atLeast"/>
        </w:trPr>
        <w:tc>
          <w:tcPr>
            <w:tcW w:type="dxa" w:w="2024"/>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18"/>
                <w:szCs w:val="18"/>
                <w:rtl w:val="0"/>
                <w:lang w:val="en-US"/>
              </w:rPr>
              <w:t>Indications and circumstances for treatment (25%)</w:t>
            </w:r>
          </w:p>
        </w:tc>
        <w:tc>
          <w:tcPr>
            <w:tcW w:type="dxa" w:w="1036"/>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22"/>
                <w:szCs w:val="22"/>
                <w:rtl w:val="0"/>
                <w:lang w:val="en-US"/>
              </w:rPr>
              <w:t>1&amp;2</w:t>
            </w:r>
          </w:p>
        </w:tc>
        <w:tc>
          <w:tcPr>
            <w:tcW w:type="dxa" w:w="1457"/>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No clear pathway of STM Physiology. </w:t>
            </w:r>
          </w:p>
        </w:tc>
        <w:tc>
          <w:tcPr>
            <w:tcW w:type="dxa" w:w="186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Inadequate, unreferenced or incomplete description of indications for thermo/cryo</w:t>
            </w:r>
          </w:p>
        </w:tc>
        <w:tc>
          <w:tcPr>
            <w:tcW w:type="dxa" w:w="165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Details the basic  mechanism  but below the level of class material</w:t>
            </w:r>
          </w:p>
        </w:tc>
        <w:tc>
          <w:tcPr>
            <w:tcW w:type="dxa" w:w="146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Can describe the indications for thermo/cryo at the level of class material</w:t>
            </w:r>
          </w:p>
        </w:tc>
        <w:tc>
          <w:tcPr>
            <w:tcW w:type="dxa" w:w="138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Describes the indications for thermo/cryo with evidence of wider reading outside of class</w:t>
            </w:r>
          </w:p>
        </w:tc>
        <w:tc>
          <w:tcPr>
            <w:tcW w:type="dxa" w:w="15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Critically analyses the indications for thermo/cryo</w:t>
            </w:r>
          </w:p>
        </w:tc>
        <w:tc>
          <w:tcPr>
            <w:tcW w:type="dxa" w:w="1611"/>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Critical analysis of indications for thermo/cryo with emphasis on contemporary paradigms </w:t>
            </w:r>
          </w:p>
        </w:tc>
        <w:tc>
          <w:tcPr>
            <w:tcW w:type="dxa" w:w="159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Critique of current indications for thermo/cryo of publishable quality </w:t>
            </w:r>
          </w:p>
        </w:tc>
      </w:tr>
      <w:tr>
        <w:tblPrEx>
          <w:shd w:val="clear" w:color="auto" w:fill="ced7e7"/>
        </w:tblPrEx>
        <w:trPr>
          <w:trHeight w:val="1815" w:hRule="atLeast"/>
        </w:trPr>
        <w:tc>
          <w:tcPr>
            <w:tcW w:type="dxa" w:w="2024"/>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18"/>
                <w:szCs w:val="18"/>
                <w:rtl w:val="0"/>
                <w:lang w:val="en-US"/>
              </w:rPr>
              <w:t>Knowledge of Contra-indications, precautions, good practice(25%)</w:t>
            </w:r>
          </w:p>
        </w:tc>
        <w:tc>
          <w:tcPr>
            <w:tcW w:type="dxa" w:w="1036"/>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22"/>
                <w:szCs w:val="22"/>
                <w:rtl w:val="0"/>
                <w:lang w:val="en-US"/>
              </w:rPr>
              <w:t>1&amp;2</w:t>
            </w:r>
          </w:p>
        </w:tc>
        <w:tc>
          <w:tcPr>
            <w:tcW w:type="dxa" w:w="1457"/>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Omitted or no understanding of CIs and precautions in good practice</w:t>
            </w:r>
          </w:p>
        </w:tc>
        <w:tc>
          <w:tcPr>
            <w:tcW w:type="dxa" w:w="186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Inadequate, unreferenced  or incomplete understanding of CIs and precautions in good practice</w:t>
            </w:r>
          </w:p>
        </w:tc>
        <w:tc>
          <w:tcPr>
            <w:tcW w:type="dxa" w:w="165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Describes Cis and precautions in good practice, but is below level taught in class</w:t>
            </w:r>
          </w:p>
        </w:tc>
        <w:tc>
          <w:tcPr>
            <w:tcW w:type="dxa" w:w="146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Presentation Cis and precautions in good practice, at level taught in class</w:t>
            </w:r>
          </w:p>
        </w:tc>
        <w:tc>
          <w:tcPr>
            <w:tcW w:type="dxa" w:w="138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Presentation Cis and precautions in good practice, above level taught in class</w:t>
            </w:r>
          </w:p>
        </w:tc>
        <w:tc>
          <w:tcPr>
            <w:tcW w:type="dxa" w:w="15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Critical analysis of current Cis and precautions in good practice. </w:t>
            </w:r>
          </w:p>
        </w:tc>
        <w:tc>
          <w:tcPr>
            <w:tcW w:type="dxa" w:w="1611"/>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Critical analysis of current Cis and precautions in good practice, including new research</w:t>
            </w:r>
          </w:p>
        </w:tc>
        <w:tc>
          <w:tcPr>
            <w:tcW w:type="dxa" w:w="159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Critical analysis of Cis and precautions in good practice at a publishable level</w:t>
            </w:r>
          </w:p>
        </w:tc>
      </w:tr>
      <w:tr>
        <w:tblPrEx>
          <w:shd w:val="clear" w:color="auto" w:fill="ced7e7"/>
        </w:tblPrEx>
        <w:trPr>
          <w:trHeight w:val="1995" w:hRule="atLeast"/>
        </w:trPr>
        <w:tc>
          <w:tcPr>
            <w:tcW w:type="dxa" w:w="2024"/>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18"/>
                <w:szCs w:val="18"/>
                <w:rtl w:val="0"/>
                <w:lang w:val="en-US"/>
              </w:rPr>
              <w:t>Literature (25%)</w:t>
            </w:r>
          </w:p>
        </w:tc>
        <w:tc>
          <w:tcPr>
            <w:tcW w:type="dxa" w:w="1036"/>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22"/>
                <w:szCs w:val="22"/>
                <w:rtl w:val="0"/>
                <w:lang w:val="en-US"/>
              </w:rPr>
              <w:t>1&amp;2</w:t>
            </w:r>
          </w:p>
        </w:tc>
        <w:tc>
          <w:tcPr>
            <w:tcW w:type="dxa" w:w="1457"/>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Omitted or no engagement with appropriate contemporary literature </w:t>
            </w:r>
          </w:p>
        </w:tc>
        <w:tc>
          <w:tcPr>
            <w:tcW w:type="dxa" w:w="186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Inadequate, unreferenced  or incomplete overview of evidence base </w:t>
            </w:r>
          </w:p>
        </w:tc>
        <w:tc>
          <w:tcPr>
            <w:tcW w:type="dxa" w:w="165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Describes research that is no longer contemporary/ current. Below level taught in class</w:t>
            </w:r>
          </w:p>
        </w:tc>
        <w:tc>
          <w:tcPr>
            <w:tcW w:type="dxa" w:w="146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Presentation of evidence base without evidence of wider reading beyond class content</w:t>
            </w:r>
          </w:p>
        </w:tc>
        <w:tc>
          <w:tcPr>
            <w:tcW w:type="dxa" w:w="138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Presentation of current evidence base as a narrative without critical thinking</w:t>
            </w:r>
          </w:p>
        </w:tc>
        <w:tc>
          <w:tcPr>
            <w:tcW w:type="dxa" w:w="15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Critical analysis of current research and evidence base</w:t>
            </w:r>
          </w:p>
        </w:tc>
        <w:tc>
          <w:tcPr>
            <w:tcW w:type="dxa" w:w="1611"/>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Critical analysis of current research including methodological issues </w:t>
            </w:r>
          </w:p>
        </w:tc>
        <w:tc>
          <w:tcPr>
            <w:tcW w:type="dxa" w:w="159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Critical analysis of the literature that offers new insight in to current research</w:t>
            </w:r>
          </w:p>
        </w:tc>
      </w:tr>
      <w:tr>
        <w:tblPrEx>
          <w:shd w:val="clear" w:color="auto" w:fill="ced7e7"/>
        </w:tblPrEx>
        <w:trPr>
          <w:trHeight w:val="1455" w:hRule="atLeast"/>
        </w:trPr>
        <w:tc>
          <w:tcPr>
            <w:tcW w:type="dxa" w:w="2024"/>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18"/>
                <w:szCs w:val="18"/>
                <w:rtl w:val="0"/>
                <w:lang w:val="en-US"/>
              </w:rPr>
              <w:t>Conclusion (10%)</w:t>
            </w:r>
          </w:p>
        </w:tc>
        <w:tc>
          <w:tcPr>
            <w:tcW w:type="dxa" w:w="1036"/>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22"/>
                <w:szCs w:val="22"/>
                <w:rtl w:val="0"/>
                <w:lang w:val="en-US"/>
              </w:rPr>
              <w:t>1&amp;2</w:t>
            </w:r>
          </w:p>
        </w:tc>
        <w:tc>
          <w:tcPr>
            <w:tcW w:type="dxa" w:w="1457"/>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None presented or poor summary of findings </w:t>
            </w:r>
          </w:p>
        </w:tc>
        <w:tc>
          <w:tcPr>
            <w:tcW w:type="dxa" w:w="186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Incomplete or inadequate </w:t>
            </w:r>
          </w:p>
        </w:tc>
        <w:tc>
          <w:tcPr>
            <w:tcW w:type="dxa" w:w="165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Limited due to poor evidence base. Minimal application to practice.</w:t>
            </w:r>
          </w:p>
        </w:tc>
        <w:tc>
          <w:tcPr>
            <w:tcW w:type="dxa" w:w="146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Drawn on basic evidence base. Limited application to practice </w:t>
            </w:r>
          </w:p>
        </w:tc>
        <w:tc>
          <w:tcPr>
            <w:tcW w:type="dxa" w:w="138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Drawn on current evidence with some application to practice </w:t>
            </w:r>
          </w:p>
        </w:tc>
        <w:tc>
          <w:tcPr>
            <w:tcW w:type="dxa" w:w="15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Drawn on sound evidence base with some reference to current practice </w:t>
            </w:r>
          </w:p>
        </w:tc>
        <w:tc>
          <w:tcPr>
            <w:tcW w:type="dxa" w:w="1611"/>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Drawn on sound evidence base, related to current practice </w:t>
            </w:r>
          </w:p>
        </w:tc>
        <w:tc>
          <w:tcPr>
            <w:tcW w:type="dxa" w:w="159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Drawn on comprehensive evidence base, informs to current practice </w:t>
            </w:r>
          </w:p>
        </w:tc>
      </w:tr>
      <w:tr>
        <w:tblPrEx>
          <w:shd w:val="clear" w:color="auto" w:fill="ced7e7"/>
        </w:tblPrEx>
        <w:trPr>
          <w:trHeight w:val="1993" w:hRule="atLeast"/>
        </w:trPr>
        <w:tc>
          <w:tcPr>
            <w:tcW w:type="dxa" w:w="2024"/>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18"/>
                <w:szCs w:val="18"/>
                <w:rtl w:val="0"/>
                <w:lang w:val="en-US"/>
              </w:rPr>
              <w:t>Academic Writing (10%)</w:t>
            </w:r>
          </w:p>
        </w:tc>
        <w:tc>
          <w:tcPr>
            <w:tcW w:type="dxa" w:w="1036"/>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276" w:lineRule="auto"/>
              <w:jc w:val="center"/>
            </w:pPr>
            <w:r>
              <w:rPr>
                <w:rFonts w:ascii="Calibri" w:cs="Calibri" w:hAnsi="Calibri" w:eastAsia="Calibri"/>
                <w:sz w:val="22"/>
                <w:szCs w:val="22"/>
                <w:rtl w:val="0"/>
                <w:lang w:val="en-US"/>
              </w:rPr>
              <w:t>1&amp;2</w:t>
            </w:r>
          </w:p>
        </w:tc>
        <w:tc>
          <w:tcPr>
            <w:tcW w:type="dxa" w:w="1457"/>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Does not write in third person. Has not engaged with Harvard Guidelines. </w:t>
            </w:r>
          </w:p>
        </w:tc>
        <w:tc>
          <w:tcPr>
            <w:tcW w:type="dxa" w:w="186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Attempt to apply Harvard guidelines and Academic Writing with significant inconsistency,  errors and omissions</w:t>
            </w:r>
          </w:p>
        </w:tc>
        <w:tc>
          <w:tcPr>
            <w:tcW w:type="dxa" w:w="1658"/>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Attempt to apply Harvard guidelines and Academic Writing with inconsistency,  errors and omissions</w:t>
            </w:r>
          </w:p>
        </w:tc>
        <w:tc>
          <w:tcPr>
            <w:tcW w:type="dxa" w:w="1464"/>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 xml:space="preserve">Attempt to apply Harvard guidelines and Academic Writing with some errors and omissions </w:t>
            </w:r>
          </w:p>
        </w:tc>
        <w:tc>
          <w:tcPr>
            <w:tcW w:type="dxa" w:w="138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Attempt to apply Harvard guidelines and Academic Writing with minimal errors and omissions</w:t>
            </w:r>
          </w:p>
        </w:tc>
        <w:tc>
          <w:tcPr>
            <w:tcW w:type="dxa" w:w="152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Basic understanding of Harvard referencing and academic  writing</w:t>
            </w:r>
          </w:p>
        </w:tc>
        <w:tc>
          <w:tcPr>
            <w:tcW w:type="dxa" w:w="1611"/>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Consistent application of Harvard guidelines and Academic Writing conventions with minor formatting issues.</w:t>
            </w:r>
          </w:p>
        </w:tc>
        <w:tc>
          <w:tcPr>
            <w:tcW w:type="dxa" w:w="159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14"/>
                <w:szCs w:val="14"/>
                <w:rtl w:val="0"/>
                <w:lang w:val="en-US"/>
              </w:rPr>
              <w:t>Adheres fully to Harvard guidelines and academic writing conventions</w:t>
            </w:r>
          </w:p>
        </w:tc>
      </w:tr>
      <w:tr>
        <w:tblPrEx>
          <w:shd w:val="clear" w:color="auto" w:fill="ced7e7"/>
        </w:tblPrEx>
        <w:trPr>
          <w:trHeight w:val="602" w:hRule="atLeast"/>
        </w:trPr>
        <w:tc>
          <w:tcPr>
            <w:tcW w:type="dxa" w:w="14023"/>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b w:val="0"/>
                <w:bCs w:val="0"/>
                <w:sz w:val="18"/>
                <w:szCs w:val="18"/>
                <w:rtl w:val="0"/>
                <w:lang w:val="en-US"/>
              </w:rPr>
              <w:t xml:space="preserve">It is expected that students will present work that is proof read and follows the School </w:t>
            </w:r>
            <w:r>
              <w:rPr>
                <w:b w:val="1"/>
                <w:bCs w:val="1"/>
                <w:sz w:val="18"/>
                <w:szCs w:val="18"/>
                <w:rtl w:val="0"/>
                <w:lang w:val="en-US"/>
              </w:rPr>
              <w:t>Reference Guide</w:t>
            </w:r>
            <w:r>
              <w:rPr>
                <w:b w:val="0"/>
                <w:bCs w:val="0"/>
                <w:sz w:val="18"/>
                <w:szCs w:val="18"/>
                <w:rtl w:val="0"/>
                <w:lang w:val="en-US"/>
              </w:rPr>
              <w:t xml:space="preserve"> and </w:t>
            </w:r>
            <w:r>
              <w:rPr>
                <w:b w:val="1"/>
                <w:bCs w:val="1"/>
                <w:sz w:val="18"/>
                <w:szCs w:val="18"/>
                <w:rtl w:val="0"/>
                <w:lang w:val="en-US"/>
              </w:rPr>
              <w:t>Assessment Checklist.</w:t>
            </w:r>
            <w:r>
              <w:rPr>
                <w:b w:val="0"/>
                <w:bCs w:val="0"/>
                <w:sz w:val="18"/>
                <w:szCs w:val="18"/>
                <w:rtl w:val="0"/>
                <w:lang w:val="en-US"/>
              </w:rPr>
              <w:t xml:space="preserve"> Therefore a range of 0 </w:t>
            </w:r>
            <w:r>
              <w:rPr>
                <w:b w:val="0"/>
                <w:bCs w:val="0"/>
                <w:sz w:val="18"/>
                <w:szCs w:val="18"/>
                <w:rtl w:val="0"/>
                <w:lang w:val="en-US"/>
              </w:rPr>
              <w:t xml:space="preserve">– </w:t>
            </w:r>
            <w:r>
              <w:rPr>
                <w:b w:val="0"/>
                <w:bCs w:val="0"/>
                <w:sz w:val="18"/>
                <w:szCs w:val="18"/>
                <w:rtl w:val="0"/>
                <w:lang w:val="en-US"/>
              </w:rPr>
              <w:t xml:space="preserve">10 marks will be deducted for non-completion of any of the points on the </w:t>
            </w:r>
            <w:r>
              <w:rPr>
                <w:b w:val="1"/>
                <w:bCs w:val="1"/>
                <w:sz w:val="18"/>
                <w:szCs w:val="18"/>
                <w:rtl w:val="0"/>
                <w:lang w:val="en-US"/>
              </w:rPr>
              <w:t>checklist below</w:t>
            </w:r>
            <w:r>
              <w:rPr>
                <w:b w:val="0"/>
                <w:bCs w:val="0"/>
                <w:sz w:val="18"/>
                <w:szCs w:val="18"/>
                <w:rtl w:val="0"/>
                <w:lang w:val="en-US"/>
              </w:rPr>
              <w:t>.</w:t>
            </w:r>
          </w:p>
        </w:tc>
        <w:tc>
          <w:tcPr>
            <w:tcW w:type="dxa" w:w="159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500" w:hRule="atLeast"/>
        </w:trPr>
        <w:tc>
          <w:tcPr>
            <w:tcW w:type="dxa" w:w="15613"/>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Body"/>
              <w:jc w:val="right"/>
              <w:rPr>
                <w:b w:val="1"/>
                <w:bCs w:val="1"/>
              </w:rPr>
            </w:pPr>
            <w:r>
              <w:rPr>
                <w:b w:val="1"/>
                <w:bCs w:val="1"/>
                <w:rtl w:val="0"/>
                <w:lang w:val="en-US"/>
              </w:rPr>
              <w:t>TUTOR COMMENTS:</w:t>
            </w:r>
          </w:p>
          <w:p>
            <w:pPr>
              <w:pStyle w:val="Body"/>
              <w:ind w:left="937" w:right="1152" w:firstLine="0"/>
              <w:jc w:val="right"/>
              <w:rPr>
                <w:b w:val="1"/>
                <w:bCs w:val="1"/>
                <w:lang w:val="en-US"/>
              </w:rPr>
            </w:pPr>
          </w:p>
          <w:p>
            <w:pPr>
              <w:pStyle w:val="Body"/>
              <w:ind w:left="937" w:right="1152" w:firstLine="0"/>
              <w:jc w:val="right"/>
              <w:rPr>
                <w:b w:val="1"/>
                <w:bCs w:val="1"/>
                <w:lang w:val="en-US"/>
              </w:rPr>
            </w:pPr>
          </w:p>
          <w:p>
            <w:pPr>
              <w:pStyle w:val="Body"/>
              <w:ind w:left="937" w:right="1152" w:firstLine="0"/>
              <w:jc w:val="right"/>
            </w:pPr>
            <w:r>
              <w:rPr>
                <w:b w:val="1"/>
                <w:bCs w:val="1"/>
                <w:lang w:val="en-US"/>
              </w:rPr>
            </w:r>
          </w:p>
        </w:tc>
      </w:tr>
      <w:tr>
        <w:tblPrEx>
          <w:shd w:val="clear" w:color="auto" w:fill="ced7e7"/>
        </w:tblPrEx>
        <w:trPr>
          <w:trHeight w:val="627" w:hRule="atLeast"/>
        </w:trPr>
        <w:tc>
          <w:tcPr>
            <w:tcW w:type="dxa" w:w="5842"/>
            <w:gridSpan w:val="4"/>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rPr>
                <w:b w:val="1"/>
                <w:bCs w:val="1"/>
                <w:sz w:val="18"/>
                <w:szCs w:val="18"/>
              </w:rPr>
            </w:pPr>
            <w:r>
              <w:rPr>
                <w:b w:val="1"/>
                <w:bCs w:val="1"/>
                <w:sz w:val="18"/>
                <w:szCs w:val="18"/>
                <w:rtl w:val="0"/>
                <w:lang w:val="en-US"/>
              </w:rPr>
              <w:t>Submission date:</w:t>
            </w:r>
          </w:p>
          <w:p>
            <w:pPr>
              <w:pStyle w:val="Body"/>
              <w:bidi w:val="0"/>
              <w:ind w:left="0" w:right="0" w:firstLine="0"/>
              <w:jc w:val="right"/>
              <w:rPr>
                <w:rtl w:val="0"/>
              </w:rPr>
            </w:pPr>
            <w:r>
              <w:rPr>
                <w:b w:val="1"/>
                <w:bCs w:val="1"/>
                <w:sz w:val="18"/>
                <w:szCs w:val="18"/>
                <w:rtl w:val="0"/>
                <w:lang w:val="en-US"/>
              </w:rPr>
              <w:t>via Turnitin</w:t>
            </w:r>
          </w:p>
        </w:tc>
        <w:tc>
          <w:tcPr>
            <w:tcW w:type="dxa" w:w="2766"/>
            <w:gridSpan w:val="3"/>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rPr>
                <w:b w:val="1"/>
                <w:bCs w:val="1"/>
                <w:sz w:val="18"/>
                <w:szCs w:val="18"/>
              </w:rPr>
            </w:pPr>
            <w:r>
              <w:rPr>
                <w:b w:val="1"/>
                <w:bCs w:val="1"/>
                <w:sz w:val="18"/>
                <w:szCs w:val="18"/>
                <w:rtl w:val="0"/>
                <w:lang w:val="en-US"/>
              </w:rPr>
              <w:t>Return date:</w:t>
            </w:r>
          </w:p>
          <w:p>
            <w:pPr>
              <w:pStyle w:val="Body"/>
              <w:bidi w:val="0"/>
              <w:ind w:left="0" w:right="0" w:firstLine="0"/>
              <w:jc w:val="right"/>
              <w:rPr>
                <w:rtl w:val="0"/>
              </w:rPr>
            </w:pPr>
            <w:r>
              <w:rPr>
                <w:b w:val="1"/>
                <w:bCs w:val="1"/>
                <w:sz w:val="18"/>
                <w:szCs w:val="18"/>
                <w:rtl w:val="0"/>
                <w:lang w:val="en-US"/>
              </w:rPr>
              <w:t>(at least within 4 weeks)</w:t>
            </w:r>
          </w:p>
        </w:tc>
        <w:tc>
          <w:tcPr>
            <w:tcW w:type="dxa" w:w="4075"/>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b w:val="1"/>
                <w:bCs w:val="1"/>
                <w:sz w:val="18"/>
                <w:szCs w:val="18"/>
                <w:rtl w:val="0"/>
                <w:lang w:val="en-US"/>
              </w:rPr>
              <w:t>Tutor:</w:t>
            </w:r>
          </w:p>
        </w:tc>
        <w:tc>
          <w:tcPr>
            <w:tcW w:type="dxa" w:w="2930"/>
            <w:gridSpan w:val="2"/>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Body"/>
              <w:jc w:val="right"/>
            </w:pPr>
            <w:r>
              <w:rPr>
                <w:b w:val="1"/>
                <w:bCs w:val="1"/>
                <w:sz w:val="18"/>
                <w:szCs w:val="18"/>
                <w:rtl w:val="0"/>
                <w:lang w:val="en-US"/>
              </w:rPr>
              <w:t>Mark:</w:t>
            </w:r>
          </w:p>
        </w:tc>
      </w:tr>
    </w:tbl>
    <w:p>
      <w:pPr>
        <w:pStyle w:val="Default"/>
        <w:spacing w:after="240" w:line="288" w:lineRule="auto"/>
        <w:rPr>
          <w:rFonts w:ascii="Times New Roman" w:cs="Times New Roman" w:hAnsi="Times New Roman" w:eastAsia="Times New Roman"/>
          <w:b w:val="1"/>
          <w:bCs w:val="1"/>
          <w:sz w:val="28"/>
          <w:szCs w:val="28"/>
          <w:u w:val="single"/>
          <w:shd w:val="clear" w:color="auto" w:fill="ffffff"/>
        </w:rPr>
      </w:pPr>
    </w:p>
    <w:p>
      <w:pPr>
        <w:pStyle w:val="Body"/>
        <w:spacing w:after="120"/>
        <w:rPr>
          <w:sz w:val="28"/>
          <w:szCs w:val="28"/>
          <w14:textOutline w14:w="12700" w14:cap="flat">
            <w14:noFill/>
            <w14:miter w14:lim="400000"/>
          </w14:textOutline>
        </w:rPr>
      </w:pPr>
    </w:p>
    <w:p>
      <w:pPr>
        <w:pStyle w:val="Body"/>
        <w:spacing w:after="120"/>
        <w:rPr>
          <w:b w:val="0"/>
          <w:bCs w:val="0"/>
          <w:sz w:val="28"/>
          <w:szCs w:val="28"/>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b w:val="1"/>
          <w:bCs w:val="1"/>
          <w:sz w:val="28"/>
          <w:szCs w:val="28"/>
          <w:u w:val="single"/>
          <w14:textOutline w14:w="12700" w14:cap="flat">
            <w14:noFill/>
            <w14:miter w14:lim="400000"/>
          </w14:textOutline>
        </w:rPr>
      </w:pPr>
    </w:p>
    <w:p>
      <w:pPr>
        <w:pStyle w:val="Body"/>
        <w:spacing w:after="120"/>
        <w:rPr>
          <w:sz w:val="28"/>
          <w:szCs w:val="28"/>
          <w:u w:val="single"/>
          <w14:textOutline w14:w="12700" w14:cap="flat">
            <w14:noFill/>
            <w14:miter w14:lim="400000"/>
          </w14:textOutline>
        </w:rPr>
      </w:pPr>
    </w:p>
    <w:p>
      <w:pPr>
        <w:pStyle w:val="Body"/>
        <w:spacing w:after="120"/>
        <w:rPr>
          <w:sz w:val="28"/>
          <w:szCs w:val="28"/>
          <w:u w:val="single"/>
          <w14:textOutline w14:w="12700" w14:cap="flat">
            <w14:noFill/>
            <w14:miter w14:lim="400000"/>
          </w14:textOutline>
        </w:rPr>
      </w:pPr>
      <w:r>
        <w:rPr>
          <w:sz w:val="20"/>
          <w:szCs w:val="20"/>
          <w14:textOutline w14:w="12700" w14:cap="flat">
            <w14:noFill/>
            <w14:miter w14:lim="400000"/>
          </w14:textOutline>
        </w:rPr>
        <w:fldChar w:fldCharType="begin" w:fldLock="0"/>
      </w:r>
      <w:r>
        <w:rPr>
          <w:sz w:val="20"/>
          <w:szCs w:val="20"/>
          <w14:textOutline w14:w="12700" w14:cap="flat">
            <w14:noFill/>
            <w14:miter w14:lim="400000"/>
          </w14:textOutline>
        </w:rPr>
        <w:instrText xml:space="preserve"> PAGE </w:instrText>
      </w:r>
      <w:r>
        <w:rPr>
          <w:sz w:val="20"/>
          <w:szCs w:val="20"/>
          <w14:textOutline w14:w="12700" w14:cap="flat">
            <w14:noFill/>
            <w14:miter w14:lim="400000"/>
          </w14:textOutline>
        </w:rPr>
        <w:fldChar w:fldCharType="separate" w:fldLock="0"/>
      </w:r>
      <w:r>
        <w:rPr>
          <w:sz w:val="20"/>
          <w:szCs w:val="20"/>
          <w14:textOutline w14:w="12700" w14:cap="flat">
            <w14:noFill/>
            <w14:miter w14:lim="400000"/>
          </w14:textOutline>
        </w:rPr>
        <w:t>2</w:t>
      </w:r>
      <w:r>
        <w:rPr>
          <w:sz w:val="20"/>
          <w:szCs w:val="20"/>
          <w14:textOutline w14:w="12700" w14:cap="flat">
            <w14:noFill/>
            <w14:miter w14:lim="400000"/>
          </w14:textOutline>
        </w:rPr>
        <w:fldChar w:fldCharType="end" w:fldLock="0"/>
      </w:r>
    </w:p>
    <w:p>
      <w:pPr>
        <w:pStyle w:val="Body A"/>
        <w:spacing w:line="360" w:lineRule="auto"/>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Introduction to Sports Therapy Skills Assignment</w:t>
      </w:r>
    </w:p>
    <w:p>
      <w:pPr>
        <w:keepNext w:val="0"/>
        <w:keepLines w:val="0"/>
        <w:pageBreakBefore w:val="0"/>
        <w:widowControl w:val="1"/>
        <w:shd w:val="clear" w:color="auto" w:fill="auto"/>
        <w:suppressAutoHyphens w:val="0"/>
        <w:bidi w:val="0"/>
        <w:spacing w:before="0" w:after="120" w:line="360" w:lineRule="auto"/>
        <w:ind w:left="0" w:right="0" w:firstLine="0"/>
        <w:jc w:val="left"/>
        <w:outlineLvl w:val="9"/>
        <w:rPr>
          <w:rFonts w:ascii="Times New Roman" w:cs="Times New Roman" w:hAnsi="Times New Roman" w:eastAsia="Times New Roman"/>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hint="default"/>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w:t>
      </w:r>
      <w:r>
        <w:rPr>
          <w:rFonts w:ascii="Times New Roman" w:cs="Arial Unicode MS" w:hAnsi="Times New Roman" w:eastAsia="Arial Unicode MS"/>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Some people say hot; some people say cold.  Using your knowledge and the available literature, discuss under what circumstances you would utilise thermo/cryo therapy treatments as part of a holistic program that facilitates optimal injury management for a soft tissue injury?</w:t>
      </w:r>
      <w:r>
        <w:rPr>
          <w:rFonts w:ascii="Times New Roman" w:cs="Arial Unicode MS" w:hAnsi="Times New Roman" w:eastAsia="Arial Unicode MS" w:hint="default"/>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 xml:space="preserve">’  </w:t>
      </w:r>
    </w:p>
    <w:p>
      <w:pPr>
        <w:keepNext w:val="0"/>
        <w:keepLines w:val="0"/>
        <w:pageBreakBefore w:val="0"/>
        <w:widowControl w:val="1"/>
        <w:shd w:val="clear" w:color="auto" w:fill="auto"/>
        <w:suppressAutoHyphens w:val="0"/>
        <w:bidi w:val="0"/>
        <w:spacing w:before="0" w:after="120" w:line="36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8"/>
          <w:szCs w:val="28"/>
          <w:u w:val="single" w:color="000000"/>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Ensure you discuss the underpinning physiological mechanisms of cryotherapy and thermotherapy.</w:t>
      </w:r>
    </w:p>
    <w:p>
      <w:pPr>
        <w:keepNext w:val="0"/>
        <w:keepLines w:val="0"/>
        <w:pageBreakBefore w:val="0"/>
        <w:widowControl w:val="1"/>
        <w:shd w:val="clear" w:color="auto" w:fill="auto"/>
        <w:suppressAutoHyphens w:val="0"/>
        <w:bidi w:val="0"/>
        <w:spacing w:before="0" w:after="120" w:line="36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8"/>
          <w:szCs w:val="28"/>
          <w:u w:val="singl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36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8"/>
          <w:szCs w:val="28"/>
          <w:u w:val="single" w:color="000000"/>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8"/>
          <w:szCs w:val="28"/>
          <w:u w:val="none" w:color="000000"/>
          <w:vertAlign w:val="baseline"/>
          <w:rtl w:val="0"/>
          <w:lang w:val="en-US"/>
          <w14:textOutline>
            <w14:noFill/>
          </w14:textOutline>
          <w14:textFill>
            <w14:solidFill>
              <w14:srgbClr w14:val="000000"/>
            </w14:solidFill>
          </w14:textFill>
        </w:rPr>
        <w:t>Introduction</w:t>
      </w:r>
    </w:p>
    <w:p>
      <w:pPr>
        <w:pStyle w:val="Body"/>
        <w:spacing w:line="360" w:lineRule="auto"/>
        <w:rPr>
          <w:lang w:val="en-US"/>
        </w:rPr>
      </w:pPr>
      <w:r>
        <w:rPr>
          <w:rtl w:val="0"/>
          <w:lang w:val="en-US"/>
        </w:rPr>
        <w:t>The</w:t>
      </w:r>
      <w:r>
        <w:rPr>
          <w:rtl w:val="0"/>
          <w:lang w:val="en-US"/>
        </w:rPr>
        <w:t xml:space="preserve"> effects of cryotherapy and thermotherapy can be detrimental when used for treatment for a soft tissue injury. Stages of injury </w:t>
      </w:r>
      <w:r>
        <w:rPr>
          <w:rtl w:val="0"/>
          <w:lang w:val="en-US"/>
        </w:rPr>
        <w:t xml:space="preserve">are </w:t>
      </w:r>
      <w:r>
        <w:rPr>
          <w:rtl w:val="0"/>
          <w:lang w:val="en-US"/>
        </w:rPr>
        <w:t>important when deciding between cryotherapy or thermotherapy. Cryotherapy is one of the most common treatment methods implemented in the immediate management of acute soft tissue injury (Bleakley et al</w:t>
      </w:r>
      <w:r>
        <w:rPr>
          <w:rtl w:val="0"/>
          <w:lang w:val="en-US"/>
        </w:rPr>
        <w:t>.</w:t>
      </w:r>
      <w:r>
        <w:rPr>
          <w:rtl w:val="0"/>
          <w:lang w:val="en-US"/>
        </w:rPr>
        <w:t>, 2007).</w:t>
      </w:r>
      <w:r>
        <w:rPr>
          <w:b w:val="1"/>
          <w:bCs w:val="1"/>
          <w:rtl w:val="0"/>
          <w:lang w:val="en-US"/>
        </w:rPr>
        <w:t xml:space="preserve"> </w:t>
      </w:r>
      <w:r>
        <w:rPr>
          <w:rtl w:val="0"/>
          <w:lang w:val="en-US"/>
        </w:rPr>
        <w:t>Soft tissue healing involves an integrated overlapping which includes bleeding phase, inflammation phase, proliferation phase and remodelling phase. During the bleeding phase vascular constriction and platelet aggregation at the location of injury shape a fibrin clot, as a result reduces excess of blood from damaged blood vessels in the wound. The fibrin clot functions as a shield containing many molecules released by platelets and monocytes, provisional matrix is then provided by the clot for migration of the cells to pass through during the wound repair process (Ghatak et al., 2015). Next is the</w:t>
      </w:r>
      <w:r>
        <w:rPr>
          <w:rtl w:val="0"/>
          <w:lang w:val="en-US"/>
        </w:rPr>
        <w:t xml:space="preserve"> acute inflammation </w:t>
      </w:r>
      <w:r>
        <w:rPr>
          <w:rtl w:val="0"/>
          <w:lang w:val="en-US"/>
        </w:rPr>
        <w:t xml:space="preserve">phase </w:t>
      </w:r>
      <w:r>
        <w:rPr>
          <w:rtl w:val="0"/>
          <w:lang w:val="en-US"/>
        </w:rPr>
        <w:t xml:space="preserve">which is </w:t>
      </w:r>
      <w:r>
        <w:rPr>
          <w:rtl w:val="0"/>
          <w:lang w:val="en-US"/>
        </w:rPr>
        <w:t>linked</w:t>
      </w:r>
      <w:r>
        <w:rPr>
          <w:rtl w:val="0"/>
          <w:lang w:val="en-US"/>
        </w:rPr>
        <w:t xml:space="preserve"> to </w:t>
      </w:r>
      <w:r>
        <w:rPr>
          <w:rtl w:val="0"/>
          <w:lang w:val="en-US"/>
        </w:rPr>
        <w:t>the production of the anti-inflammatory cytokines required for the down regulation of the inflammatory response and necessary to prevent further inflammation related damages, but also certain</w:t>
      </w:r>
      <w:r>
        <w:rPr>
          <w:rtl w:val="0"/>
          <w:lang w:val="en-US"/>
        </w:rPr>
        <w:t xml:space="preserve"> recruitment </w:t>
      </w:r>
      <w:r>
        <w:rPr>
          <w:rtl w:val="0"/>
          <w:lang w:val="en-US"/>
        </w:rPr>
        <w:t xml:space="preserve">of immune cell type </w:t>
      </w:r>
      <w:r>
        <w:rPr>
          <w:rtl w:val="0"/>
          <w:lang w:val="en-US"/>
        </w:rPr>
        <w:t>responsible for phagocytosis of dead cell debris</w:t>
      </w:r>
      <w:r>
        <w:rPr>
          <w:rtl w:val="0"/>
          <w:lang w:val="en-US"/>
        </w:rPr>
        <w:t xml:space="preserve"> (</w:t>
      </w:r>
      <w:r>
        <w:rPr>
          <w:rtl w:val="0"/>
          <w:lang w:val="en-US"/>
        </w:rPr>
        <w:t>Peurichard et al., 2019</w:t>
      </w:r>
      <w:r>
        <w:rPr>
          <w:rtl w:val="0"/>
          <w:lang w:val="en-US"/>
        </w:rPr>
        <w:t>)</w:t>
      </w:r>
      <w:r>
        <w:rPr>
          <w:b w:val="1"/>
          <w:bCs w:val="1"/>
          <w:rtl w:val="0"/>
          <w:lang w:val="en-US"/>
        </w:rPr>
        <w:t xml:space="preserve">. </w:t>
      </w:r>
      <w:r>
        <w:rPr>
          <w:rtl w:val="0"/>
          <w:lang w:val="en-US"/>
        </w:rPr>
        <w:t>Th</w:t>
      </w:r>
      <w:r>
        <w:rPr>
          <w:rtl w:val="0"/>
          <w:lang w:val="en-US"/>
        </w:rPr>
        <w:t>e</w:t>
      </w:r>
      <w:r>
        <w:rPr>
          <w:rtl w:val="0"/>
          <w:lang w:val="en-US"/>
        </w:rPr>
        <w:t xml:space="preserve"> proliferation stage is </w:t>
      </w:r>
      <w:r>
        <w:rPr>
          <w:rtl w:val="0"/>
          <w:lang w:val="en-US"/>
        </w:rPr>
        <w:t>related</w:t>
      </w:r>
      <w:r>
        <w:rPr>
          <w:rtl w:val="0"/>
          <w:lang w:val="en-US"/>
        </w:rPr>
        <w:t xml:space="preserve"> to </w:t>
      </w:r>
      <w:r>
        <w:rPr>
          <w:rtl w:val="0"/>
          <w:lang w:val="en-US"/>
        </w:rPr>
        <w:t xml:space="preserve">the formation of new connective tissue and microscopic blood vessels on surface of the wound, characterised </w:t>
      </w:r>
      <w:r>
        <w:rPr>
          <w:rtl w:val="0"/>
          <w:lang w:val="en-US"/>
        </w:rPr>
        <w:t xml:space="preserve">by </w:t>
      </w:r>
      <w:r>
        <w:rPr>
          <w:rtl w:val="0"/>
          <w:lang w:val="en-US"/>
        </w:rPr>
        <w:t>depositing</w:t>
      </w:r>
      <w:r>
        <w:rPr>
          <w:rtl w:val="0"/>
          <w:lang w:val="en-US"/>
        </w:rPr>
        <w:t xml:space="preserve"> of an immature provisional </w:t>
      </w:r>
      <w:r>
        <w:rPr>
          <w:rtl w:val="0"/>
          <w:lang w:val="en-US"/>
        </w:rPr>
        <w:t>extra cellular matrix. Therefore,</w:t>
      </w:r>
      <w:r>
        <w:rPr>
          <w:rtl w:val="0"/>
          <w:lang w:val="en-US"/>
        </w:rPr>
        <w:t xml:space="preserve"> this </w:t>
      </w:r>
      <w:r>
        <w:rPr>
          <w:rtl w:val="0"/>
          <w:lang w:val="en-US"/>
        </w:rPr>
        <w:t>action</w:t>
      </w:r>
      <w:r>
        <w:rPr>
          <w:rtl w:val="0"/>
          <w:lang w:val="en-US"/>
        </w:rPr>
        <w:t xml:space="preserve"> </w:t>
      </w:r>
      <w:r>
        <w:rPr>
          <w:rtl w:val="0"/>
          <w:lang w:val="en-US"/>
        </w:rPr>
        <w:t>encourages</w:t>
      </w:r>
      <w:r>
        <w:rPr>
          <w:rtl w:val="0"/>
          <w:lang w:val="en-US"/>
        </w:rPr>
        <w:t xml:space="preserve"> fibroblasts differentiation into myofibroblasts</w:t>
      </w:r>
      <w:r>
        <w:rPr>
          <w:rtl w:val="0"/>
          <w:lang w:val="en-US"/>
        </w:rPr>
        <w:t xml:space="preserve"> which is </w:t>
      </w:r>
      <w:r>
        <w:rPr>
          <w:rtl w:val="0"/>
          <w:lang w:val="en-US"/>
        </w:rPr>
        <w:t xml:space="preserve">responsible of fibrous collagen synthesis, </w:t>
      </w:r>
      <w:r>
        <w:rPr>
          <w:rtl w:val="0"/>
          <w:lang w:val="en-US"/>
        </w:rPr>
        <w:t>as a result</w:t>
      </w:r>
      <w:r>
        <w:rPr>
          <w:rtl w:val="0"/>
          <w:lang w:val="en-US"/>
        </w:rPr>
        <w:t xml:space="preserve"> transition</w:t>
      </w:r>
      <w:r>
        <w:rPr>
          <w:rtl w:val="0"/>
          <w:lang w:val="en-US"/>
        </w:rPr>
        <w:t>s</w:t>
      </w:r>
      <w:r>
        <w:rPr>
          <w:rtl w:val="0"/>
          <w:lang w:val="en-US"/>
        </w:rPr>
        <w:t xml:space="preserve"> to </w:t>
      </w:r>
      <w:r>
        <w:rPr>
          <w:rtl w:val="0"/>
          <w:lang w:val="en-US"/>
        </w:rPr>
        <w:t xml:space="preserve">the </w:t>
      </w:r>
      <w:r>
        <w:rPr>
          <w:rtl w:val="0"/>
          <w:lang w:val="en-US"/>
        </w:rPr>
        <w:t>remodel</w:t>
      </w:r>
      <w:r>
        <w:rPr>
          <w:rtl w:val="0"/>
          <w:lang w:val="en-US"/>
        </w:rPr>
        <w:t>l</w:t>
      </w:r>
      <w:r>
        <w:rPr>
          <w:rtl w:val="0"/>
          <w:lang w:val="en-US"/>
        </w:rPr>
        <w:t>ing stage</w:t>
      </w:r>
      <w:r>
        <w:rPr>
          <w:rtl w:val="0"/>
          <w:lang w:val="en-US"/>
        </w:rPr>
        <w:t xml:space="preserve"> (Peurichard et al., 2019)</w:t>
      </w:r>
      <w:r>
        <w:rPr>
          <w:rtl w:val="0"/>
          <w:lang w:val="en-US"/>
        </w:rPr>
        <w:t>.</w:t>
      </w:r>
      <w:r>
        <w:rPr>
          <w:b w:val="1"/>
          <w:bCs w:val="1"/>
          <w:rtl w:val="0"/>
          <w:lang w:val="en-US"/>
        </w:rPr>
        <w:t xml:space="preserve"> </w:t>
      </w:r>
      <w:r>
        <w:rPr>
          <w:rtl w:val="0"/>
          <w:lang w:val="en-US"/>
        </w:rPr>
        <w:t>Lastly the r</w:t>
      </w:r>
      <w:r>
        <w:rPr>
          <w:rtl w:val="0"/>
          <w:lang w:val="en-US"/>
        </w:rPr>
        <w:t>emodel</w:t>
      </w:r>
      <w:r>
        <w:rPr>
          <w:rtl w:val="0"/>
          <w:lang w:val="en-US"/>
        </w:rPr>
        <w:t>l</w:t>
      </w:r>
      <w:r>
        <w:rPr>
          <w:rtl w:val="0"/>
          <w:lang w:val="en-US"/>
        </w:rPr>
        <w:t xml:space="preserve">ing </w:t>
      </w:r>
      <w:r>
        <w:rPr>
          <w:rtl w:val="0"/>
          <w:lang w:val="en-US"/>
        </w:rPr>
        <w:t>phase which depending on wound type can last weeks, months or years</w:t>
      </w:r>
      <w:r>
        <w:rPr>
          <w:rtl w:val="0"/>
          <w:lang w:val="en-US"/>
        </w:rPr>
        <w:t>.</w:t>
      </w:r>
      <w:r>
        <w:rPr>
          <w:b w:val="1"/>
          <w:bCs w:val="1"/>
          <w:rtl w:val="0"/>
          <w:lang w:val="en-US"/>
        </w:rPr>
        <w:t xml:space="preserve"> </w:t>
      </w:r>
      <w:r>
        <w:rPr>
          <w:rtl w:val="0"/>
          <w:lang w:val="en-US"/>
        </w:rPr>
        <w:t xml:space="preserve">Throughout this phase </w:t>
      </w:r>
      <w:r>
        <w:rPr>
          <w:rtl w:val="0"/>
          <w:lang w:val="en-US"/>
        </w:rPr>
        <w:t>granulation gradually</w:t>
      </w:r>
      <w:r>
        <w:rPr>
          <w:rtl w:val="0"/>
          <w:lang w:val="en-US"/>
        </w:rPr>
        <w:t xml:space="preserve"> concludes</w:t>
      </w:r>
      <w:r>
        <w:rPr>
          <w:rtl w:val="0"/>
          <w:lang w:val="en-US"/>
        </w:rPr>
        <w:t>, the collagen matrix is reorgani</w:t>
      </w:r>
      <w:r>
        <w:rPr>
          <w:rtl w:val="0"/>
          <w:lang w:val="en-US"/>
        </w:rPr>
        <w:t>s</w:t>
      </w:r>
      <w:r>
        <w:rPr>
          <w:rtl w:val="0"/>
          <w:lang w:val="en-US"/>
        </w:rPr>
        <w:t>ed along tension lines</w:t>
      </w:r>
      <w:r>
        <w:rPr>
          <w:rtl w:val="0"/>
          <w:lang w:val="en-US"/>
        </w:rPr>
        <w:t xml:space="preserve"> then the</w:t>
      </w:r>
      <w:r>
        <w:rPr>
          <w:rtl w:val="0"/>
          <w:lang w:val="en-US"/>
        </w:rPr>
        <w:t xml:space="preserve"> wound contracts along the axis of constriction</w:t>
      </w:r>
      <w:r>
        <w:rPr>
          <w:rtl w:val="0"/>
          <w:lang w:val="en-US"/>
        </w:rPr>
        <w:t xml:space="preserve"> </w:t>
      </w:r>
      <w:r>
        <w:rPr>
          <w:rtl w:val="0"/>
          <w:lang w:val="en-US"/>
        </w:rPr>
        <w:t>by the myofibroblasts</w:t>
      </w:r>
      <w:r>
        <w:rPr>
          <w:rtl w:val="0"/>
          <w:lang w:val="en-US"/>
        </w:rPr>
        <w:t xml:space="preserve">, all </w:t>
      </w:r>
      <w:r>
        <w:rPr>
          <w:rtl w:val="0"/>
          <w:lang w:val="en-US"/>
        </w:rPr>
        <w:t xml:space="preserve">unneeded cells </w:t>
      </w:r>
      <w:r>
        <w:rPr>
          <w:rtl w:val="0"/>
          <w:lang w:val="en-US"/>
        </w:rPr>
        <w:t>undertake</w:t>
      </w:r>
      <w:r>
        <w:rPr>
          <w:rtl w:val="0"/>
          <w:lang w:val="en-US"/>
        </w:rPr>
        <w:t xml:space="preserve"> apoptosis. Finally, the wound is covered by tissue in a process of epithelialization</w:t>
      </w:r>
      <w:r>
        <w:rPr>
          <w:rtl w:val="0"/>
          <w:lang w:val="en-US"/>
        </w:rPr>
        <w:t>, k</w:t>
      </w:r>
      <w:r>
        <w:rPr>
          <w:rtl w:val="0"/>
          <w:lang w:val="en-US"/>
        </w:rPr>
        <w:t xml:space="preserve">eratinocytes </w:t>
      </w:r>
      <w:r>
        <w:rPr>
          <w:rtl w:val="0"/>
          <w:lang w:val="en-US"/>
        </w:rPr>
        <w:t>migrate</w:t>
      </w:r>
      <w:r>
        <w:rPr>
          <w:rtl w:val="0"/>
          <w:lang w:val="en-US"/>
        </w:rPr>
        <w:t xml:space="preserve"> to establish the new membrane</w:t>
      </w:r>
      <w:r>
        <w:rPr>
          <w:rtl w:val="0"/>
          <w:lang w:val="en-US"/>
        </w:rPr>
        <w:t xml:space="preserve"> (</w:t>
      </w:r>
      <w:r>
        <w:rPr>
          <w:rtl w:val="0"/>
          <w:lang w:val="en-US"/>
        </w:rPr>
        <w:t xml:space="preserve">Shechter and Schwartz, 2013). </w:t>
      </w:r>
    </w:p>
    <w:p>
      <w:pPr>
        <w:pStyle w:val="Body"/>
        <w:spacing w:line="360" w:lineRule="auto"/>
        <w:rPr>
          <w:sz w:val="20"/>
          <w:szCs w:val="20"/>
          <w:lang w:val="en-US"/>
        </w:rPr>
      </w:pPr>
      <w:r>
        <w:rPr>
          <w:sz w:val="20"/>
          <w:szCs w:val="20"/>
          <w:lang w:val="en-US"/>
        </w:rPr>
        <w:fldChar w:fldCharType="begin" w:fldLock="0"/>
      </w:r>
      <w:r>
        <w:rPr>
          <w:sz w:val="20"/>
          <w:szCs w:val="20"/>
          <w:lang w:val="en-US"/>
        </w:rPr>
        <w:instrText xml:space="preserve"> PAGE </w:instrText>
      </w:r>
      <w:r>
        <w:rPr>
          <w:sz w:val="20"/>
          <w:szCs w:val="20"/>
          <w:lang w:val="en-US"/>
        </w:rPr>
        <w:fldChar w:fldCharType="separate" w:fldLock="0"/>
      </w:r>
      <w:r>
        <w:rPr>
          <w:sz w:val="20"/>
          <w:szCs w:val="20"/>
          <w:lang w:val="en-US"/>
        </w:rPr>
        <w:t>3</w:t>
      </w:r>
      <w:r>
        <w:rPr>
          <w:sz w:val="20"/>
          <w:szCs w:val="20"/>
          <w:lang w:val="en-US"/>
        </w:rPr>
        <w:fldChar w:fldCharType="end" w:fldLock="0"/>
      </w:r>
    </w:p>
    <w:p>
      <w:pPr>
        <w:pStyle w:val="Body"/>
        <w:spacing w:line="360" w:lineRule="auto"/>
        <w:rPr>
          <w:lang w:val="en-US"/>
        </w:rPr>
      </w:pPr>
      <w:r>
        <w:rPr>
          <w:rtl w:val="0"/>
          <w:lang w:val="en-US"/>
        </w:rPr>
        <w:t>Using thermotherapy during later stages of injury can be</w:t>
      </w:r>
      <w:r>
        <w:rPr>
          <w:rtl w:val="0"/>
          <w:lang w:val="en-US"/>
        </w:rPr>
        <w:t xml:space="preserve"> beneficial for increase range of movement (Knight </w:t>
      </w:r>
      <w:r>
        <w:rPr>
          <w:rtl w:val="0"/>
          <w:lang w:val="en-US"/>
        </w:rPr>
        <w:t>et</w:t>
      </w:r>
      <w:r>
        <w:rPr>
          <w:rtl w:val="0"/>
          <w:lang w:val="en-US"/>
        </w:rPr>
        <w:t xml:space="preserve"> al</w:t>
      </w:r>
      <w:r>
        <w:rPr>
          <w:rtl w:val="0"/>
          <w:lang w:val="en-US"/>
        </w:rPr>
        <w:t>.</w:t>
      </w:r>
      <w:r>
        <w:rPr>
          <w:rtl w:val="0"/>
          <w:lang w:val="en-US"/>
        </w:rPr>
        <w:t xml:space="preserve">, </w:t>
      </w:r>
      <w:r>
        <w:rPr>
          <w:rtl w:val="0"/>
          <w:lang w:val="en-US"/>
        </w:rPr>
        <w:t>2001</w:t>
      </w:r>
      <w:r>
        <w:rPr>
          <w:rtl w:val="0"/>
          <w:lang w:val="en-US"/>
        </w:rPr>
        <w:t>).</w:t>
      </w:r>
    </w:p>
    <w:p>
      <w:pPr>
        <w:pStyle w:val="Body"/>
        <w:spacing w:line="360" w:lineRule="auto"/>
        <w:rPr>
          <w:sz w:val="28"/>
          <w:szCs w:val="28"/>
          <w:lang w:val="en-US"/>
        </w:rPr>
      </w:pPr>
    </w:p>
    <w:p>
      <w:pPr>
        <w:pStyle w:val="Body"/>
        <w:spacing w:line="360" w:lineRule="auto"/>
        <w:rPr>
          <w:sz w:val="28"/>
          <w:szCs w:val="28"/>
          <w:lang w:val="en-US"/>
        </w:rPr>
      </w:pPr>
      <w:r>
        <w:rPr>
          <w:sz w:val="28"/>
          <w:szCs w:val="28"/>
          <w:rtl w:val="0"/>
          <w:lang w:val="en-US"/>
        </w:rPr>
        <w:t>Cryotherapy</w:t>
      </w:r>
    </w:p>
    <w:p>
      <w:pPr>
        <w:pStyle w:val="Body"/>
        <w:spacing w:line="360" w:lineRule="auto"/>
      </w:pPr>
      <w:r>
        <w:rPr>
          <w:rtl w:val="0"/>
          <w:lang w:val="en-US"/>
        </w:rPr>
        <w:t>Cryotherapy includes any cold treatment accessible these include ice packs, cryokinetics, cryocuffs, cold baths, whirlpools and vapocoolant sprays.</w:t>
      </w:r>
      <w:r>
        <w:rPr>
          <w:rtl w:val="0"/>
          <w:lang w:val="en-US"/>
        </w:rPr>
        <w:t xml:space="preserve"> It is important to utilise cryotherapy to manage pain as early as possible. </w:t>
      </w:r>
      <w:r>
        <w:rPr>
          <w:rtl w:val="0"/>
          <w:lang w:val="en-US"/>
        </w:rPr>
        <w:t xml:space="preserve">When early application of cryotherapy is applied for a soft tissue injury the amount of swelling and pain is </w:t>
      </w:r>
      <w:r>
        <w:rPr>
          <w:rtl w:val="0"/>
          <w:lang w:val="en-US"/>
        </w:rPr>
        <w:t>reduced (Bleakley</w:t>
      </w:r>
      <w:r>
        <w:rPr>
          <w:i w:val="1"/>
          <w:iCs w:val="1"/>
          <w:rtl w:val="0"/>
          <w:lang w:val="en-US"/>
        </w:rPr>
        <w:t xml:space="preserve"> </w:t>
      </w:r>
      <w:r>
        <w:rPr>
          <w:rtl w:val="0"/>
          <w:lang w:val="en-US"/>
        </w:rPr>
        <w:t>et al.</w:t>
      </w:r>
      <w:r>
        <w:rPr>
          <w:i w:val="1"/>
          <w:iCs w:val="1"/>
          <w:rtl w:val="0"/>
          <w:lang w:val="en-US"/>
        </w:rPr>
        <w:t>,</w:t>
      </w:r>
      <w:r>
        <w:rPr>
          <w:rtl w:val="0"/>
          <w:lang w:val="en-US"/>
        </w:rPr>
        <w:t xml:space="preserve"> 2004)</w:t>
      </w:r>
      <w:r>
        <w:rPr>
          <w:rtl w:val="0"/>
          <w:lang w:val="en-US"/>
        </w:rPr>
        <w:t xml:space="preserve">. As a result it can be very beneficial to the healing process </w:t>
      </w:r>
      <w:r>
        <w:rPr>
          <w:rtl w:val="0"/>
          <w:lang w:val="en-US"/>
        </w:rPr>
        <w:t xml:space="preserve">and the acute inflammation phase </w:t>
      </w:r>
      <w:r>
        <w:rPr>
          <w:rtl w:val="0"/>
          <w:lang w:val="en-US"/>
        </w:rPr>
        <w:t>of soft tissue injury. Cryotherapy can be reliably administered to provide an analgesic effect and immediate</w:t>
      </w:r>
      <w:r>
        <w:rPr>
          <w:b w:val="1"/>
          <w:bCs w:val="1"/>
          <w:rtl w:val="0"/>
        </w:rPr>
        <w:t xml:space="preserve"> </w:t>
      </w:r>
      <w:r>
        <w:rPr>
          <w:rtl w:val="0"/>
          <w:lang w:val="en-US"/>
        </w:rPr>
        <w:t>management of a soft tissue injury</w:t>
      </w:r>
      <w:r>
        <w:rPr>
          <w:i w:val="1"/>
          <w:iCs w:val="1"/>
          <w:rtl w:val="0"/>
          <w:lang w:val="en-US"/>
        </w:rPr>
        <w:t xml:space="preserve"> </w:t>
      </w:r>
      <w:r>
        <w:rPr>
          <w:rtl w:val="0"/>
          <w:lang w:val="en-US"/>
        </w:rPr>
        <w:t>(Bleakley et al., 2007).</w:t>
      </w:r>
      <w:r>
        <w:rPr>
          <w:rtl w:val="0"/>
        </w:rPr>
        <w:t xml:space="preserve"> </w:t>
      </w:r>
      <w:r>
        <w:rPr>
          <w:rtl w:val="0"/>
          <w:lang w:val="en-US"/>
        </w:rPr>
        <w:t>W</w:t>
      </w:r>
      <w:r>
        <w:rPr>
          <w:rtl w:val="0"/>
          <w:lang w:val="en-US"/>
        </w:rPr>
        <w:t>et ice should be considered for quick pain relief</w:t>
      </w:r>
      <w:r>
        <w:rPr>
          <w:rtl w:val="0"/>
          <w:lang w:val="en-US"/>
        </w:rPr>
        <w:t xml:space="preserve"> as its more beneficial (</w:t>
      </w:r>
      <w:r>
        <w:rPr>
          <w:rtl w:val="0"/>
        </w:rPr>
        <w:t>MacAuley</w:t>
      </w:r>
      <w:r>
        <w:rPr>
          <w:rtl w:val="0"/>
          <w:lang w:val="en-US"/>
        </w:rPr>
        <w:t xml:space="preserve">, 2001). </w:t>
      </w:r>
      <w:r>
        <w:rPr>
          <w:rtl w:val="0"/>
          <w:lang w:val="de-DE"/>
        </w:rPr>
        <w:t xml:space="preserve">Ice </w:t>
      </w:r>
      <w:r>
        <w:rPr>
          <w:rtl w:val="0"/>
          <w:lang w:val="en-US"/>
        </w:rPr>
        <w:t>could</w:t>
      </w:r>
      <w:r>
        <w:rPr>
          <w:rtl w:val="0"/>
          <w:lang w:val="en-US"/>
        </w:rPr>
        <w:t xml:space="preserve"> be used in the management of soft tissue injuries, from sprains to strains and contusions.</w:t>
      </w:r>
      <w:r>
        <w:rPr>
          <w:rtl w:val="0"/>
          <w:lang w:val="en-US"/>
        </w:rPr>
        <w:t xml:space="preserve"> </w:t>
      </w:r>
      <w:r>
        <w:rPr>
          <w:rtl w:val="0"/>
          <w:lang w:val="en-US"/>
        </w:rPr>
        <w:t xml:space="preserve">A distinctive survey of Irish emergency physician practice underlined that 73% of consultants often favour the use of ice whereas only 7% </w:t>
      </w:r>
      <w:r>
        <w:rPr>
          <w:rtl w:val="0"/>
          <w:lang w:val="en-US"/>
        </w:rPr>
        <w:t>would not prefer to</w:t>
      </w:r>
      <w:r>
        <w:rPr>
          <w:rtl w:val="0"/>
          <w:lang w:val="en-US"/>
        </w:rPr>
        <w:t xml:space="preserve"> use cryotherapy</w:t>
      </w:r>
      <w:r>
        <w:rPr>
          <w:rtl w:val="0"/>
          <w:lang w:val="en-US"/>
        </w:rPr>
        <w:t xml:space="preserve"> and </w:t>
      </w:r>
      <w:r>
        <w:rPr>
          <w:rtl w:val="0"/>
          <w:lang w:val="en-US"/>
        </w:rPr>
        <w:t xml:space="preserve">30% were </w:t>
      </w:r>
      <w:r>
        <w:rPr>
          <w:rtl w:val="0"/>
          <w:lang w:val="en-US"/>
        </w:rPr>
        <w:t>unconfident</w:t>
      </w:r>
      <w:r>
        <w:rPr>
          <w:rtl w:val="0"/>
          <w:lang w:val="en-US"/>
        </w:rPr>
        <w:t xml:space="preserve"> if cryotherapy treatment is beneficial (Collins, 2008).</w:t>
      </w:r>
      <w:r>
        <w:rPr>
          <w:rtl w:val="0"/>
          <w:lang w:val="en-US"/>
        </w:rPr>
        <w:t xml:space="preserve"> </w:t>
      </w:r>
      <w:r>
        <w:rPr>
          <w:rtl w:val="0"/>
          <w:lang w:val="en-US"/>
        </w:rPr>
        <w:t xml:space="preserve">One method of cryotherapy for acute injury management is ice packs, which should also be used with compression, </w:t>
      </w:r>
      <w:r>
        <w:rPr>
          <w:rtl w:val="0"/>
          <w:lang w:val="en-US"/>
        </w:rPr>
        <w:t>elevation</w:t>
      </w:r>
      <w:r>
        <w:rPr>
          <w:rtl w:val="0"/>
          <w:lang w:val="en-US"/>
        </w:rPr>
        <w:t xml:space="preserve"> and rest, with a barrier between the skin and ice, this is crucial during inflammatory phase</w:t>
      </w:r>
      <w:r>
        <w:rPr>
          <w:rtl w:val="0"/>
          <w:lang w:val="en-US"/>
        </w:rPr>
        <w:t xml:space="preserve"> as its aims is to protect the injured area from stress, reduce oedema and increase range of movement </w:t>
      </w:r>
      <w:r>
        <w:rPr>
          <w:rtl w:val="0"/>
          <w:lang w:val="fr-FR"/>
        </w:rPr>
        <w:t>(Wardrope et al</w:t>
      </w:r>
      <w:r>
        <w:rPr>
          <w:i w:val="1"/>
          <w:iCs w:val="1"/>
          <w:rtl w:val="0"/>
        </w:rPr>
        <w:t>.</w:t>
      </w:r>
      <w:r>
        <w:rPr>
          <w:rtl w:val="0"/>
        </w:rPr>
        <w:t>, 2008)</w:t>
      </w:r>
      <w:r>
        <w:rPr>
          <w:rtl w:val="0"/>
          <w:lang w:val="en-US"/>
        </w:rPr>
        <w:t xml:space="preserve">. </w:t>
      </w:r>
      <w:r>
        <w:rPr>
          <w:rtl w:val="0"/>
          <w:lang w:val="en-US"/>
        </w:rPr>
        <w:t xml:space="preserve">In a study </w:t>
      </w:r>
      <w:r>
        <w:rPr>
          <w:rtl w:val="0"/>
          <w:lang w:val="en-US"/>
        </w:rPr>
        <w:t xml:space="preserve">which described </w:t>
      </w:r>
      <w:r>
        <w:rPr>
          <w:rtl w:val="0"/>
          <w:lang w:val="en-US"/>
        </w:rPr>
        <w:t xml:space="preserve">that cold application </w:t>
      </w:r>
      <w:r>
        <w:rPr>
          <w:rtl w:val="0"/>
          <w:lang w:val="en-US"/>
        </w:rPr>
        <w:t xml:space="preserve">used 3 times a day over a week </w:t>
      </w:r>
      <w:r>
        <w:rPr>
          <w:rtl w:val="0"/>
          <w:lang w:val="en-US"/>
        </w:rPr>
        <w:t xml:space="preserve">appeared to be more effective in limiting swelling and decreasing pain during short term treatment, instantly after application to </w:t>
      </w:r>
      <w:r>
        <w:rPr>
          <w:rtl w:val="0"/>
          <w:lang w:val="en-US"/>
        </w:rPr>
        <w:t>1</w:t>
      </w:r>
      <w:r>
        <w:rPr>
          <w:rtl w:val="0"/>
          <w:lang w:val="nl-NL"/>
        </w:rPr>
        <w:t xml:space="preserve">week post </w:t>
      </w:r>
      <w:r>
        <w:rPr>
          <w:rtl w:val="0"/>
          <w:lang w:val="en-US"/>
        </w:rPr>
        <w:t>injury (Bleakley et al., 2004)</w:t>
      </w:r>
      <w:r>
        <w:rPr>
          <w:rtl w:val="0"/>
          <w:lang w:val="en-US"/>
        </w:rPr>
        <w:t xml:space="preserve">. Ice packs/cold gel packs should be applied for 20-30 minutes every 2 </w:t>
      </w:r>
      <w:r>
        <w:rPr>
          <w:rtl w:val="0"/>
          <w:lang w:val="en-US"/>
        </w:rPr>
        <w:t>hours</w:t>
      </w:r>
      <w:r>
        <w:rPr>
          <w:rtl w:val="0"/>
        </w:rPr>
        <w:t>.</w:t>
      </w:r>
      <w:r>
        <w:rPr>
          <w:rtl w:val="0"/>
          <w:lang w:val="en-US"/>
        </w:rPr>
        <w:t xml:space="preserve"> Although, another large scale systematic review suggested that intermittent ice applications of 10 minutes are most effective at reducing tissue temperature in injured soft tissue </w:t>
      </w:r>
      <w:r>
        <w:rPr>
          <w:rtl w:val="0"/>
        </w:rPr>
        <w:t>(MacAuley, 2001)</w:t>
      </w:r>
      <w:r>
        <w:rPr>
          <w:rtl w:val="0"/>
          <w:lang w:val="en-US"/>
        </w:rPr>
        <w:t>. n</w:t>
      </w:r>
      <w:r>
        <w:rPr>
          <w:rtl w:val="0"/>
          <w:lang w:val="en-US"/>
        </w:rPr>
        <w:t>Additionally, there is limited evidence that cryotherapy accelerates return to play (Bleakley et al</w:t>
      </w:r>
      <w:r>
        <w:rPr>
          <w:i w:val="1"/>
          <w:iCs w:val="1"/>
          <w:rtl w:val="0"/>
        </w:rPr>
        <w:t>,</w:t>
      </w:r>
      <w:r>
        <w:rPr>
          <w:rtl w:val="0"/>
          <w:lang w:val="en-US"/>
        </w:rPr>
        <w:t xml:space="preserve"> 2004). However in a randomised double-blinded controlled study </w:t>
      </w:r>
      <w:r>
        <w:rPr>
          <w:rtl w:val="0"/>
          <w:lang w:val="en-US"/>
        </w:rPr>
        <w:t xml:space="preserve">looking at a cold gel group versus a placebo group, </w:t>
      </w:r>
      <w:r>
        <w:rPr>
          <w:rtl w:val="0"/>
          <w:lang w:val="en-US"/>
        </w:rPr>
        <w:t xml:space="preserve">the efficacy of cold gel for soft tissue injuries </w:t>
      </w:r>
      <w:r>
        <w:rPr>
          <w:rtl w:val="0"/>
          <w:lang w:val="en-US"/>
        </w:rPr>
        <w:t>pain</w:t>
      </w:r>
      <w:r>
        <w:rPr>
          <w:rtl w:val="0"/>
          <w:lang w:val="en-US"/>
        </w:rPr>
        <w:t xml:space="preserve"> scores lessened from 59 to 30 on the first week, to 14 by the second, and to 7 by the conclusion of study in the cold gel group</w:t>
      </w:r>
      <w:r>
        <w:rPr>
          <w:rtl w:val="0"/>
          <w:lang w:val="en-US"/>
        </w:rPr>
        <w:t xml:space="preserve"> significant reductions were found in the intervention group</w:t>
      </w:r>
      <w:r>
        <w:rPr>
          <w:rtl w:val="0"/>
          <w:lang w:val="en-US"/>
        </w:rPr>
        <w:t xml:space="preserve">. In the placebo group, pain scores lessened from 58 to 45, 26, and 13, a notable </w:t>
      </w:r>
      <w:r>
        <w:rPr>
          <w:rtl w:val="0"/>
          <w:lang w:val="en-US"/>
        </w:rPr>
        <w:t>difference</w:t>
      </w:r>
      <w:r>
        <w:rPr>
          <w:rtl w:val="0"/>
        </w:rPr>
        <w:t xml:space="preserve">. </w:t>
      </w:r>
    </w:p>
    <w:p>
      <w:pPr>
        <w:pStyle w:val="Body"/>
        <w:spacing w:line="360" w:lineRule="auto"/>
      </w:pPr>
    </w:p>
    <w:p>
      <w:pPr>
        <w:pStyle w:val="Body"/>
        <w:spacing w:line="360" w:lineRule="auto"/>
        <w:rPr>
          <w:sz w:val="20"/>
          <w:szCs w:val="20"/>
        </w:rPr>
      </w:pP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4</w:t>
      </w:r>
      <w:r>
        <w:rPr>
          <w:sz w:val="20"/>
          <w:szCs w:val="20"/>
        </w:rPr>
        <w:fldChar w:fldCharType="end" w:fldLock="0"/>
      </w:r>
    </w:p>
    <w:p>
      <w:pPr>
        <w:pStyle w:val="Body"/>
        <w:spacing w:line="360" w:lineRule="auto"/>
      </w:pPr>
      <w:r>
        <w:rPr>
          <w:rtl w:val="0"/>
          <w:lang w:val="en-US"/>
        </w:rPr>
        <w:t xml:space="preserve">Patient fulfilment with treatment was 71 in the cold gel group and 44 in the placebo group </w:t>
      </w:r>
      <w:r>
        <w:rPr>
          <w:rtl w:val="0"/>
          <w:lang w:val="en-US"/>
        </w:rPr>
        <w:t xml:space="preserve">a </w:t>
      </w:r>
      <w:r>
        <w:rPr>
          <w:rtl w:val="0"/>
          <w:lang w:val="en-US"/>
        </w:rPr>
        <w:t>considerable amount of difference</w:t>
      </w:r>
      <w:r>
        <w:rPr>
          <w:rtl w:val="0"/>
          <w:lang w:val="en-US"/>
        </w:rPr>
        <w:t xml:space="preserve"> (Airaksinen et al., 2003)</w:t>
      </w:r>
      <w:r>
        <w:rPr>
          <w:rtl w:val="0"/>
        </w:rPr>
        <w:t xml:space="preserve">. </w:t>
      </w:r>
    </w:p>
    <w:p>
      <w:pPr>
        <w:pStyle w:val="Body"/>
        <w:spacing w:line="360" w:lineRule="auto"/>
      </w:pPr>
      <w:r>
        <w:rPr>
          <w:rtl w:val="0"/>
          <w:lang w:val="en-US"/>
        </w:rPr>
        <w:t xml:space="preserve">Additionally, Cold water immersions (CWI) are a frequently used and popular recovery modality. The physiological mechanisms of CWI are speculated to be connected to temperature and triggered changes in blood flow and decrease in muscle </w:t>
      </w:r>
      <w:r>
        <w:rPr>
          <w:rtl w:val="0"/>
          <w:lang w:val="en-US"/>
        </w:rPr>
        <w:t>temperature</w:t>
      </w:r>
      <w:r>
        <w:rPr>
          <w:rtl w:val="0"/>
          <w:lang w:val="fr-FR"/>
        </w:rPr>
        <w:t xml:space="preserve"> (Vaile et al</w:t>
      </w:r>
      <w:r>
        <w:rPr>
          <w:rtl w:val="0"/>
          <w:lang w:val="en-US"/>
        </w:rPr>
        <w:t>.,</w:t>
      </w:r>
      <w:r>
        <w:rPr>
          <w:rtl w:val="0"/>
        </w:rPr>
        <w:t xml:space="preserve"> 2008</w:t>
      </w:r>
      <w:r>
        <w:rPr>
          <w:rtl w:val="0"/>
          <w:lang w:val="en-US"/>
        </w:rPr>
        <w:t xml:space="preserve">; </w:t>
      </w:r>
      <w:r>
        <w:rPr>
          <w:rtl w:val="0"/>
          <w:lang w:val="da-DK"/>
        </w:rPr>
        <w:t>Leeder et al</w:t>
      </w:r>
      <w:r>
        <w:rPr>
          <w:i w:val="1"/>
          <w:iCs w:val="1"/>
          <w:rtl w:val="0"/>
          <w:lang w:val="en-US"/>
        </w:rPr>
        <w:t>.,</w:t>
      </w:r>
      <w:r>
        <w:rPr>
          <w:rtl w:val="0"/>
          <w:lang w:val="en-US"/>
        </w:rPr>
        <w:t xml:space="preserve"> 2012). Cryokinetics consists of cryotherapy and therapeutic exercise, this includes ice massage, water immersion and whirlpool. Using these types of treatments for a period of 10-15 minutes, several repetitions are required for quicker recovery. By utilising </w:t>
      </w:r>
      <w:r>
        <w:rPr>
          <w:rtl w:val="0"/>
          <w:lang w:val="en-US"/>
        </w:rPr>
        <w:t>cryokinetics</w:t>
      </w:r>
      <w:r>
        <w:rPr>
          <w:rtl w:val="0"/>
          <w:lang w:val="en-US"/>
        </w:rPr>
        <w:t xml:space="preserve"> application it is potentially allowing earlier active movement on acute joint pain, although careful progression of exercise is required. Cryokinetics is thought to deploy a notable analgesic effect, which minimises secondary tissue injury and possibly encourage earlier therapeutic exercise after injury, potentially permitting a quicker return to play (Bleakley et al</w:t>
      </w:r>
      <w:r>
        <w:rPr>
          <w:rtl w:val="0"/>
          <w:lang w:val="en-US"/>
        </w:rPr>
        <w:t>.</w:t>
      </w:r>
      <w:r>
        <w:rPr>
          <w:rtl w:val="0"/>
          <w:lang w:val="en-US"/>
        </w:rPr>
        <w:t xml:space="preserve">, 2007). Cryokinetic programme can be used during the sub-acute phase in order to provide optimal loading and aid swelling, this will enhance recovery of a soft tissue injury (Ward, </w:t>
      </w:r>
      <w:r>
        <w:rPr>
          <w:rtl w:val="0"/>
          <w:lang w:val="en-US"/>
        </w:rPr>
        <w:t>2018</w:t>
      </w:r>
      <w:r>
        <w:rPr>
          <w:rtl w:val="0"/>
        </w:rPr>
        <w:t xml:space="preserve">). </w:t>
      </w:r>
    </w:p>
    <w:p>
      <w:pPr>
        <w:pStyle w:val="Body"/>
        <w:spacing w:line="360" w:lineRule="auto"/>
      </w:pPr>
    </w:p>
    <w:p>
      <w:pPr>
        <w:pStyle w:val="Body"/>
        <w:spacing w:line="360" w:lineRule="auto"/>
      </w:pPr>
      <w:r>
        <w:rPr>
          <w:rtl w:val="0"/>
          <w:lang w:val="en-US"/>
        </w:rPr>
        <w:t>Contraindications and precautions for Cryotherapy consist of an aching pain, if applied for too long, worsened reaction time, numbness, possible frost bite. Consequently the use of cold can result in arterial disease (Raynaud</w:t>
      </w:r>
      <w:r>
        <w:rPr>
          <w:rtl w:val="0"/>
        </w:rPr>
        <w:t>’</w:t>
      </w:r>
      <w:r>
        <w:rPr>
          <w:rtl w:val="0"/>
          <w:lang w:val="en-US"/>
        </w:rPr>
        <w:t>s phenomenon) where subjection to cold results in excessively reactive vasoconstriction of extremities. Other forms of contraindication for cryotherapy consist of Cryoglobulinemia, which is when immune complexes precipitating at low temperatures are deposited onto vascular endothelial walls, potentially causing a form of vasculitis and abnormal clumping of plasma proteins are stimulated.  Cold urticaria, allergic skin reaction and anaphylactic reaction are further precautions for cryotherapy</w:t>
      </w:r>
      <w:r>
        <w:rPr>
          <w:b w:val="1"/>
          <w:bCs w:val="1"/>
          <w:rtl w:val="0"/>
        </w:rPr>
        <w:t xml:space="preserve">. </w:t>
      </w:r>
      <w:r>
        <w:rPr>
          <w:rtl w:val="0"/>
          <w:lang w:val="en-US"/>
        </w:rPr>
        <w:t>There is also a decrease in oxygen from cells, and a temporarily reduction in postural stability and balance for the lower limbs and also the players jumping and agility may be affected by cooling the tissue (Pritchard and Saliba, 2014)</w:t>
      </w:r>
    </w:p>
    <w:p>
      <w:pPr>
        <w:pStyle w:val="Body"/>
        <w:spacing w:line="360" w:lineRule="auto"/>
      </w:pPr>
    </w:p>
    <w:p>
      <w:pPr>
        <w:pStyle w:val="Body"/>
        <w:spacing w:line="360" w:lineRule="auto"/>
        <w:rPr>
          <w:sz w:val="28"/>
          <w:szCs w:val="28"/>
        </w:rPr>
      </w:pPr>
      <w:r>
        <w:rPr>
          <w:sz w:val="28"/>
          <w:szCs w:val="28"/>
          <w:rtl w:val="0"/>
          <w:lang w:val="en-US"/>
        </w:rPr>
        <w:t>Thermotherapy</w:t>
      </w:r>
    </w:p>
    <w:p>
      <w:pPr>
        <w:pStyle w:val="Body"/>
        <w:spacing w:line="360" w:lineRule="auto"/>
      </w:pPr>
      <w:r>
        <w:rPr>
          <w:rtl w:val="0"/>
          <w:lang w:val="en-US"/>
        </w:rPr>
        <w:t xml:space="preserve">On the other hand </w:t>
      </w:r>
      <w:r>
        <w:rPr>
          <w:rtl w:val="0"/>
          <w:lang w:val="en-US"/>
        </w:rPr>
        <w:t>t</w:t>
      </w:r>
      <w:r>
        <w:rPr>
          <w:rtl w:val="0"/>
          <w:lang w:val="en-US"/>
        </w:rPr>
        <w:t xml:space="preserve">hermotherapy treatments include hydrocollator pack, warm water whirlpools, paraffin baths, heat lamps and fluidotherapy. </w:t>
      </w:r>
      <w:r>
        <w:rPr>
          <w:rtl w:val="0"/>
          <w:lang w:val="en-US"/>
        </w:rPr>
        <w:t xml:space="preserve">Usage of thermo would be utilised usually at the later stages of inflammatory and the proliferation phase where it </w:t>
      </w:r>
      <w:r>
        <w:rPr>
          <w:rtl w:val="0"/>
          <w:lang w:val="en-US"/>
        </w:rPr>
        <w:t>aim</w:t>
      </w:r>
      <w:r>
        <w:rPr>
          <w:rtl w:val="0"/>
          <w:lang w:val="en-US"/>
        </w:rPr>
        <w:t>s</w:t>
      </w:r>
      <w:r>
        <w:rPr>
          <w:rtl w:val="0"/>
        </w:rPr>
        <w:t xml:space="preserve"> </w:t>
      </w:r>
      <w:r>
        <w:rPr>
          <w:rtl w:val="0"/>
          <w:lang w:val="en-US"/>
        </w:rPr>
        <w:t>to</w:t>
      </w:r>
      <w:r>
        <w:rPr>
          <w:rtl w:val="0"/>
          <w:lang w:val="fr-FR"/>
        </w:rPr>
        <w:t xml:space="preserve"> encourag</w:t>
      </w:r>
      <w:r>
        <w:rPr>
          <w:rtl w:val="0"/>
          <w:lang w:val="en-US"/>
        </w:rPr>
        <w:t>e</w:t>
      </w:r>
      <w:r>
        <w:rPr>
          <w:rtl w:val="0"/>
          <w:lang w:val="en-US"/>
        </w:rPr>
        <w:t xml:space="preserve"> the correct alignment of newly formed collagen tissue without causing its breakdown.</w:t>
      </w:r>
      <w:r>
        <w:rPr>
          <w:rtl w:val="0"/>
          <w:lang w:val="en-US"/>
        </w:rPr>
        <w:t xml:space="preserve"> </w:t>
      </w:r>
      <w:r>
        <w:rPr>
          <w:rtl w:val="0"/>
          <w:lang w:val="en-US"/>
        </w:rPr>
        <w:t>Rapid movements and strong sensations of pain or stretch should be avoided at this time</w:t>
      </w:r>
      <w:r>
        <w:rPr>
          <w:rtl w:val="0"/>
          <w:lang w:val="en-US"/>
        </w:rPr>
        <w:t xml:space="preserve"> (Wardrope et al., 2008)</w:t>
      </w:r>
      <w:r>
        <w:rPr>
          <w:rtl w:val="0"/>
        </w:rPr>
        <w:t>.</w:t>
      </w:r>
      <w:r>
        <w:rPr>
          <w:rtl w:val="0"/>
          <w:lang w:val="en-US"/>
        </w:rPr>
        <w:t xml:space="preserve"> </w:t>
      </w: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5</w:t>
      </w:r>
      <w:r>
        <w:rPr>
          <w:sz w:val="20"/>
          <w:szCs w:val="20"/>
        </w:rPr>
        <w:fldChar w:fldCharType="end" w:fldLock="0"/>
      </w:r>
    </w:p>
    <w:p>
      <w:pPr>
        <w:pStyle w:val="Body"/>
        <w:spacing w:line="360" w:lineRule="auto"/>
      </w:pPr>
      <w:r>
        <w:rPr>
          <w:rtl w:val="0"/>
          <w:lang w:val="en-US"/>
        </w:rPr>
        <w:t xml:space="preserve">The physiological mechanisms of thermotherapy include increase in skin temperature. Increase in </w:t>
      </w:r>
      <w:r>
        <w:rPr>
          <w:rtl w:val="0"/>
          <w:lang w:val="en-US"/>
        </w:rPr>
        <w:t>intra</w:t>
      </w:r>
      <w:r>
        <w:rPr>
          <w:rtl w:val="0"/>
          <w:lang w:val="pt-PT"/>
        </w:rPr>
        <w:t>-articular temperature</w:t>
      </w:r>
      <w:r>
        <w:rPr>
          <w:rtl w:val="0"/>
          <w:lang w:val="en-US"/>
        </w:rPr>
        <w:t xml:space="preserve"> of small joints, </w:t>
      </w:r>
      <w:r>
        <w:rPr>
          <w:rtl w:val="0"/>
          <w:lang w:val="en-US"/>
        </w:rPr>
        <w:t>increased</w:t>
      </w:r>
      <w:r>
        <w:rPr>
          <w:rtl w:val="0"/>
          <w:lang w:val="en-US"/>
        </w:rPr>
        <w:t xml:space="preserve"> metabolic activity, circulation, inflammation, tissue elasticity and lymph flow.</w:t>
      </w:r>
      <w:r>
        <w:rPr>
          <w:rtl w:val="0"/>
          <w:lang w:val="en-US"/>
        </w:rPr>
        <w:t xml:space="preserve"> </w:t>
      </w:r>
      <w:r>
        <w:rPr>
          <w:rtl w:val="0"/>
          <w:lang w:val="en-US"/>
        </w:rPr>
        <w:t>Later in the healing process, heat may be more beneficial in increasing collagen elasticity, decreasing joint stiffness and reducing muscles spasm</w:t>
      </w:r>
      <w:r>
        <w:rPr>
          <w:rtl w:val="0"/>
          <w:lang w:val="en-US"/>
        </w:rPr>
        <w:t xml:space="preserve"> (Wardrope et al., 2008).</w:t>
      </w:r>
      <w:r>
        <w:rPr>
          <w:rtl w:val="0"/>
          <w:lang w:val="en-US"/>
        </w:rPr>
        <w:t xml:space="preserve"> The manner in which the body responds to the application of heat depends upon the type of heat therapy used, together with the duration and intensity of the application (Ward, </w:t>
      </w:r>
      <w:r>
        <w:rPr>
          <w:rtl w:val="0"/>
          <w:lang w:val="en-US"/>
        </w:rPr>
        <w:t>2018</w:t>
      </w:r>
      <w:r>
        <w:rPr>
          <w:rtl w:val="0"/>
        </w:rPr>
        <w:t>).</w:t>
      </w:r>
      <w:r>
        <w:rPr>
          <w:rtl w:val="0"/>
          <w:lang w:val="en-US"/>
        </w:rPr>
        <w:t xml:space="preserve"> </w:t>
      </w:r>
      <w:r>
        <w:rPr>
          <w:rtl w:val="0"/>
          <w:lang w:val="en-US"/>
        </w:rPr>
        <w:t xml:space="preserve">It is vital to utilise the right amount </w:t>
      </w:r>
      <w:r>
        <w:rPr>
          <w:rtl w:val="0"/>
          <w:lang w:val="en-US"/>
        </w:rPr>
        <w:t>of</w:t>
      </w:r>
      <w:r>
        <w:rPr>
          <w:rtl w:val="0"/>
          <w:lang w:val="en-US"/>
        </w:rPr>
        <w:t xml:space="preserve"> heat. If too little is used then no significant changes will occur, too much and tissues may be damaged (Prentice, 2009). Intense heat or Hyperthermia into tissue can stimulate repair processes, allow more efficient relief from pain, help in the removal of toxic wastes, increase tendon extensibility and reduce muscle and joint stiffness. Furthermore, hyperthermia induces hyperaemia, improves local tissue drainage, increases metabolic rate and induces alterations in the cell membrane (</w:t>
      </w:r>
      <w:r>
        <w:rPr>
          <w:rtl w:val="0"/>
          <w:lang w:val="it-IT"/>
        </w:rPr>
        <w:t>Giombini</w:t>
      </w:r>
      <w:r>
        <w:rPr>
          <w:rtl w:val="0"/>
          <w:lang w:val="fr-FR"/>
        </w:rPr>
        <w:t xml:space="preserve"> et al</w:t>
      </w:r>
      <w:r>
        <w:rPr>
          <w:rtl w:val="0"/>
          <w:lang w:val="en-US"/>
        </w:rPr>
        <w:t>.</w:t>
      </w:r>
      <w:r>
        <w:rPr>
          <w:rtl w:val="0"/>
          <w:lang w:val="en-US"/>
        </w:rPr>
        <w:t xml:space="preserve">, 2007). </w:t>
      </w:r>
      <w:r>
        <w:rPr>
          <w:rtl w:val="0"/>
          <w:lang w:val="en-US"/>
        </w:rPr>
        <w:t>H</w:t>
      </w:r>
      <w:r>
        <w:rPr>
          <w:rtl w:val="0"/>
          <w:lang w:val="en-US"/>
        </w:rPr>
        <w:t xml:space="preserve">eat </w:t>
      </w:r>
      <w:r>
        <w:rPr>
          <w:rtl w:val="0"/>
          <w:lang w:val="en-US"/>
        </w:rPr>
        <w:t>can</w:t>
      </w:r>
      <w:r>
        <w:rPr>
          <w:rtl w:val="0"/>
          <w:lang w:val="en-US"/>
        </w:rPr>
        <w:t xml:space="preserve"> increased blood flow to the injured area, reduction of pain through the stimulation of A-Beta thermoreceptors. Increased </w:t>
      </w:r>
      <w:r>
        <w:rPr>
          <w:rtl w:val="0"/>
          <w:lang w:val="fr-FR"/>
        </w:rPr>
        <w:t>circulation</w:t>
      </w:r>
      <w:r>
        <w:rPr>
          <w:rtl w:val="0"/>
          <w:lang w:val="en-US"/>
        </w:rPr>
        <w:t xml:space="preserve"> which improves delivery of nutrients to the area and assist in removal of metabolic waste, as a result it is likely to improve healing rate of the injured tissue, however evidence is limited (Knight and Draper, 2008) increased metabolic activity which is only beneficial after the immediate injury of soft tissue as it will worsen bleeding and inflammatory responses (Knight and Draper, 2008). In addition i</w:t>
      </w:r>
      <w:r>
        <w:rPr>
          <w:rtl w:val="0"/>
          <w:lang w:val="fr-FR"/>
        </w:rPr>
        <w:t xml:space="preserve">nflammation, </w:t>
      </w:r>
      <w:r>
        <w:rPr>
          <w:rtl w:val="0"/>
          <w:lang w:val="en-US"/>
        </w:rPr>
        <w:t>improved tissue elasticity may decrease muscle strain (</w:t>
      </w:r>
      <w:r>
        <w:rPr>
          <w:rtl w:val="0"/>
          <w:lang w:val="en-US"/>
        </w:rPr>
        <w:t>Knight et al</w:t>
      </w:r>
      <w:r>
        <w:rPr>
          <w:rtl w:val="0"/>
          <w:lang w:val="en-US"/>
        </w:rPr>
        <w:t>.</w:t>
      </w:r>
      <w:r>
        <w:rPr>
          <w:i w:val="1"/>
          <w:iCs w:val="1"/>
          <w:rtl w:val="0"/>
        </w:rPr>
        <w:t>,</w:t>
      </w:r>
      <w:r>
        <w:rPr>
          <w:rtl w:val="0"/>
          <w:lang w:val="en-US"/>
        </w:rPr>
        <w:t xml:space="preserve"> 2001). Muscle </w:t>
      </w:r>
      <w:r>
        <w:rPr>
          <w:rtl w:val="0"/>
          <w:lang w:val="en-US"/>
        </w:rPr>
        <w:t>spasms caused by overuse and muscle fatigue</w:t>
      </w:r>
      <w:r>
        <w:rPr>
          <w:rtl w:val="0"/>
          <w:lang w:val="en-US"/>
        </w:rPr>
        <w:t xml:space="preserve"> which can develop in an injured soft tissue can be eased by thermotherapy and potentially effecting muscle spindles (Prentice, 2009). If pain has eased of an injured soft tissue heat would be better than cold in decreasing symptoms. Furthermore chronic injuries respond well to heat therapy as a pain relief, and relaxing the tissue, on that account secondary metabolic injury is less of a worry. One form of heat therapy is Hydrocollator packs, these are popular in application for soft tissue to help prepare an area for treatment. </w:t>
      </w:r>
      <w:r>
        <w:rPr>
          <w:rtl w:val="0"/>
          <w:lang w:val="it-IT"/>
        </w:rPr>
        <w:t xml:space="preserve">Hydrocollator </w:t>
      </w:r>
      <w:r>
        <w:rPr>
          <w:rtl w:val="0"/>
          <w:lang w:val="en-US"/>
        </w:rPr>
        <w:t xml:space="preserve">packs </w:t>
      </w:r>
      <w:r>
        <w:rPr>
          <w:rtl w:val="0"/>
          <w:lang w:val="en-US"/>
        </w:rPr>
        <w:t>are heated then wrapped inside a towelling cover and then put on the injured area for 20-30 minutes</w:t>
      </w:r>
      <w:r>
        <w:rPr>
          <w:rtl w:val="0"/>
          <w:lang w:val="en-US"/>
        </w:rPr>
        <w:t xml:space="preserve"> (Prentice, 2010). Hot water immersion can include whirlpools, spas, hot tubs or hot baths, </w:t>
      </w:r>
      <w:r>
        <w:rPr>
          <w:rtl w:val="0"/>
          <w:lang w:val="en-US"/>
        </w:rPr>
        <w:t>the</w:t>
      </w:r>
      <w:r>
        <w:rPr>
          <w:rtl w:val="0"/>
          <w:lang w:val="en-US"/>
        </w:rPr>
        <w:t xml:space="preserve"> water temperature is in the region of 36 and 41 degrees </w:t>
      </w:r>
      <w:r>
        <w:rPr>
          <w:rtl w:val="0"/>
          <w:lang w:val="en-US"/>
        </w:rPr>
        <w:t>which can</w:t>
      </w:r>
      <w:r>
        <w:rPr>
          <w:rtl w:val="0"/>
          <w:lang w:val="en-US"/>
        </w:rPr>
        <w:t xml:space="preserve"> decrease pain, </w:t>
      </w:r>
      <w:r>
        <w:rPr>
          <w:rtl w:val="0"/>
          <w:lang w:val="en-US"/>
        </w:rPr>
        <w:t xml:space="preserve">assists </w:t>
      </w:r>
      <w:r>
        <w:rPr>
          <w:rtl w:val="0"/>
          <w:lang w:val="en-US"/>
        </w:rPr>
        <w:t xml:space="preserve">muscular relaxation and improve </w:t>
      </w:r>
      <w:r>
        <w:rPr>
          <w:rtl w:val="0"/>
          <w:lang w:val="en-US"/>
        </w:rPr>
        <w:t xml:space="preserve">joint </w:t>
      </w:r>
      <w:r>
        <w:rPr>
          <w:rtl w:val="0"/>
          <w:lang w:val="en-US"/>
        </w:rPr>
        <w:t xml:space="preserve">range of movement is </w:t>
      </w:r>
      <w:r>
        <w:rPr>
          <w:rtl w:val="0"/>
          <w:lang w:val="en-US"/>
        </w:rPr>
        <w:t>produced</w:t>
      </w:r>
      <w:r>
        <w:rPr>
          <w:rtl w:val="0"/>
          <w:lang w:val="en-US"/>
        </w:rPr>
        <w:t xml:space="preserve">. These allow active and passive movement which could potentially speed up recovery (Szekeres, </w:t>
      </w:r>
      <w:r>
        <w:rPr>
          <w:rtl w:val="0"/>
          <w:lang w:val="en-US"/>
        </w:rPr>
        <w:t>2018</w:t>
      </w:r>
      <w:r>
        <w:rPr>
          <w:rtl w:val="0"/>
          <w:lang w:val="en-US"/>
        </w:rPr>
        <w:t>).</w:t>
      </w:r>
      <w:r>
        <w:rPr>
          <w:rtl w:val="0"/>
          <w:lang w:val="en-US"/>
        </w:rPr>
        <w:t xml:space="preserve"> This results in increase elasticity which then decreases pain and potentially muscle strain </w:t>
      </w:r>
      <w:r>
        <w:rPr>
          <w:rtl w:val="0"/>
          <w:lang w:val="en-US"/>
        </w:rPr>
        <w:t>(Knight et al., 2001).</w:t>
      </w:r>
    </w:p>
    <w:p>
      <w:pPr>
        <w:pStyle w:val="Body"/>
        <w:spacing w:line="360" w:lineRule="auto"/>
      </w:pP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6</w:t>
      </w:r>
      <w:r>
        <w:rPr>
          <w:sz w:val="20"/>
          <w:szCs w:val="20"/>
        </w:rPr>
        <w:fldChar w:fldCharType="end" w:fldLock="0"/>
      </w:r>
    </w:p>
    <w:p>
      <w:pPr>
        <w:pStyle w:val="Body"/>
        <w:spacing w:line="360" w:lineRule="auto"/>
        <w:rPr>
          <w:sz w:val="20"/>
          <w:szCs w:val="20"/>
        </w:rPr>
      </w:pPr>
    </w:p>
    <w:p>
      <w:pPr>
        <w:pStyle w:val="Body"/>
        <w:spacing w:line="360" w:lineRule="auto"/>
        <w:rPr>
          <w:lang w:val="en-US"/>
        </w:rPr>
      </w:pPr>
      <w:r>
        <w:rPr>
          <w:rtl w:val="0"/>
          <w:lang w:val="en-US"/>
        </w:rPr>
        <w:t>Precautions and Contraindications for Thermotherapy are mainly not to use the application of heat during the first 3 days of injury to soft tissue. The reason for this is because heat raises the metabolism and can create secondary metabolic injury and delay healing</w:t>
      </w:r>
      <w:r>
        <w:rPr>
          <w:b w:val="1"/>
          <w:bCs w:val="1"/>
          <w:rtl w:val="0"/>
          <w:lang w:val="en-US"/>
        </w:rPr>
        <w:t xml:space="preserve"> </w:t>
      </w:r>
      <w:r>
        <w:rPr>
          <w:rtl w:val="0"/>
          <w:lang w:val="it-IT"/>
        </w:rPr>
        <w:t>(Giombini et al</w:t>
      </w:r>
      <w:r>
        <w:rPr>
          <w:rtl w:val="0"/>
          <w:lang w:val="it-IT"/>
        </w:rPr>
        <w:t>.</w:t>
      </w:r>
      <w:r>
        <w:rPr>
          <w:rtl w:val="0"/>
          <w:lang w:val="it-IT"/>
        </w:rPr>
        <w:t>, 2007)</w:t>
      </w:r>
      <w:r>
        <w:rPr>
          <w:rtl w:val="0"/>
          <w:lang w:val="en-US"/>
        </w:rPr>
        <w:t>.</w:t>
      </w:r>
    </w:p>
    <w:p>
      <w:pPr>
        <w:pStyle w:val="Body"/>
        <w:spacing w:line="360" w:lineRule="auto"/>
        <w:rPr>
          <w:shd w:val="clear" w:color="auto" w:fill="ffffff"/>
        </w:rPr>
      </w:pPr>
      <w:r>
        <w:rPr>
          <w:rtl w:val="0"/>
          <w:lang w:val="en-US"/>
        </w:rPr>
        <w:t>It is vital when managing an injured soft tissue that you are aware if the patient has impaired sensations. Inability to sense changes in temperature can prevent the body natural responses to heat (thermoregulation), which could possible cause overheating. As a result this could cause hypotension, faintness and possible headaches (Ward, 2018). Other precautions of heat are skin mottling, scalds and burns if the correct management is not achieved. Impaired areas of circulation can be a concern, as the tissue will not heal to its correct condition</w:t>
      </w:r>
      <w:r>
        <w:rPr>
          <w:rtl w:val="0"/>
          <w:lang w:val="en-US"/>
        </w:rPr>
        <w:t>.</w:t>
      </w:r>
    </w:p>
    <w:p>
      <w:pPr>
        <w:pStyle w:val="Body"/>
        <w:spacing w:line="360" w:lineRule="auto"/>
      </w:pPr>
    </w:p>
    <w:p>
      <w:pPr>
        <w:pStyle w:val="Body"/>
        <w:spacing w:line="360" w:lineRule="auto"/>
        <w:rPr>
          <w:sz w:val="28"/>
          <w:szCs w:val="28"/>
        </w:rPr>
      </w:pPr>
      <w:r>
        <w:rPr>
          <w:sz w:val="28"/>
          <w:szCs w:val="28"/>
          <w:rtl w:val="0"/>
          <w:lang w:val="en-US"/>
        </w:rPr>
        <w:t>Contrast Therapy</w:t>
      </w:r>
    </w:p>
    <w:p>
      <w:pPr>
        <w:pStyle w:val="Body"/>
        <w:spacing w:line="360" w:lineRule="auto"/>
        <w:rPr>
          <w:shd w:val="clear" w:color="auto" w:fill="ffffff"/>
        </w:rPr>
      </w:pPr>
      <w:r>
        <w:rPr>
          <w:rtl w:val="0"/>
          <w:lang w:val="en-US"/>
        </w:rPr>
        <w:t>C</w:t>
      </w:r>
      <w:r>
        <w:rPr>
          <w:rtl w:val="0"/>
          <w:lang w:val="en-US"/>
        </w:rPr>
        <w:t>ontrast therapy which includes heat and cold immersion h</w:t>
      </w:r>
      <w:r>
        <w:rPr>
          <w:rtl w:val="0"/>
          <w:lang w:val="en-US"/>
        </w:rPr>
        <w:t>as</w:t>
      </w:r>
      <w:r>
        <w:rPr>
          <w:rtl w:val="0"/>
          <w:lang w:val="en-US"/>
        </w:rPr>
        <w:t xml:space="preserve"> been used for managing a soft tissue injury.</w:t>
      </w:r>
      <w:r>
        <w:rPr>
          <w:rtl w:val="0"/>
          <w:lang w:val="en-US"/>
        </w:rPr>
        <w:t xml:space="preserve"> </w:t>
      </w:r>
      <w:r>
        <w:rPr>
          <w:rtl w:val="0"/>
          <w:lang w:val="en-US"/>
        </w:rPr>
        <w:t>When using co</w:t>
      </w:r>
      <w:r>
        <w:rPr>
          <w:rtl w:val="0"/>
          <w:lang w:val="en-US"/>
        </w:rPr>
        <w:t>ntrast therapy</w:t>
      </w:r>
      <w:r>
        <w:rPr>
          <w:rtl w:val="0"/>
          <w:lang w:val="en-US"/>
        </w:rPr>
        <w:t xml:space="preserve"> for a soft tissue injury the effects include</w:t>
      </w:r>
      <w:r>
        <w:rPr>
          <w:rtl w:val="0"/>
          <w:lang w:val="en-US"/>
        </w:rPr>
        <w:t xml:space="preserve"> </w:t>
      </w:r>
      <w:r>
        <w:rPr>
          <w:rtl w:val="0"/>
          <w:lang w:val="en-US"/>
        </w:rPr>
        <w:t>decreasing and managing pain and decreasing spasm for acute pulled muscle</w:t>
      </w:r>
      <w:r>
        <w:rPr>
          <w:rtl w:val="0"/>
          <w:lang w:val="en-US"/>
        </w:rPr>
        <w:t xml:space="preserve"> </w:t>
      </w:r>
      <w:r>
        <w:rPr>
          <w:rtl w:val="0"/>
          <w:lang w:val="en-US"/>
        </w:rPr>
        <w:t>(Bieuzen, Bleakley and Costello, 2013)</w:t>
      </w:r>
      <w:r>
        <w:rPr>
          <w:rtl w:val="0"/>
          <w:lang w:val="en-US"/>
        </w:rPr>
        <w:t>.</w:t>
      </w:r>
      <w:r>
        <w:rPr>
          <w:rtl w:val="0"/>
          <w:lang w:val="en-US"/>
        </w:rPr>
        <w:t xml:space="preserve"> In a study by (</w:t>
      </w:r>
      <w:r>
        <w:rPr>
          <w:rtl w:val="0"/>
          <w:lang w:val="it-IT"/>
        </w:rPr>
        <w:t>Bell</w:t>
      </w:r>
      <w:r>
        <w:rPr>
          <w:rtl w:val="0"/>
          <w:lang w:val="en-US"/>
        </w:rPr>
        <w:t>, 1987) and (P</w:t>
      </w:r>
      <w:r>
        <w:rPr>
          <w:rtl w:val="0"/>
          <w:lang w:val="it-IT"/>
        </w:rPr>
        <w:t>rentice</w:t>
      </w:r>
      <w:r>
        <w:rPr>
          <w:rtl w:val="0"/>
          <w:lang w:val="en-US"/>
        </w:rPr>
        <w:t>, 1999) cited by (Cochrane, 2004) the ratio for cold too hot is 1:3 mins or 1:4 mins. The effects of this are creating a pumping action where vasodilation and vasoconstriction are working together (Shih et al</w:t>
      </w:r>
      <w:r>
        <w:rPr>
          <w:rtl w:val="0"/>
          <w:lang w:val="en-US"/>
        </w:rPr>
        <w:t>.</w:t>
      </w:r>
      <w:r>
        <w:rPr>
          <w:lang w:val="en-US"/>
        </w:rPr>
        <w:fldChar w:fldCharType="begin" w:fldLock="0"/>
      </w:r>
      <w:r>
        <w:rPr>
          <w:lang w:val="en-US"/>
        </w:rPr>
        <w:instrText xml:space="preserve"> PAGE </w:instrText>
      </w:r>
      <w:r>
        <w:rPr>
          <w:lang w:val="en-US"/>
        </w:rPr>
        <w:fldChar w:fldCharType="separate" w:fldLock="0"/>
      </w:r>
      <w:r>
        <w:rPr>
          <w:lang w:val="en-US"/>
        </w:rPr>
        <w:t>7</w:t>
      </w:r>
      <w:r>
        <w:rPr>
          <w:lang w:val="en-US"/>
        </w:rPr>
        <w:fldChar w:fldCharType="end" w:fldLock="0"/>
      </w:r>
      <w:r>
        <w:rPr>
          <w:rtl w:val="0"/>
          <w:lang w:val="en-US"/>
        </w:rPr>
        <w:t>, 2012). Reapplication during re-warming period results in cooler tissue temp, 30 mins app</w:t>
      </w:r>
      <w:r>
        <w:rPr>
          <w:rtl w:val="0"/>
          <w:lang w:val="en-US"/>
        </w:rPr>
        <w:t>lication</w:t>
      </w:r>
      <w:r>
        <w:rPr>
          <w:rtl w:val="0"/>
          <w:lang w:val="en-US"/>
        </w:rPr>
        <w:t xml:space="preserve"> 1 hour off 30 mins app</w:t>
      </w:r>
      <w:r>
        <w:rPr>
          <w:rtl w:val="0"/>
          <w:lang w:val="en-US"/>
        </w:rPr>
        <w:t>lication</w:t>
      </w:r>
      <w:r>
        <w:rPr>
          <w:rtl w:val="0"/>
          <w:lang w:val="en-US"/>
        </w:rPr>
        <w:t xml:space="preserve">, </w:t>
      </w:r>
      <w:r>
        <w:rPr>
          <w:rtl w:val="0"/>
          <w:lang w:val="en-US"/>
        </w:rPr>
        <w:t xml:space="preserve">for a period of 5/6 sets, </w:t>
      </w:r>
      <w:r>
        <w:rPr>
          <w:rtl w:val="0"/>
          <w:lang w:val="en-US"/>
        </w:rPr>
        <w:t>re warm should be twice the cooling period. Contrast baths, warm and cold packs play a key role in injury management but increasingly these modalities are now used for post exercise recovery. Warm spas with cold plunge pools or contrast hot-cold baths and showers are commonly used by players after training or exercise (Cochrane,</w:t>
      </w:r>
      <w:r>
        <w:rPr>
          <w:rtl w:val="0"/>
          <w:lang w:val="en-US"/>
        </w:rPr>
        <w:t xml:space="preserve"> </w:t>
      </w:r>
      <w:r>
        <w:rPr>
          <w:rtl w:val="0"/>
          <w:lang w:val="en-US"/>
        </w:rPr>
        <w:t>2004).</w:t>
      </w:r>
      <w:r>
        <w:rPr>
          <w:shd w:val="clear" w:color="auto" w:fill="ffffff"/>
          <w:rtl w:val="0"/>
          <w:lang w:val="en-US"/>
        </w:rPr>
        <w:t xml:space="preserve"> Lewis (1930) was the first author to describe the hunting response that occurs during exposure of the fingers to the cold, the ascending part of which is commonly referred to as a cold </w:t>
      </w:r>
      <w:r>
        <w:rPr>
          <w:shd w:val="clear" w:color="auto" w:fill="ffffff"/>
          <w:rtl w:val="0"/>
          <w:lang w:val="en-US"/>
        </w:rPr>
        <w:t xml:space="preserve">induced </w:t>
      </w:r>
      <w:r>
        <w:rPr>
          <w:shd w:val="clear" w:color="auto" w:fill="ffffff"/>
          <w:rtl w:val="0"/>
        </w:rPr>
        <w:t xml:space="preserve">vasodilation. </w:t>
      </w:r>
      <w:r>
        <w:rPr>
          <w:shd w:val="clear" w:color="auto" w:fill="ffffff"/>
          <w:rtl w:val="0"/>
          <w:lang w:val="en-US"/>
        </w:rPr>
        <w:t>Hunting</w:t>
      </w:r>
      <w:r>
        <w:rPr>
          <w:shd w:val="clear" w:color="auto" w:fill="ffffff"/>
          <w:rtl w:val="0"/>
          <w:lang w:val="en-US"/>
        </w:rPr>
        <w:t xml:space="preserve"> Lewis response was initially thought to be protective mechanism, but now believed to do more damage. Recent studies have underlined mechanisms of this response, however there is not enough evidence to support it. </w:t>
      </w:r>
    </w:p>
    <w:p>
      <w:pPr>
        <w:pStyle w:val="Body"/>
        <w:spacing w:line="360" w:lineRule="auto"/>
        <w:rPr>
          <w:shd w:val="clear" w:color="auto" w:fill="ffffff"/>
        </w:rPr>
      </w:pPr>
    </w:p>
    <w:p>
      <w:pPr>
        <w:pStyle w:val="Body"/>
        <w:spacing w:line="360" w:lineRule="auto"/>
      </w:pPr>
      <w:r>
        <w:rPr>
          <w:shd w:val="clear" w:color="auto" w:fill="ffffff"/>
          <w:rtl w:val="0"/>
          <w:lang w:val="en-US"/>
        </w:rPr>
        <w:t>Conclusion</w:t>
      </w:r>
    </w:p>
    <w:p>
      <w:pPr>
        <w:pStyle w:val="Body"/>
        <w:spacing w:line="360" w:lineRule="auto"/>
      </w:pPr>
      <w:r>
        <w:rPr>
          <w:rtl w:val="0"/>
          <w:lang w:val="en-US"/>
        </w:rPr>
        <w:t>To summarise both the physiological mechanisms of cryotherapy and thermotherapy have been underlined.</w:t>
      </w:r>
      <w:r>
        <w:rPr>
          <w:rtl w:val="0"/>
          <w:lang w:val="en-US"/>
        </w:rPr>
        <w:t xml:space="preserve"> </w:t>
      </w:r>
      <w:r>
        <w:rPr>
          <w:rtl w:val="0"/>
          <w:lang w:val="en-US"/>
        </w:rPr>
        <w:t xml:space="preserve">Both treatments for managing a soft tissue injury can be beneficial, however either treatment can also cause further injury. </w:t>
      </w: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7</w:t>
      </w:r>
      <w:r>
        <w:rPr>
          <w:sz w:val="20"/>
          <w:szCs w:val="20"/>
        </w:rPr>
        <w:fldChar w:fldCharType="end" w:fldLock="0"/>
      </w:r>
    </w:p>
    <w:p>
      <w:pPr>
        <w:pStyle w:val="Body"/>
        <w:spacing w:line="360" w:lineRule="auto"/>
      </w:pPr>
      <w:r>
        <w:rPr>
          <w:rtl w:val="0"/>
          <w:lang w:val="en-US"/>
        </w:rPr>
        <w:t xml:space="preserve">Therefore understanding the physiological mechanisms of cryotherapy and thermotherapy treatment is important </w:t>
      </w:r>
      <w:r>
        <w:rPr>
          <w:rtl w:val="0"/>
          <w:lang w:val="en-US"/>
        </w:rPr>
        <w:t>regarding the</w:t>
      </w:r>
      <w:r>
        <w:rPr>
          <w:rtl w:val="0"/>
          <w:lang w:val="en-US"/>
        </w:rPr>
        <w:t xml:space="preserve"> phase of injury </w:t>
      </w:r>
      <w:r>
        <w:rPr>
          <w:rtl w:val="0"/>
          <w:lang w:val="en-US"/>
        </w:rPr>
        <w:t xml:space="preserve">of </w:t>
      </w:r>
      <w:r>
        <w:rPr>
          <w:rtl w:val="0"/>
          <w:lang w:val="en-US"/>
        </w:rPr>
        <w:t xml:space="preserve">the soft tissue. If the injured soft tissue is at acute inflammatory phase then cryotherapy treatment should be applied. If the </w:t>
      </w:r>
      <w:r>
        <w:rPr>
          <w:rtl w:val="0"/>
          <w:lang w:val="en-US"/>
        </w:rPr>
        <w:t>phase</w:t>
      </w:r>
      <w:r>
        <w:rPr>
          <w:rtl w:val="0"/>
          <w:lang w:val="en-US"/>
        </w:rPr>
        <w:t xml:space="preserve"> has progresses to sub-inflammatory and proliferative phases then thermotherapy should be utilised. In addition cryotherapy would be applied after a workout or before any therapeutic workout but not an intense workout as it effects range of movement and stability (Pritchard and Saliba, 2014). Thermotherapy on the other hand would be utilised pre game to get the soft tissue warmed up, and during a later stage of injury. Although there is many physiological mechanisms for cryotherapy and thermotherapy, there is not enough evidence to provide which form of treatment would be more beneficial. </w:t>
      </w:r>
    </w:p>
    <w:p>
      <w:pPr>
        <w:pStyle w:val="Body"/>
        <w:spacing w:line="360" w:lineRule="auto"/>
      </w:pPr>
    </w:p>
    <w:p>
      <w:pPr>
        <w:pStyle w:val="Body"/>
        <w:spacing w:line="360" w:lineRule="auto"/>
      </w:pPr>
      <w:r>
        <w:rPr>
          <w:rtl w:val="0"/>
          <w:lang w:val="en-US"/>
        </w:rPr>
        <w:t>Word Count - 2,146</w:t>
      </w:r>
    </w:p>
    <w:p>
      <w:pPr>
        <w:pStyle w:val="Body"/>
        <w:spacing w:line="360" w:lineRule="auto"/>
        <w:rPr>
          <w14:textOutline w14:w="12700" w14:cap="flat">
            <w14:noFill/>
            <w14:miter w14:lim="400000"/>
          </w14:textOutline>
        </w:rPr>
      </w:pPr>
    </w:p>
    <w:p>
      <w:pPr>
        <w:pStyle w:val="Body"/>
        <w:spacing w:line="360" w:lineRule="auto"/>
        <w:rPr>
          <w:u w:val="single"/>
        </w:rPr>
      </w:pPr>
      <w:r>
        <w:rPr>
          <w:u w:val="single"/>
          <w:rtl w:val="0"/>
          <w:lang w:val="fr-FR"/>
        </w:rPr>
        <w:t>Reference list</w:t>
      </w:r>
    </w:p>
    <w:p>
      <w:pPr>
        <w:pStyle w:val="Body"/>
        <w:spacing w:line="360" w:lineRule="auto"/>
      </w:pPr>
      <w:r>
        <w:rPr>
          <w:rtl w:val="0"/>
        </w:rPr>
        <w:t>Airaksinen, O.V., Kyrklund, N., Latvala, K., Kouri, J.P., Gr</w:t>
      </w:r>
      <w:r>
        <w:rPr>
          <w:rtl w:val="0"/>
          <w:lang w:val="sv-SE"/>
        </w:rPr>
        <w:t>ö</w:t>
      </w:r>
      <w:r>
        <w:rPr>
          <w:rtl w:val="0"/>
          <w:lang w:val="da-DK"/>
        </w:rPr>
        <w:t>nblad, M.</w:t>
      </w:r>
      <w:r>
        <w:rPr>
          <w:rtl w:val="0"/>
          <w:lang w:val="en-US"/>
        </w:rPr>
        <w:t xml:space="preserve"> and</w:t>
      </w:r>
      <w:r>
        <w:rPr>
          <w:rtl w:val="0"/>
          <w:lang w:val="en-US"/>
        </w:rPr>
        <w:t xml:space="preserve"> Kolari, P. (2003) Efficacy of Cold Gel for Soft Tissue Injuries: A Prospective Randomised Double-Blinded Trial. </w:t>
      </w:r>
      <w:r>
        <w:rPr>
          <w:i w:val="1"/>
          <w:iCs w:val="1"/>
          <w:rtl w:val="0"/>
          <w:lang w:val="en-US"/>
        </w:rPr>
        <w:t xml:space="preserve">The American Journal of Sports Medicine. </w:t>
      </w:r>
      <w:r>
        <w:rPr>
          <w:rtl w:val="0"/>
          <w:lang w:val="en-US"/>
        </w:rPr>
        <w:t xml:space="preserve">31 (5) pp. 680-684. Available at: </w:t>
      </w:r>
      <w:r>
        <w:rPr/>
        <w:fldChar w:fldCharType="begin" w:fldLock="0"/>
      </w:r>
      <w:r>
        <w:instrText xml:space="preserve"> HYPERLINK "https://doi-org.ezproxy.uwtsd.ac.uk/10.1177/03635465030310050801"</w:instrText>
      </w:r>
      <w:r>
        <w:rPr/>
        <w:fldChar w:fldCharType="separate" w:fldLock="0"/>
      </w:r>
      <w:r>
        <w:rPr>
          <w:rtl w:val="0"/>
        </w:rPr>
        <w:t>https://doi-org.ezproxy.uwtsd.ac.uk/10.1177/03635465030310050801</w:t>
      </w:r>
      <w:r>
        <w:rPr/>
        <w:fldChar w:fldCharType="end" w:fldLock="0"/>
      </w:r>
      <w:r>
        <w:rPr>
          <w:rtl w:val="0"/>
          <w:lang w:val="en-US"/>
        </w:rPr>
        <w:t xml:space="preserve"> (Accessed September 1st 2003)</w:t>
      </w:r>
    </w:p>
    <w:p>
      <w:pPr>
        <w:pStyle w:val="Body"/>
        <w:spacing w:line="360" w:lineRule="auto"/>
      </w:pPr>
    </w:p>
    <w:p>
      <w:pPr>
        <w:pStyle w:val="Body"/>
        <w:spacing w:line="360" w:lineRule="auto"/>
      </w:pPr>
      <w:r>
        <w:rPr>
          <w:rtl w:val="0"/>
          <w:lang w:val="en-US"/>
        </w:rPr>
        <w:t>Bell, A.T. and Horton, P.G (1987) The uses and abuse of hydrotherapy in athletics: a review. Athletic Training. 22 (2) pp. 115-119.</w:t>
      </w:r>
    </w:p>
    <w:p>
      <w:pPr>
        <w:pStyle w:val="Body"/>
        <w:spacing w:line="360" w:lineRule="auto"/>
      </w:pPr>
    </w:p>
    <w:p>
      <w:pPr>
        <w:pStyle w:val="Body"/>
        <w:spacing w:line="360" w:lineRule="auto"/>
      </w:pPr>
      <w:r>
        <w:rPr>
          <w:rtl w:val="0"/>
          <w:lang w:val="en-US"/>
        </w:rPr>
        <w:t xml:space="preserve">Bieuzen, F., Bleakley, C. and Costello, J. (2013). Contrast Water Therapy and Exercise Induced Muscle Damage: A Systematic Review and Meta-Analysis. </w:t>
      </w:r>
      <w:r>
        <w:rPr>
          <w:i w:val="1"/>
          <w:iCs w:val="1"/>
          <w:rtl w:val="0"/>
        </w:rPr>
        <w:t>PLoS One</w:t>
      </w:r>
      <w:r>
        <w:rPr>
          <w:i w:val="1"/>
          <w:iCs w:val="1"/>
          <w:rtl w:val="0"/>
          <w:lang w:val="en-US"/>
        </w:rPr>
        <w:t xml:space="preserve"> </w:t>
      </w:r>
      <w:r>
        <w:rPr>
          <w:rtl w:val="0"/>
          <w:lang w:val="en-US"/>
        </w:rPr>
        <w:t>Available at: http://dx.doi.org/10.1371/journal.pone.0062356 (Accessed 2 Apr 2013)</w:t>
      </w:r>
    </w:p>
    <w:p>
      <w:pPr>
        <w:pStyle w:val="Body"/>
        <w:spacing w:line="360" w:lineRule="auto"/>
      </w:pPr>
    </w:p>
    <w:p>
      <w:pPr>
        <w:pStyle w:val="Body"/>
        <w:spacing w:line="360" w:lineRule="auto"/>
      </w:pPr>
      <w:r>
        <w:rPr>
          <w:rtl w:val="0"/>
          <w:lang w:val="en-US"/>
        </w:rPr>
        <w:t>Bleakley, C.M., McDonough, S.</w:t>
      </w:r>
      <w:r>
        <w:rPr>
          <w:rtl w:val="0"/>
          <w:lang w:val="en-US"/>
        </w:rPr>
        <w:t xml:space="preserve"> and</w:t>
      </w:r>
      <w:r>
        <w:rPr>
          <w:rtl w:val="0"/>
          <w:lang w:val="en-US"/>
        </w:rPr>
        <w:t xml:space="preserve"> MacAuley, D. (2004) The use of ice in the treatment of  acute soft-tissue injury: A systematic review of randomised control trials. </w:t>
      </w:r>
      <w:r>
        <w:rPr>
          <w:i w:val="1"/>
          <w:iCs w:val="1"/>
          <w:rtl w:val="0"/>
          <w:lang w:val="en-US"/>
        </w:rPr>
        <w:t xml:space="preserve">The American Journal of Sorts Medicine. </w:t>
      </w:r>
      <w:r>
        <w:rPr>
          <w:rtl w:val="0"/>
          <w:lang w:val="en-US"/>
        </w:rPr>
        <w:t xml:space="preserve">32 (1) pp. 251-261. Available at: </w:t>
      </w:r>
      <w:r>
        <w:rPr/>
        <w:fldChar w:fldCharType="begin" w:fldLock="0"/>
      </w:r>
      <w:r>
        <w:instrText xml:space="preserve"> HYPERLINK "https://search.proquest.com/docview/217078053?accountid=130472"</w:instrText>
      </w:r>
      <w:r>
        <w:rPr/>
        <w:fldChar w:fldCharType="separate" w:fldLock="0"/>
      </w:r>
      <w:r>
        <w:rPr>
          <w:rtl w:val="0"/>
          <w:lang w:val="en-US"/>
        </w:rPr>
        <w:t>https://search.proquest.com/docview/217078053?accountid=130472</w:t>
      </w:r>
      <w:r>
        <w:rPr/>
        <w:fldChar w:fldCharType="end" w:fldLock="0"/>
      </w:r>
      <w:r>
        <w:rPr>
          <w:rtl w:val="0"/>
          <w:lang w:val="en-US"/>
        </w:rPr>
        <w:t xml:space="preserve"> (Accessed Jan/Feb 2004)</w:t>
      </w:r>
    </w:p>
    <w:p>
      <w:pPr>
        <w:pStyle w:val="Body"/>
        <w:spacing w:line="360" w:lineRule="auto"/>
        <w:rPr>
          <w:sz w:val="20"/>
          <w:szCs w:val="20"/>
        </w:rPr>
      </w:pPr>
    </w:p>
    <w:p>
      <w:pPr>
        <w:pStyle w:val="Body"/>
        <w:spacing w:line="360" w:lineRule="auto"/>
      </w:pP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8</w:t>
      </w:r>
      <w:r>
        <w:rPr>
          <w:sz w:val="20"/>
          <w:szCs w:val="20"/>
        </w:rPr>
        <w:fldChar w:fldCharType="end" w:fldLock="0"/>
      </w:r>
    </w:p>
    <w:p>
      <w:pPr>
        <w:pStyle w:val="Body"/>
        <w:spacing w:line="360" w:lineRule="auto"/>
      </w:pPr>
      <w:r>
        <w:rPr>
          <w:rtl w:val="0"/>
          <w:lang w:val="en-US"/>
        </w:rPr>
        <w:t>Bleakley, C.M., O'Connor, S., Tully, M.A., Rocke</w:t>
      </w:r>
      <w:r>
        <w:rPr>
          <w:outline w:val="0"/>
          <w:color w:val="333333"/>
          <w:u w:color="333333"/>
          <w:rtl w:val="0"/>
          <w14:textFill>
            <w14:solidFill>
              <w14:srgbClr w14:val="333333"/>
            </w14:solidFill>
          </w14:textFill>
        </w:rPr>
        <w:t xml:space="preserve">, L.G., </w:t>
      </w:r>
      <w:r>
        <w:rPr>
          <w:rtl w:val="0"/>
          <w:lang w:val="en-US"/>
        </w:rPr>
        <w:t>MacAuley, D.</w:t>
      </w:r>
      <w:r>
        <w:rPr>
          <w:rtl w:val="0"/>
          <w:lang w:val="en-US"/>
        </w:rPr>
        <w:t>C. and</w:t>
      </w:r>
      <w:r>
        <w:rPr>
          <w:outline w:val="0"/>
          <w:color w:val="333333"/>
          <w:u w:color="333333"/>
          <w:rtl w:val="0"/>
          <w14:textFill>
            <w14:solidFill>
              <w14:srgbClr w14:val="333333"/>
            </w14:solidFill>
          </w14:textFill>
        </w:rPr>
        <w:t xml:space="preserve"> </w:t>
      </w:r>
      <w:r>
        <w:rPr>
          <w:rtl w:val="0"/>
          <w:lang w:val="en-US"/>
        </w:rPr>
        <w:t xml:space="preserve">McDonough, S.M. (2007) The PRICE study (Protection Rest Ice Compression Elevation): design of a randomised controlled trial comparing standard versus cryokinetic ice applications in the management of acute ankle sprain. </w:t>
      </w:r>
      <w:r>
        <w:rPr>
          <w:i w:val="1"/>
          <w:iCs w:val="1"/>
          <w:rtl w:val="0"/>
        </w:rPr>
        <w:t>BMC Musculoskeletal Disorder</w:t>
      </w:r>
      <w:r>
        <w:rPr>
          <w:rtl w:val="0"/>
          <w:lang w:val="en-US"/>
        </w:rPr>
        <w:t xml:space="preserve"> 8 (125). Available at: </w:t>
      </w:r>
      <w:r>
        <w:rPr/>
        <w:fldChar w:fldCharType="begin" w:fldLock="0"/>
      </w:r>
      <w:r>
        <w:instrText xml:space="preserve"> HYPERLINK "https://doi.org/10.1186/1471-2474-8-125"</w:instrText>
      </w:r>
      <w:r>
        <w:rPr/>
        <w:fldChar w:fldCharType="separate" w:fldLock="0"/>
      </w:r>
      <w:r>
        <w:rPr>
          <w:rtl w:val="0"/>
        </w:rPr>
        <w:t>https://doi.org/10.1186/1471-2474-8-125</w:t>
      </w:r>
      <w:r>
        <w:rPr/>
        <w:fldChar w:fldCharType="end" w:fldLock="0"/>
      </w:r>
      <w:r>
        <w:rPr>
          <w:rtl w:val="0"/>
          <w:lang w:val="en-US"/>
        </w:rPr>
        <w:t xml:space="preserve"> (Accessed 19th December 2007)</w:t>
      </w:r>
    </w:p>
    <w:p>
      <w:pPr>
        <w:pStyle w:val="Body"/>
        <w:spacing w:line="360" w:lineRule="auto"/>
        <w:rPr>
          <w:sz w:val="20"/>
          <w:szCs w:val="20"/>
        </w:rPr>
      </w:pPr>
    </w:p>
    <w:p>
      <w:pPr>
        <w:pStyle w:val="Body"/>
        <w:spacing w:line="360" w:lineRule="auto"/>
        <w:rPr>
          <w:rStyle w:val="None"/>
          <w:lang w:val="en-US"/>
        </w:rPr>
      </w:pPr>
      <w:r>
        <w:rPr>
          <w:rtl w:val="0"/>
          <w:lang w:val="en-US"/>
        </w:rPr>
        <w:t xml:space="preserve">Cochrane, D.J (2004) Alternating hot and cold water immersion for athlete recovery: a review. </w:t>
      </w:r>
      <w:r>
        <w:rPr>
          <w:i w:val="1"/>
          <w:iCs w:val="1"/>
          <w:rtl w:val="0"/>
          <w:lang w:val="en-US"/>
        </w:rPr>
        <w:t xml:space="preserve">Physical Therapy in Sport. </w:t>
      </w:r>
      <w:r>
        <w:rPr>
          <w:rtl w:val="0"/>
          <w:lang w:val="en-US"/>
        </w:rPr>
        <w:t xml:space="preserve">5 (1) pp. 26-32. Available at: </w:t>
      </w:r>
      <w:r>
        <w:rPr>
          <w:rStyle w:val="Hyperlink.0"/>
        </w:rPr>
        <w:fldChar w:fldCharType="begin" w:fldLock="0"/>
      </w:r>
      <w:r>
        <w:rPr>
          <w:rStyle w:val="Hyperlink.0"/>
        </w:rPr>
        <w:instrText xml:space="preserve"> HYPERLINK "http://dx.doi.org/10.1016/j.ptsp.2003.10.002"</w:instrText>
      </w:r>
      <w:r>
        <w:rPr>
          <w:rStyle w:val="Hyperlink.0"/>
        </w:rPr>
        <w:fldChar w:fldCharType="separate" w:fldLock="0"/>
      </w:r>
      <w:r>
        <w:rPr>
          <w:rStyle w:val="Hyperlink.0"/>
          <w:rtl w:val="0"/>
          <w:lang w:val="de-DE"/>
        </w:rPr>
        <w:t>http://dx.doi.org/10.1016/j.ptsp.2003.10.002</w:t>
      </w:r>
      <w:r>
        <w:rPr/>
        <w:fldChar w:fldCharType="end" w:fldLock="0"/>
      </w:r>
      <w:r>
        <w:rPr>
          <w:rStyle w:val="None"/>
          <w:rtl w:val="0"/>
          <w:lang w:val="en-US"/>
        </w:rPr>
        <w:t xml:space="preserve"> (Accessed 2004)</w:t>
      </w:r>
    </w:p>
    <w:p>
      <w:pPr>
        <w:pStyle w:val="Body"/>
        <w:spacing w:line="360" w:lineRule="auto"/>
        <w:rPr>
          <w:rStyle w:val="None"/>
          <w:lang w:val="en-US"/>
        </w:rPr>
      </w:pPr>
    </w:p>
    <w:p>
      <w:pPr>
        <w:pStyle w:val="Body"/>
        <w:spacing w:line="360" w:lineRule="auto"/>
      </w:pPr>
      <w:r>
        <w:rPr>
          <w:rStyle w:val="None"/>
          <w:rtl w:val="0"/>
          <w:lang w:val="en-US"/>
        </w:rPr>
        <w:t xml:space="preserve">Collins, N.C. (2008) Is ice right? Does cryotherapy improve outcome for acute soft tissue injury? </w:t>
      </w:r>
      <w:r>
        <w:rPr>
          <w:rStyle w:val="None"/>
          <w:i w:val="1"/>
          <w:iCs w:val="1"/>
          <w:rtl w:val="0"/>
          <w:lang w:val="en-US"/>
        </w:rPr>
        <w:t xml:space="preserve">Emergency Medicine Journal. </w:t>
      </w:r>
      <w:r>
        <w:rPr>
          <w:rStyle w:val="None"/>
          <w:rtl w:val="0"/>
          <w:lang w:val="en-US"/>
        </w:rPr>
        <w:t xml:space="preserve">25 (2) pp. 65-68. Available at: </w:t>
      </w:r>
      <w:r>
        <w:rPr>
          <w:rStyle w:val="Hyperlink.0"/>
        </w:rPr>
        <w:fldChar w:fldCharType="begin" w:fldLock="0"/>
      </w:r>
      <w:r>
        <w:rPr>
          <w:rStyle w:val="Hyperlink.0"/>
        </w:rPr>
        <w:instrText xml:space="preserve"> HYPERLINK "http://dx.doi.org/10.1136/emj.2007.051664"</w:instrText>
      </w:r>
      <w:r>
        <w:rPr>
          <w:rStyle w:val="Hyperlink.0"/>
        </w:rPr>
        <w:fldChar w:fldCharType="separate" w:fldLock="0"/>
      </w:r>
      <w:r>
        <w:rPr>
          <w:rStyle w:val="Hyperlink.0"/>
          <w:rtl w:val="0"/>
          <w:lang w:val="de-DE"/>
        </w:rPr>
        <w:t>http://dx.doi.org/10.1136/emj.2007.051664</w:t>
      </w:r>
      <w:r>
        <w:rPr/>
        <w:fldChar w:fldCharType="end" w:fldLock="0"/>
      </w:r>
      <w:r>
        <w:rPr>
          <w:rStyle w:val="None"/>
          <w:rtl w:val="0"/>
          <w:lang w:val="en-US"/>
        </w:rPr>
        <w:t xml:space="preserve"> (Accessed Feb 2008)</w:t>
      </w:r>
    </w:p>
    <w:p>
      <w:pPr>
        <w:pStyle w:val="Body"/>
        <w:spacing w:line="360" w:lineRule="auto"/>
      </w:pPr>
    </w:p>
    <w:p>
      <w:pPr>
        <w:pStyle w:val="Body"/>
        <w:spacing w:line="360" w:lineRule="auto"/>
      </w:pPr>
      <w:r>
        <w:rPr>
          <w:rtl w:val="0"/>
          <w:lang w:val="en-US"/>
        </w:rPr>
        <w:t xml:space="preserve">Ghatak, S., Maytin, E.V., Mack, J.A., Hascall, V.C., Atanelishvili, I., Ricardo, M.R., Markwald, R.R. and Misra. S. (2015) </w:t>
      </w:r>
      <w:r>
        <w:rPr>
          <w:rtl w:val="0"/>
          <w:lang w:val="en-US"/>
        </w:rPr>
        <w:t>Roles of Proteoglycans and Glycosaminoglycans in Wound Healing and Fibrosis</w:t>
      </w:r>
      <w:r>
        <w:rPr>
          <w:rtl w:val="0"/>
          <w:lang w:val="en-US"/>
        </w:rPr>
        <w:t xml:space="preserve">. </w:t>
      </w:r>
      <w:r>
        <w:rPr>
          <w:rStyle w:val="None"/>
          <w:i w:val="1"/>
          <w:iCs w:val="1"/>
          <w:rtl w:val="0"/>
          <w:lang w:val="en-US"/>
        </w:rPr>
        <w:t>International Journal of Cell Biology</w:t>
      </w:r>
      <w:r>
        <w:rPr>
          <w:rStyle w:val="None"/>
          <w:i w:val="1"/>
          <w:iCs w:val="1"/>
          <w:rtl w:val="0"/>
          <w:lang w:val="en-US"/>
        </w:rPr>
        <w:t xml:space="preserve">. </w:t>
      </w:r>
      <w:r>
        <w:rPr>
          <w:rtl w:val="0"/>
          <w:lang w:val="en-US"/>
        </w:rPr>
        <w:t xml:space="preserve">Available at: </w:t>
      </w:r>
      <w:r>
        <w:rPr>
          <w:rStyle w:val="Hyperlink.1"/>
        </w:rPr>
        <w:fldChar w:fldCharType="begin" w:fldLock="0"/>
      </w:r>
      <w:r>
        <w:rPr>
          <w:rStyle w:val="Hyperlink.1"/>
        </w:rPr>
        <w:instrText xml:space="preserve"> HYPERLINK "http://dx.doi.org/10.1155/2015/834893"</w:instrText>
      </w:r>
      <w:r>
        <w:rPr>
          <w:rStyle w:val="Hyperlink.1"/>
        </w:rPr>
        <w:fldChar w:fldCharType="separate" w:fldLock="0"/>
      </w:r>
      <w:r>
        <w:rPr>
          <w:rStyle w:val="Hyperlink.1"/>
          <w:rtl w:val="0"/>
        </w:rPr>
        <w:t>http://dx.doi.org/10.1155/2015/834893</w:t>
      </w:r>
      <w:r>
        <w:rPr/>
        <w:fldChar w:fldCharType="end" w:fldLock="0"/>
      </w:r>
      <w:r>
        <w:rPr>
          <w:rtl w:val="0"/>
          <w:lang w:val="en-US"/>
        </w:rPr>
        <w:t xml:space="preserve"> (Accessed 2015)</w:t>
      </w:r>
    </w:p>
    <w:p>
      <w:pPr>
        <w:pStyle w:val="Body"/>
        <w:spacing w:line="360" w:lineRule="auto"/>
      </w:pPr>
    </w:p>
    <w:p>
      <w:pPr>
        <w:pStyle w:val="Body"/>
        <w:spacing w:line="360" w:lineRule="auto"/>
      </w:pPr>
      <w:r>
        <w:rPr>
          <w:rtl w:val="0"/>
          <w:lang w:val="it-IT"/>
        </w:rPr>
        <w:t>Giombini, V.A., Giovannini, A., Di Cesare, P., Pacetti, N.I., Shiraishi, M., Hisashi, N</w:t>
      </w:r>
      <w:r>
        <w:rPr>
          <w:rtl w:val="0"/>
          <w:lang w:val="en-US"/>
        </w:rPr>
        <w:t>. and</w:t>
      </w:r>
      <w:r>
        <w:rPr>
          <w:rtl w:val="0"/>
          <w:lang w:val="en-US"/>
        </w:rPr>
        <w:t xml:space="preserve"> Maffulli, N (2007) Hyperthermia induced by microwave diathermy in the management of muscle and tendon injuries. </w:t>
      </w:r>
      <w:r>
        <w:rPr>
          <w:rStyle w:val="None"/>
          <w:i w:val="1"/>
          <w:iCs w:val="1"/>
          <w:rtl w:val="0"/>
          <w:lang w:val="en-US"/>
        </w:rPr>
        <w:t>British</w:t>
      </w:r>
      <w:r>
        <w:rPr>
          <w:rtl w:val="0"/>
          <w:lang w:val="en-US"/>
        </w:rPr>
        <w:t xml:space="preserve"> </w:t>
      </w:r>
      <w:r>
        <w:rPr>
          <w:rStyle w:val="None"/>
          <w:i w:val="1"/>
          <w:iCs w:val="1"/>
          <w:rtl w:val="0"/>
        </w:rPr>
        <w:t>Medical Bulletin</w:t>
      </w:r>
      <w:r>
        <w:rPr>
          <w:rtl w:val="0"/>
          <w:lang w:val="en-US"/>
        </w:rPr>
        <w:t xml:space="preserve">. 83 (1) pp. 379-396. Available at: </w:t>
      </w:r>
      <w:r>
        <w:rPr/>
        <w:fldChar w:fldCharType="begin" w:fldLock="0"/>
      </w:r>
      <w:r>
        <w:instrText xml:space="preserve"> HYPERLINK "https://doi-org.ezproxy.uwtsd.ac.uk/10.1093/bmb/ldm020"</w:instrText>
      </w:r>
      <w:r>
        <w:rPr/>
        <w:fldChar w:fldCharType="separate" w:fldLock="0"/>
      </w:r>
      <w:r>
        <w:rPr>
          <w:rtl w:val="0"/>
        </w:rPr>
        <w:t>https://doi-org.ezproxy.uwtsd.ac.uk/10.1093/bmb/ldm020</w:t>
      </w:r>
      <w:r>
        <w:rPr/>
        <w:fldChar w:fldCharType="end" w:fldLock="0"/>
      </w:r>
      <w:r>
        <w:rPr>
          <w:rtl w:val="0"/>
          <w:lang w:val="en-US"/>
        </w:rPr>
        <w:t xml:space="preserve"> (Accessed September 2007)</w:t>
      </w:r>
    </w:p>
    <w:p>
      <w:pPr>
        <w:pStyle w:val="Body"/>
        <w:spacing w:line="360" w:lineRule="auto"/>
      </w:pPr>
    </w:p>
    <w:p>
      <w:pPr>
        <w:pStyle w:val="Body"/>
        <w:spacing w:line="360" w:lineRule="auto"/>
      </w:pPr>
      <w:r>
        <w:rPr>
          <w:rtl w:val="0"/>
          <w:lang w:val="en-US"/>
        </w:rPr>
        <w:t xml:space="preserve">Knight, C.A., Rutledge, C.R., Cox, M.E., Acosta, M. and Hall, S.J. (2001) Effects of superficial heat, deep heat, and active exercise warm-up on the extensibility of the plantar flexors. </w:t>
      </w:r>
      <w:r>
        <w:rPr>
          <w:rStyle w:val="None"/>
          <w:i w:val="1"/>
          <w:iCs w:val="1"/>
          <w:rtl w:val="0"/>
          <w:lang w:val="en-US"/>
        </w:rPr>
        <w:t>Physical Therapy</w:t>
      </w:r>
      <w:r>
        <w:rPr>
          <w:rtl w:val="0"/>
          <w:lang w:val="en-US"/>
        </w:rPr>
        <w:t xml:space="preserve">. 81 (6) pp.1206-1214. Available at: </w:t>
      </w:r>
      <w:r>
        <w:rPr/>
        <w:fldChar w:fldCharType="begin" w:fldLock="0"/>
      </w:r>
      <w:r>
        <w:instrText xml:space="preserve"> HYPERLINK "http://dx.doi.org/10.1093/ptj/81.6.1206"</w:instrText>
      </w:r>
      <w:r>
        <w:rPr/>
        <w:fldChar w:fldCharType="separate" w:fldLock="0"/>
      </w:r>
      <w:r>
        <w:rPr>
          <w:rtl w:val="0"/>
          <w:lang w:val="en-US"/>
        </w:rPr>
        <w:t>http://dx.doi.org/10.1093/ptj/81.6.1206</w:t>
      </w:r>
      <w:r>
        <w:rPr/>
        <w:fldChar w:fldCharType="end" w:fldLock="0"/>
      </w:r>
      <w:r>
        <w:rPr>
          <w:rtl w:val="0"/>
          <w:lang w:val="en-US"/>
        </w:rPr>
        <w:t xml:space="preserve"> (Accessed June 2001)</w:t>
      </w:r>
    </w:p>
    <w:p>
      <w:pPr>
        <w:pStyle w:val="Body"/>
        <w:spacing w:line="360" w:lineRule="auto"/>
      </w:pPr>
    </w:p>
    <w:p>
      <w:pPr>
        <w:pStyle w:val="Body"/>
        <w:spacing w:line="360" w:lineRule="auto"/>
      </w:pPr>
      <w:r>
        <w:rPr>
          <w:rtl w:val="0"/>
          <w:lang w:val="en-US"/>
        </w:rPr>
        <w:t xml:space="preserve">Knight, K.L. and Draper, D.O. (2008) Therapeutic modalities : </w:t>
      </w:r>
      <w:r>
        <w:rPr>
          <w:rStyle w:val="None"/>
          <w:i w:val="1"/>
          <w:iCs w:val="1"/>
          <w:rtl w:val="0"/>
          <w:lang w:val="en-US"/>
        </w:rPr>
        <w:t xml:space="preserve">The art </w:t>
      </w:r>
      <w:r>
        <w:rPr>
          <w:rStyle w:val="None"/>
          <w:i w:val="1"/>
          <w:iCs w:val="1"/>
          <w:rtl w:val="0"/>
          <w:lang w:val="en-US"/>
        </w:rPr>
        <w:t>and</w:t>
      </w:r>
      <w:r>
        <w:rPr>
          <w:rStyle w:val="None"/>
          <w:i w:val="1"/>
          <w:iCs w:val="1"/>
          <w:rtl w:val="0"/>
          <w:lang w:val="fr-FR"/>
        </w:rPr>
        <w:t xml:space="preserve"> science</w:t>
      </w:r>
      <w:r>
        <w:rPr>
          <w:rtl w:val="0"/>
          <w:lang w:val="it-IT"/>
        </w:rPr>
        <w:t>. Philadelphia: PA</w:t>
      </w:r>
    </w:p>
    <w:p>
      <w:pPr>
        <w:pStyle w:val="Body"/>
        <w:spacing w:line="360" w:lineRule="auto"/>
      </w:pP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9</w:t>
      </w:r>
      <w:r>
        <w:rPr>
          <w:sz w:val="20"/>
          <w:szCs w:val="20"/>
        </w:rPr>
        <w:fldChar w:fldCharType="end" w:fldLock="0"/>
      </w:r>
    </w:p>
    <w:p>
      <w:pPr>
        <w:pStyle w:val="Body"/>
        <w:spacing w:line="360" w:lineRule="auto"/>
      </w:pPr>
      <w:r>
        <w:rPr>
          <w:rtl w:val="0"/>
          <w:lang w:val="nl-NL"/>
        </w:rPr>
        <w:t>Leeder, J., Gissane, C., Van Someren, K., Gregson, W.</w:t>
      </w:r>
      <w:r>
        <w:rPr>
          <w:rtl w:val="0"/>
          <w:lang w:val="en-US"/>
        </w:rPr>
        <w:t xml:space="preserve"> and</w:t>
      </w:r>
      <w:r>
        <w:rPr>
          <w:rtl w:val="0"/>
          <w:lang w:val="en-US"/>
        </w:rPr>
        <w:t xml:space="preserve"> Howatson, G. (2012) Cold water immersion and recovery from strenuous exercise: a meta-analysis. British Journal of Sports Medicine. 46 (4) pp. 233-240. Available at: </w:t>
      </w:r>
      <w:r>
        <w:rPr/>
        <w:fldChar w:fldCharType="begin" w:fldLock="0"/>
      </w:r>
      <w:r>
        <w:instrText xml:space="preserve"> HYPERLINK "http://dx.doi.org/10.1136/bjsports-2011-090061"</w:instrText>
      </w:r>
      <w:r>
        <w:rPr/>
        <w:fldChar w:fldCharType="separate" w:fldLock="0"/>
      </w:r>
      <w:r>
        <w:rPr>
          <w:rtl w:val="0"/>
          <w:lang w:val="en-US"/>
        </w:rPr>
        <w:t>http://dx.doi.org/10.1136/bjsports-2011-090061</w:t>
      </w:r>
      <w:r>
        <w:rPr/>
        <w:fldChar w:fldCharType="end" w:fldLock="0"/>
      </w:r>
      <w:r>
        <w:rPr>
          <w:rtl w:val="0"/>
          <w:lang w:val="en-US"/>
        </w:rPr>
        <w:t>(Accessed March 2012)</w:t>
      </w:r>
    </w:p>
    <w:p>
      <w:pPr>
        <w:pStyle w:val="Body"/>
        <w:spacing w:line="360" w:lineRule="auto"/>
        <w:rPr>
          <w:sz w:val="20"/>
          <w:szCs w:val="20"/>
        </w:rPr>
      </w:pPr>
    </w:p>
    <w:p>
      <w:pPr>
        <w:pStyle w:val="Body"/>
        <w:spacing w:line="360" w:lineRule="auto"/>
      </w:pPr>
      <w:r>
        <w:rPr>
          <w:rtl w:val="0"/>
          <w:lang w:val="en-US"/>
        </w:rPr>
        <w:t xml:space="preserve">MacAuley, D.C. (2001) Ice Therapy: how good is the evidence? </w:t>
      </w:r>
      <w:r>
        <w:rPr>
          <w:rStyle w:val="None"/>
          <w:i w:val="1"/>
          <w:iCs w:val="1"/>
          <w:rtl w:val="0"/>
          <w:lang w:val="en-US"/>
        </w:rPr>
        <w:t>International Journal of Sports Medicine</w:t>
      </w:r>
      <w:r>
        <w:rPr>
          <w:rtl w:val="0"/>
          <w:lang w:val="en-US"/>
        </w:rPr>
        <w:t>. 22 (5) pp. 379-384. (Accessed July 2001)</w:t>
      </w:r>
    </w:p>
    <w:p>
      <w:pPr>
        <w:pStyle w:val="Body"/>
        <w:spacing w:line="360" w:lineRule="auto"/>
      </w:pPr>
    </w:p>
    <w:p>
      <w:pPr>
        <w:pStyle w:val="Body"/>
        <w:spacing w:line="360" w:lineRule="auto"/>
      </w:pPr>
      <w:r>
        <w:rPr>
          <w:rtl w:val="0"/>
          <w:lang w:val="en-US"/>
        </w:rPr>
        <w:t xml:space="preserve">Peurichard, D., Ousset, M., Paupert, J., Aymard, B., Lorsignol, A., Casteilla, L. and Degond, P. (2019). Extra-cellular matrix rigidity may dictate the fate of injury outcome. </w:t>
      </w:r>
      <w:r>
        <w:rPr>
          <w:rStyle w:val="None"/>
          <w:i w:val="1"/>
          <w:iCs w:val="1"/>
          <w:rtl w:val="0"/>
          <w:lang w:val="en-US"/>
        </w:rPr>
        <w:t xml:space="preserve">Journal of Theoretical Biology. </w:t>
      </w:r>
      <w:r>
        <w:rPr>
          <w:rtl w:val="0"/>
          <w:lang w:val="en-US"/>
        </w:rPr>
        <w:t xml:space="preserve">pp.127-136. Available at: </w:t>
      </w:r>
      <w:r>
        <w:rPr>
          <w:rStyle w:val="Hyperlink.1"/>
        </w:rPr>
        <w:fldChar w:fldCharType="begin" w:fldLock="0"/>
      </w:r>
      <w:r>
        <w:rPr>
          <w:rStyle w:val="Hyperlink.1"/>
        </w:rPr>
        <w:instrText xml:space="preserve"> HYPERLINK "https://doi.org/10.1016/j.jtbi.2019.02.017"</w:instrText>
      </w:r>
      <w:r>
        <w:rPr>
          <w:rStyle w:val="Hyperlink.1"/>
        </w:rPr>
        <w:fldChar w:fldCharType="separate" w:fldLock="0"/>
      </w:r>
      <w:r>
        <w:rPr>
          <w:rStyle w:val="Hyperlink.1"/>
          <w:rtl w:val="0"/>
        </w:rPr>
        <w:t>https://doi.org/10.1016/j.jtbi.2019.02.017</w:t>
      </w:r>
      <w:r>
        <w:rPr/>
        <w:fldChar w:fldCharType="end" w:fldLock="0"/>
      </w:r>
      <w:r>
        <w:rPr>
          <w:rtl w:val="0"/>
          <w:lang w:val="en-US"/>
        </w:rPr>
        <w:t xml:space="preserve"> (Accessed 21st May 2019)</w:t>
      </w:r>
    </w:p>
    <w:p>
      <w:pPr>
        <w:pStyle w:val="Body"/>
        <w:spacing w:line="360" w:lineRule="auto"/>
      </w:pPr>
    </w:p>
    <w:p>
      <w:pPr>
        <w:pStyle w:val="Body"/>
        <w:spacing w:line="360" w:lineRule="auto"/>
      </w:pPr>
      <w:r>
        <w:rPr>
          <w:rtl w:val="0"/>
          <w:lang w:val="it-IT"/>
        </w:rPr>
        <w:t>Prentice, W.E (1999)</w:t>
      </w:r>
      <w:r>
        <w:rPr>
          <w:rStyle w:val="None"/>
          <w:i w:val="1"/>
          <w:iCs w:val="1"/>
          <w:rtl w:val="0"/>
          <w:lang w:val="en-US"/>
        </w:rPr>
        <w:t xml:space="preserve"> Therapeutic modalities in sports medicine</w:t>
      </w:r>
      <w:r>
        <w:rPr>
          <w:rtl w:val="0"/>
          <w:lang w:val="en-US"/>
        </w:rPr>
        <w:t>. 4th Ed. Boston: McGraw-Hill.</w:t>
      </w:r>
    </w:p>
    <w:p>
      <w:pPr>
        <w:pStyle w:val="Body"/>
        <w:spacing w:line="360" w:lineRule="auto"/>
      </w:pPr>
    </w:p>
    <w:p>
      <w:pPr>
        <w:pStyle w:val="Body"/>
        <w:spacing w:line="360" w:lineRule="auto"/>
      </w:pPr>
      <w:r>
        <w:rPr>
          <w:rtl w:val="0"/>
          <w:lang w:val="it-IT"/>
        </w:rPr>
        <w:t xml:space="preserve">Prentice, W.E. (2009) </w:t>
      </w:r>
      <w:r>
        <w:rPr>
          <w:rStyle w:val="None"/>
          <w:i w:val="1"/>
          <w:iCs w:val="1"/>
          <w:rtl w:val="0"/>
        </w:rPr>
        <w:t>Amheim</w:t>
      </w:r>
      <w:r>
        <w:rPr>
          <w:rStyle w:val="None"/>
          <w:i w:val="1"/>
          <w:iCs w:val="1"/>
          <w:rtl w:val="0"/>
        </w:rPr>
        <w:t>’</w:t>
      </w:r>
      <w:r>
        <w:rPr>
          <w:rStyle w:val="None"/>
          <w:i w:val="1"/>
          <w:iCs w:val="1"/>
          <w:rtl w:val="0"/>
          <w:lang w:val="en-US"/>
        </w:rPr>
        <w:t>s principles of athletic training: A competence-based approach.</w:t>
      </w:r>
      <w:r>
        <w:rPr>
          <w:rtl w:val="0"/>
          <w:lang w:val="en-US"/>
        </w:rPr>
        <w:t xml:space="preserve"> 13th Ed. New York: McGraw-Hill</w:t>
      </w:r>
    </w:p>
    <w:p>
      <w:pPr>
        <w:pStyle w:val="Body"/>
        <w:spacing w:line="360" w:lineRule="auto"/>
      </w:pPr>
    </w:p>
    <w:p>
      <w:pPr>
        <w:pStyle w:val="Body"/>
        <w:spacing w:line="360" w:lineRule="auto"/>
      </w:pPr>
      <w:r>
        <w:rPr>
          <w:rtl w:val="0"/>
          <w:lang w:val="it-IT"/>
        </w:rPr>
        <w:t xml:space="preserve">Prentice, W.E. (2010) </w:t>
      </w:r>
      <w:r>
        <w:rPr>
          <w:rStyle w:val="None"/>
          <w:i w:val="1"/>
          <w:iCs w:val="1"/>
          <w:rtl w:val="0"/>
          <w:lang w:val="en-US"/>
        </w:rPr>
        <w:t>Essentials of athletic injury management</w:t>
      </w:r>
      <w:r>
        <w:rPr>
          <w:rtl w:val="0"/>
          <w:lang w:val="en-US"/>
        </w:rPr>
        <w:t>, 8th Ed. New York: McGraw-Hill</w:t>
      </w:r>
    </w:p>
    <w:p>
      <w:pPr>
        <w:pStyle w:val="Body"/>
        <w:spacing w:line="360" w:lineRule="auto"/>
      </w:pPr>
    </w:p>
    <w:p>
      <w:pPr>
        <w:pStyle w:val="Body"/>
        <w:spacing w:line="360" w:lineRule="auto"/>
      </w:pPr>
      <w:r>
        <w:rPr>
          <w:rtl w:val="0"/>
          <w:lang w:val="en-US"/>
        </w:rPr>
        <w:t xml:space="preserve">Pritchard, K. and Saliba, S. (2014) Should Athletes Return to Activity After Cryotherapy? </w:t>
      </w:r>
      <w:r>
        <w:rPr>
          <w:rStyle w:val="None"/>
          <w:i w:val="1"/>
          <w:iCs w:val="1"/>
          <w:rtl w:val="0"/>
          <w:lang w:val="en-US"/>
        </w:rPr>
        <w:t>Journal of Athletic Training.</w:t>
      </w:r>
      <w:r>
        <w:rPr>
          <w:rtl w:val="0"/>
          <w:lang w:val="en-US"/>
        </w:rPr>
        <w:t xml:space="preserve"> 49 (1) pp.95-96. Available at: </w:t>
      </w:r>
      <w:r>
        <w:rPr/>
        <w:fldChar w:fldCharType="begin" w:fldLock="0"/>
      </w:r>
      <w:r>
        <w:instrText xml:space="preserve"> HYPERLINK "https://search.proquest.com/docview/1498236602?accountid=130472"</w:instrText>
      </w:r>
      <w:r>
        <w:rPr/>
        <w:fldChar w:fldCharType="separate" w:fldLock="0"/>
      </w:r>
      <w:r>
        <w:rPr>
          <w:rtl w:val="0"/>
          <w:lang w:val="en-US"/>
        </w:rPr>
        <w:t>https://search.proquest.com/docview/1498236602?accountid=130472</w:t>
      </w:r>
      <w:r>
        <w:rPr/>
        <w:fldChar w:fldCharType="end" w:fldLock="0"/>
      </w:r>
      <w:r>
        <w:rPr>
          <w:rtl w:val="0"/>
          <w:lang w:val="en-US"/>
        </w:rPr>
        <w:t xml:space="preserve"> (Accessed Jan/Feb 2014)</w:t>
      </w:r>
    </w:p>
    <w:p>
      <w:pPr>
        <w:pStyle w:val="Body"/>
        <w:spacing w:line="360" w:lineRule="auto"/>
      </w:pPr>
    </w:p>
    <w:p>
      <w:pPr>
        <w:pStyle w:val="Body"/>
        <w:spacing w:line="360" w:lineRule="auto"/>
      </w:pPr>
      <w:r>
        <w:rPr>
          <w:rtl w:val="0"/>
          <w:lang w:val="en-US"/>
        </w:rPr>
        <w:t xml:space="preserve">Shechter, R. and Shwartz, M. (2013) CNS sterile injury: just another wound healing? </w:t>
      </w:r>
      <w:r>
        <w:rPr>
          <w:rStyle w:val="None"/>
          <w:i w:val="1"/>
          <w:iCs w:val="1"/>
          <w:rtl w:val="0"/>
          <w:lang w:val="en-US"/>
        </w:rPr>
        <w:t xml:space="preserve">Department of Neurobiology. </w:t>
      </w:r>
      <w:r>
        <w:rPr>
          <w:rtl w:val="0"/>
          <w:lang w:val="en-US"/>
        </w:rPr>
        <w:t xml:space="preserve">19 (3) pp. 135-143. Available at: </w:t>
      </w:r>
      <w:r>
        <w:rPr>
          <w:rStyle w:val="Hyperlink.1"/>
        </w:rPr>
        <w:fldChar w:fldCharType="begin" w:fldLock="0"/>
      </w:r>
      <w:r>
        <w:rPr>
          <w:rStyle w:val="Hyperlink.1"/>
        </w:rPr>
        <w:instrText xml:space="preserve"> HYPERLINK "https://doi.org/10.1016/j.molmed.2012.11.007"</w:instrText>
      </w:r>
      <w:r>
        <w:rPr>
          <w:rStyle w:val="Hyperlink.1"/>
        </w:rPr>
        <w:fldChar w:fldCharType="separate" w:fldLock="0"/>
      </w:r>
      <w:r>
        <w:rPr>
          <w:rStyle w:val="Hyperlink.1"/>
          <w:rtl w:val="0"/>
        </w:rPr>
        <w:t>https://doi.org/10.1016/j.molmed.2012.11.007</w:t>
      </w:r>
      <w:r>
        <w:rPr/>
        <w:fldChar w:fldCharType="end" w:fldLock="0"/>
      </w:r>
      <w:r>
        <w:rPr>
          <w:rtl w:val="0"/>
          <w:lang w:val="en-US"/>
        </w:rPr>
        <w:t xml:space="preserve"> (Accessed March 2013)</w:t>
      </w:r>
    </w:p>
    <w:p>
      <w:pPr>
        <w:pStyle w:val="Body"/>
        <w:spacing w:line="360" w:lineRule="auto"/>
        <w:rPr>
          <w:rStyle w:val="None"/>
          <w:i w:val="1"/>
          <w:iCs w:val="1"/>
        </w:rPr>
      </w:pPr>
    </w:p>
    <w:p>
      <w:pPr>
        <w:pStyle w:val="Body"/>
        <w:spacing w:line="360" w:lineRule="auto"/>
      </w:pPr>
      <w:r>
        <w:rPr>
          <w:rtl w:val="0"/>
        </w:rPr>
        <w:t>Shih, C-Y., Lee, W-L., Lee, C-W., Huang, C-H.</w:t>
      </w:r>
      <w:r>
        <w:rPr>
          <w:rtl w:val="0"/>
          <w:lang w:val="en-US"/>
        </w:rPr>
        <w:t xml:space="preserve"> and</w:t>
      </w:r>
      <w:r>
        <w:rPr>
          <w:rtl w:val="0"/>
          <w:lang w:val="en-US"/>
        </w:rPr>
        <w:t xml:space="preserve"> Wu, Y-Z. (2012) Effect of Time Ratio of Heat to Cold on Brachial Artery Blood Velocity During Contrast Baths. </w:t>
      </w:r>
      <w:r>
        <w:rPr>
          <w:rStyle w:val="None"/>
          <w:i w:val="1"/>
          <w:iCs w:val="1"/>
          <w:rtl w:val="0"/>
          <w:lang w:val="en-US"/>
        </w:rPr>
        <w:t xml:space="preserve">Physical Therapy. </w:t>
      </w:r>
      <w:r>
        <w:rPr>
          <w:rtl w:val="0"/>
          <w:lang w:val="en-US"/>
        </w:rPr>
        <w:t xml:space="preserve">92 (3) pp. 448-453. Available at: </w:t>
      </w:r>
      <w:r>
        <w:rPr/>
        <w:fldChar w:fldCharType="begin" w:fldLock="0"/>
      </w:r>
      <w:r>
        <w:instrText xml:space="preserve"> HYPERLINK "http://dx.doi.org/10.2522/ptj.20100394"</w:instrText>
      </w:r>
      <w:r>
        <w:rPr/>
        <w:fldChar w:fldCharType="separate" w:fldLock="0"/>
      </w:r>
      <w:r>
        <w:rPr>
          <w:rtl w:val="0"/>
          <w:lang w:val="en-US"/>
        </w:rPr>
        <w:t>http://dx.doi.org/10.2522/ptj.20100394</w:t>
      </w:r>
      <w:r>
        <w:rPr/>
        <w:fldChar w:fldCharType="end" w:fldLock="0"/>
      </w:r>
      <w:r>
        <w:rPr>
          <w:rtl w:val="0"/>
          <w:lang w:val="en-US"/>
        </w:rPr>
        <w:t xml:space="preserve"> (Accessed March 2012) </w:t>
      </w:r>
    </w:p>
    <w:p>
      <w:pPr>
        <w:pStyle w:val="Body"/>
        <w:spacing w:line="360" w:lineRule="auto"/>
      </w:pPr>
    </w:p>
    <w:p>
      <w:pPr>
        <w:pStyle w:val="Body"/>
        <w:spacing w:line="360" w:lineRule="auto"/>
        <w:rPr>
          <w:sz w:val="20"/>
          <w:szCs w:val="20"/>
        </w:rPr>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10</w:t>
      </w:r>
      <w:r>
        <w:rPr>
          <w:sz w:val="20"/>
          <w:szCs w:val="20"/>
        </w:rPr>
        <w:fldChar w:fldCharType="end" w:fldLock="0"/>
      </w:r>
    </w:p>
    <w:p>
      <w:pPr>
        <w:pStyle w:val="Body"/>
        <w:spacing w:line="360" w:lineRule="auto"/>
      </w:pPr>
      <w:r>
        <w:rPr>
          <w:rtl w:val="0"/>
        </w:rPr>
        <w:t>Straub, R, H., Pongratz, G., Hirvonen, H., Pohjolainen, T., Mikkelsson, M.</w:t>
      </w:r>
      <w:r>
        <w:rPr>
          <w:rtl w:val="0"/>
          <w:lang w:val="en-US"/>
        </w:rPr>
        <w:t xml:space="preserve"> and </w:t>
      </w:r>
      <w:r>
        <w:rPr>
          <w:rtl w:val="0"/>
          <w:lang w:val="en-US"/>
        </w:rPr>
        <w:t xml:space="preserve">Leirisalo-Repo, M. (2009) Acute cold stress in rheumatoid arthritis inadequately activates stress responses and induces an increase of interleukin. Annals of the Rheumatic Diseases. 68 (4) pp. 572-578. Available at: </w:t>
      </w:r>
      <w:r>
        <w:rPr/>
        <w:fldChar w:fldCharType="begin" w:fldLock="0"/>
      </w:r>
      <w:r>
        <w:instrText xml:space="preserve"> HYPERLINK "http://dx.doi.org/10.1136/ard.2008.089458"</w:instrText>
      </w:r>
      <w:r>
        <w:rPr/>
        <w:fldChar w:fldCharType="separate" w:fldLock="0"/>
      </w:r>
      <w:r>
        <w:rPr>
          <w:rtl w:val="0"/>
          <w:lang w:val="de-DE"/>
        </w:rPr>
        <w:t>http://dx.doi.org/10.1136/ard.2008.089458</w:t>
      </w:r>
      <w:r>
        <w:rPr/>
        <w:fldChar w:fldCharType="end" w:fldLock="0"/>
      </w:r>
      <w:r>
        <w:rPr>
          <w:rtl w:val="0"/>
          <w:lang w:val="en-US"/>
        </w:rPr>
        <w:t xml:space="preserve"> (Accessed 15/4/2008)</w:t>
      </w:r>
    </w:p>
    <w:p>
      <w:pPr>
        <w:pStyle w:val="Body"/>
        <w:spacing w:line="360" w:lineRule="auto"/>
        <w:rPr>
          <w:rStyle w:val="None"/>
          <w:sz w:val="20"/>
          <w:szCs w:val="20"/>
          <w:lang w:val="en-US"/>
        </w:rPr>
      </w:pPr>
    </w:p>
    <w:p>
      <w:pPr>
        <w:pStyle w:val="Body"/>
        <w:spacing w:line="360" w:lineRule="auto"/>
      </w:pPr>
      <w:r>
        <w:rPr>
          <w:rStyle w:val="None"/>
          <w:rtl w:val="0"/>
          <w:lang w:val="en-US"/>
        </w:rPr>
        <w:t>Szekeres, M., MacDermid, J.C., Grewel, R.</w:t>
      </w:r>
      <w:r>
        <w:rPr>
          <w:rStyle w:val="None"/>
          <w:rtl w:val="0"/>
          <w:lang w:val="en-US"/>
        </w:rPr>
        <w:t xml:space="preserve"> and </w:t>
      </w:r>
      <w:r>
        <w:rPr>
          <w:rStyle w:val="None"/>
          <w:rtl w:val="0"/>
          <w:lang w:val="en-US"/>
        </w:rPr>
        <w:t xml:space="preserve">Birmingham, T. (2018) The </w:t>
      </w:r>
      <w:r>
        <w:rPr>
          <w:rStyle w:val="None"/>
          <w:rtl w:val="0"/>
          <w:lang w:val="en-US"/>
        </w:rPr>
        <w:t>short</w:t>
      </w:r>
      <w:r>
        <w:rPr>
          <w:rStyle w:val="None"/>
          <w:rtl w:val="0"/>
          <w:lang w:val="en-US"/>
        </w:rPr>
        <w:t>-term effects of hot packs vs therapeutic whirlpool on active wrist range of motion for patients with distal radius</w:t>
      </w:r>
      <w:r>
        <w:rPr>
          <w:rStyle w:val="None"/>
          <w:rtl w:val="0"/>
          <w:lang w:val="en-US"/>
        </w:rPr>
        <w:t xml:space="preserve"> </w:t>
      </w:r>
      <w:r>
        <w:rPr>
          <w:rStyle w:val="None"/>
          <w:rtl w:val="0"/>
          <w:lang w:val="en-US"/>
        </w:rPr>
        <w:t xml:space="preserve">fracture: A randomized controlled trial. </w:t>
      </w:r>
      <w:r>
        <w:rPr>
          <w:rStyle w:val="None"/>
          <w:i w:val="1"/>
          <w:iCs w:val="1"/>
          <w:rtl w:val="0"/>
          <w:lang w:val="en-US"/>
        </w:rPr>
        <w:t xml:space="preserve">Journal of Hand Therapy. </w:t>
      </w:r>
      <w:r>
        <w:rPr>
          <w:rStyle w:val="None"/>
          <w:rtl w:val="0"/>
          <w:lang w:val="en-US"/>
        </w:rPr>
        <w:t xml:space="preserve">31 (3) pp. 276-281. Available at: </w:t>
      </w:r>
      <w:r>
        <w:rPr>
          <w:rStyle w:val="Hyperlink.0"/>
        </w:rPr>
        <w:fldChar w:fldCharType="begin" w:fldLock="0"/>
      </w:r>
      <w:r>
        <w:rPr>
          <w:rStyle w:val="Hyperlink.0"/>
        </w:rPr>
        <w:instrText xml:space="preserve"> HYPERLINK "http://dx.doi.org/10.1016/j.jht.2017.08.003"</w:instrText>
      </w:r>
      <w:r>
        <w:rPr>
          <w:rStyle w:val="Hyperlink.0"/>
        </w:rPr>
        <w:fldChar w:fldCharType="separate" w:fldLock="0"/>
      </w:r>
      <w:r>
        <w:rPr>
          <w:rStyle w:val="Hyperlink.0"/>
          <w:rtl w:val="0"/>
          <w:lang w:val="de-DE"/>
        </w:rPr>
        <w:t>http://dx.doi.org/10.1016/j.jht.2017.08.003</w:t>
      </w:r>
      <w:r>
        <w:rPr/>
        <w:fldChar w:fldCharType="end" w:fldLock="0"/>
      </w:r>
      <w:r>
        <w:rPr>
          <w:rStyle w:val="None"/>
          <w:rtl w:val="0"/>
          <w:lang w:val="en-US"/>
        </w:rPr>
        <w:t xml:space="preserve"> (Accessed July 2018)</w:t>
      </w:r>
    </w:p>
    <w:p>
      <w:pPr>
        <w:pStyle w:val="Body"/>
        <w:spacing w:line="360" w:lineRule="auto"/>
      </w:pPr>
    </w:p>
    <w:p>
      <w:pPr>
        <w:pStyle w:val="Body"/>
        <w:spacing w:line="360" w:lineRule="auto"/>
      </w:pPr>
      <w:r>
        <w:rPr>
          <w:rtl w:val="0"/>
          <w:lang w:val="en-US"/>
        </w:rPr>
        <w:t>Ward, K. (Ed) (2018) Routledge Handbook of Sports Therapy, Injury Assessment and Rehabilitation. 2nd Ed. London: Routledge</w:t>
      </w:r>
      <w:r>
        <w:rPr>
          <w:rtl w:val="0"/>
          <w:lang w:val="en-US"/>
        </w:rPr>
        <w:t>.</w:t>
      </w:r>
    </w:p>
    <w:p>
      <w:pPr>
        <w:pStyle w:val="Body"/>
        <w:spacing w:line="360" w:lineRule="auto"/>
      </w:pPr>
    </w:p>
    <w:p>
      <w:pPr>
        <w:pStyle w:val="Body"/>
        <w:spacing w:line="360" w:lineRule="auto"/>
      </w:pPr>
      <w:r>
        <w:rPr>
          <w:rtl w:val="0"/>
          <w:lang w:val="en-US"/>
        </w:rPr>
        <w:t>Wardrope, J., Barron, D., Draycott, S. and Sloan, J. (2008). Soft tissue injuries: principles of biomechanics, physiotherapy and imaging.</w:t>
      </w:r>
      <w:r>
        <w:rPr>
          <w:rStyle w:val="None"/>
          <w:i w:val="1"/>
          <w:iCs w:val="1"/>
          <w:rtl w:val="0"/>
          <w:lang w:val="en-US"/>
        </w:rPr>
        <w:t xml:space="preserve"> Emergency Medicine Journal</w:t>
      </w:r>
      <w:r>
        <w:rPr>
          <w:rStyle w:val="None"/>
          <w:shd w:val="clear" w:color="auto" w:fill="ffffff"/>
          <w:rtl w:val="0"/>
          <w:lang w:val="en-US"/>
        </w:rPr>
        <w:t xml:space="preserve">. </w:t>
      </w:r>
      <w:r>
        <w:rPr>
          <w:rtl w:val="0"/>
          <w:lang w:val="en-US"/>
        </w:rPr>
        <w:t>Available at: http://dx.doi.org/10.1136/emj.2007.052555 (Accessed 1 Mar 2008)</w:t>
      </w: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r>
        <w:rPr>
          <w:sz w:val="20"/>
          <w:szCs w:val="20"/>
        </w:rPr>
        <w:fldChar w:fldCharType="begin" w:fldLock="0"/>
      </w:r>
      <w:r>
        <w:rPr>
          <w:sz w:val="20"/>
          <w:szCs w:val="20"/>
        </w:rPr>
        <w:instrText xml:space="preserve"> PAGE </w:instrText>
      </w:r>
      <w:r>
        <w:rPr>
          <w:sz w:val="20"/>
          <w:szCs w:val="20"/>
        </w:rPr>
        <w:fldChar w:fldCharType="separate" w:fldLock="0"/>
      </w:r>
      <w:r>
        <w:rPr>
          <w:sz w:val="20"/>
          <w:szCs w:val="20"/>
        </w:rPr>
        <w:t>11</w:t>
      </w:r>
      <w:r>
        <w:rPr>
          <w:sz w:val="20"/>
          <w:szCs w:val="20"/>
        </w:rPr>
        <w:fldChar w:fldCharType="end" w:fldLock="0"/>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36"/>
      <w:szCs w:val="36"/>
      <w:u w:val="none"/>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lang w:val="de-DE"/>
    </w:rPr>
  </w:style>
  <w:style w:type="character" w:styleId="Link">
    <w:name w:val="Link"/>
    <w:rPr>
      <w:outline w:val="0"/>
      <w:color w:val="0000ff"/>
      <w:u w:val="single" w:color="0000ff"/>
      <w14:textFill>
        <w14:solidFill>
          <w14:srgbClr w14:val="0000FF"/>
        </w14:solidFill>
      </w14:textFill>
    </w:rPr>
  </w:style>
  <w:style w:type="character" w:styleId="Hyperlink.1">
    <w:name w:val="Hyperlink.1"/>
    <w:basedOn w:val="Link"/>
    <w:next w:val="Hyperlink.1"/>
    <w:rPr>
      <w:outline w:val="0"/>
      <w:color w:val="000000"/>
      <w:u w:val="no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