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1803E" w14:textId="77777777" w:rsidR="00ED11EC" w:rsidRDefault="00ED11EC">
      <w:pPr>
        <w:rPr>
          <w:b/>
          <w:bCs/>
        </w:rPr>
      </w:pPr>
      <w:r>
        <w:rPr>
          <w:b/>
          <w:bCs/>
        </w:rPr>
        <w:t>Samantha MacLaren</w:t>
      </w:r>
    </w:p>
    <w:p w14:paraId="3D977F9D" w14:textId="77777777" w:rsidR="00ED11EC" w:rsidRDefault="00ED11EC">
      <w:pPr>
        <w:rPr>
          <w:b/>
          <w:bCs/>
        </w:rPr>
      </w:pPr>
      <w:r>
        <w:rPr>
          <w:b/>
          <w:bCs/>
        </w:rPr>
        <w:t>Word Count: 2379</w:t>
      </w:r>
    </w:p>
    <w:p w14:paraId="5343FB15" w14:textId="77777777" w:rsidR="00ED11EC" w:rsidRDefault="00ED11EC">
      <w:pPr>
        <w:rPr>
          <w:b/>
          <w:bCs/>
        </w:rPr>
      </w:pPr>
    </w:p>
    <w:p w14:paraId="40530925" w14:textId="2F8A93C9" w:rsidR="00ED11EC" w:rsidRDefault="00ED11EC">
      <w:r>
        <w:rPr>
          <w:b/>
          <w:bCs/>
        </w:rPr>
        <w:t>Discuss the reasons for the failure to establish Home Rule for Ireland in the decades leading to the First World War.</w:t>
      </w:r>
      <w:r w:rsidR="00BA3AAC">
        <w:tab/>
      </w:r>
    </w:p>
    <w:p w14:paraId="5A51346E" w14:textId="5847ED49" w:rsidR="00C40FE9" w:rsidRDefault="00BA3AAC" w:rsidP="00ED11EC">
      <w:pPr>
        <w:ind w:firstLine="720"/>
      </w:pPr>
      <w:r>
        <w:t xml:space="preserve">The question of Home Rule and Irish independence dominated British politics from 1885 to the outbreak of </w:t>
      </w:r>
      <w:r w:rsidR="009F30AA">
        <w:t xml:space="preserve">the First </w:t>
      </w:r>
      <w:r>
        <w:t xml:space="preserve">World War. This essay will discuss the main reasons for the failure to secure Home Rule for Ireland in the decades </w:t>
      </w:r>
      <w:r w:rsidR="009F30AA">
        <w:t>leading up to WW1</w:t>
      </w:r>
      <w:r w:rsidR="00D30C22">
        <w:t>.</w:t>
      </w:r>
    </w:p>
    <w:p w14:paraId="52F8A587" w14:textId="0954C256" w:rsidR="00AE56E1" w:rsidRDefault="009F30AA">
      <w:r>
        <w:tab/>
        <w:t>It may be useful to provide a summary of people and events that were instrumental in the development of the issue of Home Rule, in the earl</w:t>
      </w:r>
      <w:r w:rsidR="00891E09">
        <w:t>y</w:t>
      </w:r>
      <w:r>
        <w:t xml:space="preserve"> part of the nineteenth century.</w:t>
      </w:r>
      <w:r w:rsidR="00891E09">
        <w:t xml:space="preserve"> </w:t>
      </w:r>
      <w:r w:rsidR="003655A7">
        <w:t>Two</w:t>
      </w:r>
      <w:r w:rsidR="00891E09">
        <w:t xml:space="preserve"> of the defining issues w</w:t>
      </w:r>
      <w:r w:rsidR="003655A7">
        <w:t>ere</w:t>
      </w:r>
      <w:r w:rsidR="00891E09">
        <w:t xml:space="preserve"> that of </w:t>
      </w:r>
      <w:r w:rsidR="000D46B8">
        <w:t xml:space="preserve">land </w:t>
      </w:r>
      <w:r w:rsidR="00891E09">
        <w:t>ownership</w:t>
      </w:r>
      <w:r w:rsidR="000D46B8">
        <w:t>,</w:t>
      </w:r>
      <w:r w:rsidR="00891E09">
        <w:t xml:space="preserve"> and Catholic emancipation.</w:t>
      </w:r>
      <w:r w:rsidR="00DC6962">
        <w:t xml:space="preserve"> After the Reformation</w:t>
      </w:r>
      <w:r w:rsidR="00E73E8E">
        <w:t>, Roman Catholics in Britain faced many restrictions; they could not hold civil or military offices, inherit property, purchase land, or freely practice their religion. In Ireland, a Roman Catholic could not vote in Parliamentary elections, and could be easily dispossessed of their land by the nearest Protestant relative.</w:t>
      </w:r>
      <w:r w:rsidR="006D1BFA">
        <w:t xml:space="preserve"> </w:t>
      </w:r>
      <w:r w:rsidR="008B3472">
        <w:t xml:space="preserve">Towards the end of the eighteenth century, </w:t>
      </w:r>
      <w:r w:rsidR="00251877">
        <w:t>various</w:t>
      </w:r>
      <w:r w:rsidR="00CE35A2">
        <w:t xml:space="preserve"> emancipatory measures had been implemented, including the Relief Act of 1793 which permitted Irish Catholics admission to most civil offices.</w:t>
      </w:r>
    </w:p>
    <w:p w14:paraId="2706C72F" w14:textId="7C675688" w:rsidR="00A57194" w:rsidRDefault="006D1BFA" w:rsidP="00324FEC">
      <w:pPr>
        <w:ind w:firstLine="720"/>
      </w:pPr>
      <w:r>
        <w:t>In 18</w:t>
      </w:r>
      <w:r w:rsidR="00100F7E">
        <w:t>0</w:t>
      </w:r>
      <w:r>
        <w:t xml:space="preserve">1 The Act of Union came into effect, creating the United Kingdom of Britain and Ireland, however it is important to note that Ireland was not part of Britain or absorbed into it </w:t>
      </w:r>
      <w:r w:rsidR="003655A7">
        <w:t>because of</w:t>
      </w:r>
      <w:r>
        <w:t xml:space="preserve"> the Union. Rather, the Union united the Parliaments the two countries, with Ireland being governed by a </w:t>
      </w:r>
      <w:r w:rsidR="00A1303C">
        <w:t>Westminster</w:t>
      </w:r>
      <w:r>
        <w:t xml:space="preserve"> appointed executive</w:t>
      </w:r>
      <w:r w:rsidR="001E4DE8">
        <w:t xml:space="preserve"> based at Dublin Castle. This arrangement was a ‘form of Imperial government, maintained by a mixture of state patronage and force.’</w:t>
      </w:r>
      <w:r w:rsidR="001E4DE8">
        <w:rPr>
          <w:rStyle w:val="FootnoteReference"/>
        </w:rPr>
        <w:footnoteReference w:id="1"/>
      </w:r>
      <w:r w:rsidR="00AE56E1">
        <w:t xml:space="preserve"> The Union passed into law at a time of international crisis; Britain was at war with France, and Ireland was politically unstable because a Protestant Parliament governed a predominantly Catholic people. In merging both factions into a larger kingdom, it was hoped that sectarian </w:t>
      </w:r>
      <w:r w:rsidR="00584466">
        <w:t>hostilities</w:t>
      </w:r>
      <w:r w:rsidR="00AE56E1">
        <w:t xml:space="preserve"> might disappear.</w:t>
      </w:r>
      <w:r w:rsidR="008B3472">
        <w:t xml:space="preserve"> The Catholic Church believed that with the Union, there would follow complete emancipation and full political rights for Catholics.</w:t>
      </w:r>
      <w:r w:rsidR="00A57194">
        <w:t xml:space="preserve"> </w:t>
      </w:r>
    </w:p>
    <w:p w14:paraId="7616DC5B" w14:textId="082311A7" w:rsidR="002F260D" w:rsidRDefault="002F260D" w:rsidP="00AE56E1">
      <w:pPr>
        <w:ind w:firstLine="720"/>
      </w:pPr>
      <w:r>
        <w:t xml:space="preserve">Catholic alienation deepened </w:t>
      </w:r>
      <w:r w:rsidR="00324FEC">
        <w:t xml:space="preserve">however, </w:t>
      </w:r>
      <w:r>
        <w:t xml:space="preserve">with economic decline. In 1815, when the war with France ended, agricultural prices collapsed, and a booming population increased pressure on the land. Land began to be sub-divided into ever decreasing portions, and the hunger for </w:t>
      </w:r>
      <w:r w:rsidR="00CA08A8">
        <w:t>it</w:t>
      </w:r>
      <w:r>
        <w:t xml:space="preserve"> would become a defining theme during this period. At this point the Catholic peasantry were a people without land, political rights, or a leader to help them.</w:t>
      </w:r>
      <w:r w:rsidR="000D46B8">
        <w:t xml:space="preserve"> </w:t>
      </w:r>
      <w:r w:rsidR="007B1A12">
        <w:t>Enter Daniel O’Connell</w:t>
      </w:r>
      <w:r w:rsidR="000A4577">
        <w:t>.</w:t>
      </w:r>
      <w:r w:rsidR="007B1A12">
        <w:t xml:space="preserve"> </w:t>
      </w:r>
      <w:r w:rsidR="000A4577">
        <w:t>B</w:t>
      </w:r>
      <w:r w:rsidR="007B1A12">
        <w:t xml:space="preserve">orn of a Catholic elite family, he was a Liberal and human rights supporter with a strong belief in constitutionalism. In 1823, O’Connell brought the Catholic Church into politics. He founded his Catholic Association which quickly attracted members of the Irish priesthood, lawyers and educated Catholic laymen who mobilised </w:t>
      </w:r>
      <w:r w:rsidR="00BC0E56">
        <w:t>people to campaign for emancipation</w:t>
      </w:r>
      <w:r w:rsidR="008F36F3">
        <w:t xml:space="preserve">, and organised collections that peasants could donate to. By 1828, the British </w:t>
      </w:r>
      <w:r w:rsidR="008F36F3">
        <w:lastRenderedPageBreak/>
        <w:t xml:space="preserve">government faced the threat of Irish rebellion unless they acted to alleviate </w:t>
      </w:r>
      <w:r w:rsidR="00B120B3">
        <w:t>Catholic tensions.</w:t>
      </w:r>
      <w:r w:rsidR="008F36F3">
        <w:t xml:space="preserve"> O’Connell</w:t>
      </w:r>
      <w:r w:rsidR="00B120B3">
        <w:t xml:space="preserve"> entered a by-election in County Clare and</w:t>
      </w:r>
      <w:r w:rsidR="008F36F3">
        <w:t xml:space="preserve"> became the first Catholic to stand for Parliament in a hundred years. He won his seat with ease</w:t>
      </w:r>
      <w:r w:rsidR="00B120B3">
        <w:t xml:space="preserve"> but insisted he would not take it until the anti-Roman Catholic oath sworn by members of Parliament was abolished. His victory forced the British Prime minister the Duke of Wellington</w:t>
      </w:r>
      <w:r w:rsidR="00DF674B">
        <w:t>,</w:t>
      </w:r>
      <w:r w:rsidR="00B120B3">
        <w:t xml:space="preserve"> and Sir Robert Peel to present the Emancipation Act to Parliament</w:t>
      </w:r>
      <w:r w:rsidR="00746D04">
        <w:t xml:space="preserve"> in 1829 and Catholic emancipation was complete.</w:t>
      </w:r>
    </w:p>
    <w:p w14:paraId="3D8567A3" w14:textId="444D889D" w:rsidR="00746D04" w:rsidRDefault="00746D04" w:rsidP="00AE56E1">
      <w:pPr>
        <w:ind w:firstLine="720"/>
      </w:pPr>
      <w:r>
        <w:t xml:space="preserve">The rise of O’Connell resulted in resistance from Ulster Protestants. Their jobs, education and religious identity depended on their strong links with Britain. The Emancipation campaign terrified them, and the situation became more problematic when O’Connell set his sights on repealing the Act of Union. </w:t>
      </w:r>
      <w:r w:rsidR="00DF674B">
        <w:t>He didn’t want to leave the Empire, but rather establish an independent Irish Parliament where Catholics would hold power. Within three months of staging a gathering at Tara, the seat of the old High Kings of Ireland, to gain support from the people for his aims, O’Connell was arrested and jailed. His movement disintegrated</w:t>
      </w:r>
      <w:r w:rsidR="00F974A0">
        <w:t>, and he no longer received support from Westminster. However, from O’Connell sprang a new generation of radical Irish nationalists.</w:t>
      </w:r>
    </w:p>
    <w:p w14:paraId="6D7ED875" w14:textId="09B62C84" w:rsidR="009C2ABD" w:rsidRDefault="009C2ABD" w:rsidP="005A6930">
      <w:pPr>
        <w:ind w:firstLine="720"/>
      </w:pPr>
      <w:r>
        <w:t xml:space="preserve">The land issue escalated in 1845. The poor subsisted on overcrowded land and relied on potatoes as their main food </w:t>
      </w:r>
      <w:r w:rsidR="00481D61">
        <w:t>source</w:t>
      </w:r>
      <w:r>
        <w:t xml:space="preserve">. </w:t>
      </w:r>
      <w:r w:rsidR="001D083B">
        <w:t>In th</w:t>
      </w:r>
      <w:r w:rsidR="00CD298C">
        <w:t>at</w:t>
      </w:r>
      <w:r w:rsidR="001D083B">
        <w:t xml:space="preserve"> year, blight attacked the potato crop</w:t>
      </w:r>
      <w:r w:rsidR="00481D61">
        <w:t xml:space="preserve">, and a humanitarian crisis commenced. </w:t>
      </w:r>
      <w:r w:rsidR="009F6ADD">
        <w:t xml:space="preserve">As the crop repeatedly failed, the starving Irish became increasingly dependent on decisions made in London to save their lives. However, it appears that potato cultivation was regarded as perpetuating the perceived backwardness of the Irish economy and its people. </w:t>
      </w:r>
      <w:r w:rsidR="007922FB">
        <w:t xml:space="preserve">Relief policies were combined with efforts to </w:t>
      </w:r>
      <w:r w:rsidR="00447F07">
        <w:t xml:space="preserve">bring about social change in Ireland, which included ending the dependence on potatoes. </w:t>
      </w:r>
      <w:r w:rsidR="009F6ADD">
        <w:t>Indeed, Sir Randolph Routh, the man responsible for relief operations, made the following shocking statement:</w:t>
      </w:r>
    </w:p>
    <w:p w14:paraId="44E5FAD5" w14:textId="0DF6EA60" w:rsidR="00777AFB" w:rsidRDefault="00777AFB" w:rsidP="00AE56E1">
      <w:pPr>
        <w:ind w:firstLine="720"/>
      </w:pPr>
      <w:r>
        <w:t xml:space="preserve">The little industry called for to rear the potato … lead the people to indolence and all </w:t>
      </w:r>
      <w:r w:rsidR="007922FB">
        <w:tab/>
      </w:r>
      <w:r>
        <w:t xml:space="preserve">kinds of vice, which habitual labour and a higher order of food would prevent. I think </w:t>
      </w:r>
      <w:r w:rsidR="007922FB">
        <w:tab/>
      </w:r>
      <w:r>
        <w:t>it very probable that we may derive much advantage from this present calamity.</w:t>
      </w:r>
      <w:r>
        <w:rPr>
          <w:rStyle w:val="FootnoteReference"/>
        </w:rPr>
        <w:footnoteReference w:id="2"/>
      </w:r>
    </w:p>
    <w:p w14:paraId="548A2610" w14:textId="7FA2BCC9" w:rsidR="005A6930" w:rsidRDefault="005A6930" w:rsidP="005A6930">
      <w:r>
        <w:tab/>
        <w:t xml:space="preserve">By 1846, the new Whig Government headed by Lord John Russell took the position of minimal state intervention, </w:t>
      </w:r>
      <w:r w:rsidR="00DD205B">
        <w:t>be</w:t>
      </w:r>
      <w:r w:rsidR="00B360E9">
        <w:t>lieving that</w:t>
      </w:r>
      <w:r w:rsidR="00DD205B">
        <w:t xml:space="preserve"> saving the starving was not the Government’s </w:t>
      </w:r>
      <w:r w:rsidR="00C07E3E">
        <w:t>responsibility</w:t>
      </w:r>
      <w:r w:rsidR="00DD205B">
        <w:t>, but that of local Lords and charities. Government support for public works was removed as the crisis escalated. Food prices soared and typhoid and cholera swept through the country. With the crop failures, the poor were unable to pay rent and were evicted in their thousands.</w:t>
      </w:r>
      <w:r w:rsidR="00073B50">
        <w:t xml:space="preserve"> More than a million died in the famine, and a million Catholics emigrated to America to escape death and poverty.</w:t>
      </w:r>
      <w:r w:rsidR="007013B8">
        <w:t xml:space="preserve"> Within a decade of arriving, Irish immigrants became the driving force in New York politics</w:t>
      </w:r>
      <w:r w:rsidR="00682578">
        <w:t>, and many, embittered by memories of the famine and the British Government’s lack of concern, joined the Fenian Brotherhood. The Fenians could be described as a movement seeking revenge for the Famine atrocities</w:t>
      </w:r>
      <w:r w:rsidR="00324FEC">
        <w:t xml:space="preserve"> and seeking independence for Ireland. In 1867, the Fenians attempted </w:t>
      </w:r>
      <w:r w:rsidR="00324FEC">
        <w:lastRenderedPageBreak/>
        <w:t>their first acts of terrorism in Britain</w:t>
      </w:r>
      <w:r w:rsidR="00D921CB">
        <w:t>,</w:t>
      </w:r>
      <w:r w:rsidR="00324FEC">
        <w:t xml:space="preserve"> but their efforts were quickly crushed by the British Army. However, their act</w:t>
      </w:r>
      <w:r w:rsidR="00D96B7D">
        <w:t>ions</w:t>
      </w:r>
      <w:r w:rsidR="00324FEC">
        <w:t xml:space="preserve"> sparked a new social movement in Ireland.</w:t>
      </w:r>
    </w:p>
    <w:p w14:paraId="2848A7A4" w14:textId="377B42EB" w:rsidR="00090A63" w:rsidRDefault="000A6951" w:rsidP="005A6930">
      <w:r>
        <w:tab/>
        <w:t xml:space="preserve">In 1870, Isaac Butt, a lawyer and Irish nationalist, founded The Home Government Association, and became president of the Home Rule Confederation of Great Britain from 1873 – 77. </w:t>
      </w:r>
      <w:r w:rsidR="003137E8">
        <w:t xml:space="preserve">Butt had become disillusioned by the British Government’s failure to relieve the potato famine and became convinced that a native Irish parliament was necessary to meet the needs of the country. </w:t>
      </w:r>
      <w:r>
        <w:t xml:space="preserve">In 1878 he was </w:t>
      </w:r>
      <w:r w:rsidR="000F1155">
        <w:t>replaced</w:t>
      </w:r>
      <w:r>
        <w:t xml:space="preserve"> as head of the Home Rule </w:t>
      </w:r>
      <w:r w:rsidR="003137E8">
        <w:t>movement by the younger and more enigmatic Charles Stewart Parnell</w:t>
      </w:r>
      <w:r w:rsidR="005C2062">
        <w:t xml:space="preserve"> of the Irish Parliamentary Party</w:t>
      </w:r>
      <w:r w:rsidR="003137E8">
        <w:t xml:space="preserve">. </w:t>
      </w:r>
      <w:r w:rsidR="00831FE4">
        <w:t xml:space="preserve">In 1878, a second blight prompted a movement to protect the poor from eviction, led by </w:t>
      </w:r>
      <w:r w:rsidR="0036751A">
        <w:t xml:space="preserve">Fenian </w:t>
      </w:r>
      <w:r w:rsidR="00831FE4">
        <w:t xml:space="preserve">Michael Davitt and Parnell. Together they formed the Irish Land League in 1879, a group standing against rent increases, </w:t>
      </w:r>
      <w:r w:rsidR="003137E8">
        <w:t>and fighting for the right of Irish tenants to buy their own land.</w:t>
      </w:r>
      <w:r w:rsidR="0036751A">
        <w:t xml:space="preserve"> In 1880 Parnell was elected chairman of the Home Rule group</w:t>
      </w:r>
      <w:r w:rsidR="005C2062">
        <w:t xml:space="preserve">. </w:t>
      </w:r>
    </w:p>
    <w:p w14:paraId="60DE684B" w14:textId="3763534E" w:rsidR="005C2062" w:rsidRDefault="005C2062" w:rsidP="005A6930">
      <w:r>
        <w:tab/>
        <w:t xml:space="preserve">In 1881, Liberal Prime </w:t>
      </w:r>
      <w:r w:rsidR="006C2418">
        <w:t>M</w:t>
      </w:r>
      <w:r>
        <w:t>inister William Gladstone introduced a Land Act that protected Irish tenants from eviction and gave them a means of controlling their rent. Gladstone had moved closer to the demands of Davitt and Parnell, and Parnell identified Gladstone as a willing ally for his aims</w:t>
      </w:r>
      <w:r w:rsidR="009542E9">
        <w:t xml:space="preserve">, as the British Prime </w:t>
      </w:r>
      <w:r w:rsidR="00FE16B0">
        <w:t>M</w:t>
      </w:r>
      <w:r w:rsidR="009542E9">
        <w:t xml:space="preserve">inister was sympathetic to the Home Rule cause. Gladstone viewed Home Rule as a way of repaying Ireland for past atrocities and saw a chance for gaining the support of Parnell’s </w:t>
      </w:r>
      <w:r w:rsidR="007656C3">
        <w:t>MPs</w:t>
      </w:r>
      <w:r w:rsidR="009542E9">
        <w:t xml:space="preserve"> to keep his government in power.</w:t>
      </w:r>
    </w:p>
    <w:p w14:paraId="460203E7" w14:textId="42CDA05C" w:rsidR="00381BED" w:rsidRDefault="00381BED" w:rsidP="004C1E6A">
      <w:pPr>
        <w:ind w:firstLine="720"/>
      </w:pPr>
      <w:r>
        <w:t xml:space="preserve">By 1886, Gladstone was ready to put his Home Rule Bill before the House of Commons. </w:t>
      </w:r>
      <w:r w:rsidR="004C1E6A">
        <w:t>The Bill granted a limited Home Rule within the Empire</w:t>
      </w:r>
      <w:r w:rsidR="00BB1A84">
        <w:t xml:space="preserve">, with the UK retaining sovereignty over an Irish government based in Dublin, meaning there would be no Irish representatives in Westminster. The Bill was supported by Parnell, but its success would depend on Liberal opposition. In his closing speech Gladstone asked Liberal </w:t>
      </w:r>
      <w:r w:rsidR="0036081F">
        <w:t>MPs</w:t>
      </w:r>
      <w:r w:rsidR="00BB1A84">
        <w:t xml:space="preserve"> to think ‘not for the moment, but for the years that are to come.’</w:t>
      </w:r>
      <w:r w:rsidR="00BB1A84">
        <w:rPr>
          <w:rStyle w:val="FootnoteReference"/>
        </w:rPr>
        <w:footnoteReference w:id="3"/>
      </w:r>
      <w:r w:rsidR="00F574A6">
        <w:t xml:space="preserve"> However, on the 8</w:t>
      </w:r>
      <w:r w:rsidR="00F574A6" w:rsidRPr="00F574A6">
        <w:rPr>
          <w:vertAlign w:val="superscript"/>
        </w:rPr>
        <w:t>th</w:t>
      </w:r>
      <w:r w:rsidR="00F574A6">
        <w:t xml:space="preserve"> June 1886, 93 Liberals voted against the Bill and it was defeated by 343 votes 313 in the House of Lords. The reason for this was due to the Lords’ opinion that in introducing Home Rule, it might pave the way for other countries in the Empire to follow suit</w:t>
      </w:r>
      <w:r w:rsidR="008B5B5B">
        <w:t>, and London’s power would be irrevocably reduced. Indeed, John Redmond, leader of the Irish Nationalist Party in 1910 would state that what obstructed a successful Home Rule Bill for Ireland was the Lord’s opposition to it.</w:t>
      </w:r>
    </w:p>
    <w:p w14:paraId="37C30AED" w14:textId="0E36479D" w:rsidR="004F1F11" w:rsidRDefault="004F1F11" w:rsidP="004F1F11">
      <w:pPr>
        <w:ind w:firstLine="720"/>
      </w:pPr>
      <w:r>
        <w:t>Undeterred, Gladstone continued to try and get the Bill pushed through Parliament but subsequently lost the general election: ‘the result producing 316 Conservatives, 78 anti-home rule Liberals (soon to become known as Liberal Unionists) against 91 Liberals and 85 Irish home rulers.</w:t>
      </w:r>
      <w:r>
        <w:rPr>
          <w:rStyle w:val="FootnoteReference"/>
        </w:rPr>
        <w:footnoteReference w:id="4"/>
      </w:r>
      <w:r>
        <w:t xml:space="preserve">’ </w:t>
      </w:r>
      <w:r w:rsidR="00BD6788">
        <w:t xml:space="preserve">The Bill </w:t>
      </w:r>
      <w:r w:rsidR="00F52085">
        <w:t>had seen</w:t>
      </w:r>
      <w:r w:rsidR="00BD6788">
        <w:t xml:space="preserve"> </w:t>
      </w:r>
      <w:r w:rsidR="00A07982">
        <w:t>fierce</w:t>
      </w:r>
      <w:r w:rsidR="00BD6788">
        <w:t xml:space="preserve"> opposition coming from the Ulster Unionists, who had found a strong ally in senior Conservative Lord Randolph Churchill.</w:t>
      </w:r>
      <w:r w:rsidR="000E2D84">
        <w:t xml:space="preserve"> </w:t>
      </w:r>
      <w:r w:rsidR="00A07982">
        <w:t>D</w:t>
      </w:r>
      <w:r w:rsidR="000E2D84">
        <w:t xml:space="preserve">uring an address to Belfast Unionists, </w:t>
      </w:r>
      <w:r w:rsidR="00A07982">
        <w:t xml:space="preserve">Churchill </w:t>
      </w:r>
      <w:r w:rsidR="000E2D84">
        <w:t>stated that his allegiance was with them, and pledged that should Home Rule be attempted:</w:t>
      </w:r>
    </w:p>
    <w:p w14:paraId="68A01B07" w14:textId="77777777" w:rsidR="00202DC7" w:rsidRDefault="000E2D84" w:rsidP="004F1F11">
      <w:pPr>
        <w:ind w:firstLine="720"/>
      </w:pPr>
      <w:r>
        <w:lastRenderedPageBreak/>
        <w:t xml:space="preserve">There will not be wanting to you those of position and influence in England who are </w:t>
      </w:r>
      <w:r>
        <w:tab/>
        <w:t xml:space="preserve">willing to cast in their lot with you, whatever it may be, and who will share your </w:t>
      </w:r>
      <w:r>
        <w:tab/>
        <w:t>fortune and your fate.</w:t>
      </w:r>
      <w:r>
        <w:rPr>
          <w:rStyle w:val="FootnoteReference"/>
        </w:rPr>
        <w:footnoteReference w:id="5"/>
      </w:r>
      <w:r w:rsidR="003233F1">
        <w:t xml:space="preserve"> </w:t>
      </w:r>
    </w:p>
    <w:p w14:paraId="79D08701" w14:textId="6BD6B7D2" w:rsidR="00202DC7" w:rsidRDefault="003233F1" w:rsidP="00202DC7">
      <w:r>
        <w:t>From this statement it would have been clear to Ulster that they had the full support of the British Conservatives and the House of Lords, placing them in a strong position.</w:t>
      </w:r>
      <w:r w:rsidR="001D30DF">
        <w:t xml:space="preserve"> </w:t>
      </w:r>
      <w:r w:rsidR="00A07982">
        <w:t>The Bill had raised sectarian tensions with many Ulster Protestants</w:t>
      </w:r>
      <w:r w:rsidR="000A324B">
        <w:t xml:space="preserve"> who viewed Home Rule as simply ‘Rome Rule’ as they had no desire to be </w:t>
      </w:r>
      <w:r w:rsidR="00F52085">
        <w:t>governed</w:t>
      </w:r>
      <w:r w:rsidR="000A324B">
        <w:t xml:space="preserve"> by a Dublin</w:t>
      </w:r>
      <w:r w:rsidR="0078405E">
        <w:t xml:space="preserve"> based</w:t>
      </w:r>
      <w:r w:rsidR="00F52085">
        <w:t xml:space="preserve"> and therefore predominantly Catholic</w:t>
      </w:r>
      <w:r w:rsidR="000A324B">
        <w:t xml:space="preserve"> parliament. Gladstone took a short-sighted view of Ulster resistance, as did Parnell, who believed the Unionists were deluded and would change their opinion </w:t>
      </w:r>
      <w:r w:rsidR="00FB56F6">
        <w:t>given</w:t>
      </w:r>
      <w:r w:rsidR="000A324B">
        <w:t xml:space="preserve"> time. In December 1889, Parnell travelled to Gladstone’s country residence to discuss a second Home Rule Bill. </w:t>
      </w:r>
      <w:r w:rsidR="00E73D85">
        <w:t xml:space="preserve">However, </w:t>
      </w:r>
      <w:r w:rsidR="000A324B">
        <w:t>Parnell’s affair with</w:t>
      </w:r>
      <w:r w:rsidR="00202DC7">
        <w:t xml:space="preserve"> </w:t>
      </w:r>
      <w:r w:rsidR="000A324B">
        <w:t>married woman Catherine O’Shea, scuppered these plans as a huge sex scandal emerged when her husband</w:t>
      </w:r>
      <w:r w:rsidR="00202DC7">
        <w:t>, a Catholic Nationalist MP for County Clare, sued for divorce.</w:t>
      </w:r>
      <w:r w:rsidR="00A07982">
        <w:t xml:space="preserve"> </w:t>
      </w:r>
      <w:r w:rsidR="00202DC7">
        <w:t xml:space="preserve">Gladstone withdrew political support for Parnell, and </w:t>
      </w:r>
      <w:r w:rsidR="00626900">
        <w:t>ultimately,</w:t>
      </w:r>
      <w:r w:rsidR="00202DC7">
        <w:t xml:space="preserve"> he was deposed as leader of the Irish </w:t>
      </w:r>
      <w:r w:rsidR="00626900">
        <w:t>P</w:t>
      </w:r>
      <w:r w:rsidR="00202DC7">
        <w:t xml:space="preserve">arliamentary Party. </w:t>
      </w:r>
    </w:p>
    <w:p w14:paraId="67B122F5" w14:textId="2EA21A72" w:rsidR="000E2D84" w:rsidRDefault="00626900" w:rsidP="004F1F11">
      <w:pPr>
        <w:ind w:firstLine="720"/>
      </w:pPr>
      <w:r>
        <w:t xml:space="preserve">After the failure of the first Bill, </w:t>
      </w:r>
      <w:r w:rsidR="00202DC7">
        <w:t xml:space="preserve">Gladstone resigned, and Lord Salisbury became Prime Minister. However, in 1892. The Liberals returned to power and Gladstone took up the position of Prime Minister for a fourth term. In February 1893 he presented his second Home Rule Bill, which this time suggested a continued Irish representation in Westminster. </w:t>
      </w:r>
      <w:r w:rsidR="001D30DF">
        <w:t xml:space="preserve">Gladstone’s second Bill was </w:t>
      </w:r>
      <w:r w:rsidR="006019C8">
        <w:t xml:space="preserve">passed in the Commons but </w:t>
      </w:r>
      <w:r w:rsidR="001D30DF">
        <w:t>defeated in the House of Lords the following week. Gladstone made no further attempts to establish Home Rule for Ireland.</w:t>
      </w:r>
    </w:p>
    <w:p w14:paraId="2901ABD5" w14:textId="5A99822E" w:rsidR="00715F20" w:rsidRDefault="00D30C22" w:rsidP="00715F20">
      <w:pPr>
        <w:ind w:firstLine="720"/>
      </w:pPr>
      <w:r>
        <w:t xml:space="preserve">At the beginning of the twentieth century, </w:t>
      </w:r>
      <w:r w:rsidR="00E73D85">
        <w:t>there were increasing tensions between the House of Commons and House of Lords over which group had the right to pass laws on behalf of the British people. All Bills had to pass through both Houses before becoming law, and as there was always a Conservative majority in the Lords, this presented problem</w:t>
      </w:r>
      <w:r w:rsidR="005F2D9F">
        <w:t>s</w:t>
      </w:r>
      <w:r w:rsidR="00E73D85">
        <w:t xml:space="preserve"> for a Liberal government. If the power of the Lords was restricted, </w:t>
      </w:r>
      <w:r w:rsidR="005F2D9F">
        <w:t xml:space="preserve">Home Rule would be more likely to succeed. In August 1910 Prime Minister Asquith’s Bill which deprived the Lords of its </w:t>
      </w:r>
      <w:r w:rsidR="000B00C9">
        <w:t xml:space="preserve">absolute </w:t>
      </w:r>
      <w:r w:rsidR="005F2D9F">
        <w:t>power to veto legislation</w:t>
      </w:r>
      <w:r w:rsidR="009A5BB8">
        <w:t xml:space="preserve"> passed into law.</w:t>
      </w:r>
      <w:r w:rsidR="00B36095">
        <w:t xml:space="preserve"> </w:t>
      </w:r>
      <w:r w:rsidR="000A154D">
        <w:t>This created an opportunity for a third Home Rule Bill, which Asquith presented in April 1912.</w:t>
      </w:r>
      <w:r w:rsidR="00560241">
        <w:t xml:space="preserve"> The Bill offered limited self-government to Ireland and asserted the authority of the UK Parliament over all matters pertaining to Ireland and the Irish. Conservative opposition was so fierce to the Bill that it its third reading was not carried out until 1913. In Northern Ireland, Captain James Craig played a key role in organising resistance on behalf of the Ulster Unionists, to the Home Rule Bill.</w:t>
      </w:r>
      <w:r w:rsidR="005E62E2">
        <w:t xml:space="preserve"> Craig was bitterly opposed to the Bill</w:t>
      </w:r>
      <w:r w:rsidR="00B6642F">
        <w:t xml:space="preserve"> due to sectarian prejudice, where a Dublin Government would have jurisdiction over the Protestant community in the north. Commissioned by Craig, The Ulster Covenant, a document formally declaring Ulster’s resistance to Home Rule was signed on 28</w:t>
      </w:r>
      <w:r w:rsidR="00B6642F" w:rsidRPr="00B6642F">
        <w:rPr>
          <w:vertAlign w:val="superscript"/>
        </w:rPr>
        <w:t>th</w:t>
      </w:r>
      <w:r w:rsidR="00B6642F">
        <w:t xml:space="preserve"> September 1912, with a further half a million people signing it</w:t>
      </w:r>
      <w:r w:rsidR="00715F20">
        <w:t xml:space="preserve"> across the provinces. However, the outbreak of the first World War postponed any implementation of the Home Rule Bill, and it was consequently suspended. </w:t>
      </w:r>
    </w:p>
    <w:p w14:paraId="4E23F58D" w14:textId="77A42DC8" w:rsidR="00715F20" w:rsidRDefault="00715F20" w:rsidP="00715F20">
      <w:pPr>
        <w:ind w:firstLine="720"/>
      </w:pPr>
      <w:r>
        <w:t xml:space="preserve">In conclusion, the </w:t>
      </w:r>
      <w:r w:rsidR="00761C2B">
        <w:t xml:space="preserve">reasons for the </w:t>
      </w:r>
      <w:r>
        <w:t xml:space="preserve">failure to establish a Home Rule for Ireland </w:t>
      </w:r>
      <w:r w:rsidR="00761C2B">
        <w:t xml:space="preserve">fall into two main categories. The first is the </w:t>
      </w:r>
      <w:r w:rsidR="007E499F">
        <w:t>obvious</w:t>
      </w:r>
      <w:r w:rsidR="00761C2B">
        <w:t xml:space="preserve"> resistance from the Conservatives and the </w:t>
      </w:r>
      <w:r w:rsidR="00761C2B">
        <w:lastRenderedPageBreak/>
        <w:t>House of Lords. Home Rule posed a threat to the Empire</w:t>
      </w:r>
      <w:r w:rsidR="007E499F">
        <w:t>; if Ireland could form a devolved government, then other countries ruled by Britain could follow suit</w:t>
      </w:r>
      <w:r w:rsidR="00BA520C">
        <w:t>,</w:t>
      </w:r>
      <w:r w:rsidR="007E499F">
        <w:t xml:space="preserve"> thereby weakening the political power of Westminster</w:t>
      </w:r>
      <w:r w:rsidR="00D73DDC">
        <w:t>, leading to ‘a state of things of which it is impossible to forsee the end or the consequences.’</w:t>
      </w:r>
      <w:r w:rsidR="00D73DDC">
        <w:rPr>
          <w:rStyle w:val="FootnoteReference"/>
        </w:rPr>
        <w:footnoteReference w:id="6"/>
      </w:r>
      <w:r w:rsidR="00F44252">
        <w:t xml:space="preserve"> </w:t>
      </w:r>
      <w:r w:rsidR="007D0E07">
        <w:t xml:space="preserve">Home Rule also posed central constitutional questions which included the future of the United Kingdom, levels of taxation and Irish representation at Westminster. </w:t>
      </w:r>
      <w:r w:rsidR="00F44252">
        <w:t>Both of Gladstone’s Home Rule Bills were rejected by the House of Lords, and the third would doubtlessly have failed had it not been for Asquith’s Parliament Act of 1911</w:t>
      </w:r>
      <w:r w:rsidR="00596B34">
        <w:t>, which restricted their power to veto bills outright.</w:t>
      </w:r>
      <w:r w:rsidR="00F44252">
        <w:t xml:space="preserve"> From the Irish perspective, failure to secure Home Rule was a direct result of Unionist opposition. The Unionists had </w:t>
      </w:r>
      <w:r w:rsidR="00165ACC">
        <w:t>several</w:t>
      </w:r>
      <w:r w:rsidR="00F44252">
        <w:t xml:space="preserve"> arguments against the Bills, the first being sectarian prejudice; the Protestant majority in Northern Ireland were vehemently opposed to the governance of a predominantly Catholic Parliament based in Dublin</w:t>
      </w:r>
      <w:r w:rsidR="00596B34">
        <w:t xml:space="preserve">. </w:t>
      </w:r>
      <w:r w:rsidR="00165ACC">
        <w:t>Unionists in general were responding to the emergence of catholic Nationalists such as O’Connell and Parnell</w:t>
      </w:r>
      <w:r w:rsidR="00D23CE1">
        <w:t>, and had concerns that Home Rule would lead to Catholic ascendancy.</w:t>
      </w:r>
      <w:r w:rsidR="00165ACC">
        <w:t xml:space="preserve"> </w:t>
      </w:r>
      <w:r w:rsidR="00596B34">
        <w:t>The second argument was focused on industry and commerce. Ulster had enjoyed a long and fruitful relationship with Britain</w:t>
      </w:r>
      <w:r w:rsidR="00165ACC">
        <w:t xml:space="preserve">, and Protestants continued to dominate land ownership </w:t>
      </w:r>
      <w:r w:rsidR="007D0E07">
        <w:t>despite</w:t>
      </w:r>
      <w:r w:rsidR="00165ACC">
        <w:t xml:space="preserve"> the Land Act of 1881. Belfast in particular</w:t>
      </w:r>
      <w:r w:rsidR="007D0E07">
        <w:t xml:space="preserve">, enjoyed the benefits of the Union; a highly industrialised city which benefitted from free trade with the British Empire. </w:t>
      </w:r>
    </w:p>
    <w:p w14:paraId="707D5827" w14:textId="69E9FFBD" w:rsidR="00ED74B0" w:rsidRDefault="00ED74B0" w:rsidP="00715F20">
      <w:pPr>
        <w:ind w:firstLine="720"/>
      </w:pPr>
    </w:p>
    <w:p w14:paraId="5104E06F" w14:textId="4322D5F2" w:rsidR="00ED74B0" w:rsidRDefault="00ED74B0" w:rsidP="00715F20">
      <w:pPr>
        <w:ind w:firstLine="720"/>
      </w:pPr>
    </w:p>
    <w:p w14:paraId="2A7673AA" w14:textId="1D4016EE" w:rsidR="00ED74B0" w:rsidRDefault="00ED74B0" w:rsidP="00715F20">
      <w:pPr>
        <w:ind w:firstLine="720"/>
      </w:pPr>
    </w:p>
    <w:p w14:paraId="3EBC5797" w14:textId="5A791F5C" w:rsidR="00ED74B0" w:rsidRDefault="00ED74B0" w:rsidP="00715F20">
      <w:pPr>
        <w:ind w:firstLine="720"/>
      </w:pPr>
    </w:p>
    <w:p w14:paraId="73B4EEA6" w14:textId="7F345B86" w:rsidR="00ED74B0" w:rsidRDefault="00ED74B0" w:rsidP="00715F20">
      <w:pPr>
        <w:ind w:firstLine="720"/>
      </w:pPr>
    </w:p>
    <w:p w14:paraId="16A82263" w14:textId="4B3BE96F" w:rsidR="00ED74B0" w:rsidRDefault="00ED74B0" w:rsidP="00715F20">
      <w:pPr>
        <w:ind w:firstLine="720"/>
      </w:pPr>
    </w:p>
    <w:p w14:paraId="62050507" w14:textId="66976922" w:rsidR="00ED74B0" w:rsidRDefault="00ED74B0" w:rsidP="00ED74B0">
      <w:r>
        <w:br w:type="page"/>
      </w:r>
    </w:p>
    <w:p w14:paraId="59A91AC9" w14:textId="6AB3F86E" w:rsidR="00ED74B0" w:rsidRDefault="00ED74B0" w:rsidP="00ED74B0">
      <w:pPr>
        <w:rPr>
          <w:b/>
          <w:bCs/>
        </w:rPr>
      </w:pPr>
      <w:r>
        <w:rPr>
          <w:b/>
          <w:bCs/>
        </w:rPr>
        <w:lastRenderedPageBreak/>
        <w:t>Bibliography:</w:t>
      </w:r>
    </w:p>
    <w:p w14:paraId="154E8AE0" w14:textId="5BB5B7A2" w:rsidR="009D7951" w:rsidRPr="009D7951" w:rsidRDefault="009D7951" w:rsidP="00ED74B0">
      <w:r>
        <w:t xml:space="preserve">Boyce, D. George, </w:t>
      </w:r>
      <w:r>
        <w:rPr>
          <w:i/>
          <w:iCs/>
        </w:rPr>
        <w:t xml:space="preserve">Englishmen And Irish Troubles British Public Opinion &amp; The Making Of Irish </w:t>
      </w:r>
      <w:r w:rsidR="00374A2D">
        <w:rPr>
          <w:i/>
          <w:iCs/>
        </w:rPr>
        <w:tab/>
      </w:r>
      <w:r>
        <w:rPr>
          <w:i/>
          <w:iCs/>
        </w:rPr>
        <w:t>Policy 1918 – 22</w:t>
      </w:r>
      <w:r>
        <w:t>, (London: Jonathan Cape Ltd, 1972)</w:t>
      </w:r>
    </w:p>
    <w:p w14:paraId="62EED392" w14:textId="25384310" w:rsidR="00ED74B0" w:rsidRDefault="00AB2EC2" w:rsidP="00ED74B0">
      <w:r>
        <w:t xml:space="preserve">Boyce, D George, </w:t>
      </w:r>
      <w:r>
        <w:rPr>
          <w:i/>
          <w:iCs/>
        </w:rPr>
        <w:t>Nineteenth Century Ireland</w:t>
      </w:r>
      <w:r>
        <w:t>, (Dublin: Gill Books, 2005)</w:t>
      </w:r>
    </w:p>
    <w:p w14:paraId="22BD8376" w14:textId="7CAC93AA" w:rsidR="00374A2D" w:rsidRDefault="00374A2D" w:rsidP="00ED74B0">
      <w:r>
        <w:t xml:space="preserve">Coogan, Tim Pat, </w:t>
      </w:r>
      <w:r>
        <w:rPr>
          <w:i/>
          <w:iCs/>
        </w:rPr>
        <w:t>1916 The Easter Rising</w:t>
      </w:r>
      <w:r>
        <w:t>, (London: Phoenix, 2005)</w:t>
      </w:r>
    </w:p>
    <w:p w14:paraId="03A9D37A" w14:textId="38522A4C" w:rsidR="00DF7CD0" w:rsidRPr="00DF7CD0" w:rsidRDefault="00DF7CD0" w:rsidP="00ED74B0">
      <w:r>
        <w:t xml:space="preserve">Donoghmore, The Earl Of, ‘The House Of Lords And The Home Rule Bill’, </w:t>
      </w:r>
      <w:r>
        <w:rPr>
          <w:i/>
          <w:iCs/>
        </w:rPr>
        <w:t>The North American Review</w:t>
      </w:r>
      <w:r>
        <w:t>, 157.442 (1893), 298 - 306</w:t>
      </w:r>
    </w:p>
    <w:p w14:paraId="4564396C" w14:textId="16280864" w:rsidR="003B2C06" w:rsidRPr="003B2C06" w:rsidRDefault="003B2C06" w:rsidP="00ED74B0">
      <w:r>
        <w:t xml:space="preserve">Dreyer, F. A., ‘The Whigs And The Political Crisis of 1845’, </w:t>
      </w:r>
      <w:r>
        <w:rPr>
          <w:i/>
          <w:iCs/>
        </w:rPr>
        <w:t>The English Historical Review</w:t>
      </w:r>
      <w:r>
        <w:t xml:space="preserve">, </w:t>
      </w:r>
      <w:r>
        <w:tab/>
        <w:t>80.316 (1965), 514 - 537</w:t>
      </w:r>
    </w:p>
    <w:p w14:paraId="73484190" w14:textId="7D39B81B" w:rsidR="009D7951" w:rsidRDefault="00374A2D" w:rsidP="00ED74B0">
      <w:r>
        <w:t>Encycl</w:t>
      </w:r>
      <w:r w:rsidR="003B2C06">
        <w:t>o</w:t>
      </w:r>
      <w:r>
        <w:t xml:space="preserve">pedia </w:t>
      </w:r>
      <w:r w:rsidR="009D7951">
        <w:t xml:space="preserve">Britannica, </w:t>
      </w:r>
      <w:r w:rsidR="009D7951">
        <w:rPr>
          <w:i/>
          <w:iCs/>
        </w:rPr>
        <w:t>Catholic Emancipation</w:t>
      </w:r>
      <w:r>
        <w:t xml:space="preserve"> (No Date) </w:t>
      </w:r>
      <w:hyperlink r:id="rId7" w:history="1">
        <w:r w:rsidRPr="000A0A06">
          <w:rPr>
            <w:rStyle w:val="Hyperlink"/>
          </w:rPr>
          <w:t>https://www.britannica.com</w:t>
        </w:r>
      </w:hyperlink>
      <w:r>
        <w:t xml:space="preserve"> </w:t>
      </w:r>
      <w:r>
        <w:tab/>
        <w:t xml:space="preserve">[accessed 16 </w:t>
      </w:r>
      <w:r>
        <w:tab/>
        <w:t>March 2022]</w:t>
      </w:r>
    </w:p>
    <w:p w14:paraId="1863F589" w14:textId="7E0C1911" w:rsidR="00374A2D" w:rsidRDefault="00374A2D" w:rsidP="00ED74B0">
      <w:r>
        <w:t xml:space="preserve">Encyclopedia Britannica, </w:t>
      </w:r>
      <w:r>
        <w:rPr>
          <w:i/>
          <w:iCs/>
        </w:rPr>
        <w:t xml:space="preserve">The Home Rule Movement And The Land League </w:t>
      </w:r>
      <w:r>
        <w:t xml:space="preserve">(No Date) </w:t>
      </w:r>
      <w:r>
        <w:tab/>
      </w:r>
      <w:hyperlink r:id="rId8" w:history="1">
        <w:r w:rsidRPr="000A0A06">
          <w:rPr>
            <w:rStyle w:val="Hyperlink"/>
          </w:rPr>
          <w:t>https://www.britannica.com</w:t>
        </w:r>
      </w:hyperlink>
      <w:r>
        <w:t xml:space="preserve"> [accessed 09 March 2022]</w:t>
      </w:r>
    </w:p>
    <w:p w14:paraId="312A8F06" w14:textId="3DC369C4" w:rsidR="00374A2D" w:rsidRDefault="00374A2D" w:rsidP="00ED74B0">
      <w:r>
        <w:t xml:space="preserve">Encyclopedia Online, </w:t>
      </w:r>
      <w:r>
        <w:rPr>
          <w:i/>
          <w:iCs/>
        </w:rPr>
        <w:t>Declaration Against Home Rule</w:t>
      </w:r>
      <w:r w:rsidR="00A46533">
        <w:t xml:space="preserve"> (No Date) </w:t>
      </w:r>
      <w:r w:rsidR="00A46533">
        <w:tab/>
      </w:r>
      <w:hyperlink r:id="rId9" w:history="1">
        <w:r w:rsidR="00A46533" w:rsidRPr="000A0A06">
          <w:rPr>
            <w:rStyle w:val="Hyperlink"/>
          </w:rPr>
          <w:t>https://www.encyclopedia.com</w:t>
        </w:r>
      </w:hyperlink>
      <w:r w:rsidR="00A46533">
        <w:t xml:space="preserve"> [accessed 16 March 2022]</w:t>
      </w:r>
    </w:p>
    <w:p w14:paraId="0CBD48C4" w14:textId="1C506856" w:rsidR="00A46533" w:rsidRDefault="00A46533" w:rsidP="00ED74B0">
      <w:r>
        <w:t>Federak, Charles John, ‘Catholic Emancipation And The Resignation Of William Pitt’</w:t>
      </w:r>
      <w:r w:rsidR="003B2C06">
        <w:t xml:space="preserve">, </w:t>
      </w:r>
      <w:r w:rsidR="003B2C06">
        <w:rPr>
          <w:i/>
          <w:iCs/>
        </w:rPr>
        <w:t xml:space="preserve">Albion: </w:t>
      </w:r>
      <w:r w:rsidR="003B2C06">
        <w:rPr>
          <w:i/>
          <w:iCs/>
        </w:rPr>
        <w:tab/>
        <w:t>A Quarterly Journal Concerned With British Studies</w:t>
      </w:r>
      <w:r w:rsidR="003B2C06">
        <w:t xml:space="preserve">, 24.1 (1992), 49 - 64 </w:t>
      </w:r>
    </w:p>
    <w:p w14:paraId="53BF7AD1" w14:textId="181E4B78" w:rsidR="00303054" w:rsidRPr="00303054" w:rsidRDefault="00303054" w:rsidP="00ED74B0">
      <w:r>
        <w:t xml:space="preserve">Holmes, Dr. Andrew, </w:t>
      </w:r>
      <w:r>
        <w:rPr>
          <w:i/>
          <w:iCs/>
        </w:rPr>
        <w:t xml:space="preserve">The Development Of Unionism Before 1912 </w:t>
      </w:r>
      <w:r>
        <w:t xml:space="preserve">(2008) </w:t>
      </w:r>
      <w:r>
        <w:tab/>
      </w:r>
      <w:hyperlink r:id="rId10" w:history="1">
        <w:r w:rsidRPr="000A0A06">
          <w:rPr>
            <w:rStyle w:val="Hyperlink"/>
          </w:rPr>
          <w:t>https://www.qub.ac.uk</w:t>
        </w:r>
      </w:hyperlink>
      <w:r>
        <w:t xml:space="preserve"> [accessed 24 March 2022]</w:t>
      </w:r>
    </w:p>
    <w:p w14:paraId="2E78211D" w14:textId="6075BE19" w:rsidR="003B2C06" w:rsidRDefault="003B2C06" w:rsidP="00ED74B0">
      <w:r>
        <w:t xml:space="preserve">Kelly, Matthew, ‘Home Rule For Ireland For And Against’, </w:t>
      </w:r>
      <w:r>
        <w:rPr>
          <w:i/>
          <w:iCs/>
        </w:rPr>
        <w:t>Historian</w:t>
      </w:r>
      <w:r>
        <w:t>, 155</w:t>
      </w:r>
      <w:r w:rsidR="00303054">
        <w:t xml:space="preserve">.124 (2014/15), 30 - </w:t>
      </w:r>
      <w:r w:rsidR="00303054">
        <w:tab/>
        <w:t>35</w:t>
      </w:r>
    </w:p>
    <w:p w14:paraId="200AA957" w14:textId="3F149D1F" w:rsidR="00303054" w:rsidRDefault="00303054" w:rsidP="00ED74B0">
      <w:r>
        <w:t xml:space="preserve">Kinealy, Christine, </w:t>
      </w:r>
      <w:r>
        <w:rPr>
          <w:i/>
          <w:iCs/>
        </w:rPr>
        <w:t>How The British Government Responded To The Great Hunger In Ireland</w:t>
      </w:r>
      <w:r>
        <w:t xml:space="preserve"> </w:t>
      </w:r>
      <w:r>
        <w:tab/>
        <w:t xml:space="preserve">(2010) </w:t>
      </w:r>
      <w:hyperlink r:id="rId11" w:history="1">
        <w:r w:rsidRPr="000A0A06">
          <w:rPr>
            <w:rStyle w:val="Hyperlink"/>
          </w:rPr>
          <w:t>https://www.irishcentral.com</w:t>
        </w:r>
      </w:hyperlink>
      <w:r>
        <w:t xml:space="preserve"> [accessed 18 March 2022]</w:t>
      </w:r>
    </w:p>
    <w:p w14:paraId="14DC846F" w14:textId="13665DA4" w:rsidR="00303054" w:rsidRPr="00303054" w:rsidRDefault="00303054" w:rsidP="00ED74B0">
      <w:r>
        <w:t xml:space="preserve">Parliament UK, </w:t>
      </w:r>
      <w:r>
        <w:rPr>
          <w:i/>
          <w:iCs/>
        </w:rPr>
        <w:t xml:space="preserve">Two Home Rule Bills </w:t>
      </w:r>
      <w:r>
        <w:t xml:space="preserve">(No Date) </w:t>
      </w:r>
      <w:hyperlink r:id="rId12" w:history="1">
        <w:r w:rsidRPr="000A0A06">
          <w:rPr>
            <w:rStyle w:val="Hyperlink"/>
          </w:rPr>
          <w:t>https://www.parliament.uk</w:t>
        </w:r>
      </w:hyperlink>
      <w:r>
        <w:t xml:space="preserve"> [accessed</w:t>
      </w:r>
      <w:r w:rsidR="00674DB6">
        <w:t xml:space="preserve"> 06 </w:t>
      </w:r>
      <w:r w:rsidR="00674DB6">
        <w:tab/>
        <w:t>March 2022]</w:t>
      </w:r>
    </w:p>
    <w:p w14:paraId="4B4E09DE" w14:textId="77777777" w:rsidR="003B2C06" w:rsidRPr="003B2C06" w:rsidRDefault="003B2C06" w:rsidP="00ED74B0"/>
    <w:p w14:paraId="6823170D" w14:textId="77777777" w:rsidR="00374A2D" w:rsidRPr="00374A2D" w:rsidRDefault="00374A2D" w:rsidP="00ED74B0"/>
    <w:p w14:paraId="3F657CA7" w14:textId="77777777" w:rsidR="00626900" w:rsidRDefault="00626900" w:rsidP="004F1F11">
      <w:pPr>
        <w:ind w:firstLine="720"/>
      </w:pPr>
    </w:p>
    <w:sectPr w:rsidR="0062690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B414B" w14:textId="77777777" w:rsidR="00314F5D" w:rsidRDefault="00314F5D" w:rsidP="001E4DE8">
      <w:pPr>
        <w:spacing w:after="0" w:line="240" w:lineRule="auto"/>
      </w:pPr>
      <w:r>
        <w:separator/>
      </w:r>
    </w:p>
  </w:endnote>
  <w:endnote w:type="continuationSeparator" w:id="0">
    <w:p w14:paraId="739D0B6F" w14:textId="77777777" w:rsidR="00314F5D" w:rsidRDefault="00314F5D" w:rsidP="001E4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823574"/>
      <w:docPartObj>
        <w:docPartGallery w:val="Page Numbers (Bottom of Page)"/>
        <w:docPartUnique/>
      </w:docPartObj>
    </w:sdtPr>
    <w:sdtEndPr>
      <w:rPr>
        <w:noProof/>
      </w:rPr>
    </w:sdtEndPr>
    <w:sdtContent>
      <w:p w14:paraId="3DD6E0C4" w14:textId="0CDD4499" w:rsidR="00ED74B0" w:rsidRDefault="00ED74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EE9E2" w14:textId="77777777" w:rsidR="00ED74B0" w:rsidRDefault="00ED7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EB146" w14:textId="77777777" w:rsidR="00314F5D" w:rsidRDefault="00314F5D" w:rsidP="001E4DE8">
      <w:pPr>
        <w:spacing w:after="0" w:line="240" w:lineRule="auto"/>
      </w:pPr>
      <w:r>
        <w:separator/>
      </w:r>
    </w:p>
  </w:footnote>
  <w:footnote w:type="continuationSeparator" w:id="0">
    <w:p w14:paraId="13E714FC" w14:textId="77777777" w:rsidR="00314F5D" w:rsidRDefault="00314F5D" w:rsidP="001E4DE8">
      <w:pPr>
        <w:spacing w:after="0" w:line="240" w:lineRule="auto"/>
      </w:pPr>
      <w:r>
        <w:continuationSeparator/>
      </w:r>
    </w:p>
  </w:footnote>
  <w:footnote w:id="1">
    <w:p w14:paraId="39526C6D" w14:textId="3CD6DE65" w:rsidR="001E4DE8" w:rsidRPr="001E4DE8" w:rsidRDefault="001E4DE8">
      <w:pPr>
        <w:pStyle w:val="FootnoteText"/>
      </w:pPr>
      <w:r>
        <w:rPr>
          <w:rStyle w:val="FootnoteReference"/>
        </w:rPr>
        <w:footnoteRef/>
      </w:r>
      <w:r>
        <w:t xml:space="preserve"> Matthew Kelly, ‘Home Rule for Ireland For and Against’, </w:t>
      </w:r>
      <w:r>
        <w:rPr>
          <w:i/>
          <w:iCs/>
        </w:rPr>
        <w:t>Historian</w:t>
      </w:r>
      <w:r>
        <w:t xml:space="preserve">, 155.124 (2014/15), pp. 30 – 35, </w:t>
      </w:r>
      <w:r w:rsidR="005308D2">
        <w:t>(</w:t>
      </w:r>
      <w:r>
        <w:t>p.</w:t>
      </w:r>
      <w:r w:rsidR="005308D2">
        <w:t xml:space="preserve"> 30).</w:t>
      </w:r>
    </w:p>
  </w:footnote>
  <w:footnote w:id="2">
    <w:p w14:paraId="38E4F58B" w14:textId="3C6759A6" w:rsidR="00777AFB" w:rsidRPr="00777AFB" w:rsidRDefault="00777AFB">
      <w:pPr>
        <w:pStyle w:val="FootnoteText"/>
      </w:pPr>
      <w:r>
        <w:rPr>
          <w:rStyle w:val="FootnoteReference"/>
        </w:rPr>
        <w:footnoteRef/>
      </w:r>
      <w:r>
        <w:t xml:space="preserve"> Christine Kinealy, </w:t>
      </w:r>
      <w:r>
        <w:rPr>
          <w:i/>
          <w:iCs/>
        </w:rPr>
        <w:t>How The British Government Responded To The Great Hunger In Ireland</w:t>
      </w:r>
      <w:r>
        <w:t xml:space="preserve">, (2010) </w:t>
      </w:r>
      <w:hyperlink r:id="rId1" w:history="1">
        <w:r w:rsidRPr="00455CC5">
          <w:rPr>
            <w:rStyle w:val="Hyperlink"/>
          </w:rPr>
          <w:t>https://irishcentral.com</w:t>
        </w:r>
      </w:hyperlink>
      <w:r>
        <w:t xml:space="preserve"> [accessed 18 March 2022]</w:t>
      </w:r>
    </w:p>
  </w:footnote>
  <w:footnote w:id="3">
    <w:p w14:paraId="02E7A897" w14:textId="42022A5C" w:rsidR="00BB1A84" w:rsidRPr="00BB1A84" w:rsidRDefault="00BB1A84">
      <w:pPr>
        <w:pStyle w:val="FootnoteText"/>
      </w:pPr>
      <w:r>
        <w:rPr>
          <w:rStyle w:val="FootnoteReference"/>
        </w:rPr>
        <w:footnoteRef/>
      </w:r>
      <w:r>
        <w:t xml:space="preserve"> Parliament UK, </w:t>
      </w:r>
      <w:r>
        <w:rPr>
          <w:i/>
          <w:iCs/>
        </w:rPr>
        <w:t>Two Home Rule Bills</w:t>
      </w:r>
      <w:r>
        <w:t xml:space="preserve"> (2022) </w:t>
      </w:r>
      <w:hyperlink r:id="rId2" w:history="1">
        <w:r w:rsidRPr="00AE59A0">
          <w:rPr>
            <w:rStyle w:val="Hyperlink"/>
          </w:rPr>
          <w:t>https://www.parliament.uk</w:t>
        </w:r>
      </w:hyperlink>
      <w:r>
        <w:t xml:space="preserve"> [accessed 06 March 2022]</w:t>
      </w:r>
    </w:p>
  </w:footnote>
  <w:footnote w:id="4">
    <w:p w14:paraId="6EAABAA5" w14:textId="6F5825F9" w:rsidR="004F1F11" w:rsidRDefault="004F1F11">
      <w:pPr>
        <w:pStyle w:val="FootnoteText"/>
      </w:pPr>
      <w:r>
        <w:rPr>
          <w:rStyle w:val="FootnoteReference"/>
        </w:rPr>
        <w:footnoteRef/>
      </w:r>
      <w:r>
        <w:t xml:space="preserve"> Ibid.</w:t>
      </w:r>
    </w:p>
  </w:footnote>
  <w:footnote w:id="5">
    <w:p w14:paraId="0C8D1A8A" w14:textId="55632C1E" w:rsidR="000E2D84" w:rsidRPr="008B6580" w:rsidRDefault="000E2D84">
      <w:pPr>
        <w:pStyle w:val="FootnoteText"/>
      </w:pPr>
      <w:r>
        <w:rPr>
          <w:rStyle w:val="FootnoteReference"/>
        </w:rPr>
        <w:footnoteRef/>
      </w:r>
      <w:r>
        <w:t xml:space="preserve"> Tim Pat Coogan, </w:t>
      </w:r>
      <w:r>
        <w:rPr>
          <w:i/>
          <w:iCs/>
        </w:rPr>
        <w:t>1916</w:t>
      </w:r>
      <w:r>
        <w:t xml:space="preserve"> </w:t>
      </w:r>
      <w:r>
        <w:rPr>
          <w:i/>
          <w:iCs/>
        </w:rPr>
        <w:t>The Easter Rising</w:t>
      </w:r>
      <w:r>
        <w:t>, (London: Phoenix</w:t>
      </w:r>
      <w:r w:rsidR="008F0A6E">
        <w:t>,</w:t>
      </w:r>
      <w:r w:rsidR="008B6580">
        <w:t xml:space="preserve"> 2005)</w:t>
      </w:r>
      <w:r>
        <w:rPr>
          <w:i/>
          <w:iCs/>
        </w:rPr>
        <w:t xml:space="preserve"> </w:t>
      </w:r>
      <w:r w:rsidR="008B6580">
        <w:t>p. 7.</w:t>
      </w:r>
    </w:p>
  </w:footnote>
  <w:footnote w:id="6">
    <w:p w14:paraId="0351EC66" w14:textId="3EDD1002" w:rsidR="00D73DDC" w:rsidRPr="00D73DDC" w:rsidRDefault="00D73DDC">
      <w:pPr>
        <w:pStyle w:val="FootnoteText"/>
      </w:pPr>
      <w:r>
        <w:rPr>
          <w:rStyle w:val="FootnoteReference"/>
        </w:rPr>
        <w:footnoteRef/>
      </w:r>
      <w:r>
        <w:t xml:space="preserve"> The Earl of Donoghmore, ‘The House Of Lords And The Home Rule Bill’, </w:t>
      </w:r>
      <w:r>
        <w:rPr>
          <w:i/>
          <w:iCs/>
        </w:rPr>
        <w:t>The North American Review</w:t>
      </w:r>
      <w:r>
        <w:t>, 157.442 (1893), 298 – 306 (p. 303).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49493" w14:textId="70E455F7" w:rsidR="00ED74B0" w:rsidRDefault="00ED74B0">
    <w:pPr>
      <w:pStyle w:val="Header"/>
      <w:jc w:val="center"/>
    </w:pPr>
  </w:p>
  <w:p w14:paraId="3084B13B" w14:textId="77777777" w:rsidR="00ED74B0" w:rsidRDefault="00ED74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A3F"/>
    <w:rsid w:val="00073B50"/>
    <w:rsid w:val="00075530"/>
    <w:rsid w:val="00090A63"/>
    <w:rsid w:val="000A154D"/>
    <w:rsid w:val="000A324B"/>
    <w:rsid w:val="000A4577"/>
    <w:rsid w:val="000A6951"/>
    <w:rsid w:val="000B00C9"/>
    <w:rsid w:val="000D46B8"/>
    <w:rsid w:val="000E2D84"/>
    <w:rsid w:val="000F1155"/>
    <w:rsid w:val="00100F7E"/>
    <w:rsid w:val="00150E76"/>
    <w:rsid w:val="00165ACC"/>
    <w:rsid w:val="001D083B"/>
    <w:rsid w:val="001D30DF"/>
    <w:rsid w:val="001E4DE8"/>
    <w:rsid w:val="00202DC7"/>
    <w:rsid w:val="00251877"/>
    <w:rsid w:val="00266089"/>
    <w:rsid w:val="002A063B"/>
    <w:rsid w:val="002F260D"/>
    <w:rsid w:val="00303054"/>
    <w:rsid w:val="003137E8"/>
    <w:rsid w:val="00314F5D"/>
    <w:rsid w:val="003233F1"/>
    <w:rsid w:val="00324FEC"/>
    <w:rsid w:val="0036081F"/>
    <w:rsid w:val="003655A7"/>
    <w:rsid w:val="0036751A"/>
    <w:rsid w:val="00374A2D"/>
    <w:rsid w:val="00381BED"/>
    <w:rsid w:val="00393C55"/>
    <w:rsid w:val="003B2C06"/>
    <w:rsid w:val="00447F07"/>
    <w:rsid w:val="00481D61"/>
    <w:rsid w:val="004C1E6A"/>
    <w:rsid w:val="004F1F11"/>
    <w:rsid w:val="005308D2"/>
    <w:rsid w:val="005326F7"/>
    <w:rsid w:val="00560241"/>
    <w:rsid w:val="00584466"/>
    <w:rsid w:val="00596B34"/>
    <w:rsid w:val="005A6930"/>
    <w:rsid w:val="005C2062"/>
    <w:rsid w:val="005E62E2"/>
    <w:rsid w:val="005F2D9F"/>
    <w:rsid w:val="006019C8"/>
    <w:rsid w:val="006249D4"/>
    <w:rsid w:val="00626900"/>
    <w:rsid w:val="00674DB6"/>
    <w:rsid w:val="00682578"/>
    <w:rsid w:val="006C2418"/>
    <w:rsid w:val="006D1BFA"/>
    <w:rsid w:val="007013B8"/>
    <w:rsid w:val="00715F20"/>
    <w:rsid w:val="00746D04"/>
    <w:rsid w:val="00761C2B"/>
    <w:rsid w:val="007656C3"/>
    <w:rsid w:val="00777AFB"/>
    <w:rsid w:val="0078405E"/>
    <w:rsid w:val="007922FB"/>
    <w:rsid w:val="007B1A12"/>
    <w:rsid w:val="007D0E07"/>
    <w:rsid w:val="007E499F"/>
    <w:rsid w:val="007E4A3F"/>
    <w:rsid w:val="00831FE4"/>
    <w:rsid w:val="00861E99"/>
    <w:rsid w:val="00891E09"/>
    <w:rsid w:val="008B3472"/>
    <w:rsid w:val="008B5B5B"/>
    <w:rsid w:val="008B6580"/>
    <w:rsid w:val="008F0A6E"/>
    <w:rsid w:val="008F36F3"/>
    <w:rsid w:val="00915C45"/>
    <w:rsid w:val="009542E9"/>
    <w:rsid w:val="0096057B"/>
    <w:rsid w:val="009A5BB8"/>
    <w:rsid w:val="009C2ABD"/>
    <w:rsid w:val="009D7951"/>
    <w:rsid w:val="009F30AA"/>
    <w:rsid w:val="009F6ADD"/>
    <w:rsid w:val="00A07982"/>
    <w:rsid w:val="00A1303C"/>
    <w:rsid w:val="00A46533"/>
    <w:rsid w:val="00A57194"/>
    <w:rsid w:val="00AB2EC2"/>
    <w:rsid w:val="00AE56E1"/>
    <w:rsid w:val="00B120B3"/>
    <w:rsid w:val="00B36095"/>
    <w:rsid w:val="00B360E9"/>
    <w:rsid w:val="00B6642F"/>
    <w:rsid w:val="00BA3AAC"/>
    <w:rsid w:val="00BA520C"/>
    <w:rsid w:val="00BB1A84"/>
    <w:rsid w:val="00BC0E56"/>
    <w:rsid w:val="00BD6788"/>
    <w:rsid w:val="00C061AC"/>
    <w:rsid w:val="00C07E3E"/>
    <w:rsid w:val="00C272AC"/>
    <w:rsid w:val="00C40FE9"/>
    <w:rsid w:val="00C671BA"/>
    <w:rsid w:val="00CA08A8"/>
    <w:rsid w:val="00CD298C"/>
    <w:rsid w:val="00CE35A2"/>
    <w:rsid w:val="00D23CE1"/>
    <w:rsid w:val="00D30C22"/>
    <w:rsid w:val="00D73DDC"/>
    <w:rsid w:val="00D921CB"/>
    <w:rsid w:val="00D96B7D"/>
    <w:rsid w:val="00DC6962"/>
    <w:rsid w:val="00DD205B"/>
    <w:rsid w:val="00DF674B"/>
    <w:rsid w:val="00DF7CD0"/>
    <w:rsid w:val="00E73D85"/>
    <w:rsid w:val="00E73E8E"/>
    <w:rsid w:val="00E96EF1"/>
    <w:rsid w:val="00ED11EC"/>
    <w:rsid w:val="00ED74B0"/>
    <w:rsid w:val="00EE75EB"/>
    <w:rsid w:val="00F44252"/>
    <w:rsid w:val="00F52085"/>
    <w:rsid w:val="00F574A6"/>
    <w:rsid w:val="00F974A0"/>
    <w:rsid w:val="00FB56F6"/>
    <w:rsid w:val="00FE1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190C"/>
  <w15:chartTrackingRefBased/>
  <w15:docId w15:val="{F2EFB5C9-B94A-414F-973E-F475A72F6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4D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4DE8"/>
    <w:rPr>
      <w:sz w:val="20"/>
      <w:szCs w:val="20"/>
    </w:rPr>
  </w:style>
  <w:style w:type="character" w:styleId="FootnoteReference">
    <w:name w:val="footnote reference"/>
    <w:basedOn w:val="DefaultParagraphFont"/>
    <w:uiPriority w:val="99"/>
    <w:semiHidden/>
    <w:unhideWhenUsed/>
    <w:rsid w:val="001E4DE8"/>
    <w:rPr>
      <w:vertAlign w:val="superscript"/>
    </w:rPr>
  </w:style>
  <w:style w:type="character" w:styleId="Hyperlink">
    <w:name w:val="Hyperlink"/>
    <w:basedOn w:val="DefaultParagraphFont"/>
    <w:uiPriority w:val="99"/>
    <w:unhideWhenUsed/>
    <w:rsid w:val="00777AFB"/>
    <w:rPr>
      <w:color w:val="0563C1" w:themeColor="hyperlink"/>
      <w:u w:val="single"/>
    </w:rPr>
  </w:style>
  <w:style w:type="character" w:styleId="UnresolvedMention">
    <w:name w:val="Unresolved Mention"/>
    <w:basedOn w:val="DefaultParagraphFont"/>
    <w:uiPriority w:val="99"/>
    <w:semiHidden/>
    <w:unhideWhenUsed/>
    <w:rsid w:val="00777AFB"/>
    <w:rPr>
      <w:color w:val="605E5C"/>
      <w:shd w:val="clear" w:color="auto" w:fill="E1DFDD"/>
    </w:rPr>
  </w:style>
  <w:style w:type="paragraph" w:styleId="Header">
    <w:name w:val="header"/>
    <w:basedOn w:val="Normal"/>
    <w:link w:val="HeaderChar"/>
    <w:uiPriority w:val="99"/>
    <w:unhideWhenUsed/>
    <w:rsid w:val="00ED7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4B0"/>
  </w:style>
  <w:style w:type="paragraph" w:styleId="Footer">
    <w:name w:val="footer"/>
    <w:basedOn w:val="Normal"/>
    <w:link w:val="FooterChar"/>
    <w:uiPriority w:val="99"/>
    <w:unhideWhenUsed/>
    <w:rsid w:val="00ED7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ritannica.com" TargetMode="External"/><Relationship Id="rId12" Type="http://schemas.openxmlformats.org/officeDocument/2006/relationships/hyperlink" Target="https://www.parliament.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rishcentra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qub.ac.uk" TargetMode="External"/><Relationship Id="rId4" Type="http://schemas.openxmlformats.org/officeDocument/2006/relationships/webSettings" Target="webSettings.xml"/><Relationship Id="rId9" Type="http://schemas.openxmlformats.org/officeDocument/2006/relationships/hyperlink" Target="https://www.encyclopedia.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parliament.uk" TargetMode="External"/><Relationship Id="rId1" Type="http://schemas.openxmlformats.org/officeDocument/2006/relationships/hyperlink" Target="https://irishcentr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52CE7-A218-40A6-8D76-74435747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54</cp:revision>
  <dcterms:created xsi:type="dcterms:W3CDTF">2022-03-16T19:50:00Z</dcterms:created>
  <dcterms:modified xsi:type="dcterms:W3CDTF">2022-03-31T14:56:00Z</dcterms:modified>
</cp:coreProperties>
</file>