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1D0DB39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954A1">
              <w:rPr>
                <w:rFonts w:ascii="Times New Roman" w:hAnsi="Times New Roman" w:cs="Times New Roman"/>
                <w:b/>
                <w:color w:val="auto"/>
                <w:sz w:val="48"/>
              </w:rPr>
              <w:t xml:space="preserve">Ffion Eleri Morgan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5A57B0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w:t>
            </w:r>
            <w:proofErr w:type="gramStart"/>
            <w:r>
              <w:rPr>
                <w:rFonts w:ascii="Times New Roman" w:hAnsi="Times New Roman" w:cs="Times New Roman"/>
                <w:b/>
                <w:color w:val="auto"/>
                <w:sz w:val="48"/>
              </w:rPr>
              <w:t>address:</w:t>
            </w:r>
            <w:r w:rsidR="00D954A1">
              <w:rPr>
                <w:rFonts w:ascii="Times New Roman" w:hAnsi="Times New Roman" w:cs="Times New Roman"/>
                <w:b/>
                <w:color w:val="auto"/>
                <w:sz w:val="48"/>
              </w:rPr>
              <w:t>E.Morgan@npt.gov.uk</w:t>
            </w:r>
            <w:proofErr w:type="gramEnd"/>
            <w:r w:rsidR="00D954A1">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44FF2550" w:rsidR="0085230E" w:rsidRPr="005D3F07" w:rsidRDefault="00D954A1" w:rsidP="005D3F07">
            <w:pPr>
              <w:overflowPunct/>
              <w:autoSpaceDE/>
              <w:autoSpaceDN/>
              <w:adjustRightInd/>
              <w:ind w:right="-957"/>
              <w:textAlignment w:val="auto"/>
              <w:rPr>
                <w:rFonts w:ascii="Times New Roman" w:hAnsi="Times New Roman" w:cs="Times New Roman"/>
                <w:b/>
                <w:color w:val="auto"/>
                <w:sz w:val="48"/>
              </w:rPr>
            </w:pPr>
            <w:r w:rsidRPr="006500CF">
              <w:rPr>
                <w:rFonts w:ascii="Times New Roman" w:hAnsi="Times New Roman" w:cs="Times New Roman"/>
                <w:b/>
                <w:bCs/>
                <w:sz w:val="48"/>
              </w:rPr>
              <w:t>1301642</w:t>
            </w: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27C921D1" w14:textId="77777777" w:rsidR="00D954A1" w:rsidRPr="00840F86" w:rsidRDefault="00D954A1" w:rsidP="00D954A1">
            <w:r>
              <w:t>As a children's social worker, adult safeguarding is not my primary area of practice; however, understanding the legislative, policy and procedural framework underpinning it is essential for effective multi-agency working and protecting adults at risk of abuse or neglect. Adult safeguarding in Wales seeks to promote wellbeing, protect individuals from harm and uphold their rights whilst supporting independence, choice and control.</w:t>
            </w:r>
          </w:p>
          <w:p w14:paraId="6A2320AC" w14:textId="77777777" w:rsidR="00D954A1" w:rsidRDefault="00D954A1" w:rsidP="00D954A1">
            <w:r>
              <w:t>The primary legislation governing adult safeguarding in Wales is the Social Services and Well-being (Wales) Act 2014 (Part 7), which defines an adult at risk as someone experiencing, or at risk of, abuse or neglect whose care and support needs prevent them protecting themselves (Welsh Government, 2014). Local authorities must make enquiries where an adult is suspected to be at risk and determine whether safeguarding action is needed. The Act also introduced Adult Protection and Support Orders (APSOs), enabling authorised officers to access adults being prevented from obtaining support (Welsh Government, 2014).</w:t>
            </w:r>
          </w:p>
          <w:p w14:paraId="434F0989" w14:textId="77777777" w:rsidR="00D954A1" w:rsidRPr="00840F86" w:rsidRDefault="00D954A1" w:rsidP="00D954A1"/>
          <w:p w14:paraId="60A946D7" w14:textId="77777777" w:rsidR="00D954A1" w:rsidRDefault="00D954A1" w:rsidP="00D954A1">
            <w:r>
              <w:t>The Mental Capacity Act 2005 is central to safeguarding practice, providing the legal framework for decision-making where adults may lack capacity, underpinned by the presumption of capacity and supporting individuals to decide for themselves wherever possible (Department for Constitutional Affairs, 2007). Where capacity is lacking, decisions must be made in the person's best interests and the least restrictive manner, particularly for adults with learning disabilities or mental health difficulties.</w:t>
            </w:r>
          </w:p>
          <w:p w14:paraId="0E52A71D" w14:textId="77777777" w:rsidR="00D954A1" w:rsidRPr="00840F86" w:rsidRDefault="00D954A1" w:rsidP="00D954A1"/>
          <w:p w14:paraId="590F9692" w14:textId="77777777" w:rsidR="00D954A1" w:rsidRDefault="00D954A1" w:rsidP="00D954A1">
            <w:r>
              <w:t>The Human Rights Act 1998 and Equality Act 2010 further underpin safeguarding practice, requiring practitioners to balance protecting individuals from harm with respecting their rights to autonomy, privacy and family life (</w:t>
            </w:r>
            <w:proofErr w:type="spellStart"/>
            <w:r>
              <w:t>Brayne</w:t>
            </w:r>
            <w:proofErr w:type="spellEnd"/>
            <w:r>
              <w:t xml:space="preserve">, Carr and </w:t>
            </w:r>
            <w:proofErr w:type="spellStart"/>
            <w:r>
              <w:t>Goosey</w:t>
            </w:r>
            <w:proofErr w:type="spellEnd"/>
            <w:r>
              <w:t>, 2021). Interventions should be lawful, proportionate and the least restrictive option available, whilst anti-discriminatory practice requires social workers to recognise and challenge barriers preventing individuals from accessing support, ensuring equitable outcomes for all adults at risk (Thompson, 2021).</w:t>
            </w:r>
          </w:p>
          <w:p w14:paraId="57252984" w14:textId="77777777" w:rsidR="00D954A1" w:rsidRPr="00840F86" w:rsidRDefault="00D954A1" w:rsidP="00D954A1"/>
          <w:p w14:paraId="46105188" w14:textId="77777777" w:rsidR="00D954A1" w:rsidRDefault="00D954A1" w:rsidP="00D954A1">
            <w:r>
              <w:t>National guidance also informs practice. Working Together to Safeguard People (Welsh Government, 2016) outlines agencies' responsibilities in identifying and responding to concerns regarding adults at risk, complemented by the Wales Safeguarding Procedures (2019), providing practical guidance on information sharing, risk assessment and multi-agency decision-making across Wales.</w:t>
            </w:r>
          </w:p>
          <w:p w14:paraId="690B6863" w14:textId="77777777" w:rsidR="00D954A1" w:rsidRPr="00840F86" w:rsidRDefault="00D954A1" w:rsidP="00D954A1"/>
          <w:p w14:paraId="7B1496DC" w14:textId="77777777" w:rsidR="00D954A1" w:rsidRDefault="00D954A1" w:rsidP="00D954A1">
            <w:r>
              <w:t>At a local level, safeguarding arrangements are coordinated through Safeguarding Adults Boards (SABs), established under the Social Services and Well-being (Wales) Act 2014, bringing together local authorities, health, police and partner agencies to promote collaboration, undertake Safeguarding Practice Reviews and monitor service effectiveness (Wales Safeguarding Procedures, 2019).</w:t>
            </w:r>
          </w:p>
          <w:p w14:paraId="4917F535" w14:textId="77777777" w:rsidR="00D954A1" w:rsidRPr="00840F86" w:rsidRDefault="00D954A1" w:rsidP="00D954A1"/>
          <w:p w14:paraId="5FEC6890" w14:textId="77777777" w:rsidR="00D954A1" w:rsidRDefault="00D954A1" w:rsidP="00D954A1">
            <w:r>
              <w:lastRenderedPageBreak/>
              <w:t>Organisationally, agencies maintain safeguarding policies on reporting, information sharing, whistleblowing, record keeping and mandatory training, supporting practitioners in meeting their responsibilities under the Social Care Wales Code of Professional Practice, which requires safeguarding individuals from harm, promoting wellbeing and maintaining professional competence (Social Care Wales, 2022).</w:t>
            </w:r>
          </w:p>
          <w:p w14:paraId="292B85EB" w14:textId="77777777" w:rsidR="00D954A1" w:rsidRPr="00840F86" w:rsidRDefault="00D954A1" w:rsidP="00D954A1"/>
          <w:p w14:paraId="67FB3482" w14:textId="77777777" w:rsidR="00D954A1" w:rsidRDefault="00D954A1" w:rsidP="00D954A1">
            <w:r>
              <w:t xml:space="preserve">Overall, adult safeguarding in Wales rests on a legislative and policy framework balancing protection, empowerment and human rights: the Social Services and Well-being (Wales) Act 2014, Mental Capacity Act 2005, Human Rights Act 1998 and Equality Act 2010, alongside national guidance, Safeguarding Adults Boards and organisational policies, ensure adults at risk are protected whilst maintaining their dignity, independence and involvement in decisions affecting their lives. </w:t>
            </w:r>
          </w:p>
          <w:p w14:paraId="0B7432DC" w14:textId="749735E3" w:rsidR="00D954A1" w:rsidRPr="00B54F1A" w:rsidRDefault="00D954A1" w:rsidP="00D954A1">
            <w:r>
              <w:rPr>
                <w:color w:val="FF0000"/>
              </w:rPr>
              <w:t>(499)</w:t>
            </w: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6A37011F" w14:textId="77777777" w:rsidR="00D954A1" w:rsidRDefault="00D954A1" w:rsidP="00D954A1">
            <w:r>
              <w:t>Reflecting on the differences between safeguarding in adults' and children's services has deepened my understanding of how social workers must adapt practice to balance protection, rights and empowerment. Whilst principles such as preventing harm, promoting wellbeing and working collaboratively are common to both, concerns are assessed, managed and responded to very differently.</w:t>
            </w:r>
          </w:p>
          <w:p w14:paraId="420CC84D" w14:textId="77777777" w:rsidR="00D954A1" w:rsidRDefault="00D954A1" w:rsidP="00D954A1"/>
          <w:p w14:paraId="5B32F25A" w14:textId="77777777" w:rsidR="00D954A1" w:rsidRDefault="00D954A1" w:rsidP="00D954A1">
            <w:r>
              <w:t>One of the most significant differences is the emphasis on choice, autonomy and consent within adult safeguarding. Adults are presumed to have capacity to make their own decisions unless assessed otherwise under the Mental Capacity Act 2005 (Department for Constitutional Affairs, 2007), and adults with capacity retain the right to make decisions professionals may perceive as unwise, including refusing support. The Social Services and Well-being (Wales) Act 2014 promotes a strengths-based, person-centred approach prioritising voice, control and participation (Welsh Government, 2014). In contrast, children's safeguarding is underpinned by the principle that the child's welfare is paramount, and practitioners may need to intervene without parental consent where a child is suffering, or likely to suffer, significant harm. Reflecting on my experience, I recognise that safeguarding decisions in children's services are often more interventionist due to children's dependence on adults for care and protection.</w:t>
            </w:r>
          </w:p>
          <w:p w14:paraId="129C5C92" w14:textId="77777777" w:rsidR="00D954A1" w:rsidRDefault="00D954A1" w:rsidP="00D954A1"/>
          <w:p w14:paraId="4C885CB5" w14:textId="77777777" w:rsidR="00D954A1" w:rsidRDefault="00D954A1" w:rsidP="00D954A1">
            <w:r>
              <w:t>A further difference concerns the threshold for intervention. In children's services, statutory agencies have a clear duty to act when safeguarding concerns arise, regardless of parental willingness to engage, whereas adult safeguarding requires practitioners to balance risk with an individual's right to self-determination. This can create ethical dilemmas when an adult with capacity chooses not to engage despite ongoing concerns regarding abuse or neglect, highlighting the complexity of adult safeguarding and the importance of respecting individual rights while promoting safety.</w:t>
            </w:r>
          </w:p>
          <w:p w14:paraId="4872A3F9" w14:textId="77777777" w:rsidR="00D954A1" w:rsidRDefault="00D954A1" w:rsidP="00D954A1"/>
          <w:p w14:paraId="265968D1" w14:textId="77777777" w:rsidR="00D954A1" w:rsidRDefault="00D954A1" w:rsidP="00D954A1">
            <w:r>
              <w:t>Risk assessment also differs significantly. Children's assessments focus on parenting capacity, developmental needs, family functioning and environmental factors affecting welfare (Welsh Government, 2014), whereas adult safeguarding assessments consider whether a person's care and support needs reduce their ability to protect themselves, placing greater emphasis on the outcomes the adult wishes to achieve, reflecting the principle of empowerment.</w:t>
            </w:r>
          </w:p>
          <w:p w14:paraId="0D7F4DF6" w14:textId="77777777" w:rsidR="00D954A1" w:rsidRDefault="00D954A1" w:rsidP="00D954A1"/>
          <w:p w14:paraId="4F16E454" w14:textId="77777777" w:rsidR="00D954A1" w:rsidRDefault="00D954A1" w:rsidP="00D954A1">
            <w:r>
              <w:t>Despite these differences, both adult and children's safeguarding rely on effective multi-agency working, information sharing, professional curiosity and timely intervention, underpinned by human rights principles requiring practitioners to safeguard individuals while promoting dignity and wellbeing (Great Britain, 1998).</w:t>
            </w:r>
          </w:p>
          <w:p w14:paraId="438BF787" w14:textId="67DE88F1" w:rsidR="00FC0334" w:rsidRDefault="00D954A1" w:rsidP="00D954A1">
            <w:r>
              <w:lastRenderedPageBreak/>
              <w:t xml:space="preserve">Overall, this reflection has reinforced the importance of balancing protection with empowerment, strengthening my understanding that effective safeguarding must be proportionate, rights-based and tailored to the individual's circumstances, needs and capacity. </w:t>
            </w:r>
            <w:r>
              <w:rPr>
                <w:color w:val="FF0000"/>
              </w:rPr>
              <w:t>(400)</w:t>
            </w:r>
          </w:p>
          <w:p w14:paraId="142E48C8" w14:textId="77777777" w:rsidR="00D954A1" w:rsidRPr="00D954A1" w:rsidRDefault="00D954A1" w:rsidP="00D954A1">
            <w:pPr>
              <w:rPr>
                <w:b/>
                <w:bCs/>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EC4B6E" w14:textId="77777777" w:rsidR="00396DCA" w:rsidRDefault="00396DCA">
      <w:r>
        <w:separator/>
      </w:r>
    </w:p>
  </w:endnote>
  <w:endnote w:type="continuationSeparator" w:id="0">
    <w:p w14:paraId="206DF618" w14:textId="77777777" w:rsidR="00396DCA" w:rsidRDefault="00396D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7B7220" w14:textId="77777777" w:rsidR="00396DCA" w:rsidRDefault="00396DCA">
      <w:r>
        <w:separator/>
      </w:r>
    </w:p>
  </w:footnote>
  <w:footnote w:type="continuationSeparator" w:id="0">
    <w:p w14:paraId="17EB679D" w14:textId="77777777" w:rsidR="00396DCA" w:rsidRDefault="00396DC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97424"/>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266D"/>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6DCA"/>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93E"/>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4003"/>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6432"/>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5F1"/>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954A1"/>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1EA1"/>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1213</Words>
  <Characters>6915</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Eleri Morgan</cp:lastModifiedBy>
  <cp:revision>2</cp:revision>
  <cp:lastPrinted>2020-02-11T19:20:00Z</cp:lastPrinted>
  <dcterms:created xsi:type="dcterms:W3CDTF">2026-09-23T13:39:00Z</dcterms:created>
  <dcterms:modified xsi:type="dcterms:W3CDTF">2026-09-23T13:39:00Z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24bf02cc-e49a-4cc8-8eef-1edd236a7a72</vt:lpwstr>
  </property>
</Properties>
</file>