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11AAE7B" w14:textId="3761A80E" w:rsidR="00D604A0" w:rsidRDefault="00D604A0" w:rsidP="00160F0A">
      <w:pPr>
        <w:pStyle w:val="paragraph"/>
        <w:spacing w:before="0" w:beforeAutospacing="0" w:after="0" w:afterAutospacing="0"/>
        <w:textAlignment w:val="baseline"/>
        <w:rPr>
          <w:rStyle w:val="normaltextrun"/>
          <w:rFonts w:ascii="Arial" w:eastAsiaTheme="majorEastAsia" w:hAnsi="Arial" w:cs="Arial"/>
          <w:b/>
          <w:bCs/>
          <w:sz w:val="32"/>
          <w:szCs w:val="32"/>
        </w:rPr>
      </w:pPr>
    </w:p>
    <w:p w14:paraId="7441CC4F" w14:textId="3878E7F8" w:rsidR="00D604A0" w:rsidRDefault="003B7D53" w:rsidP="00160F0A">
      <w:pPr>
        <w:pStyle w:val="paragraph"/>
        <w:spacing w:before="0" w:beforeAutospacing="0" w:after="0" w:afterAutospacing="0"/>
        <w:textAlignment w:val="baseline"/>
        <w:rPr>
          <w:rStyle w:val="normaltextrun"/>
          <w:rFonts w:ascii="Arial" w:eastAsiaTheme="majorEastAsia" w:hAnsi="Arial" w:cs="Arial"/>
          <w:b/>
          <w:bCs/>
          <w:sz w:val="32"/>
          <w:szCs w:val="32"/>
        </w:rPr>
      </w:pPr>
      <w:r>
        <w:rPr>
          <w:noProof/>
        </w:rPr>
        <w:drawing>
          <wp:anchor distT="0" distB="0" distL="114300" distR="114300" simplePos="0" relativeHeight="251659264" behindDoc="1" locked="0" layoutInCell="1" allowOverlap="1" wp14:anchorId="4BB6620E" wp14:editId="1C760390">
            <wp:simplePos x="0" y="0"/>
            <wp:positionH relativeFrom="margin">
              <wp:posOffset>256540</wp:posOffset>
            </wp:positionH>
            <wp:positionV relativeFrom="paragraph">
              <wp:posOffset>82550</wp:posOffset>
            </wp:positionV>
            <wp:extent cx="5264150" cy="1683385"/>
            <wp:effectExtent l="0" t="0" r="0" b="0"/>
            <wp:wrapTight wrapText="bothSides">
              <wp:wrapPolygon edited="0">
                <wp:start x="1042" y="3911"/>
                <wp:lineTo x="1042" y="9452"/>
                <wp:lineTo x="1146" y="12059"/>
                <wp:lineTo x="1615" y="14666"/>
                <wp:lineTo x="2553" y="17273"/>
                <wp:lineTo x="2606" y="17599"/>
                <wp:lineTo x="7243" y="17599"/>
                <wp:lineTo x="12715" y="17273"/>
                <wp:lineTo x="13080" y="17111"/>
                <wp:lineTo x="12976" y="14666"/>
                <wp:lineTo x="14487" y="14666"/>
                <wp:lineTo x="17197" y="13037"/>
                <wp:lineTo x="17249" y="10103"/>
                <wp:lineTo x="16832" y="9940"/>
                <wp:lineTo x="18447" y="9289"/>
                <wp:lineTo x="21418" y="8474"/>
                <wp:lineTo x="21366" y="5866"/>
                <wp:lineTo x="20949" y="5215"/>
                <wp:lineTo x="19281" y="3911"/>
                <wp:lineTo x="1042" y="3911"/>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5264150" cy="16833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23899ED" w14:textId="77777777" w:rsidR="00D604A0" w:rsidRDefault="00D604A0" w:rsidP="00160F0A">
      <w:pPr>
        <w:pStyle w:val="paragraph"/>
        <w:spacing w:before="0" w:beforeAutospacing="0" w:after="0" w:afterAutospacing="0"/>
        <w:textAlignment w:val="baseline"/>
        <w:rPr>
          <w:rStyle w:val="normaltextrun"/>
          <w:rFonts w:ascii="Arial" w:eastAsiaTheme="majorEastAsia" w:hAnsi="Arial" w:cs="Arial"/>
          <w:b/>
          <w:bCs/>
          <w:sz w:val="32"/>
          <w:szCs w:val="32"/>
        </w:rPr>
      </w:pPr>
    </w:p>
    <w:p w14:paraId="046C3B9A" w14:textId="77777777" w:rsidR="00D604A0" w:rsidRDefault="00D604A0" w:rsidP="00160F0A">
      <w:pPr>
        <w:pStyle w:val="paragraph"/>
        <w:spacing w:before="0" w:beforeAutospacing="0" w:after="0" w:afterAutospacing="0"/>
        <w:textAlignment w:val="baseline"/>
        <w:rPr>
          <w:rStyle w:val="normaltextrun"/>
          <w:rFonts w:ascii="Arial" w:eastAsiaTheme="majorEastAsia" w:hAnsi="Arial" w:cs="Arial"/>
          <w:b/>
          <w:bCs/>
          <w:sz w:val="32"/>
          <w:szCs w:val="32"/>
        </w:rPr>
      </w:pPr>
    </w:p>
    <w:p w14:paraId="2B2FCA6B" w14:textId="77777777" w:rsidR="00D604A0" w:rsidRDefault="00D604A0" w:rsidP="00160F0A">
      <w:pPr>
        <w:pStyle w:val="paragraph"/>
        <w:spacing w:before="0" w:beforeAutospacing="0" w:after="0" w:afterAutospacing="0"/>
        <w:textAlignment w:val="baseline"/>
        <w:rPr>
          <w:rStyle w:val="normaltextrun"/>
          <w:rFonts w:ascii="Arial" w:eastAsiaTheme="majorEastAsia" w:hAnsi="Arial" w:cs="Arial"/>
          <w:b/>
          <w:bCs/>
          <w:sz w:val="32"/>
          <w:szCs w:val="32"/>
        </w:rPr>
      </w:pPr>
    </w:p>
    <w:p w14:paraId="2241C9AA" w14:textId="77777777" w:rsidR="00D604A0" w:rsidRDefault="00D604A0" w:rsidP="00160F0A">
      <w:pPr>
        <w:pStyle w:val="paragraph"/>
        <w:spacing w:before="0" w:beforeAutospacing="0" w:after="0" w:afterAutospacing="0"/>
        <w:textAlignment w:val="baseline"/>
        <w:rPr>
          <w:rStyle w:val="normaltextrun"/>
          <w:rFonts w:ascii="Arial" w:eastAsiaTheme="majorEastAsia" w:hAnsi="Arial" w:cs="Arial"/>
          <w:b/>
          <w:bCs/>
          <w:sz w:val="32"/>
          <w:szCs w:val="32"/>
        </w:rPr>
      </w:pPr>
    </w:p>
    <w:p w14:paraId="75EA786D" w14:textId="77777777" w:rsidR="00D604A0" w:rsidRDefault="00D604A0" w:rsidP="00160F0A">
      <w:pPr>
        <w:pStyle w:val="paragraph"/>
        <w:spacing w:before="0" w:beforeAutospacing="0" w:after="0" w:afterAutospacing="0"/>
        <w:textAlignment w:val="baseline"/>
        <w:rPr>
          <w:rStyle w:val="normaltextrun"/>
          <w:rFonts w:ascii="Arial" w:eastAsiaTheme="majorEastAsia" w:hAnsi="Arial" w:cs="Arial"/>
          <w:b/>
          <w:bCs/>
          <w:sz w:val="32"/>
          <w:szCs w:val="32"/>
        </w:rPr>
      </w:pPr>
    </w:p>
    <w:p w14:paraId="04E87CD4" w14:textId="77777777" w:rsidR="00D604A0" w:rsidRDefault="00D604A0" w:rsidP="00160F0A">
      <w:pPr>
        <w:pStyle w:val="paragraph"/>
        <w:spacing w:before="0" w:beforeAutospacing="0" w:after="0" w:afterAutospacing="0"/>
        <w:textAlignment w:val="baseline"/>
        <w:rPr>
          <w:rStyle w:val="normaltextrun"/>
          <w:rFonts w:ascii="Arial" w:eastAsiaTheme="majorEastAsia" w:hAnsi="Arial" w:cs="Arial"/>
          <w:b/>
          <w:bCs/>
          <w:sz w:val="32"/>
          <w:szCs w:val="32"/>
        </w:rPr>
      </w:pPr>
    </w:p>
    <w:p w14:paraId="18B36A5A" w14:textId="77777777" w:rsidR="00D604A0" w:rsidRDefault="00D604A0" w:rsidP="00160F0A">
      <w:pPr>
        <w:pStyle w:val="paragraph"/>
        <w:spacing w:before="0" w:beforeAutospacing="0" w:after="0" w:afterAutospacing="0"/>
        <w:textAlignment w:val="baseline"/>
        <w:rPr>
          <w:rStyle w:val="normaltextrun"/>
          <w:rFonts w:ascii="Arial" w:eastAsiaTheme="majorEastAsia" w:hAnsi="Arial" w:cs="Arial"/>
          <w:b/>
          <w:bCs/>
          <w:sz w:val="32"/>
          <w:szCs w:val="32"/>
        </w:rPr>
      </w:pPr>
    </w:p>
    <w:p w14:paraId="560BD71D" w14:textId="77777777" w:rsidR="00520A1D" w:rsidRDefault="00520A1D" w:rsidP="00520A1D">
      <w:pPr>
        <w:ind w:right="1229"/>
        <w:jc w:val="center"/>
        <w:rPr>
          <w:rFonts w:cs="Arial"/>
          <w:sz w:val="60"/>
          <w:szCs w:val="60"/>
        </w:rPr>
      </w:pPr>
    </w:p>
    <w:p w14:paraId="577D2D5F" w14:textId="715283E3" w:rsidR="00536A32" w:rsidRPr="00063B4C" w:rsidRDefault="00A32D94" w:rsidP="00520A1D">
      <w:pPr>
        <w:ind w:right="1229"/>
        <w:jc w:val="center"/>
        <w:rPr>
          <w:rFonts w:cs="Arial"/>
          <w:sz w:val="60"/>
          <w:szCs w:val="60"/>
        </w:rPr>
      </w:pPr>
      <w:r>
        <w:rPr>
          <w:rFonts w:cs="Arial"/>
          <w:sz w:val="60"/>
          <w:szCs w:val="60"/>
        </w:rPr>
        <w:t xml:space="preserve"> </w:t>
      </w:r>
      <w:r w:rsidR="00536A32" w:rsidRPr="00063B4C">
        <w:rPr>
          <w:rFonts w:cs="Arial"/>
          <w:sz w:val="60"/>
          <w:szCs w:val="60"/>
        </w:rPr>
        <w:t>Institute of Inner-City</w:t>
      </w:r>
      <w:r w:rsidR="00536A32">
        <w:rPr>
          <w:rFonts w:cs="Arial"/>
          <w:sz w:val="60"/>
          <w:szCs w:val="60"/>
        </w:rPr>
        <w:t xml:space="preserve"> </w:t>
      </w:r>
      <w:r w:rsidR="00536A32" w:rsidRPr="00063B4C">
        <w:rPr>
          <w:rFonts w:cs="Arial"/>
          <w:sz w:val="60"/>
          <w:szCs w:val="60"/>
        </w:rPr>
        <w:t>Learning Birmingham Campus</w:t>
      </w:r>
    </w:p>
    <w:p w14:paraId="78427D82" w14:textId="77777777" w:rsidR="00536A32" w:rsidRPr="00063B4C" w:rsidRDefault="00536A32" w:rsidP="00520A1D">
      <w:pPr>
        <w:pStyle w:val="BodyText"/>
        <w:jc w:val="center"/>
        <w:rPr>
          <w:rFonts w:ascii="Aptos" w:hAnsi="Aptos" w:cs="Arial"/>
          <w:sz w:val="20"/>
        </w:rPr>
      </w:pPr>
    </w:p>
    <w:p w14:paraId="06B96903" w14:textId="77777777" w:rsidR="005B03F7" w:rsidRDefault="00536A32" w:rsidP="00520A1D">
      <w:pPr>
        <w:spacing w:line="813" w:lineRule="exact"/>
        <w:jc w:val="center"/>
        <w:rPr>
          <w:rFonts w:cs="Arial"/>
          <w:sz w:val="60"/>
          <w:szCs w:val="60"/>
        </w:rPr>
      </w:pPr>
      <w:r w:rsidRPr="00063B4C">
        <w:rPr>
          <w:rFonts w:cs="Arial"/>
          <w:sz w:val="60"/>
          <w:szCs w:val="60"/>
        </w:rPr>
        <w:t>BSc (Hons) Health and Social Care</w:t>
      </w:r>
    </w:p>
    <w:p w14:paraId="11FE56BC" w14:textId="77777777" w:rsidR="005B03F7" w:rsidRPr="00DB60C9" w:rsidRDefault="005B03F7" w:rsidP="00197143">
      <w:pPr>
        <w:pStyle w:val="Heading1"/>
        <w:jc w:val="center"/>
        <w:rPr>
          <w:rFonts w:ascii="Arial" w:hAnsi="Arial" w:cs="Arial"/>
          <w:b/>
          <w:bCs/>
          <w:color w:val="000000" w:themeColor="text1"/>
          <w:sz w:val="32"/>
          <w:szCs w:val="32"/>
        </w:rPr>
      </w:pPr>
      <w:r w:rsidRPr="00DB60C9">
        <w:rPr>
          <w:rFonts w:ascii="Arial" w:hAnsi="Arial" w:cs="Arial"/>
          <w:b/>
          <w:bCs/>
          <w:color w:val="000000" w:themeColor="text1"/>
          <w:sz w:val="32"/>
          <w:szCs w:val="32"/>
        </w:rPr>
        <w:t>Disclaimer</w:t>
      </w:r>
    </w:p>
    <w:p w14:paraId="65521813" w14:textId="77777777" w:rsidR="005B03F7" w:rsidRPr="00DB60C9" w:rsidRDefault="005B03F7" w:rsidP="005B03F7">
      <w:pPr>
        <w:spacing w:before="62"/>
        <w:ind w:right="96"/>
        <w:rPr>
          <w:rFonts w:ascii="Arial" w:hAnsi="Arial" w:cs="Arial"/>
        </w:rPr>
      </w:pPr>
      <w:r w:rsidRPr="00DB60C9">
        <w:rPr>
          <w:rFonts w:ascii="Arial" w:hAnsi="Arial" w:cs="Arial"/>
        </w:rPr>
        <w:t>This document was correct at the time of publication. The Module Coordinator reserves the right to modify any statement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15FD3632" w14:textId="77777777" w:rsidR="00DA382F" w:rsidRDefault="00DA382F" w:rsidP="00A32D94">
      <w:pPr>
        <w:spacing w:line="813" w:lineRule="exact"/>
        <w:jc w:val="center"/>
        <w:rPr>
          <w:rFonts w:cs="Arial"/>
          <w:sz w:val="60"/>
          <w:szCs w:val="60"/>
        </w:rPr>
      </w:pPr>
    </w:p>
    <w:p w14:paraId="48C3F634" w14:textId="27FFA8D8" w:rsidR="00D63232" w:rsidRPr="00A32D94" w:rsidRDefault="00D63232" w:rsidP="00DA382F">
      <w:pPr>
        <w:spacing w:line="813" w:lineRule="exact"/>
        <w:jc w:val="left"/>
        <w:rPr>
          <w:rFonts w:cs="Arial"/>
          <w:sz w:val="60"/>
          <w:szCs w:val="60"/>
        </w:rPr>
      </w:pPr>
      <w:r w:rsidRPr="0073280B">
        <w:rPr>
          <w:rFonts w:eastAsia="Times New Roman" w:cs="Arial"/>
          <w:b/>
          <w:sz w:val="28"/>
          <w:szCs w:val="28"/>
        </w:rPr>
        <w:lastRenderedPageBreak/>
        <w:t>DECLARATION</w:t>
      </w:r>
    </w:p>
    <w:p w14:paraId="20C8F7B8" w14:textId="77777777" w:rsidR="00D63232" w:rsidRPr="00D63232" w:rsidRDefault="00D63232" w:rsidP="00D63232">
      <w:pPr>
        <w:jc w:val="left"/>
        <w:rPr>
          <w:rFonts w:ascii="Arial" w:eastAsia="Times New Roman" w:hAnsi="Arial" w:cs="Arial"/>
        </w:rPr>
      </w:pPr>
      <w:r w:rsidRPr="00D63232">
        <w:rPr>
          <w:rFonts w:ascii="Arial" w:eastAsia="Times New Roman" w:hAnsi="Arial" w:cs="Arial"/>
        </w:rPr>
        <w:t>This work has not previously been accepted in substance for any degree and is not being concurrently submitted in candidature for any degree</w:t>
      </w:r>
    </w:p>
    <w:p w14:paraId="58D4049D" w14:textId="7BA835E4" w:rsidR="00D63232" w:rsidRPr="00D63232" w:rsidRDefault="00D63232" w:rsidP="00D63232">
      <w:pPr>
        <w:jc w:val="left"/>
        <w:rPr>
          <w:rFonts w:ascii="Arial" w:eastAsia="Times New Roman" w:hAnsi="Arial" w:cs="Arial"/>
        </w:rPr>
      </w:pPr>
      <w:r w:rsidRPr="00D63232">
        <w:rPr>
          <w:rFonts w:ascii="Arial" w:eastAsia="Times New Roman" w:hAnsi="Arial" w:cs="Arial"/>
        </w:rPr>
        <w:t>Signed</w:t>
      </w:r>
      <w:r w:rsidR="00C05379">
        <w:rPr>
          <w:rFonts w:ascii="Arial" w:eastAsia="Times New Roman" w:hAnsi="Arial" w:cs="Arial"/>
        </w:rPr>
        <w:t>-Safina Bibi</w:t>
      </w:r>
      <w:r w:rsidR="00C05379" w:rsidRPr="00D63232">
        <w:rPr>
          <w:rFonts w:ascii="Arial" w:eastAsia="Times New Roman" w:hAnsi="Arial" w:cs="Arial"/>
        </w:rPr>
        <w:t xml:space="preserve"> </w:t>
      </w:r>
      <w:r w:rsidRPr="00D63232">
        <w:rPr>
          <w:rFonts w:ascii="Arial" w:eastAsia="Times New Roman" w:hAnsi="Arial" w:cs="Arial"/>
        </w:rPr>
        <w:t>……………………………………………</w:t>
      </w:r>
    </w:p>
    <w:p w14:paraId="58C1F2C5" w14:textId="26439DA8" w:rsidR="00D63232" w:rsidRPr="00D63232" w:rsidRDefault="00D63232" w:rsidP="00D63232">
      <w:pPr>
        <w:jc w:val="left"/>
        <w:rPr>
          <w:rFonts w:ascii="Arial" w:eastAsia="Times New Roman" w:hAnsi="Arial" w:cs="Arial"/>
        </w:rPr>
      </w:pPr>
      <w:r w:rsidRPr="00D63232">
        <w:rPr>
          <w:rFonts w:ascii="Arial" w:eastAsia="Times New Roman" w:hAnsi="Arial" w:cs="Arial"/>
        </w:rPr>
        <w:t>Date</w:t>
      </w:r>
      <w:r w:rsidR="00C05379">
        <w:rPr>
          <w:rFonts w:ascii="Arial" w:eastAsia="Times New Roman" w:hAnsi="Arial" w:cs="Arial"/>
        </w:rPr>
        <w:t xml:space="preserve"> 25/07/26</w:t>
      </w:r>
      <w:r w:rsidRPr="00D63232">
        <w:rPr>
          <w:rFonts w:ascii="Arial" w:eastAsia="Times New Roman" w:hAnsi="Arial" w:cs="Arial"/>
        </w:rPr>
        <w:t>………………………………………………</w:t>
      </w:r>
    </w:p>
    <w:p w14:paraId="238B5373" w14:textId="77777777" w:rsidR="00D63232" w:rsidRPr="00D63232" w:rsidRDefault="00D63232" w:rsidP="00D63232">
      <w:pPr>
        <w:jc w:val="left"/>
        <w:rPr>
          <w:rFonts w:ascii="Arial" w:eastAsia="Times New Roman" w:hAnsi="Arial" w:cs="Arial"/>
          <w:bCs/>
          <w:kern w:val="32"/>
        </w:rPr>
      </w:pPr>
      <w:r w:rsidRPr="00D63232">
        <w:rPr>
          <w:rFonts w:ascii="Arial" w:eastAsia="Times New Roman" w:hAnsi="Arial" w:cs="Arial"/>
          <w:b/>
        </w:rPr>
        <w:t xml:space="preserve">STATEMENT 1 </w:t>
      </w:r>
    </w:p>
    <w:p w14:paraId="330D1B20" w14:textId="77777777" w:rsidR="00D63232" w:rsidRPr="00D63232" w:rsidRDefault="00D63232" w:rsidP="00D63232">
      <w:pPr>
        <w:jc w:val="left"/>
        <w:rPr>
          <w:rFonts w:ascii="Arial" w:eastAsia="Times New Roman" w:hAnsi="Arial" w:cs="Arial"/>
        </w:rPr>
      </w:pPr>
      <w:r w:rsidRPr="00D63232">
        <w:rPr>
          <w:rFonts w:ascii="Arial" w:eastAsia="Times New Roman" w:hAnsi="Arial" w:cs="Arial"/>
        </w:rPr>
        <w:t>This dissertation is being submitted in partial fulfilment of the requirements for the degree of BSc.</w:t>
      </w:r>
    </w:p>
    <w:p w14:paraId="18D664E2" w14:textId="6B416724" w:rsidR="00D63232" w:rsidRPr="00D63232" w:rsidRDefault="00D63232" w:rsidP="00D63232">
      <w:pPr>
        <w:jc w:val="left"/>
        <w:rPr>
          <w:rFonts w:ascii="Arial" w:eastAsia="Times New Roman" w:hAnsi="Arial" w:cs="Arial"/>
        </w:rPr>
      </w:pPr>
      <w:r w:rsidRPr="00D63232">
        <w:rPr>
          <w:rFonts w:ascii="Arial" w:eastAsia="Times New Roman" w:hAnsi="Arial" w:cs="Arial"/>
        </w:rPr>
        <w:t>Signed</w:t>
      </w:r>
      <w:r w:rsidR="0018111B">
        <w:rPr>
          <w:rFonts w:ascii="Arial" w:eastAsia="Times New Roman" w:hAnsi="Arial" w:cs="Arial"/>
        </w:rPr>
        <w:t>-</w:t>
      </w:r>
      <w:r>
        <w:rPr>
          <w:rFonts w:ascii="Arial" w:eastAsia="Times New Roman" w:hAnsi="Arial" w:cs="Arial"/>
        </w:rPr>
        <w:t>S</w:t>
      </w:r>
      <w:r w:rsidR="002A35C9">
        <w:rPr>
          <w:rFonts w:ascii="Arial" w:eastAsia="Times New Roman" w:hAnsi="Arial" w:cs="Arial"/>
        </w:rPr>
        <w:t>afina Bibi</w:t>
      </w:r>
      <w:r w:rsidRPr="00D63232">
        <w:rPr>
          <w:rFonts w:ascii="Arial" w:eastAsia="Times New Roman" w:hAnsi="Arial" w:cs="Arial"/>
        </w:rPr>
        <w:t xml:space="preserve">…………………………………………. </w:t>
      </w:r>
    </w:p>
    <w:p w14:paraId="73E8E5CD" w14:textId="7D12D1FF" w:rsidR="00D63232" w:rsidRPr="00D63232" w:rsidRDefault="00D63232" w:rsidP="00D63232">
      <w:pPr>
        <w:jc w:val="left"/>
        <w:rPr>
          <w:rFonts w:ascii="Arial" w:eastAsia="Times New Roman" w:hAnsi="Arial" w:cs="Arial"/>
        </w:rPr>
      </w:pPr>
      <w:r w:rsidRPr="00D63232">
        <w:rPr>
          <w:rFonts w:ascii="Arial" w:eastAsia="Times New Roman" w:hAnsi="Arial" w:cs="Arial"/>
        </w:rPr>
        <w:t>Date</w:t>
      </w:r>
      <w:r w:rsidR="0018111B">
        <w:rPr>
          <w:rFonts w:ascii="Arial" w:eastAsia="Times New Roman" w:hAnsi="Arial" w:cs="Arial"/>
        </w:rPr>
        <w:t xml:space="preserve"> 25/</w:t>
      </w:r>
      <w:r w:rsidR="00C05EA7">
        <w:rPr>
          <w:rFonts w:ascii="Arial" w:eastAsia="Times New Roman" w:hAnsi="Arial" w:cs="Arial"/>
        </w:rPr>
        <w:t>07/26</w:t>
      </w:r>
      <w:r w:rsidRPr="00D63232">
        <w:rPr>
          <w:rFonts w:ascii="Arial" w:eastAsia="Times New Roman" w:hAnsi="Arial" w:cs="Arial"/>
        </w:rPr>
        <w:t>………………………………………………</w:t>
      </w:r>
    </w:p>
    <w:p w14:paraId="48C4D00D" w14:textId="77777777" w:rsidR="00D63232" w:rsidRPr="00D63232" w:rsidRDefault="00D63232" w:rsidP="00D63232">
      <w:pPr>
        <w:jc w:val="left"/>
        <w:rPr>
          <w:rFonts w:ascii="Arial" w:eastAsia="Times New Roman" w:hAnsi="Arial" w:cs="Arial"/>
        </w:rPr>
      </w:pPr>
      <w:r w:rsidRPr="00D63232">
        <w:rPr>
          <w:rFonts w:ascii="Arial" w:eastAsia="Times New Roman" w:hAnsi="Arial" w:cs="Arial"/>
          <w:b/>
        </w:rPr>
        <w:t>STATEMENT 2</w:t>
      </w:r>
    </w:p>
    <w:p w14:paraId="416E4FD3" w14:textId="77777777" w:rsidR="00D63232" w:rsidRPr="00D63232" w:rsidRDefault="00D63232" w:rsidP="00D63232">
      <w:pPr>
        <w:jc w:val="left"/>
        <w:rPr>
          <w:rFonts w:ascii="Arial" w:eastAsia="Times New Roman" w:hAnsi="Arial" w:cs="Arial"/>
        </w:rPr>
      </w:pPr>
      <w:r w:rsidRPr="00D63232">
        <w:rPr>
          <w:rFonts w:ascii="Arial" w:eastAsia="Times New Roman" w:hAnsi="Arial" w:cs="Arial"/>
        </w:rPr>
        <w:t>This dissertation is the result of my own independent work/investigation, except where otherwise stated. Other sources are acknowledged by footnotes giving explicit references.  A bibliography is appended.</w:t>
      </w:r>
    </w:p>
    <w:p w14:paraId="3FF927F8" w14:textId="24699A21" w:rsidR="00D63232" w:rsidRPr="00C05EA7" w:rsidRDefault="00D63232" w:rsidP="00C05EA7">
      <w:pPr>
        <w:jc w:val="left"/>
        <w:rPr>
          <w:rFonts w:ascii="Arial" w:eastAsia="Times New Roman" w:hAnsi="Arial" w:cs="Arial"/>
        </w:rPr>
      </w:pPr>
      <w:r w:rsidRPr="00C05EA7">
        <w:rPr>
          <w:rFonts w:ascii="Arial" w:eastAsia="Times New Roman" w:hAnsi="Arial" w:cs="Arial"/>
        </w:rPr>
        <w:t>Signed</w:t>
      </w:r>
      <w:r w:rsidR="00C05EA7" w:rsidRPr="00C05EA7">
        <w:rPr>
          <w:rFonts w:ascii="Arial" w:eastAsia="Times New Roman" w:hAnsi="Arial" w:cs="Arial"/>
        </w:rPr>
        <w:t>-</w:t>
      </w:r>
      <w:r w:rsidR="000257C6">
        <w:rPr>
          <w:rFonts w:ascii="Arial" w:eastAsia="Times New Roman" w:hAnsi="Arial" w:cs="Arial"/>
        </w:rPr>
        <w:t xml:space="preserve"> </w:t>
      </w:r>
      <w:r w:rsidR="00C05EA7" w:rsidRPr="00C05EA7">
        <w:rPr>
          <w:rFonts w:ascii="Arial" w:eastAsia="Times New Roman" w:hAnsi="Arial" w:cs="Arial"/>
        </w:rPr>
        <w:t xml:space="preserve">Safina Bibi </w:t>
      </w:r>
      <w:r w:rsidRPr="00C05EA7">
        <w:rPr>
          <w:rFonts w:ascii="Arial" w:eastAsia="Times New Roman" w:hAnsi="Arial" w:cs="Arial"/>
        </w:rPr>
        <w:t>……………………………………………</w:t>
      </w:r>
    </w:p>
    <w:p w14:paraId="547F3886" w14:textId="4FB6B57D" w:rsidR="00D63232" w:rsidRPr="00D63232" w:rsidRDefault="00D63232" w:rsidP="00D63232">
      <w:pPr>
        <w:jc w:val="left"/>
        <w:rPr>
          <w:rFonts w:ascii="Arial" w:eastAsia="Times New Roman" w:hAnsi="Arial" w:cs="Arial"/>
        </w:rPr>
      </w:pPr>
      <w:r w:rsidRPr="00D63232">
        <w:rPr>
          <w:rFonts w:ascii="Arial" w:eastAsia="Times New Roman" w:hAnsi="Arial" w:cs="Arial"/>
        </w:rPr>
        <w:t>Date</w:t>
      </w:r>
      <w:r w:rsidR="00C05EA7">
        <w:rPr>
          <w:rFonts w:ascii="Arial" w:eastAsia="Times New Roman" w:hAnsi="Arial" w:cs="Arial"/>
        </w:rPr>
        <w:t xml:space="preserve"> 25/07/26</w:t>
      </w:r>
      <w:r w:rsidRPr="00D63232">
        <w:rPr>
          <w:rFonts w:ascii="Arial" w:eastAsia="Times New Roman" w:hAnsi="Arial" w:cs="Arial"/>
        </w:rPr>
        <w:t xml:space="preserve">……………………………………………… </w:t>
      </w:r>
    </w:p>
    <w:p w14:paraId="2FA847F2" w14:textId="77777777" w:rsidR="00D63232" w:rsidRPr="00D63232" w:rsidRDefault="00D63232" w:rsidP="00D63232">
      <w:pPr>
        <w:jc w:val="left"/>
        <w:rPr>
          <w:rFonts w:ascii="Arial" w:eastAsia="Times New Roman" w:hAnsi="Arial" w:cs="Arial"/>
        </w:rPr>
      </w:pPr>
      <w:r w:rsidRPr="00D63232">
        <w:rPr>
          <w:rFonts w:ascii="Arial" w:eastAsia="Times New Roman" w:hAnsi="Arial" w:cs="Arial"/>
          <w:b/>
        </w:rPr>
        <w:t>STATEMENT 3</w:t>
      </w:r>
    </w:p>
    <w:p w14:paraId="65DCCB87" w14:textId="77777777" w:rsidR="00D63232" w:rsidRPr="00D63232" w:rsidRDefault="00D63232" w:rsidP="00D63232">
      <w:pPr>
        <w:jc w:val="left"/>
        <w:rPr>
          <w:rFonts w:ascii="Arial" w:eastAsia="Times New Roman" w:hAnsi="Arial" w:cs="Arial"/>
        </w:rPr>
      </w:pPr>
      <w:r w:rsidRPr="00D63232">
        <w:rPr>
          <w:rFonts w:ascii="Arial" w:eastAsia="Times New Roman" w:hAnsi="Arial" w:cs="Arial"/>
        </w:rPr>
        <w:t>I hereby give consent for my dissertation, if accepted, to be available for photocopying and for interlibrary loan, and for the title and summary to be made available to outside organisations.</w:t>
      </w:r>
    </w:p>
    <w:p w14:paraId="6278F838" w14:textId="289CDA26" w:rsidR="00D63232" w:rsidRPr="00D63232" w:rsidRDefault="00D63232" w:rsidP="00D63232">
      <w:pPr>
        <w:jc w:val="left"/>
        <w:rPr>
          <w:rFonts w:ascii="Arial" w:eastAsia="Times New Roman" w:hAnsi="Arial" w:cs="Arial"/>
        </w:rPr>
      </w:pPr>
      <w:r w:rsidRPr="00D63232">
        <w:rPr>
          <w:rFonts w:ascii="Arial" w:eastAsia="Times New Roman" w:hAnsi="Arial" w:cs="Arial"/>
        </w:rPr>
        <w:t>Signed</w:t>
      </w:r>
      <w:r w:rsidR="000257C6">
        <w:rPr>
          <w:rFonts w:ascii="Arial" w:eastAsia="Times New Roman" w:hAnsi="Arial" w:cs="Arial"/>
        </w:rPr>
        <w:t xml:space="preserve">- </w:t>
      </w:r>
      <w:r w:rsidR="000257C6" w:rsidRPr="00C05EA7">
        <w:rPr>
          <w:rFonts w:ascii="Arial" w:eastAsia="Times New Roman" w:hAnsi="Arial" w:cs="Arial"/>
        </w:rPr>
        <w:t xml:space="preserve">Safina Bibi </w:t>
      </w:r>
      <w:r w:rsidRPr="00D63232">
        <w:rPr>
          <w:rFonts w:ascii="Arial" w:eastAsia="Times New Roman" w:hAnsi="Arial" w:cs="Arial"/>
        </w:rPr>
        <w:t>………………………………………………</w:t>
      </w:r>
    </w:p>
    <w:p w14:paraId="55D7780D" w14:textId="71C50F62" w:rsidR="00D63232" w:rsidRPr="00D63232" w:rsidRDefault="00D63232" w:rsidP="00D63232">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jc w:val="left"/>
        <w:rPr>
          <w:rFonts w:ascii="Arial" w:eastAsia="Times New Roman" w:hAnsi="Arial" w:cs="Arial"/>
        </w:rPr>
      </w:pPr>
      <w:r w:rsidRPr="00D63232">
        <w:rPr>
          <w:rFonts w:ascii="Arial" w:eastAsia="Times New Roman" w:hAnsi="Arial" w:cs="Arial"/>
        </w:rPr>
        <w:t>Date</w:t>
      </w:r>
      <w:r w:rsidR="00492CD4">
        <w:rPr>
          <w:rFonts w:ascii="Arial" w:eastAsia="Times New Roman" w:hAnsi="Arial" w:cs="Arial"/>
        </w:rPr>
        <w:t xml:space="preserve"> 25/07/26</w:t>
      </w:r>
      <w:r w:rsidRPr="00D63232">
        <w:rPr>
          <w:rFonts w:ascii="Arial" w:eastAsia="Times New Roman" w:hAnsi="Arial" w:cs="Arial"/>
        </w:rPr>
        <w:t>…………………………………………………</w:t>
      </w:r>
    </w:p>
    <w:p w14:paraId="4625604A" w14:textId="77777777" w:rsidR="00D63232" w:rsidRPr="00D63232" w:rsidRDefault="00D63232" w:rsidP="00D63232">
      <w:pPr>
        <w:jc w:val="left"/>
        <w:rPr>
          <w:rFonts w:ascii="Arial" w:eastAsia="Times New Roman" w:hAnsi="Arial" w:cs="Arial"/>
          <w:b/>
        </w:rPr>
      </w:pPr>
      <w:r w:rsidRPr="00D63232">
        <w:rPr>
          <w:rFonts w:ascii="Arial" w:eastAsia="Times New Roman" w:hAnsi="Arial" w:cs="Arial"/>
          <w:b/>
        </w:rPr>
        <w:t>STATEMENT 4</w:t>
      </w:r>
    </w:p>
    <w:p w14:paraId="22EBE15C" w14:textId="77777777" w:rsidR="00D63232" w:rsidRPr="00D63232" w:rsidRDefault="00D63232" w:rsidP="00D63232">
      <w:pPr>
        <w:jc w:val="left"/>
        <w:rPr>
          <w:rFonts w:ascii="Arial" w:eastAsia="Times New Roman" w:hAnsi="Arial" w:cs="Arial"/>
        </w:rPr>
      </w:pPr>
      <w:r w:rsidRPr="00D63232">
        <w:rPr>
          <w:rFonts w:ascii="Arial" w:eastAsia="Times New Roman" w:hAnsi="Arial" w:cs="Arial"/>
        </w:rPr>
        <w:t>I hereby give consent for my dissertation, if accepted, to be available on the university’s IT system to those who have consent to use the system.</w:t>
      </w:r>
    </w:p>
    <w:p w14:paraId="4E313E2B" w14:textId="5CCE00DF" w:rsidR="00D63232" w:rsidRPr="00D63232" w:rsidRDefault="00D63232" w:rsidP="00D63232">
      <w:pPr>
        <w:jc w:val="left"/>
        <w:rPr>
          <w:rFonts w:ascii="Arial" w:eastAsia="Times New Roman" w:hAnsi="Arial" w:cs="Arial"/>
        </w:rPr>
      </w:pPr>
      <w:r w:rsidRPr="00D63232">
        <w:rPr>
          <w:rFonts w:ascii="Arial" w:eastAsia="Times New Roman" w:hAnsi="Arial" w:cs="Arial"/>
        </w:rPr>
        <w:t>Signed</w:t>
      </w:r>
      <w:r w:rsidR="005D77FF">
        <w:rPr>
          <w:rFonts w:ascii="Arial" w:eastAsia="Times New Roman" w:hAnsi="Arial" w:cs="Arial"/>
        </w:rPr>
        <w:t xml:space="preserve">- </w:t>
      </w:r>
      <w:r w:rsidR="005D77FF" w:rsidRPr="00C05EA7">
        <w:rPr>
          <w:rFonts w:ascii="Arial" w:eastAsia="Times New Roman" w:hAnsi="Arial" w:cs="Arial"/>
        </w:rPr>
        <w:t xml:space="preserve">Safina Bibi </w:t>
      </w:r>
      <w:r w:rsidRPr="00D63232">
        <w:rPr>
          <w:rFonts w:ascii="Arial" w:eastAsia="Times New Roman" w:hAnsi="Arial" w:cs="Arial"/>
        </w:rPr>
        <w:t>………………………………………………</w:t>
      </w:r>
    </w:p>
    <w:p w14:paraId="522AD6DB" w14:textId="316D044D" w:rsidR="00D63232" w:rsidRPr="00D63232" w:rsidRDefault="00D63232" w:rsidP="00D63232">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jc w:val="left"/>
        <w:rPr>
          <w:rFonts w:ascii="Arial" w:eastAsia="Times New Roman" w:hAnsi="Arial" w:cs="Arial"/>
        </w:rPr>
      </w:pPr>
      <w:r w:rsidRPr="00D63232">
        <w:rPr>
          <w:rFonts w:ascii="Arial" w:eastAsia="Times New Roman" w:hAnsi="Arial" w:cs="Arial"/>
        </w:rPr>
        <w:t>Date</w:t>
      </w:r>
      <w:r w:rsidR="005D77FF">
        <w:rPr>
          <w:rFonts w:ascii="Arial" w:eastAsia="Times New Roman" w:hAnsi="Arial" w:cs="Arial"/>
        </w:rPr>
        <w:t xml:space="preserve"> 25/07/26</w:t>
      </w:r>
      <w:r w:rsidRPr="00D63232">
        <w:rPr>
          <w:rFonts w:ascii="Arial" w:eastAsia="Times New Roman" w:hAnsi="Arial" w:cs="Arial"/>
        </w:rPr>
        <w:t>…………………………………………………</w:t>
      </w:r>
    </w:p>
    <w:p w14:paraId="5081643A" w14:textId="77777777" w:rsidR="00D63232" w:rsidRPr="00D63232" w:rsidRDefault="00D63232" w:rsidP="00D63232">
      <w:pPr>
        <w:jc w:val="left"/>
        <w:rPr>
          <w:rFonts w:ascii="Arial" w:hAnsi="Arial" w:cs="Arial"/>
        </w:rPr>
      </w:pPr>
    </w:p>
    <w:p w14:paraId="7EFCF399" w14:textId="77777777" w:rsidR="00D604A0" w:rsidRDefault="00D604A0" w:rsidP="00520A1D">
      <w:pPr>
        <w:pStyle w:val="paragraph"/>
        <w:spacing w:before="0" w:beforeAutospacing="0" w:after="0" w:afterAutospacing="0"/>
        <w:jc w:val="center"/>
        <w:textAlignment w:val="baseline"/>
        <w:rPr>
          <w:rStyle w:val="normaltextrun"/>
          <w:rFonts w:ascii="Arial" w:eastAsiaTheme="majorEastAsia" w:hAnsi="Arial" w:cs="Arial"/>
          <w:b/>
          <w:bCs/>
          <w:sz w:val="32"/>
          <w:szCs w:val="32"/>
        </w:rPr>
      </w:pPr>
    </w:p>
    <w:p w14:paraId="0E61E972" w14:textId="77777777" w:rsidR="00D604A0" w:rsidRDefault="00D604A0" w:rsidP="00520A1D">
      <w:pPr>
        <w:pStyle w:val="paragraph"/>
        <w:spacing w:before="0" w:beforeAutospacing="0" w:after="0" w:afterAutospacing="0"/>
        <w:jc w:val="center"/>
        <w:textAlignment w:val="baseline"/>
        <w:rPr>
          <w:rStyle w:val="normaltextrun"/>
          <w:rFonts w:ascii="Arial" w:eastAsiaTheme="majorEastAsia" w:hAnsi="Arial" w:cs="Arial"/>
          <w:b/>
          <w:bCs/>
          <w:sz w:val="32"/>
          <w:szCs w:val="32"/>
        </w:rPr>
      </w:pPr>
    </w:p>
    <w:p w14:paraId="2E20FDBD" w14:textId="3ACE6E4D" w:rsidR="00034D73" w:rsidRPr="00AF52EC" w:rsidRDefault="00034D73" w:rsidP="00AF52EC">
      <w:pPr>
        <w:pStyle w:val="paragraph"/>
        <w:spacing w:before="0" w:beforeAutospacing="0" w:after="0" w:afterAutospacing="0" w:line="360" w:lineRule="auto"/>
        <w:jc w:val="center"/>
        <w:textAlignment w:val="baseline"/>
        <w:rPr>
          <w:rFonts w:ascii="Segoe UI" w:hAnsi="Segoe UI" w:cs="Segoe UI"/>
          <w:sz w:val="32"/>
          <w:szCs w:val="32"/>
        </w:rPr>
      </w:pPr>
      <w:r w:rsidRPr="00AF52EC">
        <w:rPr>
          <w:rStyle w:val="normaltextrun"/>
          <w:rFonts w:ascii="Arial" w:eastAsiaTheme="majorEastAsia" w:hAnsi="Arial" w:cs="Arial"/>
          <w:sz w:val="32"/>
          <w:szCs w:val="32"/>
        </w:rPr>
        <w:t>My project title:</w:t>
      </w:r>
      <w:r w:rsidRPr="00AF52EC">
        <w:rPr>
          <w:rStyle w:val="apple-converted-space"/>
          <w:rFonts w:eastAsiaTheme="majorEastAsia"/>
          <w:sz w:val="32"/>
          <w:szCs w:val="32"/>
        </w:rPr>
        <w:t> </w:t>
      </w:r>
      <w:r w:rsidRPr="00AF52EC">
        <w:rPr>
          <w:rStyle w:val="normaltextrun"/>
          <w:rFonts w:ascii="Arial" w:eastAsiaTheme="majorEastAsia" w:hAnsi="Arial" w:cs="Arial"/>
          <w:sz w:val="32"/>
          <w:szCs w:val="32"/>
        </w:rPr>
        <w:t>Exploring</w:t>
      </w:r>
      <w:r w:rsidRPr="00AF52EC">
        <w:rPr>
          <w:rStyle w:val="apple-converted-space"/>
          <w:rFonts w:ascii="Arial" w:eastAsiaTheme="majorEastAsia" w:hAnsi="Arial" w:cs="Arial"/>
          <w:sz w:val="32"/>
          <w:szCs w:val="32"/>
        </w:rPr>
        <w:t> </w:t>
      </w:r>
      <w:r w:rsidRPr="00AF52EC">
        <w:rPr>
          <w:rStyle w:val="normaltextrun"/>
          <w:rFonts w:ascii="Arial" w:eastAsiaTheme="majorEastAsia" w:hAnsi="Arial" w:cs="Arial"/>
          <w:sz w:val="32"/>
          <w:szCs w:val="32"/>
        </w:rPr>
        <w:t>the</w:t>
      </w:r>
      <w:r w:rsidRPr="00AF52EC">
        <w:rPr>
          <w:rStyle w:val="apple-converted-space"/>
          <w:rFonts w:ascii="Arial" w:eastAsiaTheme="majorEastAsia" w:hAnsi="Arial" w:cs="Arial"/>
          <w:sz w:val="32"/>
          <w:szCs w:val="32"/>
        </w:rPr>
        <w:t> </w:t>
      </w:r>
      <w:r w:rsidRPr="00AF52EC">
        <w:rPr>
          <w:rStyle w:val="normaltextrun"/>
          <w:rFonts w:ascii="Arial" w:eastAsiaTheme="majorEastAsia" w:hAnsi="Arial" w:cs="Arial"/>
          <w:sz w:val="32"/>
          <w:szCs w:val="32"/>
        </w:rPr>
        <w:t>impact</w:t>
      </w:r>
      <w:r w:rsidRPr="00AF52EC">
        <w:rPr>
          <w:rStyle w:val="apple-converted-space"/>
          <w:rFonts w:ascii="Arial" w:eastAsiaTheme="majorEastAsia" w:hAnsi="Arial" w:cs="Arial"/>
          <w:sz w:val="32"/>
          <w:szCs w:val="32"/>
        </w:rPr>
        <w:t> </w:t>
      </w:r>
      <w:r w:rsidRPr="00AF52EC">
        <w:rPr>
          <w:rStyle w:val="normaltextrun"/>
          <w:rFonts w:ascii="Arial" w:eastAsiaTheme="majorEastAsia" w:hAnsi="Arial" w:cs="Arial"/>
          <w:sz w:val="32"/>
          <w:szCs w:val="32"/>
        </w:rPr>
        <w:t>migrant workers play in</w:t>
      </w:r>
      <w:r w:rsidRPr="00AF52EC">
        <w:rPr>
          <w:rStyle w:val="apple-converted-space"/>
          <w:rFonts w:ascii="Arial" w:eastAsiaTheme="majorEastAsia" w:hAnsi="Arial" w:cs="Arial"/>
          <w:sz w:val="32"/>
          <w:szCs w:val="32"/>
        </w:rPr>
        <w:t> </w:t>
      </w:r>
      <w:r w:rsidRPr="00AF52EC">
        <w:rPr>
          <w:rStyle w:val="normaltextrun"/>
          <w:rFonts w:ascii="Arial" w:eastAsiaTheme="majorEastAsia" w:hAnsi="Arial" w:cs="Arial"/>
          <w:sz w:val="32"/>
          <w:szCs w:val="32"/>
        </w:rPr>
        <w:t>the</w:t>
      </w:r>
      <w:r w:rsidRPr="00AF52EC">
        <w:rPr>
          <w:rStyle w:val="apple-converted-space"/>
          <w:rFonts w:ascii="Arial" w:eastAsiaTheme="majorEastAsia" w:hAnsi="Arial" w:cs="Arial"/>
          <w:sz w:val="32"/>
          <w:szCs w:val="32"/>
        </w:rPr>
        <w:t> </w:t>
      </w:r>
      <w:r w:rsidRPr="00AF52EC">
        <w:rPr>
          <w:rStyle w:val="normaltextrun"/>
          <w:rFonts w:ascii="Arial" w:eastAsiaTheme="majorEastAsia" w:hAnsi="Arial" w:cs="Arial"/>
          <w:sz w:val="32"/>
          <w:szCs w:val="32"/>
        </w:rPr>
        <w:t>adult social care workforce</w:t>
      </w:r>
      <w:r w:rsidRPr="00AF52EC">
        <w:rPr>
          <w:rStyle w:val="apple-converted-space"/>
          <w:rFonts w:ascii="Arial" w:eastAsiaTheme="majorEastAsia" w:hAnsi="Arial" w:cs="Arial"/>
          <w:sz w:val="32"/>
          <w:szCs w:val="32"/>
        </w:rPr>
        <w:t> </w:t>
      </w:r>
      <w:r w:rsidRPr="00AF52EC">
        <w:rPr>
          <w:rStyle w:val="normaltextrun"/>
          <w:rFonts w:ascii="Arial" w:eastAsiaTheme="majorEastAsia" w:hAnsi="Arial" w:cs="Arial"/>
          <w:sz w:val="32"/>
          <w:szCs w:val="32"/>
        </w:rPr>
        <w:t>in the</w:t>
      </w:r>
      <w:r w:rsidRPr="00AF52EC">
        <w:rPr>
          <w:rStyle w:val="apple-converted-space"/>
          <w:rFonts w:ascii="Arial" w:eastAsiaTheme="majorEastAsia" w:hAnsi="Arial" w:cs="Arial"/>
          <w:sz w:val="32"/>
          <w:szCs w:val="32"/>
        </w:rPr>
        <w:t> </w:t>
      </w:r>
      <w:r w:rsidRPr="00AF52EC">
        <w:rPr>
          <w:rStyle w:val="normaltextrun"/>
          <w:rFonts w:ascii="Arial" w:eastAsiaTheme="majorEastAsia" w:hAnsi="Arial" w:cs="Arial"/>
          <w:sz w:val="32"/>
          <w:szCs w:val="32"/>
        </w:rPr>
        <w:t>United Kingdom (UK)</w:t>
      </w:r>
    </w:p>
    <w:p w14:paraId="49878D2B" w14:textId="77777777" w:rsidR="00D604A0" w:rsidRPr="00AF52EC" w:rsidRDefault="00D604A0" w:rsidP="00AF52EC">
      <w:pPr>
        <w:pStyle w:val="paragraph"/>
        <w:spacing w:before="0" w:beforeAutospacing="0" w:after="0" w:afterAutospacing="0"/>
        <w:jc w:val="center"/>
        <w:textAlignment w:val="baseline"/>
        <w:rPr>
          <w:rStyle w:val="normaltextrun"/>
          <w:rFonts w:ascii="Arial" w:eastAsiaTheme="majorEastAsia" w:hAnsi="Arial" w:cs="Arial"/>
          <w:b/>
          <w:bCs/>
          <w:sz w:val="32"/>
          <w:szCs w:val="32"/>
        </w:rPr>
      </w:pPr>
    </w:p>
    <w:p w14:paraId="4DC12BF2" w14:textId="77777777" w:rsidR="00D604A0" w:rsidRPr="00AF52EC" w:rsidRDefault="00D604A0" w:rsidP="00AF52EC">
      <w:pPr>
        <w:pStyle w:val="paragraph"/>
        <w:spacing w:before="0" w:beforeAutospacing="0" w:after="0" w:afterAutospacing="0"/>
        <w:jc w:val="center"/>
        <w:textAlignment w:val="baseline"/>
        <w:rPr>
          <w:rStyle w:val="normaltextrun"/>
          <w:rFonts w:ascii="Arial" w:eastAsiaTheme="majorEastAsia" w:hAnsi="Arial" w:cs="Arial"/>
          <w:b/>
          <w:bCs/>
          <w:sz w:val="32"/>
          <w:szCs w:val="32"/>
        </w:rPr>
      </w:pPr>
    </w:p>
    <w:p w14:paraId="7AD854FB" w14:textId="2214AB73" w:rsidR="00AF52EC" w:rsidRPr="00AF52EC" w:rsidRDefault="00AF52EC" w:rsidP="00AF52EC">
      <w:pPr>
        <w:pStyle w:val="paragraph"/>
        <w:spacing w:before="0" w:beforeAutospacing="0" w:after="0" w:afterAutospacing="0"/>
        <w:jc w:val="center"/>
        <w:textAlignment w:val="baseline"/>
        <w:rPr>
          <w:rStyle w:val="eop"/>
          <w:rFonts w:ascii="Arial" w:eastAsiaTheme="majorEastAsia" w:hAnsi="Arial" w:cs="Arial"/>
          <w:sz w:val="32"/>
          <w:szCs w:val="32"/>
        </w:rPr>
      </w:pPr>
      <w:r w:rsidRPr="00AF52EC">
        <w:rPr>
          <w:rStyle w:val="normaltextrun"/>
          <w:rFonts w:ascii="Arial" w:eastAsiaTheme="majorEastAsia" w:hAnsi="Arial" w:cs="Arial"/>
          <w:b/>
          <w:bCs/>
          <w:sz w:val="32"/>
          <w:szCs w:val="32"/>
        </w:rPr>
        <w:t>Student Name</w:t>
      </w:r>
      <w:r w:rsidRPr="00AF52EC">
        <w:rPr>
          <w:rStyle w:val="normaltextrun"/>
          <w:rFonts w:ascii="Arial" w:eastAsiaTheme="majorEastAsia" w:hAnsi="Arial" w:cs="Arial"/>
          <w:sz w:val="32"/>
          <w:szCs w:val="32"/>
        </w:rPr>
        <w:t>: Safina Bibi</w:t>
      </w:r>
    </w:p>
    <w:p w14:paraId="07372D14" w14:textId="77777777" w:rsidR="00D604A0" w:rsidRPr="00AF52EC" w:rsidRDefault="00D604A0" w:rsidP="00AF52EC">
      <w:pPr>
        <w:pStyle w:val="paragraph"/>
        <w:spacing w:before="0" w:beforeAutospacing="0" w:after="0" w:afterAutospacing="0"/>
        <w:jc w:val="center"/>
        <w:textAlignment w:val="baseline"/>
        <w:rPr>
          <w:rStyle w:val="normaltextrun"/>
          <w:rFonts w:ascii="Arial" w:eastAsiaTheme="majorEastAsia" w:hAnsi="Arial" w:cs="Arial"/>
          <w:b/>
          <w:bCs/>
          <w:sz w:val="32"/>
          <w:szCs w:val="32"/>
        </w:rPr>
      </w:pPr>
    </w:p>
    <w:p w14:paraId="2D031484" w14:textId="0E021E24" w:rsidR="00160F0A" w:rsidRDefault="00160F0A" w:rsidP="00AF52EC">
      <w:pPr>
        <w:pStyle w:val="paragraph"/>
        <w:spacing w:before="0" w:beforeAutospacing="0" w:after="0" w:afterAutospacing="0"/>
        <w:jc w:val="center"/>
        <w:textAlignment w:val="baseline"/>
        <w:rPr>
          <w:rStyle w:val="normaltextrun"/>
          <w:rFonts w:ascii="Arial" w:eastAsiaTheme="majorEastAsia" w:hAnsi="Arial" w:cs="Arial"/>
          <w:sz w:val="32"/>
          <w:szCs w:val="32"/>
        </w:rPr>
      </w:pPr>
      <w:r w:rsidRPr="00AF52EC">
        <w:rPr>
          <w:rStyle w:val="normaltextrun"/>
          <w:rFonts w:ascii="Arial" w:eastAsiaTheme="majorEastAsia" w:hAnsi="Arial" w:cs="Arial"/>
          <w:b/>
          <w:bCs/>
          <w:sz w:val="32"/>
          <w:szCs w:val="32"/>
        </w:rPr>
        <w:t>Student ID</w:t>
      </w:r>
      <w:r w:rsidRPr="00AF52EC">
        <w:rPr>
          <w:rStyle w:val="normaltextrun"/>
          <w:rFonts w:ascii="Arial" w:eastAsiaTheme="majorEastAsia" w:hAnsi="Arial" w:cs="Arial"/>
          <w:sz w:val="32"/>
          <w:szCs w:val="32"/>
        </w:rPr>
        <w:t>: 2243482</w:t>
      </w:r>
    </w:p>
    <w:p w14:paraId="5D09CE3F" w14:textId="77777777" w:rsidR="007D4B5E" w:rsidRDefault="007D4B5E" w:rsidP="00AF52EC">
      <w:pPr>
        <w:pStyle w:val="paragraph"/>
        <w:spacing w:before="0" w:beforeAutospacing="0" w:after="0" w:afterAutospacing="0"/>
        <w:jc w:val="center"/>
        <w:textAlignment w:val="baseline"/>
        <w:rPr>
          <w:rStyle w:val="normaltextrun"/>
          <w:rFonts w:ascii="Arial" w:eastAsiaTheme="majorEastAsia" w:hAnsi="Arial" w:cs="Arial"/>
          <w:sz w:val="32"/>
          <w:szCs w:val="32"/>
        </w:rPr>
      </w:pPr>
    </w:p>
    <w:p w14:paraId="36D7F84A" w14:textId="77777777" w:rsidR="007D4B5E" w:rsidRPr="00995444" w:rsidRDefault="007D4B5E" w:rsidP="007D4B5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165D085A" w14:textId="77777777" w:rsidR="007D4B5E" w:rsidRPr="00995444" w:rsidRDefault="007D4B5E" w:rsidP="007D4B5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0A161387" w14:textId="77777777" w:rsidR="007D4B5E" w:rsidRPr="007D4B5E" w:rsidRDefault="007D4B5E" w:rsidP="007D4B5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32"/>
          <w:szCs w:val="32"/>
        </w:rPr>
      </w:pPr>
      <w:r w:rsidRPr="007D4B5E">
        <w:rPr>
          <w:rFonts w:eastAsia="Arial Unicode MS" w:cs="Arial"/>
          <w:sz w:val="32"/>
          <w:szCs w:val="32"/>
        </w:rPr>
        <w:t>Dissertation submitted as part of the requirements for the award BSc (Hons) Health and Social Care</w:t>
      </w:r>
    </w:p>
    <w:p w14:paraId="56D24B71" w14:textId="77777777" w:rsidR="007D4B5E" w:rsidRPr="00AF52EC" w:rsidRDefault="007D4B5E" w:rsidP="00AF52EC">
      <w:pPr>
        <w:pStyle w:val="paragraph"/>
        <w:spacing w:before="0" w:beforeAutospacing="0" w:after="0" w:afterAutospacing="0"/>
        <w:jc w:val="center"/>
        <w:textAlignment w:val="baseline"/>
        <w:rPr>
          <w:rFonts w:ascii="Segoe UI" w:hAnsi="Segoe UI" w:cs="Segoe UI"/>
          <w:sz w:val="32"/>
          <w:szCs w:val="32"/>
          <w:lang w:eastAsia="en-GB"/>
        </w:rPr>
      </w:pPr>
    </w:p>
    <w:p w14:paraId="6A36E8A3" w14:textId="6C925AEB" w:rsidR="00160F0A" w:rsidRDefault="00160F0A" w:rsidP="00160F0A">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sz w:val="32"/>
          <w:szCs w:val="32"/>
        </w:rPr>
        <w:t> </w:t>
      </w:r>
    </w:p>
    <w:p w14:paraId="7F3BE984" w14:textId="77777777" w:rsidR="00160F0A" w:rsidRDefault="00160F0A" w:rsidP="00160F0A">
      <w:pPr>
        <w:pStyle w:val="paragraph"/>
        <w:spacing w:before="0" w:beforeAutospacing="0" w:after="0" w:afterAutospacing="0"/>
        <w:textAlignment w:val="baseline"/>
        <w:rPr>
          <w:rStyle w:val="eop"/>
          <w:rFonts w:ascii="Arial" w:eastAsiaTheme="majorEastAsia" w:hAnsi="Arial" w:cs="Arial"/>
          <w:sz w:val="32"/>
          <w:szCs w:val="32"/>
        </w:rPr>
      </w:pPr>
    </w:p>
    <w:p w14:paraId="42D15116" w14:textId="77777777" w:rsidR="006F7A5E" w:rsidRDefault="006F7A5E" w:rsidP="005B710C">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44C49A82" w14:textId="77777777" w:rsidR="006F7A5E" w:rsidRDefault="006F7A5E" w:rsidP="005B710C">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4A02C54D" w14:textId="77777777" w:rsidR="006F7A5E" w:rsidRDefault="006F7A5E" w:rsidP="005B710C">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3229FA53" w14:textId="77777777" w:rsidR="006F7A5E" w:rsidRDefault="006F7A5E" w:rsidP="005B710C">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19C2BC54" w14:textId="77777777" w:rsidR="006F7A5E" w:rsidRDefault="006F7A5E" w:rsidP="005B710C">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7973A5B7" w14:textId="77777777" w:rsidR="006F7A5E" w:rsidRDefault="006F7A5E" w:rsidP="005B710C">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6C6FDF81" w14:textId="77777777" w:rsidR="00DA382F" w:rsidRDefault="00DA382F" w:rsidP="005B710C">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73CF3F4E" w14:textId="67FED617" w:rsidR="0040356C" w:rsidRPr="0040356C" w:rsidRDefault="005B710C" w:rsidP="0040356C">
      <w:pPr>
        <w:pStyle w:val="isselectedend"/>
        <w:jc w:val="center"/>
        <w:rPr>
          <w:rFonts w:ascii="Arial" w:eastAsia="Arial Unicode MS" w:hAnsi="Arial" w:cs="Arial"/>
          <w:b/>
        </w:rPr>
      </w:pPr>
      <w:r w:rsidRPr="0040356C">
        <w:rPr>
          <w:rFonts w:ascii="Arial" w:eastAsia="Arial Unicode MS" w:hAnsi="Arial" w:cs="Arial"/>
          <w:b/>
          <w:sz w:val="28"/>
          <w:szCs w:val="28"/>
        </w:rPr>
        <w:lastRenderedPageBreak/>
        <w:t>ACKNOWLEDGEMENTS</w:t>
      </w:r>
    </w:p>
    <w:p w14:paraId="2D11B33E" w14:textId="777C3A23" w:rsidR="0040356C" w:rsidRPr="0040356C" w:rsidRDefault="0040356C" w:rsidP="0040356C">
      <w:pPr>
        <w:pStyle w:val="isselectedend"/>
        <w:spacing w:line="360" w:lineRule="auto"/>
        <w:rPr>
          <w:rFonts w:ascii="Arial" w:hAnsi="Arial" w:cs="Arial"/>
          <w:color w:val="000000"/>
          <w:sz w:val="22"/>
          <w:szCs w:val="22"/>
        </w:rPr>
      </w:pPr>
      <w:r w:rsidRPr="0040356C">
        <w:rPr>
          <w:rFonts w:ascii="Arial" w:hAnsi="Arial" w:cs="Arial"/>
          <w:color w:val="000000"/>
          <w:sz w:val="22"/>
          <w:szCs w:val="22"/>
        </w:rPr>
        <w:t>Firstly, I would like to express my sincere gratitude to my dissertation lecturer and the University of Wales Trinity Saint David for their guidance, encouragement and support throughout my degree. I am truly grateful for the knowledge, opportunities and academic resources that have enabled me to successfully complete this dissertation.</w:t>
      </w:r>
    </w:p>
    <w:p w14:paraId="1B1627C5" w14:textId="77777777" w:rsidR="0040356C" w:rsidRPr="0040356C" w:rsidRDefault="0040356C" w:rsidP="0040356C">
      <w:pPr>
        <w:pStyle w:val="isselectedend"/>
        <w:spacing w:line="360" w:lineRule="auto"/>
        <w:rPr>
          <w:rFonts w:ascii="Arial" w:hAnsi="Arial" w:cs="Arial"/>
          <w:color w:val="000000"/>
          <w:sz w:val="22"/>
          <w:szCs w:val="22"/>
        </w:rPr>
      </w:pPr>
      <w:r w:rsidRPr="0040356C">
        <w:rPr>
          <w:rFonts w:ascii="Arial" w:hAnsi="Arial" w:cs="Arial"/>
          <w:color w:val="000000"/>
          <w:sz w:val="22"/>
          <w:szCs w:val="22"/>
        </w:rPr>
        <w:t>My deepest thanks go to my husband and my daughters for their endless love, patience and encouragement. Thank you for believing in me and supporting me throughout my studies. Your strength and understanding have made this achievement possible.</w:t>
      </w:r>
    </w:p>
    <w:p w14:paraId="3C0066AA" w14:textId="77777777" w:rsidR="0040356C" w:rsidRPr="0040356C" w:rsidRDefault="0040356C" w:rsidP="0040356C">
      <w:pPr>
        <w:pStyle w:val="isselectedend"/>
        <w:spacing w:line="360" w:lineRule="auto"/>
        <w:rPr>
          <w:rFonts w:ascii="Arial" w:hAnsi="Arial" w:cs="Arial"/>
          <w:color w:val="000000"/>
          <w:sz w:val="22"/>
          <w:szCs w:val="22"/>
        </w:rPr>
      </w:pPr>
      <w:r w:rsidRPr="0040356C">
        <w:rPr>
          <w:rFonts w:ascii="Arial" w:hAnsi="Arial" w:cs="Arial"/>
          <w:color w:val="000000"/>
          <w:sz w:val="22"/>
          <w:szCs w:val="22"/>
        </w:rPr>
        <w:t>A special thank you goes to my friend, Shaz, for being there when I needed support the most. Thank you for patiently teaching me the basics of using a laptop, building my confidence and always encouraging me to believe in myself. Your support has meant more than you know.</w:t>
      </w:r>
    </w:p>
    <w:p w14:paraId="766F6723" w14:textId="77777777" w:rsidR="0040356C" w:rsidRPr="0040356C" w:rsidRDefault="0040356C" w:rsidP="0040356C">
      <w:pPr>
        <w:pStyle w:val="isselectedend"/>
        <w:spacing w:line="360" w:lineRule="auto"/>
        <w:rPr>
          <w:rFonts w:ascii="Arial" w:hAnsi="Arial" w:cs="Arial"/>
          <w:color w:val="000000"/>
          <w:sz w:val="22"/>
          <w:szCs w:val="22"/>
        </w:rPr>
      </w:pPr>
      <w:r w:rsidRPr="0040356C">
        <w:rPr>
          <w:rFonts w:ascii="Arial" w:hAnsi="Arial" w:cs="Arial"/>
          <w:color w:val="000000"/>
          <w:sz w:val="22"/>
          <w:szCs w:val="22"/>
        </w:rPr>
        <w:t>Finally, I would like to acknowledge myself. This journey has not always been easy, but it has taught me that with determination, resilience and self-belief, anything is possible. This dissertation is proof that when I put my heart into something, I can overcome obstacles and achieve my goals.</w:t>
      </w:r>
    </w:p>
    <w:p w14:paraId="2AD4B2AF" w14:textId="77777777" w:rsidR="0040356C" w:rsidRPr="0040356C" w:rsidRDefault="0040356C" w:rsidP="0040356C">
      <w:pPr>
        <w:pStyle w:val="NormalWeb"/>
        <w:spacing w:line="360" w:lineRule="auto"/>
        <w:rPr>
          <w:rFonts w:ascii="Arial" w:hAnsi="Arial" w:cs="Arial"/>
          <w:color w:val="000000"/>
          <w:sz w:val="22"/>
          <w:szCs w:val="22"/>
        </w:rPr>
      </w:pPr>
      <w:r w:rsidRPr="0040356C">
        <w:rPr>
          <w:rFonts w:ascii="Arial" w:hAnsi="Arial" w:cs="Arial"/>
          <w:color w:val="000000"/>
          <w:sz w:val="22"/>
          <w:szCs w:val="22"/>
        </w:rPr>
        <w:t>Thank you to everyone who has been part of this journey and supported me along the way.</w:t>
      </w:r>
    </w:p>
    <w:p w14:paraId="57D7EA43" w14:textId="3CD7BEEA" w:rsidR="005B710C" w:rsidRDefault="005B710C" w:rsidP="005B710C">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rPr>
      </w:pPr>
    </w:p>
    <w:p w14:paraId="65090408" w14:textId="77777777" w:rsidR="0040356C" w:rsidRPr="0025020C" w:rsidRDefault="0040356C" w:rsidP="005B710C">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Cs/>
        </w:rPr>
      </w:pPr>
    </w:p>
    <w:p w14:paraId="0770E449" w14:textId="77777777" w:rsidR="00D93E86" w:rsidRDefault="00D93E86" w:rsidP="005B710C">
      <w:pPr>
        <w:pStyle w:val="NormalWeb"/>
        <w:shd w:val="clear" w:color="auto" w:fill="FFFFFF"/>
        <w:spacing w:before="0" w:beforeAutospacing="0" w:after="150" w:afterAutospacing="0" w:line="360" w:lineRule="auto"/>
        <w:jc w:val="both"/>
        <w:rPr>
          <w:rFonts w:ascii="Aptos" w:hAnsi="Aptos" w:cs="Arial"/>
          <w:color w:val="EE0000"/>
          <w:sz w:val="22"/>
          <w:szCs w:val="22"/>
        </w:rPr>
      </w:pPr>
    </w:p>
    <w:p w14:paraId="418A9C74" w14:textId="77777777" w:rsidR="00D93E86" w:rsidRDefault="00D93E86" w:rsidP="005B710C">
      <w:pPr>
        <w:pStyle w:val="NormalWeb"/>
        <w:shd w:val="clear" w:color="auto" w:fill="FFFFFF"/>
        <w:spacing w:before="0" w:beforeAutospacing="0" w:after="150" w:afterAutospacing="0" w:line="360" w:lineRule="auto"/>
        <w:jc w:val="both"/>
        <w:rPr>
          <w:rFonts w:ascii="Aptos" w:hAnsi="Aptos" w:cs="Arial"/>
          <w:color w:val="EE0000"/>
          <w:sz w:val="22"/>
          <w:szCs w:val="22"/>
        </w:rPr>
      </w:pPr>
    </w:p>
    <w:p w14:paraId="22A26654" w14:textId="77777777" w:rsidR="00D93E86" w:rsidRDefault="00D93E86" w:rsidP="005B710C">
      <w:pPr>
        <w:pStyle w:val="NormalWeb"/>
        <w:shd w:val="clear" w:color="auto" w:fill="FFFFFF"/>
        <w:spacing w:before="0" w:beforeAutospacing="0" w:after="150" w:afterAutospacing="0" w:line="360" w:lineRule="auto"/>
        <w:jc w:val="both"/>
        <w:rPr>
          <w:rFonts w:ascii="Aptos" w:hAnsi="Aptos" w:cs="Arial"/>
          <w:color w:val="EE0000"/>
          <w:sz w:val="22"/>
          <w:szCs w:val="22"/>
        </w:rPr>
      </w:pPr>
    </w:p>
    <w:p w14:paraId="697509FD" w14:textId="77777777" w:rsidR="00D93E86" w:rsidRDefault="00D93E86" w:rsidP="005B710C">
      <w:pPr>
        <w:pStyle w:val="NormalWeb"/>
        <w:shd w:val="clear" w:color="auto" w:fill="FFFFFF"/>
        <w:spacing w:before="0" w:beforeAutospacing="0" w:after="150" w:afterAutospacing="0" w:line="360" w:lineRule="auto"/>
        <w:jc w:val="both"/>
        <w:rPr>
          <w:rFonts w:ascii="Aptos" w:hAnsi="Aptos" w:cs="Arial"/>
          <w:color w:val="EE0000"/>
          <w:sz w:val="22"/>
          <w:szCs w:val="22"/>
        </w:rPr>
      </w:pPr>
    </w:p>
    <w:p w14:paraId="74E6D373" w14:textId="77777777" w:rsidR="00D93E86" w:rsidRDefault="00D93E86" w:rsidP="005B710C">
      <w:pPr>
        <w:pStyle w:val="NormalWeb"/>
        <w:shd w:val="clear" w:color="auto" w:fill="FFFFFF"/>
        <w:spacing w:before="0" w:beforeAutospacing="0" w:after="150" w:afterAutospacing="0" w:line="360" w:lineRule="auto"/>
        <w:jc w:val="both"/>
        <w:rPr>
          <w:rFonts w:ascii="Aptos" w:hAnsi="Aptos" w:cs="Arial"/>
          <w:color w:val="EE0000"/>
          <w:sz w:val="22"/>
          <w:szCs w:val="22"/>
        </w:rPr>
      </w:pPr>
    </w:p>
    <w:p w14:paraId="0EDEEC5E" w14:textId="77777777" w:rsidR="00D93E86" w:rsidRDefault="00D93E86" w:rsidP="005B710C">
      <w:pPr>
        <w:pStyle w:val="NormalWeb"/>
        <w:shd w:val="clear" w:color="auto" w:fill="FFFFFF"/>
        <w:spacing w:before="0" w:beforeAutospacing="0" w:after="150" w:afterAutospacing="0" w:line="360" w:lineRule="auto"/>
        <w:jc w:val="both"/>
        <w:rPr>
          <w:rFonts w:ascii="Aptos" w:hAnsi="Aptos" w:cs="Arial"/>
          <w:color w:val="EE0000"/>
          <w:sz w:val="22"/>
          <w:szCs w:val="22"/>
        </w:rPr>
      </w:pPr>
    </w:p>
    <w:p w14:paraId="467154D6" w14:textId="77777777" w:rsidR="00D93E86" w:rsidRDefault="00D93E86" w:rsidP="005B710C">
      <w:pPr>
        <w:pStyle w:val="NormalWeb"/>
        <w:shd w:val="clear" w:color="auto" w:fill="FFFFFF"/>
        <w:spacing w:before="0" w:beforeAutospacing="0" w:after="150" w:afterAutospacing="0" w:line="360" w:lineRule="auto"/>
        <w:jc w:val="both"/>
        <w:rPr>
          <w:rFonts w:ascii="Aptos" w:hAnsi="Aptos" w:cs="Arial"/>
          <w:color w:val="EE0000"/>
          <w:sz w:val="22"/>
          <w:szCs w:val="22"/>
        </w:rPr>
      </w:pPr>
    </w:p>
    <w:p w14:paraId="2317EE40" w14:textId="77777777" w:rsidR="00C36679" w:rsidRDefault="00C36679" w:rsidP="00C3667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30BD3800" w14:textId="28175B57" w:rsidR="003C6C4E" w:rsidRDefault="00121DEF" w:rsidP="00C3667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28"/>
          <w:szCs w:val="28"/>
        </w:rPr>
      </w:pPr>
      <w:r w:rsidRPr="0025020C">
        <w:rPr>
          <w:rFonts w:eastAsia="Arial Unicode MS" w:cs="Arial"/>
          <w:b/>
          <w:sz w:val="28"/>
          <w:szCs w:val="28"/>
        </w:rPr>
        <w:lastRenderedPageBreak/>
        <w:t>ABSTRACT</w:t>
      </w:r>
    </w:p>
    <w:p w14:paraId="69266881" w14:textId="77777777" w:rsidR="000B6E17" w:rsidRPr="00030FC6" w:rsidRDefault="000B6E17" w:rsidP="000B6E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iCs/>
        </w:rPr>
      </w:pPr>
    </w:p>
    <w:p w14:paraId="02219FEB" w14:textId="77777777" w:rsidR="006F2E45" w:rsidRPr="005C7F19" w:rsidRDefault="000E5A1C" w:rsidP="003C6C4E">
      <w:pPr>
        <w:rPr>
          <w:rFonts w:ascii="Arial" w:hAnsi="Arial" w:cs="Arial"/>
          <w:sz w:val="28"/>
          <w:szCs w:val="28"/>
        </w:rPr>
      </w:pPr>
      <w:r w:rsidRPr="005C7F19">
        <w:rPr>
          <w:rFonts w:ascii="Arial" w:hAnsi="Arial" w:cs="Arial"/>
          <w:sz w:val="28"/>
          <w:szCs w:val="28"/>
        </w:rPr>
        <w:t>Purpose, Aim and Objectives</w:t>
      </w:r>
    </w:p>
    <w:p w14:paraId="17E909F7" w14:textId="47617DBD" w:rsidR="00A13A0E" w:rsidRPr="003C6C4E" w:rsidRDefault="00A13A0E" w:rsidP="003C6C4E">
      <w:pPr>
        <w:rPr>
          <w:rFonts w:eastAsia="Arial Unicode MS" w:cs="Arial"/>
        </w:rPr>
      </w:pPr>
      <w:r w:rsidRPr="00A22D4D">
        <w:rPr>
          <w:rFonts w:ascii="Arial" w:hAnsi="Arial" w:cs="Arial"/>
          <w:color w:val="000000"/>
        </w:rPr>
        <w:t>This dissertation explored the impact migrant workers play in the  Adult Social Care (ASC) workforce in the United Kingdom (UK). The study aimed to explore how migrant workers contribute to workforce capacity, continuity of care, and service delivery, while also critically analysing the impact of migration policy, international recruitment, and migrant worker experiences on long-term workforce sustainability. This research is important as the ASC sector continues to face persistent workforce shortages, rising demand for care services, and an increasing reliance on international recruitment, making workforce sustainability a significant health and social care challenge.</w:t>
      </w:r>
    </w:p>
    <w:p w14:paraId="7ED8B985" w14:textId="77777777" w:rsidR="006F2E45" w:rsidRPr="005C7F19" w:rsidRDefault="000E5A1C" w:rsidP="006F2E45">
      <w:pPr>
        <w:rPr>
          <w:rFonts w:ascii="Arial" w:hAnsi="Arial" w:cs="Arial"/>
          <w:sz w:val="28"/>
          <w:szCs w:val="28"/>
        </w:rPr>
      </w:pPr>
      <w:r w:rsidRPr="005C7F19">
        <w:rPr>
          <w:rFonts w:ascii="Arial" w:hAnsi="Arial" w:cs="Arial"/>
          <w:sz w:val="28"/>
          <w:szCs w:val="28"/>
        </w:rPr>
        <w:t>Methods</w:t>
      </w:r>
    </w:p>
    <w:p w14:paraId="22E1D26D" w14:textId="77777777" w:rsidR="005C7F19" w:rsidRDefault="000A2FE0" w:rsidP="006F2E45">
      <w:pPr>
        <w:rPr>
          <w:rFonts w:ascii="Arial" w:hAnsi="Arial" w:cs="Arial"/>
          <w:color w:val="000000"/>
        </w:rPr>
      </w:pPr>
      <w:r w:rsidRPr="00781DAF">
        <w:rPr>
          <w:rFonts w:ascii="Arial" w:hAnsi="Arial" w:cs="Arial"/>
          <w:color w:val="000000"/>
        </w:rPr>
        <w:t>A desk-based secondary research approach was employed, relying on peer-reviewed journal articles, government publications, policy documents, and workforce reports. A structured search strategy was implemented using academic resources and credible organisational websites. The selected literature was critically evaluated using the CRAAP framework and analysed using Braun and Clarke's (2006) thematic analysis to identify recurring patterns and themes relevant to the research aim.</w:t>
      </w:r>
    </w:p>
    <w:p w14:paraId="42BBBCF7" w14:textId="77777777" w:rsidR="005C7F19" w:rsidRPr="005C7F19" w:rsidRDefault="000E5A1C" w:rsidP="005C7F19">
      <w:pPr>
        <w:rPr>
          <w:color w:val="000000"/>
          <w:sz w:val="28"/>
          <w:szCs w:val="28"/>
        </w:rPr>
      </w:pPr>
      <w:r w:rsidRPr="005C7F19">
        <w:rPr>
          <w:color w:val="000000"/>
          <w:sz w:val="28"/>
          <w:szCs w:val="28"/>
        </w:rPr>
        <w:t>Main Findings</w:t>
      </w:r>
    </w:p>
    <w:p w14:paraId="2B75D470" w14:textId="2091B068" w:rsidR="005C7F19" w:rsidRDefault="009F058D" w:rsidP="005C7F19">
      <w:pPr>
        <w:rPr>
          <w:rFonts w:ascii="Arial" w:hAnsi="Arial" w:cs="Arial"/>
          <w:color w:val="000000"/>
        </w:rPr>
      </w:pPr>
      <w:r w:rsidRPr="009F058D">
        <w:rPr>
          <w:rFonts w:ascii="Arial" w:hAnsi="Arial" w:cs="Arial"/>
          <w:color w:val="000000"/>
        </w:rPr>
        <w:t>The findings highlighted three interconnected themes: workforce shortages and reliance on migrant workers, migration policy and international recruitment and migrant worker experiences, wellbeing, and workforce sustainability. The research demonstrated that migrant workers contribute significantly to maintaining workforce capacity and continuity of care in the ASC sector. However, the findings revealed that international recruitment</w:t>
      </w:r>
      <w:r w:rsidR="001A17FB">
        <w:rPr>
          <w:rFonts w:ascii="Arial" w:hAnsi="Arial" w:cs="Arial"/>
          <w:color w:val="000000"/>
        </w:rPr>
        <w:t xml:space="preserve"> alone</w:t>
      </w:r>
      <w:r w:rsidRPr="009F058D">
        <w:rPr>
          <w:rFonts w:ascii="Arial" w:hAnsi="Arial" w:cs="Arial"/>
          <w:color w:val="000000"/>
        </w:rPr>
        <w:t xml:space="preserve"> is insufficient to ensure long-term </w:t>
      </w:r>
      <w:r w:rsidR="002D2C35">
        <w:rPr>
          <w:rFonts w:ascii="Arial" w:hAnsi="Arial" w:cs="Arial"/>
          <w:color w:val="000000"/>
        </w:rPr>
        <w:t xml:space="preserve">workforce </w:t>
      </w:r>
      <w:r w:rsidRPr="009F058D">
        <w:rPr>
          <w:rFonts w:ascii="Arial" w:hAnsi="Arial" w:cs="Arial"/>
          <w:color w:val="000000"/>
        </w:rPr>
        <w:t>sustainability. Effective workforce planning, support</w:t>
      </w:r>
      <w:r w:rsidR="00993AA9">
        <w:rPr>
          <w:rFonts w:ascii="Arial" w:hAnsi="Arial" w:cs="Arial"/>
          <w:color w:val="000000"/>
        </w:rPr>
        <w:t>ive</w:t>
      </w:r>
      <w:r w:rsidRPr="009F058D">
        <w:rPr>
          <w:rFonts w:ascii="Arial" w:hAnsi="Arial" w:cs="Arial"/>
          <w:color w:val="000000"/>
        </w:rPr>
        <w:t xml:space="preserve"> migration policies, good working conditions, career development, and employee retention were identified as critical components of a resilient and sustainable workforce.</w:t>
      </w:r>
    </w:p>
    <w:p w14:paraId="5BB2A092" w14:textId="77777777" w:rsidR="005C7F19" w:rsidRPr="005C7F19" w:rsidRDefault="000E5A1C" w:rsidP="005C7F19">
      <w:pPr>
        <w:rPr>
          <w:rFonts w:ascii="Arial" w:hAnsi="Arial" w:cs="Arial"/>
          <w:color w:val="000000"/>
          <w:sz w:val="28"/>
          <w:szCs w:val="28"/>
        </w:rPr>
      </w:pPr>
      <w:r w:rsidRPr="005C7F19">
        <w:rPr>
          <w:rFonts w:ascii="Arial" w:hAnsi="Arial" w:cs="Arial"/>
          <w:color w:val="000000"/>
          <w:sz w:val="28"/>
          <w:szCs w:val="28"/>
        </w:rPr>
        <w:t>Limitations</w:t>
      </w:r>
    </w:p>
    <w:p w14:paraId="5DFB0D1F" w14:textId="61051E06" w:rsidR="00ED6B44" w:rsidRPr="0041100C" w:rsidRDefault="00ED6B44" w:rsidP="005E1161">
      <w:pPr>
        <w:rPr>
          <w:rFonts w:ascii="Arial" w:hAnsi="Arial" w:cs="Arial"/>
        </w:rPr>
      </w:pPr>
      <w:r w:rsidRPr="00ED6B44">
        <w:rPr>
          <w:rFonts w:ascii="Arial" w:hAnsi="Arial" w:cs="Arial"/>
          <w:color w:val="000000"/>
        </w:rPr>
        <w:t>The research's reliance on secondary data prevented the collection of firsthand perspectives from migrant workers, employers, and service users.</w:t>
      </w:r>
      <w:r w:rsidR="00483D2B" w:rsidRPr="00483D2B">
        <w:rPr>
          <w:rFonts w:ascii="-webkit-standard" w:hAnsi="-webkit-standard"/>
          <w:color w:val="000000"/>
          <w:sz w:val="27"/>
          <w:szCs w:val="27"/>
        </w:rPr>
        <w:t xml:space="preserve"> </w:t>
      </w:r>
      <w:r w:rsidR="00483D2B" w:rsidRPr="0041100C">
        <w:rPr>
          <w:rFonts w:ascii="Arial" w:hAnsi="Arial" w:cs="Arial"/>
          <w:color w:val="000000"/>
        </w:rPr>
        <w:t xml:space="preserve">Furthermore, the rapidly changing nature </w:t>
      </w:r>
      <w:r w:rsidR="00483D2B" w:rsidRPr="0041100C">
        <w:rPr>
          <w:rFonts w:ascii="Arial" w:hAnsi="Arial" w:cs="Arial"/>
          <w:color w:val="000000"/>
        </w:rPr>
        <w:lastRenderedPageBreak/>
        <w:t>of UK immigration policy and workforce reforms may affect the long-term relevance of some findings, highlighting the need for ongoing research in this area.</w:t>
      </w:r>
    </w:p>
    <w:p w14:paraId="3AB9A553" w14:textId="6264428F" w:rsidR="000E5A1C" w:rsidRPr="005C7F19" w:rsidRDefault="000E5A1C" w:rsidP="000E5A1C">
      <w:pPr>
        <w:pStyle w:val="Heading3"/>
        <w:rPr>
          <w:rFonts w:ascii="Arial" w:hAnsi="Arial" w:cs="Arial"/>
          <w:color w:val="000000"/>
        </w:rPr>
      </w:pPr>
      <w:r w:rsidRPr="005C7F19">
        <w:rPr>
          <w:rFonts w:ascii="Arial" w:hAnsi="Arial" w:cs="Arial"/>
          <w:color w:val="000000"/>
        </w:rPr>
        <w:t>Recommendations</w:t>
      </w:r>
    </w:p>
    <w:p w14:paraId="5A67E77E" w14:textId="479C638D" w:rsidR="000E5A1C" w:rsidRDefault="004411CC" w:rsidP="005E11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Arial Unicode MS" w:hAnsi="Times New Roman" w:cs="Times New Roman"/>
          <w:b/>
          <w:sz w:val="24"/>
          <w:szCs w:val="24"/>
        </w:rPr>
      </w:pPr>
      <w:r w:rsidRPr="0002343E">
        <w:rPr>
          <w:rFonts w:ascii="Arial" w:hAnsi="Arial" w:cs="Arial"/>
          <w:color w:val="000000"/>
        </w:rPr>
        <w:t xml:space="preserve">The dissertation recommends enhancing workforce retention through career development and </w:t>
      </w:r>
      <w:r w:rsidR="000D5878">
        <w:rPr>
          <w:rFonts w:ascii="Arial" w:hAnsi="Arial" w:cs="Arial"/>
          <w:color w:val="000000"/>
        </w:rPr>
        <w:t>staff</w:t>
      </w:r>
      <w:r w:rsidRPr="0002343E">
        <w:rPr>
          <w:rFonts w:ascii="Arial" w:hAnsi="Arial" w:cs="Arial"/>
          <w:color w:val="000000"/>
        </w:rPr>
        <w:t xml:space="preserve"> wellbeing, promoting ethical international recruitment alongside</w:t>
      </w:r>
      <w:r w:rsidR="00C917C4">
        <w:rPr>
          <w:rFonts w:ascii="Arial" w:hAnsi="Arial" w:cs="Arial"/>
          <w:color w:val="000000"/>
        </w:rPr>
        <w:t xml:space="preserve"> improved support</w:t>
      </w:r>
      <w:r w:rsidRPr="0002343E">
        <w:rPr>
          <w:rFonts w:ascii="Arial" w:hAnsi="Arial" w:cs="Arial"/>
          <w:color w:val="000000"/>
        </w:rPr>
        <w:t xml:space="preserve"> for migrant workers, and investing in long-term workforce planning to strengthen domestic recruitment and reduce reliance on international recruitment. These recommendations aim to create a more sustainable, resilient, and person-centred ASC workforce while informing future policy, practice, education, and workforce planning</w:t>
      </w:r>
      <w:r>
        <w:rPr>
          <w:rFonts w:ascii="-webkit-standard" w:hAnsi="-webkit-standard"/>
          <w:color w:val="000000"/>
          <w:sz w:val="27"/>
          <w:szCs w:val="27"/>
        </w:rPr>
        <w:t>.</w:t>
      </w:r>
    </w:p>
    <w:p w14:paraId="28378D52" w14:textId="77777777" w:rsidR="00B12F11" w:rsidRDefault="00B12F11" w:rsidP="0019348D">
      <w:pPr>
        <w:pStyle w:val="Heading1"/>
        <w:jc w:val="center"/>
        <w:rPr>
          <w:rFonts w:ascii="Arial" w:hAnsi="Arial" w:cs="Arial"/>
          <w:b/>
          <w:bCs/>
          <w:color w:val="000000" w:themeColor="text1"/>
          <w:sz w:val="32"/>
          <w:szCs w:val="32"/>
        </w:rPr>
      </w:pPr>
    </w:p>
    <w:p w14:paraId="73B471C2" w14:textId="77777777" w:rsidR="00B12F11" w:rsidRDefault="00B12F11" w:rsidP="0019348D">
      <w:pPr>
        <w:pStyle w:val="Heading1"/>
        <w:jc w:val="center"/>
        <w:rPr>
          <w:rFonts w:ascii="Arial" w:hAnsi="Arial" w:cs="Arial"/>
          <w:b/>
          <w:bCs/>
          <w:color w:val="000000" w:themeColor="text1"/>
          <w:sz w:val="32"/>
          <w:szCs w:val="32"/>
        </w:rPr>
      </w:pPr>
    </w:p>
    <w:p w14:paraId="165AB1CA" w14:textId="77777777" w:rsidR="00B12F11" w:rsidRDefault="00B12F11" w:rsidP="0019348D">
      <w:pPr>
        <w:pStyle w:val="Heading1"/>
        <w:jc w:val="center"/>
        <w:rPr>
          <w:rFonts w:ascii="Arial" w:hAnsi="Arial" w:cs="Arial"/>
          <w:b/>
          <w:bCs/>
          <w:color w:val="000000" w:themeColor="text1"/>
          <w:sz w:val="32"/>
          <w:szCs w:val="32"/>
        </w:rPr>
      </w:pPr>
    </w:p>
    <w:p w14:paraId="6D6A4459" w14:textId="77777777" w:rsidR="00B12F11" w:rsidRDefault="00B12F11" w:rsidP="0019348D">
      <w:pPr>
        <w:pStyle w:val="Heading1"/>
        <w:jc w:val="center"/>
        <w:rPr>
          <w:rFonts w:ascii="Arial" w:hAnsi="Arial" w:cs="Arial"/>
          <w:b/>
          <w:bCs/>
          <w:color w:val="000000" w:themeColor="text1"/>
          <w:sz w:val="32"/>
          <w:szCs w:val="32"/>
        </w:rPr>
      </w:pPr>
    </w:p>
    <w:p w14:paraId="724B5BD8" w14:textId="77777777" w:rsidR="00B12F11" w:rsidRDefault="00B12F11" w:rsidP="0019348D">
      <w:pPr>
        <w:pStyle w:val="Heading1"/>
        <w:jc w:val="center"/>
        <w:rPr>
          <w:rFonts w:ascii="Arial" w:hAnsi="Arial" w:cs="Arial"/>
          <w:b/>
          <w:bCs/>
          <w:color w:val="000000" w:themeColor="text1"/>
          <w:sz w:val="32"/>
          <w:szCs w:val="32"/>
        </w:rPr>
      </w:pPr>
    </w:p>
    <w:p w14:paraId="7B148F79" w14:textId="77777777" w:rsidR="00B12F11" w:rsidRDefault="00B12F11" w:rsidP="0019348D">
      <w:pPr>
        <w:pStyle w:val="Heading1"/>
        <w:jc w:val="center"/>
        <w:rPr>
          <w:rFonts w:ascii="Arial" w:hAnsi="Arial" w:cs="Arial"/>
          <w:b/>
          <w:bCs/>
          <w:color w:val="000000" w:themeColor="text1"/>
          <w:sz w:val="32"/>
          <w:szCs w:val="32"/>
        </w:rPr>
      </w:pPr>
    </w:p>
    <w:p w14:paraId="13CCD299" w14:textId="77777777" w:rsidR="00B12F11" w:rsidRDefault="00B12F11" w:rsidP="0019348D">
      <w:pPr>
        <w:pStyle w:val="Heading1"/>
        <w:jc w:val="center"/>
        <w:rPr>
          <w:rFonts w:ascii="Arial" w:hAnsi="Arial" w:cs="Arial"/>
          <w:b/>
          <w:bCs/>
          <w:color w:val="000000" w:themeColor="text1"/>
          <w:sz w:val="32"/>
          <w:szCs w:val="32"/>
        </w:rPr>
      </w:pPr>
    </w:p>
    <w:p w14:paraId="34483306" w14:textId="77777777" w:rsidR="00B12F11" w:rsidRDefault="00B12F11" w:rsidP="0019348D">
      <w:pPr>
        <w:pStyle w:val="Heading1"/>
        <w:jc w:val="center"/>
        <w:rPr>
          <w:rFonts w:ascii="Arial" w:hAnsi="Arial" w:cs="Arial"/>
          <w:b/>
          <w:bCs/>
          <w:color w:val="000000" w:themeColor="text1"/>
          <w:sz w:val="32"/>
          <w:szCs w:val="32"/>
        </w:rPr>
      </w:pPr>
    </w:p>
    <w:p w14:paraId="5FD80884" w14:textId="77777777" w:rsidR="00B12F11" w:rsidRPr="006E2903" w:rsidRDefault="00B12F11" w:rsidP="0019348D">
      <w:pPr>
        <w:pStyle w:val="Heading1"/>
        <w:jc w:val="center"/>
        <w:rPr>
          <w:rFonts w:ascii="Arial" w:hAnsi="Arial" w:cs="Arial"/>
          <w:b/>
          <w:bCs/>
          <w:color w:val="000000" w:themeColor="text1"/>
          <w:sz w:val="44"/>
          <w:szCs w:val="44"/>
        </w:rPr>
      </w:pPr>
    </w:p>
    <w:p w14:paraId="523FB295" w14:textId="77777777" w:rsidR="006E2903" w:rsidRDefault="006E2903" w:rsidP="006E2903">
      <w:pPr>
        <w:rPr>
          <w:rFonts w:ascii="Arial" w:hAnsi="Arial" w:cs="Arial"/>
          <w:b/>
          <w:bCs/>
          <w:sz w:val="32"/>
          <w:szCs w:val="32"/>
        </w:rPr>
      </w:pPr>
    </w:p>
    <w:p w14:paraId="1875D25F" w14:textId="77777777" w:rsidR="006E2903" w:rsidRDefault="006E2903" w:rsidP="006E2903">
      <w:pPr>
        <w:rPr>
          <w:rFonts w:ascii="Arial" w:hAnsi="Arial" w:cs="Arial"/>
          <w:b/>
          <w:bCs/>
          <w:sz w:val="32"/>
          <w:szCs w:val="32"/>
        </w:rPr>
      </w:pPr>
    </w:p>
    <w:p w14:paraId="48CA02F7" w14:textId="70B2DA83" w:rsidR="0019348D" w:rsidRPr="006E2903" w:rsidRDefault="0019348D" w:rsidP="006E2903">
      <w:pPr>
        <w:jc w:val="center"/>
        <w:rPr>
          <w:rFonts w:ascii="Arial" w:hAnsi="Arial" w:cs="Arial"/>
          <w:b/>
          <w:bCs/>
          <w:sz w:val="32"/>
          <w:szCs w:val="32"/>
        </w:rPr>
      </w:pPr>
      <w:r w:rsidRPr="006E2903">
        <w:rPr>
          <w:rFonts w:ascii="Arial" w:hAnsi="Arial" w:cs="Arial"/>
          <w:b/>
          <w:bCs/>
          <w:sz w:val="32"/>
          <w:szCs w:val="32"/>
        </w:rPr>
        <w:lastRenderedPageBreak/>
        <w:t>Table of Contents</w:t>
      </w:r>
    </w:p>
    <w:p w14:paraId="67D90B9F" w14:textId="73F8FC75" w:rsidR="00CD1140" w:rsidRPr="001F5A7A" w:rsidRDefault="00CD1140" w:rsidP="00CD1140">
      <w:pPr>
        <w:pStyle w:val="pdq2pgselectionanchorcontainer"/>
        <w:rPr>
          <w:rFonts w:ascii="Arial" w:hAnsi="Arial" w:cs="Arial"/>
          <w:color w:val="000000"/>
          <w:sz w:val="22"/>
          <w:szCs w:val="22"/>
        </w:rPr>
      </w:pPr>
      <w:r w:rsidRPr="001F5A7A">
        <w:rPr>
          <w:rStyle w:val="Strong"/>
          <w:rFonts w:ascii="Arial" w:hAnsi="Arial" w:cs="Arial"/>
          <w:color w:val="000000"/>
          <w:sz w:val="22"/>
          <w:szCs w:val="22"/>
        </w:rPr>
        <w:t>Chapter 1 – Introduction</w:t>
      </w:r>
      <w:r w:rsidRPr="001F5A7A">
        <w:rPr>
          <w:rStyle w:val="apple-converted-space"/>
          <w:rFonts w:ascii="Arial" w:hAnsi="Arial" w:cs="Arial"/>
          <w:color w:val="000000"/>
          <w:sz w:val="22"/>
          <w:szCs w:val="22"/>
        </w:rPr>
        <w:t> </w:t>
      </w:r>
    </w:p>
    <w:p w14:paraId="0C9FCE8C" w14:textId="366B5119" w:rsidR="00CD1140" w:rsidRPr="001F5A7A" w:rsidRDefault="00CD1140" w:rsidP="00CD1140">
      <w:pPr>
        <w:pStyle w:val="NormalWeb"/>
        <w:rPr>
          <w:rFonts w:ascii="Arial" w:hAnsi="Arial" w:cs="Arial"/>
          <w:color w:val="000000"/>
          <w:sz w:val="22"/>
          <w:szCs w:val="22"/>
        </w:rPr>
      </w:pPr>
      <w:r w:rsidRPr="001F5A7A">
        <w:rPr>
          <w:rFonts w:ascii="Arial" w:hAnsi="Arial" w:cs="Arial"/>
          <w:color w:val="000000"/>
          <w:sz w:val="22"/>
          <w:szCs w:val="22"/>
        </w:rPr>
        <w:t>1.1 Introduction .................................................................</w:t>
      </w:r>
      <w:r w:rsidR="00D40378">
        <w:rPr>
          <w:rFonts w:ascii="Arial" w:hAnsi="Arial" w:cs="Arial"/>
          <w:color w:val="000000"/>
          <w:sz w:val="22"/>
          <w:szCs w:val="22"/>
        </w:rPr>
        <w:t>9</w:t>
      </w:r>
    </w:p>
    <w:p w14:paraId="69C38708" w14:textId="4C774BCF" w:rsidR="00CD1140" w:rsidRPr="001F5A7A" w:rsidRDefault="00CD1140" w:rsidP="00CD1140">
      <w:pPr>
        <w:pStyle w:val="NormalWeb"/>
        <w:rPr>
          <w:rFonts w:ascii="Arial" w:hAnsi="Arial" w:cs="Arial"/>
          <w:color w:val="000000"/>
          <w:sz w:val="22"/>
          <w:szCs w:val="22"/>
        </w:rPr>
      </w:pPr>
      <w:r w:rsidRPr="001F5A7A">
        <w:rPr>
          <w:rFonts w:ascii="Arial" w:hAnsi="Arial" w:cs="Arial"/>
          <w:color w:val="000000"/>
          <w:sz w:val="22"/>
          <w:szCs w:val="22"/>
        </w:rPr>
        <w:t>1.2 Definitions and Terminology .................................................</w:t>
      </w:r>
      <w:r w:rsidR="00D40378">
        <w:rPr>
          <w:rFonts w:ascii="Arial" w:hAnsi="Arial" w:cs="Arial"/>
          <w:color w:val="000000"/>
          <w:sz w:val="22"/>
          <w:szCs w:val="22"/>
        </w:rPr>
        <w:t>9-10</w:t>
      </w:r>
    </w:p>
    <w:p w14:paraId="0D202443" w14:textId="423E3F36" w:rsidR="00CD1140" w:rsidRPr="001F5A7A" w:rsidRDefault="00CD1140" w:rsidP="00CD1140">
      <w:pPr>
        <w:pStyle w:val="NormalWeb"/>
        <w:rPr>
          <w:rFonts w:ascii="Arial" w:hAnsi="Arial" w:cs="Arial"/>
          <w:color w:val="000000"/>
          <w:sz w:val="22"/>
          <w:szCs w:val="22"/>
        </w:rPr>
      </w:pPr>
      <w:r w:rsidRPr="001F5A7A">
        <w:rPr>
          <w:rFonts w:ascii="Arial" w:hAnsi="Arial" w:cs="Arial"/>
          <w:color w:val="000000"/>
          <w:sz w:val="22"/>
          <w:szCs w:val="22"/>
        </w:rPr>
        <w:t>1.3 Rationale for Research ......................................................</w:t>
      </w:r>
      <w:r w:rsidR="0091634F">
        <w:rPr>
          <w:rFonts w:ascii="Arial" w:hAnsi="Arial" w:cs="Arial"/>
          <w:color w:val="000000"/>
          <w:sz w:val="22"/>
          <w:szCs w:val="22"/>
        </w:rPr>
        <w:t>10-11</w:t>
      </w:r>
    </w:p>
    <w:p w14:paraId="251BD677" w14:textId="63BCFFA8" w:rsidR="00CD1140" w:rsidRPr="001F5A7A" w:rsidRDefault="00CD1140" w:rsidP="00CD1140">
      <w:pPr>
        <w:pStyle w:val="NormalWeb"/>
        <w:rPr>
          <w:rFonts w:ascii="Arial" w:hAnsi="Arial" w:cs="Arial"/>
          <w:color w:val="000000"/>
          <w:sz w:val="22"/>
          <w:szCs w:val="22"/>
        </w:rPr>
      </w:pPr>
      <w:r w:rsidRPr="001F5A7A">
        <w:rPr>
          <w:rFonts w:ascii="Arial" w:hAnsi="Arial" w:cs="Arial"/>
          <w:color w:val="000000"/>
          <w:sz w:val="22"/>
          <w:szCs w:val="22"/>
        </w:rPr>
        <w:t>1.4 Aim and Objectives ..........................................................</w:t>
      </w:r>
      <w:r w:rsidR="00D87A99">
        <w:rPr>
          <w:rFonts w:ascii="Arial" w:hAnsi="Arial" w:cs="Arial"/>
          <w:color w:val="000000"/>
          <w:sz w:val="22"/>
          <w:szCs w:val="22"/>
        </w:rPr>
        <w:t>11</w:t>
      </w:r>
    </w:p>
    <w:p w14:paraId="37FF4895" w14:textId="3C914992" w:rsidR="00CD1140" w:rsidRPr="001F5A7A" w:rsidRDefault="00CD1140" w:rsidP="00CD1140">
      <w:pPr>
        <w:pStyle w:val="NormalWeb"/>
        <w:rPr>
          <w:rFonts w:ascii="Arial" w:hAnsi="Arial" w:cs="Arial"/>
          <w:color w:val="000000"/>
          <w:sz w:val="22"/>
          <w:szCs w:val="22"/>
        </w:rPr>
      </w:pPr>
      <w:r w:rsidRPr="001F5A7A">
        <w:rPr>
          <w:rFonts w:ascii="Arial" w:hAnsi="Arial" w:cs="Arial"/>
          <w:color w:val="000000"/>
          <w:sz w:val="22"/>
          <w:szCs w:val="22"/>
        </w:rPr>
        <w:t>1.5 Conclusion ..................................................................</w:t>
      </w:r>
      <w:r w:rsidR="00D87A99">
        <w:rPr>
          <w:rFonts w:ascii="Arial" w:hAnsi="Arial" w:cs="Arial"/>
          <w:color w:val="000000"/>
          <w:sz w:val="22"/>
          <w:szCs w:val="22"/>
        </w:rPr>
        <w:t>11-12</w:t>
      </w:r>
    </w:p>
    <w:p w14:paraId="57903C31" w14:textId="7F9D8E06" w:rsidR="00CD1140" w:rsidRPr="001F5A7A" w:rsidRDefault="00CD1140" w:rsidP="00CD1140">
      <w:pPr>
        <w:pStyle w:val="NormalWeb"/>
        <w:rPr>
          <w:rFonts w:ascii="Arial" w:hAnsi="Arial" w:cs="Arial"/>
          <w:color w:val="000000"/>
          <w:sz w:val="22"/>
          <w:szCs w:val="22"/>
        </w:rPr>
      </w:pPr>
      <w:r w:rsidRPr="001F5A7A">
        <w:rPr>
          <w:rStyle w:val="Strong"/>
          <w:rFonts w:ascii="Arial" w:hAnsi="Arial" w:cs="Arial"/>
          <w:color w:val="000000"/>
          <w:sz w:val="22"/>
          <w:szCs w:val="22"/>
        </w:rPr>
        <w:t>Chapter 2 – Literature Review</w:t>
      </w:r>
    </w:p>
    <w:p w14:paraId="53620941" w14:textId="2EB6DC11" w:rsidR="00CD1140" w:rsidRPr="001F5A7A" w:rsidRDefault="00CD1140" w:rsidP="00CD1140">
      <w:pPr>
        <w:pStyle w:val="NormalWeb"/>
        <w:rPr>
          <w:rFonts w:ascii="Arial" w:hAnsi="Arial" w:cs="Arial"/>
          <w:color w:val="000000"/>
          <w:sz w:val="22"/>
          <w:szCs w:val="22"/>
        </w:rPr>
      </w:pPr>
      <w:r w:rsidRPr="001F5A7A">
        <w:rPr>
          <w:rFonts w:ascii="Arial" w:hAnsi="Arial" w:cs="Arial"/>
          <w:color w:val="000000"/>
          <w:sz w:val="22"/>
          <w:szCs w:val="22"/>
        </w:rPr>
        <w:t>2.1 Introduction .................................................................</w:t>
      </w:r>
      <w:r w:rsidR="00060DF2">
        <w:rPr>
          <w:rFonts w:ascii="Arial" w:hAnsi="Arial" w:cs="Arial"/>
          <w:color w:val="000000"/>
          <w:sz w:val="22"/>
          <w:szCs w:val="22"/>
        </w:rPr>
        <w:t>13</w:t>
      </w:r>
    </w:p>
    <w:p w14:paraId="7309DA34" w14:textId="5F7054B5" w:rsidR="00CD1140" w:rsidRPr="001F5A7A" w:rsidRDefault="00CD1140" w:rsidP="00CD1140">
      <w:pPr>
        <w:pStyle w:val="NormalWeb"/>
        <w:rPr>
          <w:rFonts w:ascii="Arial" w:hAnsi="Arial" w:cs="Arial"/>
          <w:color w:val="000000"/>
          <w:sz w:val="22"/>
          <w:szCs w:val="22"/>
        </w:rPr>
      </w:pPr>
      <w:r w:rsidRPr="001F5A7A">
        <w:rPr>
          <w:rFonts w:ascii="Arial" w:hAnsi="Arial" w:cs="Arial"/>
          <w:color w:val="000000"/>
          <w:sz w:val="22"/>
          <w:szCs w:val="22"/>
        </w:rPr>
        <w:t>2.2 Historical Background .......................................................</w:t>
      </w:r>
      <w:r w:rsidR="00060DF2">
        <w:rPr>
          <w:rFonts w:ascii="Arial" w:hAnsi="Arial" w:cs="Arial"/>
          <w:color w:val="000000"/>
          <w:sz w:val="22"/>
          <w:szCs w:val="22"/>
        </w:rPr>
        <w:t>13-14</w:t>
      </w:r>
    </w:p>
    <w:p w14:paraId="5C04E3B1" w14:textId="407F2F6D" w:rsidR="00CD1140" w:rsidRPr="001F5A7A" w:rsidRDefault="00CD1140" w:rsidP="00CD1140">
      <w:pPr>
        <w:pStyle w:val="NormalWeb"/>
        <w:rPr>
          <w:rFonts w:ascii="Arial" w:hAnsi="Arial" w:cs="Arial"/>
          <w:color w:val="000000"/>
          <w:sz w:val="22"/>
          <w:szCs w:val="22"/>
        </w:rPr>
      </w:pPr>
      <w:r w:rsidRPr="001F5A7A">
        <w:rPr>
          <w:rFonts w:ascii="Arial" w:hAnsi="Arial" w:cs="Arial"/>
          <w:color w:val="000000"/>
          <w:sz w:val="22"/>
          <w:szCs w:val="22"/>
        </w:rPr>
        <w:t>2.3 Theoretical Background ......................................................</w:t>
      </w:r>
      <w:r w:rsidR="00214341">
        <w:rPr>
          <w:rFonts w:ascii="Arial" w:hAnsi="Arial" w:cs="Arial"/>
          <w:color w:val="000000"/>
          <w:sz w:val="22"/>
          <w:szCs w:val="22"/>
        </w:rPr>
        <w:t>1</w:t>
      </w:r>
      <w:r w:rsidR="004D33B0">
        <w:rPr>
          <w:rFonts w:ascii="Arial" w:hAnsi="Arial" w:cs="Arial"/>
          <w:color w:val="000000"/>
          <w:sz w:val="22"/>
          <w:szCs w:val="22"/>
        </w:rPr>
        <w:t>4-16</w:t>
      </w:r>
    </w:p>
    <w:p w14:paraId="429FDF3B" w14:textId="11CA41EB" w:rsidR="00CD1140" w:rsidRPr="001F5A7A" w:rsidRDefault="00CD1140" w:rsidP="00CD1140">
      <w:pPr>
        <w:pStyle w:val="NormalWeb"/>
        <w:rPr>
          <w:rFonts w:ascii="Arial" w:hAnsi="Arial" w:cs="Arial"/>
          <w:color w:val="000000"/>
          <w:sz w:val="22"/>
          <w:szCs w:val="22"/>
        </w:rPr>
      </w:pPr>
      <w:r w:rsidRPr="001F5A7A">
        <w:rPr>
          <w:rFonts w:ascii="Arial" w:hAnsi="Arial" w:cs="Arial"/>
          <w:color w:val="000000"/>
          <w:sz w:val="22"/>
          <w:szCs w:val="22"/>
        </w:rPr>
        <w:t>2.4 International Context ........................................................</w:t>
      </w:r>
      <w:r w:rsidR="007708C1">
        <w:rPr>
          <w:rFonts w:ascii="Arial" w:hAnsi="Arial" w:cs="Arial"/>
          <w:color w:val="000000"/>
          <w:sz w:val="22"/>
          <w:szCs w:val="22"/>
        </w:rPr>
        <w:t>16-17</w:t>
      </w:r>
    </w:p>
    <w:p w14:paraId="0A43C3C9" w14:textId="60E9AE7D" w:rsidR="00CD1140" w:rsidRPr="001F5A7A" w:rsidRDefault="00CD1140" w:rsidP="00CD1140">
      <w:pPr>
        <w:pStyle w:val="NormalWeb"/>
        <w:rPr>
          <w:rFonts w:ascii="Arial" w:hAnsi="Arial" w:cs="Arial"/>
          <w:color w:val="000000"/>
          <w:sz w:val="22"/>
          <w:szCs w:val="22"/>
        </w:rPr>
      </w:pPr>
      <w:r w:rsidRPr="001F5A7A">
        <w:rPr>
          <w:rFonts w:ascii="Arial" w:hAnsi="Arial" w:cs="Arial"/>
          <w:color w:val="000000"/>
          <w:sz w:val="22"/>
          <w:szCs w:val="22"/>
        </w:rPr>
        <w:t>2.5 National/Local UK Context ...................................................</w:t>
      </w:r>
      <w:r w:rsidR="007708C1">
        <w:rPr>
          <w:rFonts w:ascii="Arial" w:hAnsi="Arial" w:cs="Arial"/>
          <w:color w:val="000000"/>
          <w:sz w:val="22"/>
          <w:szCs w:val="22"/>
        </w:rPr>
        <w:t>17-18</w:t>
      </w:r>
    </w:p>
    <w:p w14:paraId="64BAB854" w14:textId="5E2C3B28" w:rsidR="00CD1140" w:rsidRPr="001F5A7A" w:rsidRDefault="00CD1140" w:rsidP="00CD1140">
      <w:pPr>
        <w:pStyle w:val="NormalWeb"/>
        <w:rPr>
          <w:rFonts w:ascii="Arial" w:hAnsi="Arial" w:cs="Arial"/>
          <w:color w:val="000000"/>
          <w:sz w:val="22"/>
          <w:szCs w:val="22"/>
        </w:rPr>
      </w:pPr>
      <w:r w:rsidRPr="001F5A7A">
        <w:rPr>
          <w:rFonts w:ascii="Arial" w:hAnsi="Arial" w:cs="Arial"/>
          <w:color w:val="000000"/>
          <w:sz w:val="22"/>
          <w:szCs w:val="22"/>
        </w:rPr>
        <w:t>2.6 Conclusion ..................................................................</w:t>
      </w:r>
      <w:r w:rsidR="002729EA">
        <w:rPr>
          <w:rFonts w:ascii="Arial" w:hAnsi="Arial" w:cs="Arial"/>
          <w:color w:val="000000"/>
          <w:sz w:val="22"/>
          <w:szCs w:val="22"/>
        </w:rPr>
        <w:t>18</w:t>
      </w:r>
    </w:p>
    <w:p w14:paraId="6A3E6533" w14:textId="54855981" w:rsidR="00CD1140" w:rsidRPr="001F5A7A" w:rsidRDefault="00CD1140" w:rsidP="00CD1140">
      <w:pPr>
        <w:pStyle w:val="NormalWeb"/>
        <w:rPr>
          <w:rFonts w:ascii="Arial" w:hAnsi="Arial" w:cs="Arial"/>
          <w:color w:val="000000"/>
          <w:sz w:val="22"/>
          <w:szCs w:val="22"/>
        </w:rPr>
      </w:pPr>
      <w:r w:rsidRPr="001F5A7A">
        <w:rPr>
          <w:rStyle w:val="Strong"/>
          <w:rFonts w:ascii="Arial" w:hAnsi="Arial" w:cs="Arial"/>
          <w:color w:val="000000"/>
          <w:sz w:val="22"/>
          <w:szCs w:val="22"/>
        </w:rPr>
        <w:t>Chapter 3 – Methods and Search Strategy</w:t>
      </w:r>
      <w:r w:rsidRPr="001F5A7A">
        <w:rPr>
          <w:rStyle w:val="apple-converted-space"/>
          <w:rFonts w:ascii="Arial" w:hAnsi="Arial" w:cs="Arial"/>
          <w:color w:val="000000"/>
          <w:sz w:val="22"/>
          <w:szCs w:val="22"/>
        </w:rPr>
        <w:t> </w:t>
      </w:r>
    </w:p>
    <w:p w14:paraId="76BD4AF0" w14:textId="170DB434" w:rsidR="00CD1140" w:rsidRPr="001F5A7A" w:rsidRDefault="00CD1140" w:rsidP="00CD1140">
      <w:pPr>
        <w:pStyle w:val="NormalWeb"/>
        <w:rPr>
          <w:rFonts w:ascii="Arial" w:hAnsi="Arial" w:cs="Arial"/>
          <w:color w:val="000000"/>
          <w:sz w:val="22"/>
          <w:szCs w:val="22"/>
        </w:rPr>
      </w:pPr>
      <w:r w:rsidRPr="001F5A7A">
        <w:rPr>
          <w:rFonts w:ascii="Arial" w:hAnsi="Arial" w:cs="Arial"/>
          <w:color w:val="000000"/>
          <w:sz w:val="22"/>
          <w:szCs w:val="22"/>
        </w:rPr>
        <w:t>3.1 Introduction .................................................................</w:t>
      </w:r>
      <w:r w:rsidR="00E972CC">
        <w:rPr>
          <w:rFonts w:ascii="Arial" w:hAnsi="Arial" w:cs="Arial"/>
          <w:color w:val="000000"/>
          <w:sz w:val="22"/>
          <w:szCs w:val="22"/>
        </w:rPr>
        <w:t>19</w:t>
      </w:r>
    </w:p>
    <w:p w14:paraId="56F0CB3A" w14:textId="031A3CF7" w:rsidR="00CD1140" w:rsidRPr="001F5A7A" w:rsidRDefault="00CD1140" w:rsidP="00CD1140">
      <w:pPr>
        <w:pStyle w:val="NormalWeb"/>
        <w:rPr>
          <w:rFonts w:ascii="Arial" w:hAnsi="Arial" w:cs="Arial"/>
          <w:color w:val="000000"/>
          <w:sz w:val="22"/>
          <w:szCs w:val="22"/>
        </w:rPr>
      </w:pPr>
      <w:r w:rsidRPr="001F5A7A">
        <w:rPr>
          <w:rFonts w:ascii="Arial" w:hAnsi="Arial" w:cs="Arial"/>
          <w:color w:val="000000"/>
          <w:sz w:val="22"/>
          <w:szCs w:val="22"/>
        </w:rPr>
        <w:t>3.2 Search Strategy .............................................................</w:t>
      </w:r>
      <w:r w:rsidR="00E972CC">
        <w:rPr>
          <w:rFonts w:ascii="Arial" w:hAnsi="Arial" w:cs="Arial"/>
          <w:color w:val="000000"/>
          <w:sz w:val="22"/>
          <w:szCs w:val="22"/>
        </w:rPr>
        <w:t>19</w:t>
      </w:r>
    </w:p>
    <w:p w14:paraId="6EB15B71" w14:textId="698F4BBF" w:rsidR="00CD1140" w:rsidRPr="001F5A7A" w:rsidRDefault="00CD1140" w:rsidP="00CD1140">
      <w:pPr>
        <w:pStyle w:val="NormalWeb"/>
        <w:rPr>
          <w:rFonts w:ascii="Arial" w:hAnsi="Arial" w:cs="Arial"/>
          <w:color w:val="000000"/>
          <w:sz w:val="22"/>
          <w:szCs w:val="22"/>
        </w:rPr>
      </w:pPr>
      <w:r w:rsidRPr="001F5A7A">
        <w:rPr>
          <w:rFonts w:ascii="Arial" w:hAnsi="Arial" w:cs="Arial"/>
          <w:color w:val="000000"/>
          <w:sz w:val="22"/>
          <w:szCs w:val="22"/>
        </w:rPr>
        <w:t>3.3 Searching for Information ..................................................</w:t>
      </w:r>
      <w:r w:rsidR="00E972CC">
        <w:rPr>
          <w:rFonts w:ascii="Arial" w:hAnsi="Arial" w:cs="Arial"/>
          <w:color w:val="000000"/>
          <w:sz w:val="22"/>
          <w:szCs w:val="22"/>
        </w:rPr>
        <w:t>19-20</w:t>
      </w:r>
    </w:p>
    <w:p w14:paraId="250DE30E" w14:textId="260D6C8E" w:rsidR="00CD1140" w:rsidRPr="001F5A7A" w:rsidRDefault="00CD1140" w:rsidP="00CD1140">
      <w:pPr>
        <w:pStyle w:val="NormalWeb"/>
        <w:rPr>
          <w:rFonts w:ascii="Arial" w:hAnsi="Arial" w:cs="Arial"/>
          <w:color w:val="000000"/>
          <w:sz w:val="22"/>
          <w:szCs w:val="22"/>
        </w:rPr>
      </w:pPr>
      <w:r w:rsidRPr="001F5A7A">
        <w:rPr>
          <w:rFonts w:ascii="Arial" w:hAnsi="Arial" w:cs="Arial"/>
          <w:color w:val="000000"/>
          <w:sz w:val="22"/>
          <w:szCs w:val="22"/>
        </w:rPr>
        <w:t>3.4 Research Validation ........................................................</w:t>
      </w:r>
      <w:r w:rsidR="00F45296">
        <w:rPr>
          <w:rFonts w:ascii="Arial" w:hAnsi="Arial" w:cs="Arial"/>
          <w:color w:val="000000"/>
          <w:sz w:val="22"/>
          <w:szCs w:val="22"/>
        </w:rPr>
        <w:t>20</w:t>
      </w:r>
    </w:p>
    <w:p w14:paraId="20CC643C" w14:textId="62B50707" w:rsidR="00CD1140" w:rsidRPr="001F5A7A" w:rsidRDefault="00CD1140" w:rsidP="00CD1140">
      <w:pPr>
        <w:pStyle w:val="NormalWeb"/>
        <w:rPr>
          <w:rFonts w:ascii="Arial" w:hAnsi="Arial" w:cs="Arial"/>
          <w:color w:val="000000"/>
          <w:sz w:val="22"/>
          <w:szCs w:val="22"/>
        </w:rPr>
      </w:pPr>
      <w:r w:rsidRPr="001F5A7A">
        <w:rPr>
          <w:rFonts w:ascii="Arial" w:hAnsi="Arial" w:cs="Arial"/>
          <w:color w:val="000000"/>
          <w:sz w:val="22"/>
          <w:szCs w:val="22"/>
        </w:rPr>
        <w:t>3.5 Inclusion and Exclusion Criteria ...........................................</w:t>
      </w:r>
      <w:r w:rsidR="00F45296">
        <w:rPr>
          <w:rFonts w:ascii="Arial" w:hAnsi="Arial" w:cs="Arial"/>
          <w:color w:val="000000"/>
          <w:sz w:val="22"/>
          <w:szCs w:val="22"/>
        </w:rPr>
        <w:t>21</w:t>
      </w:r>
    </w:p>
    <w:p w14:paraId="5C2E0499" w14:textId="63BE130A" w:rsidR="00CD1140" w:rsidRPr="001F5A7A" w:rsidRDefault="00CD1140" w:rsidP="00CD1140">
      <w:pPr>
        <w:pStyle w:val="NormalWeb"/>
        <w:rPr>
          <w:rFonts w:ascii="Arial" w:hAnsi="Arial" w:cs="Arial"/>
          <w:color w:val="000000"/>
          <w:sz w:val="22"/>
          <w:szCs w:val="22"/>
        </w:rPr>
      </w:pPr>
      <w:r w:rsidRPr="001F5A7A">
        <w:rPr>
          <w:rFonts w:ascii="Arial" w:hAnsi="Arial" w:cs="Arial"/>
          <w:color w:val="000000"/>
          <w:sz w:val="22"/>
          <w:szCs w:val="22"/>
        </w:rPr>
        <w:t>3.6 Analysing Research .........................................................</w:t>
      </w:r>
      <w:r w:rsidR="00F45296">
        <w:rPr>
          <w:rFonts w:ascii="Arial" w:hAnsi="Arial" w:cs="Arial"/>
          <w:color w:val="000000"/>
          <w:sz w:val="22"/>
          <w:szCs w:val="22"/>
        </w:rPr>
        <w:t>21</w:t>
      </w:r>
    </w:p>
    <w:p w14:paraId="6C734143" w14:textId="57730501" w:rsidR="00CD1140" w:rsidRPr="001F5A7A" w:rsidRDefault="00CD1140" w:rsidP="00CD1140">
      <w:pPr>
        <w:pStyle w:val="NormalWeb"/>
        <w:rPr>
          <w:rFonts w:ascii="Arial" w:hAnsi="Arial" w:cs="Arial"/>
          <w:color w:val="000000"/>
          <w:sz w:val="22"/>
          <w:szCs w:val="22"/>
        </w:rPr>
      </w:pPr>
      <w:r w:rsidRPr="001F5A7A">
        <w:rPr>
          <w:rFonts w:ascii="Arial" w:hAnsi="Arial" w:cs="Arial"/>
          <w:color w:val="000000"/>
          <w:sz w:val="22"/>
          <w:szCs w:val="22"/>
        </w:rPr>
        <w:t>3.7 Ethical Considerations .....................................................</w:t>
      </w:r>
      <w:r w:rsidR="00F45296">
        <w:rPr>
          <w:rFonts w:ascii="Arial" w:hAnsi="Arial" w:cs="Arial"/>
          <w:color w:val="000000"/>
          <w:sz w:val="22"/>
          <w:szCs w:val="22"/>
        </w:rPr>
        <w:t>21</w:t>
      </w:r>
      <w:r w:rsidR="004C36FB">
        <w:rPr>
          <w:rFonts w:ascii="Arial" w:hAnsi="Arial" w:cs="Arial"/>
          <w:color w:val="000000"/>
          <w:sz w:val="22"/>
          <w:szCs w:val="22"/>
        </w:rPr>
        <w:t>-22</w:t>
      </w:r>
    </w:p>
    <w:p w14:paraId="1C9BA5D2" w14:textId="2E658BB1" w:rsidR="00CD1140" w:rsidRPr="001F5A7A" w:rsidRDefault="00CD1140" w:rsidP="00CD1140">
      <w:pPr>
        <w:pStyle w:val="NormalWeb"/>
        <w:rPr>
          <w:rFonts w:ascii="Arial" w:hAnsi="Arial" w:cs="Arial"/>
          <w:color w:val="000000"/>
          <w:sz w:val="22"/>
          <w:szCs w:val="22"/>
        </w:rPr>
      </w:pPr>
      <w:r w:rsidRPr="001F5A7A">
        <w:rPr>
          <w:rFonts w:ascii="Arial" w:hAnsi="Arial" w:cs="Arial"/>
          <w:color w:val="000000"/>
          <w:sz w:val="22"/>
          <w:szCs w:val="22"/>
        </w:rPr>
        <w:t>3.8 Chapter Conclusion .........................................................</w:t>
      </w:r>
      <w:r w:rsidR="004C36FB">
        <w:rPr>
          <w:rFonts w:ascii="Arial" w:hAnsi="Arial" w:cs="Arial"/>
          <w:color w:val="000000"/>
          <w:sz w:val="22"/>
          <w:szCs w:val="22"/>
        </w:rPr>
        <w:t>22</w:t>
      </w:r>
    </w:p>
    <w:p w14:paraId="1A353425" w14:textId="2719556D" w:rsidR="00CD1140" w:rsidRPr="001F5A7A" w:rsidRDefault="00CD1140" w:rsidP="00CD1140">
      <w:pPr>
        <w:pStyle w:val="NormalWeb"/>
        <w:rPr>
          <w:rFonts w:ascii="Arial" w:hAnsi="Arial" w:cs="Arial"/>
          <w:color w:val="000000"/>
          <w:sz w:val="22"/>
          <w:szCs w:val="22"/>
        </w:rPr>
      </w:pPr>
      <w:r w:rsidRPr="001F5A7A">
        <w:rPr>
          <w:rStyle w:val="Strong"/>
          <w:rFonts w:ascii="Arial" w:hAnsi="Arial" w:cs="Arial"/>
          <w:color w:val="000000"/>
          <w:sz w:val="22"/>
          <w:szCs w:val="22"/>
        </w:rPr>
        <w:t>Chapter 4 – Findings and Discussion</w:t>
      </w:r>
      <w:r w:rsidRPr="001F5A7A">
        <w:rPr>
          <w:rStyle w:val="apple-converted-space"/>
          <w:rFonts w:ascii="Arial" w:hAnsi="Arial" w:cs="Arial"/>
          <w:color w:val="000000"/>
          <w:sz w:val="22"/>
          <w:szCs w:val="22"/>
        </w:rPr>
        <w:t> </w:t>
      </w:r>
    </w:p>
    <w:p w14:paraId="061E3487" w14:textId="46038391" w:rsidR="00CD1140" w:rsidRPr="001F5A7A" w:rsidRDefault="00CD1140" w:rsidP="00CD1140">
      <w:pPr>
        <w:pStyle w:val="NormalWeb"/>
        <w:rPr>
          <w:rFonts w:ascii="Arial" w:hAnsi="Arial" w:cs="Arial"/>
          <w:color w:val="000000"/>
          <w:sz w:val="22"/>
          <w:szCs w:val="22"/>
        </w:rPr>
      </w:pPr>
      <w:r w:rsidRPr="001F5A7A">
        <w:rPr>
          <w:rFonts w:ascii="Arial" w:hAnsi="Arial" w:cs="Arial"/>
          <w:color w:val="000000"/>
          <w:sz w:val="22"/>
          <w:szCs w:val="22"/>
        </w:rPr>
        <w:t>4.1 Introduction .................................................................</w:t>
      </w:r>
      <w:r w:rsidR="00160842">
        <w:rPr>
          <w:rFonts w:ascii="Arial" w:hAnsi="Arial" w:cs="Arial"/>
          <w:color w:val="000000"/>
          <w:sz w:val="22"/>
          <w:szCs w:val="22"/>
        </w:rPr>
        <w:t>23</w:t>
      </w:r>
    </w:p>
    <w:p w14:paraId="4FD1E4A7" w14:textId="63838238" w:rsidR="00CD1140" w:rsidRPr="001F5A7A" w:rsidRDefault="00CD1140" w:rsidP="00CD1140">
      <w:pPr>
        <w:pStyle w:val="NormalWeb"/>
        <w:rPr>
          <w:rFonts w:ascii="Arial" w:hAnsi="Arial" w:cs="Arial"/>
          <w:color w:val="000000"/>
          <w:sz w:val="22"/>
          <w:szCs w:val="22"/>
        </w:rPr>
      </w:pPr>
      <w:r w:rsidRPr="001F5A7A">
        <w:rPr>
          <w:rFonts w:ascii="Arial" w:hAnsi="Arial" w:cs="Arial"/>
          <w:color w:val="000000"/>
          <w:sz w:val="22"/>
          <w:szCs w:val="22"/>
        </w:rPr>
        <w:t>4.2 Thematic Analysis ..........................................................</w:t>
      </w:r>
      <w:r w:rsidR="00160842">
        <w:rPr>
          <w:rFonts w:ascii="Arial" w:hAnsi="Arial" w:cs="Arial"/>
          <w:color w:val="000000"/>
          <w:sz w:val="22"/>
          <w:szCs w:val="22"/>
        </w:rPr>
        <w:t>23</w:t>
      </w:r>
    </w:p>
    <w:p w14:paraId="41D963EB" w14:textId="62D85E55" w:rsidR="005C375E" w:rsidRPr="001F5A7A" w:rsidRDefault="00CD1140" w:rsidP="00CD1140">
      <w:pPr>
        <w:pStyle w:val="NormalWeb"/>
        <w:rPr>
          <w:rFonts w:ascii="Arial" w:hAnsi="Arial" w:cs="Arial"/>
          <w:color w:val="000000"/>
          <w:sz w:val="22"/>
          <w:szCs w:val="22"/>
        </w:rPr>
      </w:pPr>
      <w:r w:rsidRPr="001F5A7A">
        <w:rPr>
          <w:rFonts w:ascii="Arial" w:hAnsi="Arial" w:cs="Arial"/>
          <w:color w:val="000000"/>
          <w:sz w:val="22"/>
          <w:szCs w:val="22"/>
        </w:rPr>
        <w:lastRenderedPageBreak/>
        <w:t>4.3</w:t>
      </w:r>
      <w:r w:rsidR="0081040B">
        <w:rPr>
          <w:rFonts w:ascii="Arial" w:hAnsi="Arial" w:cs="Arial"/>
          <w:color w:val="000000"/>
          <w:sz w:val="22"/>
          <w:szCs w:val="22"/>
        </w:rPr>
        <w:t xml:space="preserve"> </w:t>
      </w:r>
      <w:r w:rsidRPr="001F5A7A">
        <w:rPr>
          <w:rFonts w:ascii="Arial" w:hAnsi="Arial" w:cs="Arial"/>
          <w:color w:val="000000"/>
          <w:sz w:val="22"/>
          <w:szCs w:val="22"/>
        </w:rPr>
        <w:t>Theme 1 – Workforce Shortages and Reliance on Migrant Workers .........</w:t>
      </w:r>
      <w:r w:rsidR="00C35A61">
        <w:rPr>
          <w:rFonts w:ascii="Arial" w:hAnsi="Arial" w:cs="Arial"/>
          <w:color w:val="000000"/>
          <w:sz w:val="22"/>
          <w:szCs w:val="22"/>
        </w:rPr>
        <w:t>24-28</w:t>
      </w:r>
    </w:p>
    <w:p w14:paraId="52CA21D7" w14:textId="785CF345" w:rsidR="00CD1140" w:rsidRPr="001F5A7A" w:rsidRDefault="00CD1140" w:rsidP="00CD1140">
      <w:pPr>
        <w:pStyle w:val="NormalWeb"/>
        <w:rPr>
          <w:rFonts w:ascii="Arial" w:hAnsi="Arial" w:cs="Arial"/>
          <w:color w:val="000000"/>
          <w:sz w:val="22"/>
          <w:szCs w:val="22"/>
        </w:rPr>
      </w:pPr>
      <w:r w:rsidRPr="001F5A7A">
        <w:rPr>
          <w:rFonts w:ascii="Arial" w:hAnsi="Arial" w:cs="Arial"/>
          <w:color w:val="000000"/>
          <w:sz w:val="22"/>
          <w:szCs w:val="22"/>
        </w:rPr>
        <w:t>4.4 Theme 2 – Migration Policy and International Recruitment ..................</w:t>
      </w:r>
      <w:r w:rsidR="009C3A37">
        <w:rPr>
          <w:rFonts w:ascii="Arial" w:hAnsi="Arial" w:cs="Arial"/>
          <w:color w:val="000000"/>
          <w:sz w:val="22"/>
          <w:szCs w:val="22"/>
        </w:rPr>
        <w:t>28-32</w:t>
      </w:r>
    </w:p>
    <w:p w14:paraId="2F811145" w14:textId="79FF568B" w:rsidR="00CD1140" w:rsidRPr="001F5A7A" w:rsidRDefault="00CD1140" w:rsidP="00CD1140">
      <w:pPr>
        <w:pStyle w:val="NormalWeb"/>
        <w:rPr>
          <w:rFonts w:ascii="Arial" w:hAnsi="Arial" w:cs="Arial"/>
          <w:color w:val="000000"/>
          <w:sz w:val="22"/>
          <w:szCs w:val="22"/>
        </w:rPr>
      </w:pPr>
      <w:r w:rsidRPr="001F5A7A">
        <w:rPr>
          <w:rFonts w:ascii="Arial" w:hAnsi="Arial" w:cs="Arial"/>
          <w:color w:val="000000"/>
          <w:sz w:val="22"/>
          <w:szCs w:val="22"/>
        </w:rPr>
        <w:t>4.5 Theme 3 – Migrant Worker Experiences, Wellbeing and Workforce Sustainability</w:t>
      </w:r>
      <w:r w:rsidR="00C3302C">
        <w:rPr>
          <w:rFonts w:ascii="Arial" w:hAnsi="Arial" w:cs="Arial"/>
          <w:color w:val="000000"/>
          <w:sz w:val="22"/>
          <w:szCs w:val="22"/>
        </w:rPr>
        <w:t>…</w:t>
      </w:r>
      <w:r w:rsidR="008F6625">
        <w:rPr>
          <w:rFonts w:ascii="Arial" w:hAnsi="Arial" w:cs="Arial"/>
          <w:color w:val="000000"/>
          <w:sz w:val="22"/>
          <w:szCs w:val="22"/>
        </w:rPr>
        <w:t>32-3</w:t>
      </w:r>
      <w:r w:rsidR="006A51D4">
        <w:rPr>
          <w:rFonts w:ascii="Arial" w:hAnsi="Arial" w:cs="Arial"/>
          <w:color w:val="000000"/>
          <w:sz w:val="22"/>
          <w:szCs w:val="22"/>
        </w:rPr>
        <w:t>6</w:t>
      </w:r>
    </w:p>
    <w:p w14:paraId="05804795" w14:textId="271F6EC7" w:rsidR="00CD1140" w:rsidRPr="001F5A7A" w:rsidRDefault="00CD1140" w:rsidP="00CD1140">
      <w:pPr>
        <w:pStyle w:val="NormalWeb"/>
        <w:rPr>
          <w:rFonts w:ascii="Arial" w:hAnsi="Arial" w:cs="Arial"/>
          <w:color w:val="000000"/>
          <w:sz w:val="22"/>
          <w:szCs w:val="22"/>
        </w:rPr>
      </w:pPr>
      <w:r w:rsidRPr="001F5A7A">
        <w:rPr>
          <w:rFonts w:ascii="Arial" w:hAnsi="Arial" w:cs="Arial"/>
          <w:color w:val="000000"/>
          <w:sz w:val="22"/>
          <w:szCs w:val="22"/>
        </w:rPr>
        <w:t>4.6 Chapter Conclusion .........................................................</w:t>
      </w:r>
      <w:r w:rsidR="002A3A40">
        <w:rPr>
          <w:rFonts w:ascii="Arial" w:hAnsi="Arial" w:cs="Arial"/>
          <w:color w:val="000000"/>
          <w:sz w:val="22"/>
          <w:szCs w:val="22"/>
        </w:rPr>
        <w:t>36-37</w:t>
      </w:r>
    </w:p>
    <w:p w14:paraId="2546C57F" w14:textId="7E1BC373" w:rsidR="00CD1140" w:rsidRPr="001F5A7A" w:rsidRDefault="00CD1140" w:rsidP="00CD1140">
      <w:pPr>
        <w:pStyle w:val="NormalWeb"/>
        <w:rPr>
          <w:rFonts w:ascii="Arial" w:hAnsi="Arial" w:cs="Arial"/>
          <w:color w:val="000000"/>
          <w:sz w:val="22"/>
          <w:szCs w:val="22"/>
        </w:rPr>
      </w:pPr>
      <w:r w:rsidRPr="001F5A7A">
        <w:rPr>
          <w:rStyle w:val="Strong"/>
          <w:rFonts w:ascii="Arial" w:hAnsi="Arial" w:cs="Arial"/>
          <w:color w:val="000000"/>
          <w:sz w:val="22"/>
          <w:szCs w:val="22"/>
        </w:rPr>
        <w:t>Chapter 5 – Conclusion and Recommendations</w:t>
      </w:r>
      <w:r w:rsidRPr="001F5A7A">
        <w:rPr>
          <w:rStyle w:val="apple-converted-space"/>
          <w:rFonts w:ascii="Arial" w:hAnsi="Arial" w:cs="Arial"/>
          <w:color w:val="000000"/>
          <w:sz w:val="22"/>
          <w:szCs w:val="22"/>
        </w:rPr>
        <w:t> </w:t>
      </w:r>
    </w:p>
    <w:p w14:paraId="27134C9D" w14:textId="0338DF41" w:rsidR="00CD1140" w:rsidRPr="001F5A7A" w:rsidRDefault="00CD1140" w:rsidP="00CD1140">
      <w:pPr>
        <w:pStyle w:val="NormalWeb"/>
        <w:rPr>
          <w:rFonts w:ascii="Arial" w:hAnsi="Arial" w:cs="Arial"/>
          <w:color w:val="000000"/>
          <w:sz w:val="22"/>
          <w:szCs w:val="22"/>
        </w:rPr>
      </w:pPr>
      <w:r w:rsidRPr="001F5A7A">
        <w:rPr>
          <w:rFonts w:ascii="Arial" w:hAnsi="Arial" w:cs="Arial"/>
          <w:color w:val="000000"/>
          <w:sz w:val="22"/>
          <w:szCs w:val="22"/>
        </w:rPr>
        <w:t>5.1 Overall Conclusion .........................................................</w:t>
      </w:r>
      <w:r w:rsidR="00327D0C">
        <w:rPr>
          <w:rFonts w:ascii="Arial" w:hAnsi="Arial" w:cs="Arial"/>
          <w:color w:val="000000"/>
          <w:sz w:val="22"/>
          <w:szCs w:val="22"/>
        </w:rPr>
        <w:t>38</w:t>
      </w:r>
    </w:p>
    <w:p w14:paraId="2A6EF4B5" w14:textId="2C288BFB" w:rsidR="00CD1140" w:rsidRPr="001F5A7A" w:rsidRDefault="00CD1140" w:rsidP="00CD1140">
      <w:pPr>
        <w:pStyle w:val="NormalWeb"/>
        <w:rPr>
          <w:rFonts w:ascii="Arial" w:hAnsi="Arial" w:cs="Arial"/>
          <w:color w:val="000000"/>
          <w:sz w:val="22"/>
          <w:szCs w:val="22"/>
        </w:rPr>
      </w:pPr>
      <w:r w:rsidRPr="001F5A7A">
        <w:rPr>
          <w:rFonts w:ascii="Arial" w:hAnsi="Arial" w:cs="Arial"/>
          <w:color w:val="000000"/>
          <w:sz w:val="22"/>
          <w:szCs w:val="22"/>
        </w:rPr>
        <w:t>5.2 Recommendations</w:t>
      </w:r>
      <w:r w:rsidR="00D83B0E">
        <w:rPr>
          <w:rFonts w:ascii="Arial" w:hAnsi="Arial" w:cs="Arial"/>
          <w:color w:val="000000"/>
          <w:sz w:val="22"/>
          <w:szCs w:val="22"/>
        </w:rPr>
        <w:t>……………………………………………….38</w:t>
      </w:r>
    </w:p>
    <w:p w14:paraId="7DAE9D24" w14:textId="01A84221" w:rsidR="00CD1140" w:rsidRPr="001F5A7A" w:rsidRDefault="00CD1140" w:rsidP="00297E29">
      <w:pPr>
        <w:pStyle w:val="NormalWeb"/>
        <w:spacing w:line="360" w:lineRule="auto"/>
        <w:rPr>
          <w:rFonts w:ascii="Arial" w:hAnsi="Arial" w:cs="Arial"/>
          <w:color w:val="000000"/>
          <w:sz w:val="22"/>
          <w:szCs w:val="22"/>
        </w:rPr>
      </w:pPr>
      <w:r w:rsidRPr="001F5A7A">
        <w:rPr>
          <w:rFonts w:ascii="Arial" w:hAnsi="Arial" w:cs="Arial"/>
          <w:color w:val="000000"/>
          <w:sz w:val="22"/>
          <w:szCs w:val="22"/>
        </w:rPr>
        <w:t>5.2.1 Recommendation 1 – Strengthening workforce retention through career development and staff wellbeing</w:t>
      </w:r>
      <w:r w:rsidR="00270B72">
        <w:rPr>
          <w:rFonts w:ascii="Arial" w:hAnsi="Arial" w:cs="Arial"/>
          <w:color w:val="000000"/>
          <w:sz w:val="22"/>
          <w:szCs w:val="22"/>
        </w:rPr>
        <w:t>…………………………………………………………….</w:t>
      </w:r>
      <w:r w:rsidR="00257EBA">
        <w:rPr>
          <w:rFonts w:ascii="Arial" w:hAnsi="Arial" w:cs="Arial"/>
          <w:color w:val="000000"/>
          <w:sz w:val="22"/>
          <w:szCs w:val="22"/>
        </w:rPr>
        <w:t>38-39</w:t>
      </w:r>
    </w:p>
    <w:p w14:paraId="2ECF62AB" w14:textId="1C81A7BB" w:rsidR="00CD1140" w:rsidRPr="001F5A7A" w:rsidRDefault="00CD1140" w:rsidP="00D83B0E">
      <w:pPr>
        <w:pStyle w:val="NormalWeb"/>
        <w:spacing w:line="360" w:lineRule="auto"/>
        <w:rPr>
          <w:rFonts w:ascii="Arial" w:hAnsi="Arial" w:cs="Arial"/>
          <w:color w:val="000000"/>
          <w:sz w:val="22"/>
          <w:szCs w:val="22"/>
        </w:rPr>
      </w:pPr>
      <w:r w:rsidRPr="001F5A7A">
        <w:rPr>
          <w:rFonts w:ascii="Arial" w:hAnsi="Arial" w:cs="Arial"/>
          <w:color w:val="000000"/>
          <w:sz w:val="22"/>
          <w:szCs w:val="22"/>
        </w:rPr>
        <w:t>5.2.2 Recommendation 2 – Strengthen ethical international recruitment and support for migrant workers</w:t>
      </w:r>
      <w:r w:rsidR="00D83B0E">
        <w:rPr>
          <w:rFonts w:ascii="Arial" w:hAnsi="Arial" w:cs="Arial"/>
          <w:color w:val="000000"/>
          <w:sz w:val="22"/>
          <w:szCs w:val="22"/>
        </w:rPr>
        <w:t>…………………………………………………………………</w:t>
      </w:r>
      <w:r w:rsidR="000B79D9">
        <w:rPr>
          <w:rFonts w:ascii="Arial" w:hAnsi="Arial" w:cs="Arial"/>
          <w:color w:val="000000"/>
          <w:sz w:val="22"/>
          <w:szCs w:val="22"/>
        </w:rPr>
        <w:t>39-40</w:t>
      </w:r>
    </w:p>
    <w:p w14:paraId="650905DF" w14:textId="6914D45B" w:rsidR="00CD1140" w:rsidRPr="001F5A7A" w:rsidRDefault="00CD1140" w:rsidP="000B79D9">
      <w:pPr>
        <w:pStyle w:val="NormalWeb"/>
        <w:spacing w:line="480" w:lineRule="auto"/>
        <w:rPr>
          <w:rFonts w:ascii="Arial" w:hAnsi="Arial" w:cs="Arial"/>
          <w:color w:val="000000"/>
          <w:sz w:val="22"/>
          <w:szCs w:val="22"/>
        </w:rPr>
      </w:pPr>
      <w:r w:rsidRPr="001F5A7A">
        <w:rPr>
          <w:rFonts w:ascii="Arial" w:hAnsi="Arial" w:cs="Arial"/>
          <w:color w:val="000000"/>
          <w:sz w:val="22"/>
          <w:szCs w:val="22"/>
        </w:rPr>
        <w:t>5.2.3 Recommendation 3 – Develop a long-term workforce strategy to strengthen domestic recruitment and workforce sustainability</w:t>
      </w:r>
      <w:r w:rsidR="000B79D9">
        <w:rPr>
          <w:rFonts w:ascii="Arial" w:hAnsi="Arial" w:cs="Arial"/>
          <w:color w:val="000000"/>
          <w:sz w:val="22"/>
          <w:szCs w:val="22"/>
        </w:rPr>
        <w:t>…………………………………….</w:t>
      </w:r>
      <w:r w:rsidR="00F12CED">
        <w:rPr>
          <w:rFonts w:ascii="Arial" w:hAnsi="Arial" w:cs="Arial"/>
          <w:color w:val="000000"/>
          <w:sz w:val="22"/>
          <w:szCs w:val="22"/>
        </w:rPr>
        <w:t>41</w:t>
      </w:r>
    </w:p>
    <w:p w14:paraId="26332E5B" w14:textId="4CC63A0D" w:rsidR="00CD1140" w:rsidRPr="00280774" w:rsidRDefault="00CD1140" w:rsidP="00CD1140">
      <w:pPr>
        <w:pStyle w:val="NormalWeb"/>
        <w:rPr>
          <w:rFonts w:ascii="Arial" w:hAnsi="Arial" w:cs="Arial"/>
          <w:b/>
          <w:bCs/>
          <w:color w:val="000000"/>
          <w:sz w:val="22"/>
          <w:szCs w:val="22"/>
        </w:rPr>
      </w:pPr>
      <w:r w:rsidRPr="00280774">
        <w:rPr>
          <w:rStyle w:val="Strong"/>
          <w:rFonts w:ascii="Arial" w:hAnsi="Arial" w:cs="Arial"/>
          <w:b w:val="0"/>
          <w:bCs w:val="0"/>
          <w:color w:val="000000"/>
          <w:sz w:val="22"/>
          <w:szCs w:val="22"/>
        </w:rPr>
        <w:t>References</w:t>
      </w:r>
      <w:r w:rsidR="00C308BF" w:rsidRPr="00280774">
        <w:rPr>
          <w:rStyle w:val="Strong"/>
          <w:rFonts w:ascii="Arial" w:hAnsi="Arial" w:cs="Arial"/>
          <w:b w:val="0"/>
          <w:bCs w:val="0"/>
          <w:color w:val="000000"/>
          <w:sz w:val="22"/>
          <w:szCs w:val="22"/>
        </w:rPr>
        <w:t>……………………………………………………………………</w:t>
      </w:r>
      <w:r w:rsidR="00964BE8">
        <w:rPr>
          <w:rStyle w:val="Strong"/>
          <w:rFonts w:ascii="Arial" w:hAnsi="Arial" w:cs="Arial"/>
          <w:b w:val="0"/>
          <w:bCs w:val="0"/>
          <w:color w:val="000000"/>
          <w:sz w:val="22"/>
          <w:szCs w:val="22"/>
        </w:rPr>
        <w:t>42-49</w:t>
      </w:r>
    </w:p>
    <w:p w14:paraId="14861395" w14:textId="08DCB4C9" w:rsidR="00CD1140" w:rsidRPr="006A7705" w:rsidRDefault="006A7705" w:rsidP="006A7705">
      <w:pPr>
        <w:rPr>
          <w:rFonts w:ascii="Arial" w:hAnsi="Arial" w:cs="Arial"/>
        </w:rPr>
      </w:pPr>
      <w:r w:rsidRPr="006A7705">
        <w:rPr>
          <w:rFonts w:ascii="Arial" w:hAnsi="Arial" w:cs="Arial"/>
        </w:rPr>
        <w:t>Appen</w:t>
      </w:r>
      <w:r w:rsidR="00D00AF6">
        <w:rPr>
          <w:rFonts w:ascii="Arial" w:hAnsi="Arial" w:cs="Arial"/>
        </w:rPr>
        <w:t>dix</w:t>
      </w:r>
      <w:r>
        <w:rPr>
          <w:rFonts w:ascii="Arial" w:hAnsi="Arial" w:cs="Arial"/>
        </w:rPr>
        <w:t>:</w:t>
      </w:r>
      <w:r w:rsidR="00FE1C7B">
        <w:rPr>
          <w:rFonts w:ascii="Arial" w:hAnsi="Arial" w:cs="Arial"/>
        </w:rPr>
        <w:t xml:space="preserve"> </w:t>
      </w:r>
      <w:r w:rsidRPr="006A7705">
        <w:rPr>
          <w:rFonts w:ascii="Arial" w:hAnsi="Arial" w:cs="Arial"/>
        </w:rPr>
        <w:t>Independent Project Results Summary Tabl</w:t>
      </w:r>
      <w:r w:rsidR="00FE1C7B">
        <w:rPr>
          <w:rFonts w:ascii="Arial" w:hAnsi="Arial" w:cs="Arial"/>
        </w:rPr>
        <w:t>e……………………</w:t>
      </w:r>
      <w:r w:rsidR="000C50FB">
        <w:rPr>
          <w:rFonts w:ascii="Arial" w:hAnsi="Arial" w:cs="Arial"/>
        </w:rPr>
        <w:t>50-54</w:t>
      </w:r>
    </w:p>
    <w:p w14:paraId="5295081B" w14:textId="77777777" w:rsidR="009239BB" w:rsidRPr="00570A81" w:rsidRDefault="009239BB" w:rsidP="00052B11">
      <w:pPr>
        <w:pStyle w:val="Heading1"/>
        <w:rPr>
          <w:rFonts w:ascii="Arial" w:hAnsi="Arial" w:cs="Arial"/>
          <w:color w:val="000000" w:themeColor="text1"/>
          <w:sz w:val="22"/>
          <w:szCs w:val="22"/>
        </w:rPr>
      </w:pPr>
    </w:p>
    <w:p w14:paraId="49ECD70F" w14:textId="77777777" w:rsidR="009239BB" w:rsidRDefault="009239BB" w:rsidP="00052B11">
      <w:pPr>
        <w:pStyle w:val="Heading1"/>
        <w:rPr>
          <w:rFonts w:ascii="Arial" w:hAnsi="Arial" w:cs="Arial"/>
          <w:b/>
          <w:bCs/>
          <w:color w:val="000000" w:themeColor="text1"/>
          <w:sz w:val="32"/>
          <w:szCs w:val="32"/>
        </w:rPr>
      </w:pPr>
    </w:p>
    <w:p w14:paraId="7E892F11" w14:textId="77777777" w:rsidR="009239BB" w:rsidRDefault="009239BB" w:rsidP="00052B11">
      <w:pPr>
        <w:pStyle w:val="Heading1"/>
        <w:rPr>
          <w:rFonts w:ascii="Arial" w:hAnsi="Arial" w:cs="Arial"/>
          <w:b/>
          <w:bCs/>
          <w:color w:val="000000" w:themeColor="text1"/>
          <w:sz w:val="32"/>
          <w:szCs w:val="32"/>
        </w:rPr>
      </w:pPr>
    </w:p>
    <w:p w14:paraId="6E0C7F59" w14:textId="77777777" w:rsidR="009239BB" w:rsidRDefault="009239BB" w:rsidP="00052B11">
      <w:pPr>
        <w:pStyle w:val="Heading1"/>
        <w:rPr>
          <w:rFonts w:ascii="Arial" w:hAnsi="Arial" w:cs="Arial"/>
          <w:b/>
          <w:bCs/>
          <w:color w:val="000000" w:themeColor="text1"/>
          <w:sz w:val="32"/>
          <w:szCs w:val="32"/>
        </w:rPr>
      </w:pPr>
    </w:p>
    <w:p w14:paraId="436414EC" w14:textId="77777777" w:rsidR="006E2903" w:rsidRDefault="006E2903" w:rsidP="00AC2357">
      <w:pPr>
        <w:pStyle w:val="Heading1"/>
        <w:jc w:val="left"/>
        <w:rPr>
          <w:rFonts w:ascii="Arial" w:hAnsi="Arial" w:cs="Arial"/>
          <w:b/>
          <w:bCs/>
          <w:color w:val="000000" w:themeColor="text1"/>
          <w:sz w:val="32"/>
          <w:szCs w:val="32"/>
        </w:rPr>
      </w:pPr>
    </w:p>
    <w:p w14:paraId="6724D32E" w14:textId="77777777" w:rsidR="006E2903" w:rsidRDefault="006E2903" w:rsidP="00AC2357">
      <w:pPr>
        <w:pStyle w:val="Heading1"/>
        <w:jc w:val="left"/>
        <w:rPr>
          <w:rFonts w:ascii="Arial" w:hAnsi="Arial" w:cs="Arial"/>
          <w:b/>
          <w:bCs/>
          <w:color w:val="000000" w:themeColor="text1"/>
          <w:sz w:val="32"/>
          <w:szCs w:val="32"/>
        </w:rPr>
      </w:pPr>
    </w:p>
    <w:p w14:paraId="47868DB4" w14:textId="77777777" w:rsidR="004E3FAB" w:rsidRDefault="004E3FAB" w:rsidP="006E2903"/>
    <w:p w14:paraId="7E6B0E80" w14:textId="4AB9733B" w:rsidR="00052B11" w:rsidRPr="00836CEE" w:rsidRDefault="00052B11" w:rsidP="006E2903">
      <w:pPr>
        <w:rPr>
          <w:rFonts w:ascii="Arial" w:hAnsi="Arial" w:cs="Arial"/>
          <w:b/>
          <w:bCs/>
          <w:sz w:val="32"/>
          <w:szCs w:val="32"/>
        </w:rPr>
      </w:pPr>
      <w:r w:rsidRPr="00836CEE">
        <w:rPr>
          <w:rFonts w:ascii="Arial" w:hAnsi="Arial" w:cs="Arial"/>
          <w:b/>
          <w:bCs/>
          <w:sz w:val="32"/>
          <w:szCs w:val="32"/>
        </w:rPr>
        <w:lastRenderedPageBreak/>
        <w:t xml:space="preserve">CHAPTER 1: Introduction </w:t>
      </w:r>
    </w:p>
    <w:p w14:paraId="06E59A79" w14:textId="77777777" w:rsidR="00280C12" w:rsidRPr="00D973F4" w:rsidRDefault="008E6609" w:rsidP="00EB11F4">
      <w:pPr>
        <w:pStyle w:val="Heading2"/>
        <w:rPr>
          <w:rFonts w:ascii="Arial" w:hAnsi="Arial" w:cs="Arial"/>
          <w:color w:val="000000" w:themeColor="text1"/>
          <w:sz w:val="28"/>
          <w:szCs w:val="28"/>
        </w:rPr>
      </w:pPr>
      <w:r w:rsidRPr="00D973F4">
        <w:rPr>
          <w:rFonts w:ascii="Arial" w:hAnsi="Arial" w:cs="Arial"/>
          <w:color w:val="000000" w:themeColor="text1"/>
          <w:sz w:val="28"/>
          <w:szCs w:val="28"/>
        </w:rPr>
        <w:t>1.1 Introduction</w:t>
      </w:r>
    </w:p>
    <w:p w14:paraId="26AD5DF0" w14:textId="139AE31A" w:rsidR="00122138" w:rsidRPr="005013BE" w:rsidRDefault="00122138" w:rsidP="00525712">
      <w:pPr>
        <w:rPr>
          <w:rFonts w:ascii="Arial" w:hAnsi="Arial" w:cs="Arial"/>
          <w:color w:val="000000" w:themeColor="text1"/>
        </w:rPr>
      </w:pPr>
      <w:r w:rsidRPr="005013BE">
        <w:rPr>
          <w:rFonts w:ascii="Arial" w:hAnsi="Arial" w:cs="Arial"/>
          <w:color w:val="000000" w:themeColor="text1"/>
        </w:rPr>
        <w:t xml:space="preserve">The Adult Social Care sector (ASC) in the United Kingdom (UK) is experiencing persistent workforce shortages, characterised by high vacancy rates, staff turnover, and rising demand for services (Moriarty </w:t>
      </w:r>
      <w:r w:rsidRPr="005013BE">
        <w:rPr>
          <w:rFonts w:ascii="Arial" w:hAnsi="Arial" w:cs="Arial"/>
          <w:i/>
          <w:iCs/>
          <w:color w:val="000000" w:themeColor="text1"/>
        </w:rPr>
        <w:t>et al.,</w:t>
      </w:r>
      <w:r w:rsidRPr="005013BE">
        <w:rPr>
          <w:rFonts w:ascii="Arial" w:hAnsi="Arial" w:cs="Arial"/>
          <w:color w:val="000000" w:themeColor="text1"/>
        </w:rPr>
        <w:t xml:space="preserve"> 2018). With approximately 1.59 million people employed in</w:t>
      </w:r>
      <w:r w:rsidR="00B3200F" w:rsidRPr="005013BE">
        <w:rPr>
          <w:rFonts w:ascii="Arial" w:hAnsi="Arial" w:cs="Arial"/>
          <w:color w:val="000000" w:themeColor="text1"/>
        </w:rPr>
        <w:t xml:space="preserve"> ASC </w:t>
      </w:r>
      <w:r w:rsidRPr="005013BE">
        <w:rPr>
          <w:rFonts w:ascii="Arial" w:hAnsi="Arial" w:cs="Arial"/>
          <w:color w:val="000000" w:themeColor="text1"/>
        </w:rPr>
        <w:t>in 2023/24 and around 131,000 vacant positions, workforce sustainability has become a major policy and operational concern (Skills for Care, 202</w:t>
      </w:r>
      <w:r w:rsidR="002B1F02" w:rsidRPr="005013BE">
        <w:rPr>
          <w:rFonts w:ascii="Arial" w:hAnsi="Arial" w:cs="Arial"/>
          <w:color w:val="000000" w:themeColor="text1"/>
        </w:rPr>
        <w:t>5</w:t>
      </w:r>
      <w:r w:rsidRPr="005013BE">
        <w:rPr>
          <w:rFonts w:ascii="Arial" w:hAnsi="Arial" w:cs="Arial"/>
          <w:color w:val="000000" w:themeColor="text1"/>
        </w:rPr>
        <w:t>). These shortages have intensified in the context of an ageing population and increasingly complex care needs (</w:t>
      </w:r>
      <w:r w:rsidR="002635A8" w:rsidRPr="005013BE">
        <w:rPr>
          <w:rFonts w:ascii="Arial" w:hAnsi="Arial" w:cs="Arial"/>
          <w:color w:val="000000" w:themeColor="text1"/>
        </w:rPr>
        <w:t>Office for National Statistics (ONS)</w:t>
      </w:r>
      <w:r w:rsidRPr="005013BE">
        <w:rPr>
          <w:rFonts w:ascii="Arial" w:hAnsi="Arial" w:cs="Arial"/>
          <w:color w:val="000000" w:themeColor="text1"/>
        </w:rPr>
        <w:t>, 2023). In response to domestic recruitment difficulties, the UK has increasingly relied on a migrant workforce to maintain services and ensure continuity of care (Turnpenny &amp; Hussein, 2022).</w:t>
      </w:r>
    </w:p>
    <w:p w14:paraId="7463EC17" w14:textId="1DA6CC36" w:rsidR="00122138" w:rsidRPr="005013BE" w:rsidRDefault="00122138" w:rsidP="00525712">
      <w:pPr>
        <w:rPr>
          <w:rFonts w:ascii="Arial" w:hAnsi="Arial" w:cs="Arial"/>
          <w:color w:val="000000" w:themeColor="text1"/>
        </w:rPr>
      </w:pPr>
      <w:r w:rsidRPr="005013BE">
        <w:rPr>
          <w:rFonts w:ascii="Arial" w:hAnsi="Arial" w:cs="Arial"/>
          <w:color w:val="000000" w:themeColor="text1"/>
        </w:rPr>
        <w:t xml:space="preserve">Migrant workers now constitute approximately one-quarter of the </w:t>
      </w:r>
      <w:r w:rsidR="00717D08" w:rsidRPr="005013BE">
        <w:rPr>
          <w:rFonts w:ascii="Arial" w:hAnsi="Arial" w:cs="Arial"/>
          <w:color w:val="000000" w:themeColor="text1"/>
        </w:rPr>
        <w:t xml:space="preserve">ASC </w:t>
      </w:r>
      <w:r w:rsidRPr="005013BE">
        <w:rPr>
          <w:rFonts w:ascii="Arial" w:hAnsi="Arial" w:cs="Arial"/>
          <w:color w:val="000000" w:themeColor="text1"/>
        </w:rPr>
        <w:t>workforce, occupying many frontline direct care roles (Skills for Care, 202</w:t>
      </w:r>
      <w:r w:rsidR="002B1F02" w:rsidRPr="005013BE">
        <w:rPr>
          <w:rFonts w:ascii="Arial" w:hAnsi="Arial" w:cs="Arial"/>
          <w:color w:val="000000" w:themeColor="text1"/>
        </w:rPr>
        <w:t>5</w:t>
      </w:r>
      <w:r w:rsidRPr="005013BE">
        <w:rPr>
          <w:rFonts w:ascii="Arial" w:hAnsi="Arial" w:cs="Arial"/>
          <w:color w:val="000000" w:themeColor="text1"/>
        </w:rPr>
        <w:t>). Policy reforms, including the placement of care roles on the Shortage Occupation List</w:t>
      </w:r>
      <w:r w:rsidR="00046DE5" w:rsidRPr="005013BE">
        <w:rPr>
          <w:rFonts w:ascii="Arial" w:hAnsi="Arial" w:cs="Arial"/>
          <w:color w:val="000000" w:themeColor="text1"/>
        </w:rPr>
        <w:t xml:space="preserve"> (SOL) </w:t>
      </w:r>
      <w:r w:rsidRPr="005013BE">
        <w:rPr>
          <w:rFonts w:ascii="Arial" w:hAnsi="Arial" w:cs="Arial"/>
          <w:color w:val="000000" w:themeColor="text1"/>
        </w:rPr>
        <w:t>and the introduction of the Health and Care Worker visa, have shaped international recruitment patterns (</w:t>
      </w:r>
      <w:r w:rsidR="00364FF1" w:rsidRPr="005013BE">
        <w:rPr>
          <w:rFonts w:ascii="Arial" w:hAnsi="Arial" w:cs="Arial"/>
          <w:color w:val="000000" w:themeColor="text1"/>
        </w:rPr>
        <w:t>GOV.UK</w:t>
      </w:r>
      <w:r w:rsidRPr="005013BE">
        <w:rPr>
          <w:rFonts w:ascii="Arial" w:hAnsi="Arial" w:cs="Arial"/>
          <w:color w:val="000000" w:themeColor="text1"/>
        </w:rPr>
        <w:t>, 2021). However, recent tightening of immigration rules and visa restrictions has raised concerns regarding the long-term sustainability of this reliance and exposed structural vulnerabilities in workforce planning (Migration Observatory,</w:t>
      </w:r>
      <w:r w:rsidR="006D4D35" w:rsidRPr="005013BE">
        <w:rPr>
          <w:rFonts w:ascii="Arial" w:hAnsi="Arial" w:cs="Arial"/>
          <w:color w:val="000000" w:themeColor="text1"/>
        </w:rPr>
        <w:t xml:space="preserve"> 2023</w:t>
      </w:r>
      <w:r w:rsidRPr="005013BE">
        <w:rPr>
          <w:rFonts w:ascii="Arial" w:hAnsi="Arial" w:cs="Arial"/>
          <w:color w:val="000000" w:themeColor="text1"/>
        </w:rPr>
        <w:t>).</w:t>
      </w:r>
    </w:p>
    <w:p w14:paraId="55A0A4C7" w14:textId="77777777" w:rsidR="00562856" w:rsidRPr="005013BE" w:rsidRDefault="00122138" w:rsidP="00525712">
      <w:pPr>
        <w:rPr>
          <w:rFonts w:ascii="Arial" w:hAnsi="Arial" w:cs="Arial"/>
          <w:color w:val="000000" w:themeColor="text1"/>
        </w:rPr>
      </w:pPr>
      <w:r w:rsidRPr="005013BE">
        <w:rPr>
          <w:rFonts w:ascii="Arial" w:hAnsi="Arial" w:cs="Arial"/>
          <w:color w:val="000000" w:themeColor="text1"/>
        </w:rPr>
        <w:t xml:space="preserve">The primary aim of this dissertation is to examine how migrant workers support the </w:t>
      </w:r>
      <w:r w:rsidR="00046DE5" w:rsidRPr="005013BE">
        <w:rPr>
          <w:rFonts w:ascii="Arial" w:hAnsi="Arial" w:cs="Arial"/>
          <w:color w:val="000000" w:themeColor="text1"/>
        </w:rPr>
        <w:t>A</w:t>
      </w:r>
      <w:r w:rsidR="0058204B" w:rsidRPr="005013BE">
        <w:rPr>
          <w:rFonts w:ascii="Arial" w:hAnsi="Arial" w:cs="Arial"/>
          <w:color w:val="000000" w:themeColor="text1"/>
        </w:rPr>
        <w:t xml:space="preserve">SC </w:t>
      </w:r>
      <w:r w:rsidRPr="005013BE">
        <w:rPr>
          <w:rFonts w:ascii="Arial" w:hAnsi="Arial" w:cs="Arial"/>
          <w:color w:val="000000" w:themeColor="text1"/>
        </w:rPr>
        <w:t>workforce in the UK. It will explore their contribution to care delivery and workforce stability, alongside the policy factors affecting their recruitment and experiences. By critically analysing policy, workforce data, and academic literature, this research contributes to ongoing UK debates surrounding migration, labour sustainability, and social care reform (Glasby, 2021).</w:t>
      </w:r>
    </w:p>
    <w:p w14:paraId="3B06FFEF" w14:textId="0EDE509F" w:rsidR="008E6609" w:rsidRPr="00D973F4" w:rsidRDefault="008E6609" w:rsidP="00EB11F4">
      <w:pPr>
        <w:pStyle w:val="Heading2"/>
        <w:rPr>
          <w:rFonts w:ascii="Arial" w:hAnsi="Arial" w:cs="Arial"/>
          <w:color w:val="000000" w:themeColor="text1"/>
          <w:sz w:val="28"/>
          <w:szCs w:val="28"/>
        </w:rPr>
      </w:pPr>
      <w:r w:rsidRPr="00D973F4">
        <w:rPr>
          <w:rFonts w:ascii="Arial" w:hAnsi="Arial" w:cs="Arial"/>
          <w:color w:val="000000" w:themeColor="text1"/>
          <w:sz w:val="28"/>
          <w:szCs w:val="28"/>
        </w:rPr>
        <w:t>1.2 Definitions and Terminology</w:t>
      </w:r>
    </w:p>
    <w:p w14:paraId="57856CFA" w14:textId="6B1CE1AE" w:rsidR="00E71013" w:rsidRPr="000E69B4" w:rsidRDefault="0058204B" w:rsidP="00BA4CF2">
      <w:pPr>
        <w:pStyle w:val="p1"/>
        <w:spacing w:line="360" w:lineRule="auto"/>
        <w:jc w:val="both"/>
        <w:rPr>
          <w:rFonts w:ascii="Arial" w:hAnsi="Arial" w:cs="Arial"/>
          <w:color w:val="000000" w:themeColor="text1"/>
          <w:sz w:val="22"/>
          <w:szCs w:val="22"/>
        </w:rPr>
      </w:pPr>
      <w:r w:rsidRPr="000E69B4">
        <w:rPr>
          <w:rFonts w:ascii="Arial" w:hAnsi="Arial" w:cs="Arial"/>
          <w:color w:val="000000" w:themeColor="text1"/>
          <w:sz w:val="22"/>
          <w:szCs w:val="22"/>
        </w:rPr>
        <w:t>A</w:t>
      </w:r>
      <w:r w:rsidR="00A861E1" w:rsidRPr="000E69B4">
        <w:rPr>
          <w:rFonts w:ascii="Arial" w:hAnsi="Arial" w:cs="Arial"/>
          <w:color w:val="000000" w:themeColor="text1"/>
          <w:sz w:val="22"/>
          <w:szCs w:val="22"/>
        </w:rPr>
        <w:t>SC</w:t>
      </w:r>
      <w:r w:rsidR="00E71013" w:rsidRPr="000E69B4">
        <w:rPr>
          <w:rFonts w:ascii="Arial" w:hAnsi="Arial" w:cs="Arial"/>
          <w:color w:val="000000" w:themeColor="text1"/>
          <w:sz w:val="22"/>
          <w:szCs w:val="22"/>
        </w:rPr>
        <w:t xml:space="preserve"> is defined as services that provide personal care and practical support to adults with physical disabilities, learning disabilities, mental health conditions, or age-related needs, including residential care, domiciliary care, supported living and community-based services, delivered across public, private and voluntary sectors, as outlined by the Care Quality Commission (CQC, 202</w:t>
      </w:r>
      <w:r w:rsidR="00DC6CF2" w:rsidRPr="000E69B4">
        <w:rPr>
          <w:rFonts w:ascii="Arial" w:hAnsi="Arial" w:cs="Arial"/>
          <w:color w:val="000000" w:themeColor="text1"/>
          <w:sz w:val="22"/>
          <w:szCs w:val="22"/>
        </w:rPr>
        <w:t>6</w:t>
      </w:r>
      <w:r w:rsidR="00E71013" w:rsidRPr="000E69B4">
        <w:rPr>
          <w:rFonts w:ascii="Arial" w:hAnsi="Arial" w:cs="Arial"/>
          <w:color w:val="000000" w:themeColor="text1"/>
          <w:sz w:val="22"/>
          <w:szCs w:val="22"/>
        </w:rPr>
        <w:t>).</w:t>
      </w:r>
    </w:p>
    <w:p w14:paraId="406D954F" w14:textId="51A9846A" w:rsidR="00E71013" w:rsidRPr="000E69B4" w:rsidRDefault="00E71013" w:rsidP="00BA4CF2">
      <w:pPr>
        <w:pStyle w:val="p1"/>
        <w:spacing w:line="360" w:lineRule="auto"/>
        <w:jc w:val="both"/>
        <w:rPr>
          <w:rFonts w:ascii="Arial" w:hAnsi="Arial" w:cs="Arial"/>
          <w:color w:val="000000" w:themeColor="text1"/>
          <w:sz w:val="22"/>
          <w:szCs w:val="22"/>
        </w:rPr>
      </w:pPr>
      <w:r w:rsidRPr="000E69B4">
        <w:rPr>
          <w:rFonts w:ascii="Arial" w:hAnsi="Arial" w:cs="Arial"/>
          <w:color w:val="000000" w:themeColor="text1"/>
          <w:sz w:val="22"/>
          <w:szCs w:val="22"/>
        </w:rPr>
        <w:t>In this research, the term migrant workers refers to individuals employed in</w:t>
      </w:r>
      <w:r w:rsidR="0034070A" w:rsidRPr="000E69B4">
        <w:rPr>
          <w:rFonts w:ascii="Arial" w:hAnsi="Arial" w:cs="Arial"/>
          <w:color w:val="000000" w:themeColor="text1"/>
          <w:sz w:val="22"/>
          <w:szCs w:val="22"/>
        </w:rPr>
        <w:t xml:space="preserve"> the </w:t>
      </w:r>
      <w:r w:rsidRPr="000E69B4">
        <w:rPr>
          <w:rFonts w:ascii="Arial" w:hAnsi="Arial" w:cs="Arial"/>
          <w:color w:val="000000" w:themeColor="text1"/>
          <w:sz w:val="22"/>
          <w:szCs w:val="22"/>
        </w:rPr>
        <w:t xml:space="preserve">UK </w:t>
      </w:r>
      <w:r w:rsidR="008E6498" w:rsidRPr="000E69B4">
        <w:rPr>
          <w:rFonts w:ascii="Arial" w:hAnsi="Arial" w:cs="Arial"/>
          <w:color w:val="000000" w:themeColor="text1"/>
          <w:sz w:val="22"/>
          <w:szCs w:val="22"/>
        </w:rPr>
        <w:t>i</w:t>
      </w:r>
      <w:r w:rsidR="00200C4F" w:rsidRPr="000E69B4">
        <w:rPr>
          <w:rFonts w:ascii="Arial" w:hAnsi="Arial" w:cs="Arial"/>
          <w:color w:val="000000" w:themeColor="text1"/>
          <w:sz w:val="22"/>
          <w:szCs w:val="22"/>
        </w:rPr>
        <w:t xml:space="preserve">n </w:t>
      </w:r>
      <w:r w:rsidR="0034070A" w:rsidRPr="000E69B4">
        <w:rPr>
          <w:rFonts w:ascii="Arial" w:hAnsi="Arial" w:cs="Arial"/>
          <w:color w:val="000000" w:themeColor="text1"/>
          <w:sz w:val="22"/>
          <w:szCs w:val="22"/>
        </w:rPr>
        <w:t xml:space="preserve">ASC </w:t>
      </w:r>
      <w:r w:rsidRPr="000E69B4">
        <w:rPr>
          <w:rFonts w:ascii="Arial" w:hAnsi="Arial" w:cs="Arial"/>
          <w:color w:val="000000" w:themeColor="text1"/>
          <w:sz w:val="22"/>
          <w:szCs w:val="22"/>
        </w:rPr>
        <w:t xml:space="preserve">who were born outside the United Kingdom. This includes workers holding settled or pre-settled status and those entering through official migration routes such as the Health and Care </w:t>
      </w:r>
      <w:r w:rsidRPr="000E69B4">
        <w:rPr>
          <w:rFonts w:ascii="Arial" w:hAnsi="Arial" w:cs="Arial"/>
          <w:color w:val="000000" w:themeColor="text1"/>
          <w:sz w:val="22"/>
          <w:szCs w:val="22"/>
        </w:rPr>
        <w:lastRenderedPageBreak/>
        <w:t xml:space="preserve">Worker visa, as described by the Migration Observatory </w:t>
      </w:r>
      <w:r w:rsidR="00BE25B1" w:rsidRPr="000E69B4">
        <w:rPr>
          <w:rFonts w:ascii="Arial" w:hAnsi="Arial" w:cs="Arial"/>
          <w:color w:val="000000" w:themeColor="text1"/>
          <w:sz w:val="22"/>
          <w:szCs w:val="22"/>
        </w:rPr>
        <w:t>(</w:t>
      </w:r>
      <w:r w:rsidRPr="000E69B4">
        <w:rPr>
          <w:rFonts w:ascii="Arial" w:hAnsi="Arial" w:cs="Arial"/>
          <w:color w:val="000000" w:themeColor="text1"/>
          <w:sz w:val="22"/>
          <w:szCs w:val="22"/>
        </w:rPr>
        <w:t>202</w:t>
      </w:r>
      <w:r w:rsidR="006D4D35" w:rsidRPr="000E69B4">
        <w:rPr>
          <w:rFonts w:ascii="Arial" w:hAnsi="Arial" w:cs="Arial"/>
          <w:color w:val="000000" w:themeColor="text1"/>
          <w:sz w:val="22"/>
          <w:szCs w:val="22"/>
        </w:rPr>
        <w:t>3</w:t>
      </w:r>
      <w:r w:rsidRPr="000E69B4">
        <w:rPr>
          <w:rFonts w:ascii="Arial" w:hAnsi="Arial" w:cs="Arial"/>
          <w:color w:val="000000" w:themeColor="text1"/>
          <w:sz w:val="22"/>
          <w:szCs w:val="22"/>
        </w:rPr>
        <w:t>). Particular attention is given to migrant workers employed in direct care and support roles, where international recruitment has become a significant component of workforce supply (Skills for Care, 202</w:t>
      </w:r>
      <w:r w:rsidR="00B01593" w:rsidRPr="000E69B4">
        <w:rPr>
          <w:rFonts w:ascii="Arial" w:hAnsi="Arial" w:cs="Arial"/>
          <w:color w:val="000000" w:themeColor="text1"/>
          <w:sz w:val="22"/>
          <w:szCs w:val="22"/>
        </w:rPr>
        <w:t>5</w:t>
      </w:r>
      <w:r w:rsidRPr="000E69B4">
        <w:rPr>
          <w:rFonts w:ascii="Arial" w:hAnsi="Arial" w:cs="Arial"/>
          <w:color w:val="000000" w:themeColor="text1"/>
          <w:sz w:val="22"/>
          <w:szCs w:val="22"/>
        </w:rPr>
        <w:t>).</w:t>
      </w:r>
    </w:p>
    <w:p w14:paraId="42CC0942" w14:textId="77777777" w:rsidR="00E71013" w:rsidRPr="000E69B4" w:rsidRDefault="00E71013" w:rsidP="00BA4CF2">
      <w:pPr>
        <w:pStyle w:val="p1"/>
        <w:spacing w:line="360" w:lineRule="auto"/>
        <w:jc w:val="both"/>
        <w:rPr>
          <w:rFonts w:ascii="Arial" w:hAnsi="Arial" w:cs="Arial"/>
          <w:color w:val="000000" w:themeColor="text1"/>
          <w:sz w:val="22"/>
          <w:szCs w:val="22"/>
        </w:rPr>
      </w:pPr>
      <w:r w:rsidRPr="000E69B4">
        <w:rPr>
          <w:rFonts w:ascii="Arial" w:hAnsi="Arial" w:cs="Arial"/>
          <w:color w:val="000000" w:themeColor="text1"/>
          <w:sz w:val="22"/>
          <w:szCs w:val="22"/>
        </w:rPr>
        <w:t>Workforce sustainability refers to the sector’s capacity to recruit, retain and maintain a stable workforce able to meet present and future demand. This incorporates vacancy rates, staff turnover, workforce planning and continuity of care, highlighted within national workforce planning frameworks (Department of Health and Social Care, 2022).</w:t>
      </w:r>
    </w:p>
    <w:p w14:paraId="0C9B8CD9" w14:textId="03D40696" w:rsidR="008E6609" w:rsidRPr="00E3779C" w:rsidRDefault="008E6609" w:rsidP="00EB11F4">
      <w:pPr>
        <w:pStyle w:val="Heading2"/>
        <w:rPr>
          <w:rFonts w:ascii="Arial" w:hAnsi="Arial" w:cs="Arial"/>
          <w:color w:val="000000" w:themeColor="text1"/>
          <w:sz w:val="28"/>
          <w:szCs w:val="28"/>
        </w:rPr>
      </w:pPr>
      <w:r w:rsidRPr="00E3779C">
        <w:rPr>
          <w:rFonts w:ascii="Arial" w:hAnsi="Arial" w:cs="Arial"/>
          <w:color w:val="000000" w:themeColor="text1"/>
          <w:sz w:val="28"/>
          <w:szCs w:val="28"/>
        </w:rPr>
        <w:t>1.3 Rationale for Research</w:t>
      </w:r>
    </w:p>
    <w:p w14:paraId="0FA8F300" w14:textId="6C873FB8" w:rsidR="00CA5008" w:rsidRPr="00D0153D" w:rsidRDefault="00CA5008" w:rsidP="00DD0D94">
      <w:pPr>
        <w:pStyle w:val="p1"/>
        <w:spacing w:line="360" w:lineRule="auto"/>
        <w:jc w:val="both"/>
        <w:rPr>
          <w:rFonts w:ascii="Arial" w:hAnsi="Arial" w:cs="Arial"/>
          <w:color w:val="000000" w:themeColor="text1"/>
          <w:sz w:val="22"/>
          <w:szCs w:val="22"/>
        </w:rPr>
      </w:pPr>
      <w:r w:rsidRPr="00D0153D">
        <w:rPr>
          <w:rFonts w:ascii="Arial" w:hAnsi="Arial" w:cs="Arial"/>
          <w:color w:val="000000" w:themeColor="text1"/>
          <w:sz w:val="22"/>
          <w:szCs w:val="22"/>
        </w:rPr>
        <w:t xml:space="preserve">The growing relationship between migration policy and the sustainability of the </w:t>
      </w:r>
      <w:r w:rsidR="004D4C9A" w:rsidRPr="00D0153D">
        <w:rPr>
          <w:rFonts w:ascii="Arial" w:hAnsi="Arial" w:cs="Arial"/>
          <w:color w:val="000000" w:themeColor="text1"/>
          <w:sz w:val="22"/>
          <w:szCs w:val="22"/>
        </w:rPr>
        <w:t xml:space="preserve">ASC </w:t>
      </w:r>
      <w:r w:rsidRPr="00D0153D">
        <w:rPr>
          <w:rFonts w:ascii="Arial" w:hAnsi="Arial" w:cs="Arial"/>
          <w:color w:val="000000" w:themeColor="text1"/>
          <w:sz w:val="22"/>
          <w:szCs w:val="22"/>
        </w:rPr>
        <w:t>workforce in the UK is the reason this research topic was selected, as highlighted in national workforce reform discussions (Department of Health and Social Care, 2022). Social care workforce shortages are not new, but they have intensified following Brexit, the COVID-19 pandemic, and ongoing shortages in the domestic labour supply (Health Foundation, 2023). The use of international recruitment as a response to persistent staffing gaps has increased, with overseas workers increasingly filling care roles, raising concerns about structural dependency and long-term workforce planning (Migration Observatory, 202</w:t>
      </w:r>
      <w:r w:rsidR="00A716D3" w:rsidRPr="00D0153D">
        <w:rPr>
          <w:rFonts w:ascii="Arial" w:hAnsi="Arial" w:cs="Arial"/>
          <w:color w:val="000000" w:themeColor="text1"/>
          <w:sz w:val="22"/>
          <w:szCs w:val="22"/>
        </w:rPr>
        <w:t>3</w:t>
      </w:r>
      <w:r w:rsidRPr="00D0153D">
        <w:rPr>
          <w:rFonts w:ascii="Arial" w:hAnsi="Arial" w:cs="Arial"/>
          <w:color w:val="000000" w:themeColor="text1"/>
          <w:sz w:val="22"/>
          <w:szCs w:val="22"/>
        </w:rPr>
        <w:t>).</w:t>
      </w:r>
    </w:p>
    <w:p w14:paraId="53552BAC" w14:textId="77777777" w:rsidR="007C3001" w:rsidRPr="00D0153D" w:rsidRDefault="00834EC9" w:rsidP="00DD0D94">
      <w:pPr>
        <w:rPr>
          <w:rFonts w:ascii="Arial" w:eastAsia="Times New Roman" w:hAnsi="Arial" w:cs="Arial"/>
          <w:color w:val="000000" w:themeColor="text1"/>
          <w:kern w:val="0"/>
          <w:lang w:eastAsia="en-GB"/>
          <w14:ligatures w14:val="none"/>
        </w:rPr>
      </w:pPr>
      <w:r w:rsidRPr="00D0153D">
        <w:rPr>
          <w:rFonts w:ascii="Arial" w:hAnsi="Arial" w:cs="Arial"/>
          <w:color w:val="000000" w:themeColor="text1"/>
        </w:rPr>
        <w:t xml:space="preserve">Current research highlights the significant contribution of migrant workers to the </w:t>
      </w:r>
      <w:r w:rsidR="00E36660" w:rsidRPr="00D0153D">
        <w:rPr>
          <w:rFonts w:ascii="Arial" w:hAnsi="Arial" w:cs="Arial"/>
          <w:color w:val="000000" w:themeColor="text1"/>
        </w:rPr>
        <w:t>ASC</w:t>
      </w:r>
      <w:r w:rsidRPr="00D0153D">
        <w:rPr>
          <w:rFonts w:ascii="Arial" w:hAnsi="Arial" w:cs="Arial"/>
          <w:color w:val="000000" w:themeColor="text1"/>
        </w:rPr>
        <w:t xml:space="preserve"> sector, particularly within direct care roles (Turnpenny &amp; Hussein, 2022). Studies also examine issues such as labour market segmentation, discrimination, and the risk of exploitation in low-</w:t>
      </w:r>
      <w:r w:rsidR="000E7BCA" w:rsidRPr="00D0153D">
        <w:rPr>
          <w:rFonts w:ascii="Arial" w:hAnsi="Arial" w:cs="Arial"/>
          <w:color w:val="000000" w:themeColor="text1"/>
        </w:rPr>
        <w:t xml:space="preserve">income </w:t>
      </w:r>
      <w:r w:rsidRPr="00D0153D">
        <w:rPr>
          <w:rFonts w:ascii="Arial" w:hAnsi="Arial" w:cs="Arial"/>
          <w:color w:val="000000" w:themeColor="text1"/>
        </w:rPr>
        <w:t xml:space="preserve">care employment, where migrant workers are often concentrated </w:t>
      </w:r>
      <w:r w:rsidR="007C3001" w:rsidRPr="00D0153D">
        <w:rPr>
          <w:rFonts w:ascii="Arial" w:eastAsia="Times New Roman" w:hAnsi="Arial" w:cs="Arial"/>
          <w:color w:val="000000" w:themeColor="text1"/>
          <w:kern w:val="0"/>
          <w:lang w:eastAsia="en-GB"/>
          <w14:ligatures w14:val="none"/>
        </w:rPr>
        <w:t>(International Labour Organization, 2024).</w:t>
      </w:r>
    </w:p>
    <w:p w14:paraId="5C47E8A5" w14:textId="00C97207" w:rsidR="00834EC9" w:rsidRPr="00D0153D" w:rsidRDefault="00834EC9" w:rsidP="00DD0D94">
      <w:pPr>
        <w:pStyle w:val="p1"/>
        <w:spacing w:line="360" w:lineRule="auto"/>
        <w:jc w:val="both"/>
        <w:rPr>
          <w:rFonts w:ascii="Arial" w:hAnsi="Arial" w:cs="Arial"/>
          <w:color w:val="000000" w:themeColor="text1"/>
          <w:sz w:val="22"/>
          <w:szCs w:val="22"/>
        </w:rPr>
      </w:pPr>
      <w:r w:rsidRPr="00D0153D">
        <w:rPr>
          <w:rFonts w:ascii="Arial" w:hAnsi="Arial" w:cs="Arial"/>
          <w:color w:val="000000" w:themeColor="text1"/>
          <w:sz w:val="22"/>
          <w:szCs w:val="22"/>
        </w:rPr>
        <w:t>However, fewer studies incorporate workforce planning, working conditions, and immigration policy within a single analytical framework. Instead, much of the literature focuses either on care workforce challenges or migration systems separately rather than examining how these systems interact to influence sustainability (Migration Observatory, 202</w:t>
      </w:r>
      <w:r w:rsidR="00AC7994" w:rsidRPr="00D0153D">
        <w:rPr>
          <w:rFonts w:ascii="Arial" w:hAnsi="Arial" w:cs="Arial"/>
          <w:color w:val="000000" w:themeColor="text1"/>
          <w:sz w:val="22"/>
          <w:szCs w:val="22"/>
        </w:rPr>
        <w:t>3</w:t>
      </w:r>
      <w:r w:rsidRPr="00D0153D">
        <w:rPr>
          <w:rFonts w:ascii="Arial" w:hAnsi="Arial" w:cs="Arial"/>
          <w:color w:val="000000" w:themeColor="text1"/>
          <w:sz w:val="22"/>
          <w:szCs w:val="22"/>
        </w:rPr>
        <w:t>).</w:t>
      </w:r>
    </w:p>
    <w:p w14:paraId="0EBF4CD3" w14:textId="33C5FDC1" w:rsidR="00E92BD9" w:rsidRPr="00D0153D" w:rsidRDefault="00C320E6" w:rsidP="00DD0D94">
      <w:pPr>
        <w:pStyle w:val="p1"/>
        <w:spacing w:line="360" w:lineRule="auto"/>
        <w:jc w:val="both"/>
        <w:rPr>
          <w:rFonts w:ascii="Arial" w:hAnsi="Arial" w:cs="Arial"/>
          <w:color w:val="000000" w:themeColor="text1"/>
          <w:sz w:val="22"/>
          <w:szCs w:val="22"/>
        </w:rPr>
      </w:pPr>
      <w:r w:rsidRPr="00D0153D">
        <w:rPr>
          <w:rFonts w:ascii="Arial" w:hAnsi="Arial" w:cs="Arial"/>
          <w:color w:val="000000" w:themeColor="text1"/>
          <w:sz w:val="22"/>
          <w:szCs w:val="22"/>
        </w:rPr>
        <w:t xml:space="preserve">The wider significance of this research stems from its relevance to ongoing national discussions surrounding </w:t>
      </w:r>
      <w:r w:rsidR="004D5EEC" w:rsidRPr="00D0153D">
        <w:rPr>
          <w:rFonts w:ascii="Arial" w:hAnsi="Arial" w:cs="Arial"/>
          <w:color w:val="000000" w:themeColor="text1"/>
          <w:sz w:val="22"/>
          <w:szCs w:val="22"/>
        </w:rPr>
        <w:t xml:space="preserve">ASC </w:t>
      </w:r>
      <w:r w:rsidRPr="00D0153D">
        <w:rPr>
          <w:rFonts w:ascii="Arial" w:hAnsi="Arial" w:cs="Arial"/>
          <w:color w:val="000000" w:themeColor="text1"/>
          <w:sz w:val="22"/>
          <w:szCs w:val="22"/>
        </w:rPr>
        <w:t>funding, ethical recruitment practices, and immigration reform, as highlighted in national reform policy (Department of Health and Social Care, 2022). Changes in policies governing sponsorship criteria, family dependents, and</w:t>
      </w:r>
    </w:p>
    <w:p w14:paraId="27A9EE57" w14:textId="33924DCC" w:rsidR="00C320E6" w:rsidRPr="00D0153D" w:rsidRDefault="00C320E6" w:rsidP="00DD0D94">
      <w:pPr>
        <w:pStyle w:val="p1"/>
        <w:spacing w:line="360" w:lineRule="auto"/>
        <w:jc w:val="both"/>
        <w:rPr>
          <w:rFonts w:ascii="Arial" w:hAnsi="Arial" w:cs="Arial"/>
          <w:color w:val="000000" w:themeColor="text1"/>
          <w:sz w:val="22"/>
          <w:szCs w:val="22"/>
        </w:rPr>
      </w:pPr>
      <w:r w:rsidRPr="00D0153D">
        <w:rPr>
          <w:rFonts w:ascii="Arial" w:hAnsi="Arial" w:cs="Arial"/>
          <w:color w:val="000000" w:themeColor="text1"/>
          <w:sz w:val="22"/>
          <w:szCs w:val="22"/>
        </w:rPr>
        <w:t>visa eligibility may directly affect workforce availability, as suggested by recent migration policy analysis (Migration Observatory, 202</w:t>
      </w:r>
      <w:r w:rsidR="00AC7994" w:rsidRPr="00D0153D">
        <w:rPr>
          <w:rFonts w:ascii="Arial" w:hAnsi="Arial" w:cs="Arial"/>
          <w:color w:val="000000" w:themeColor="text1"/>
          <w:sz w:val="22"/>
          <w:szCs w:val="22"/>
        </w:rPr>
        <w:t>3</w:t>
      </w:r>
      <w:r w:rsidRPr="00D0153D">
        <w:rPr>
          <w:rFonts w:ascii="Arial" w:hAnsi="Arial" w:cs="Arial"/>
          <w:color w:val="000000" w:themeColor="text1"/>
          <w:sz w:val="22"/>
          <w:szCs w:val="22"/>
        </w:rPr>
        <w:t xml:space="preserve">). As a result, effective workforce planning requires a </w:t>
      </w:r>
      <w:r w:rsidRPr="00D0153D">
        <w:rPr>
          <w:rFonts w:ascii="Arial" w:hAnsi="Arial" w:cs="Arial"/>
          <w:color w:val="000000" w:themeColor="text1"/>
          <w:sz w:val="22"/>
          <w:szCs w:val="22"/>
        </w:rPr>
        <w:lastRenderedPageBreak/>
        <w:t>clear understanding of how migrant workers support service stability and how policy structures influence their participation in the sector.</w:t>
      </w:r>
    </w:p>
    <w:p w14:paraId="53DD4814" w14:textId="6B94670E" w:rsidR="008E6609" w:rsidRPr="00D0153D" w:rsidRDefault="00C7391A" w:rsidP="008E6609">
      <w:pPr>
        <w:rPr>
          <w:noProof/>
          <w:color w:val="000000" w:themeColor="text1"/>
        </w:rPr>
      </w:pPr>
      <w:r w:rsidRPr="00D0153D">
        <w:rPr>
          <w:rFonts w:ascii="Arial" w:hAnsi="Arial" w:cs="Arial"/>
          <w:color w:val="000000" w:themeColor="text1"/>
        </w:rPr>
        <w:t>In order to contribute to academic discussions and provide guidance for policy and practice suggestions in the field of health and social care, this research will critically examine the relationship between migration policy and social care sustainability.</w:t>
      </w:r>
    </w:p>
    <w:p w14:paraId="6B230DB1" w14:textId="77777777" w:rsidR="008E6609" w:rsidRPr="00D973F4" w:rsidRDefault="008E6609" w:rsidP="00EB11F4">
      <w:pPr>
        <w:pStyle w:val="Heading2"/>
        <w:rPr>
          <w:rFonts w:ascii="Arial" w:hAnsi="Arial" w:cs="Arial"/>
          <w:color w:val="000000" w:themeColor="text1"/>
          <w:sz w:val="28"/>
          <w:szCs w:val="28"/>
        </w:rPr>
      </w:pPr>
      <w:r w:rsidRPr="00D973F4">
        <w:rPr>
          <w:rFonts w:ascii="Arial" w:hAnsi="Arial" w:cs="Arial"/>
          <w:color w:val="000000" w:themeColor="text1"/>
          <w:sz w:val="28"/>
          <w:szCs w:val="28"/>
        </w:rPr>
        <w:t>1.4 Aim and Objectives</w:t>
      </w:r>
    </w:p>
    <w:p w14:paraId="047BD7B5" w14:textId="77777777" w:rsidR="008E6609" w:rsidRPr="00D973F4" w:rsidRDefault="008E6609" w:rsidP="00EB11F4">
      <w:pPr>
        <w:pStyle w:val="Heading2"/>
        <w:rPr>
          <w:rFonts w:ascii="Arial" w:hAnsi="Arial" w:cs="Arial"/>
          <w:color w:val="000000" w:themeColor="text1"/>
          <w:sz w:val="28"/>
          <w:szCs w:val="28"/>
        </w:rPr>
      </w:pPr>
      <w:r w:rsidRPr="00D973F4">
        <w:rPr>
          <w:rFonts w:ascii="Arial" w:hAnsi="Arial" w:cs="Arial"/>
          <w:color w:val="000000" w:themeColor="text1"/>
          <w:sz w:val="28"/>
          <w:szCs w:val="28"/>
        </w:rPr>
        <w:t>Research Aim</w:t>
      </w:r>
    </w:p>
    <w:p w14:paraId="6009B748" w14:textId="59242150" w:rsidR="008E6609" w:rsidRPr="00F84702" w:rsidRDefault="00F84702" w:rsidP="009416BF">
      <w:pPr>
        <w:pStyle w:val="p2"/>
        <w:spacing w:line="360" w:lineRule="auto"/>
        <w:jc w:val="both"/>
        <w:rPr>
          <w:rFonts w:ascii="Arial" w:hAnsi="Arial" w:cs="Arial"/>
          <w:sz w:val="22"/>
          <w:szCs w:val="22"/>
        </w:rPr>
      </w:pPr>
      <w:r w:rsidRPr="00F84702">
        <w:rPr>
          <w:rFonts w:ascii="Arial" w:hAnsi="Arial" w:cs="Arial"/>
          <w:color w:val="000000"/>
          <w:sz w:val="22"/>
          <w:szCs w:val="22"/>
        </w:rPr>
        <w:t>The primary purpose of this research is to examine the role of migrant workers in supporting the UK ASC workforce, with a focus on their contribution to care delivery and workforce stability, as well as the policy factors that influence their recruitment and experiences.</w:t>
      </w:r>
    </w:p>
    <w:p w14:paraId="7DC1565F" w14:textId="77777777" w:rsidR="002622CC" w:rsidRDefault="00561938" w:rsidP="009416BF">
      <w:pPr>
        <w:pStyle w:val="p2"/>
        <w:spacing w:line="360" w:lineRule="auto"/>
        <w:jc w:val="both"/>
        <w:rPr>
          <w:rFonts w:ascii="Arial" w:hAnsi="Arial" w:cs="Arial"/>
          <w:color w:val="000000"/>
          <w:sz w:val="22"/>
          <w:szCs w:val="22"/>
        </w:rPr>
      </w:pPr>
      <w:r w:rsidRPr="00E93E01">
        <w:rPr>
          <w:rFonts w:ascii="Arial" w:hAnsi="Arial" w:cs="Arial"/>
          <w:color w:val="000000"/>
          <w:sz w:val="22"/>
          <w:szCs w:val="22"/>
        </w:rPr>
        <w:t>This aim highlights the need to understand both the practical contribution of migrant workers and the broader structural background that influences their employment. The research adopts a policy-informed approach, acknowledging that workforce sustainability is influenced not only by recruitment rates, but also by immigration regulations, job conditions, and long-term planning initiatives.</w:t>
      </w:r>
    </w:p>
    <w:p w14:paraId="7C570C70" w14:textId="013AF51D" w:rsidR="008E6609" w:rsidRPr="00C2643B" w:rsidRDefault="008E6609" w:rsidP="00354EEE">
      <w:pPr>
        <w:pStyle w:val="Heading2"/>
        <w:rPr>
          <w:rFonts w:ascii="Arial" w:hAnsi="Arial" w:cs="Arial"/>
          <w:sz w:val="28"/>
          <w:szCs w:val="28"/>
        </w:rPr>
      </w:pPr>
      <w:r w:rsidRPr="00C2643B">
        <w:rPr>
          <w:rFonts w:ascii="Arial" w:hAnsi="Arial" w:cs="Arial"/>
          <w:sz w:val="28"/>
          <w:szCs w:val="28"/>
        </w:rPr>
        <w:t>Research Objectives</w:t>
      </w:r>
    </w:p>
    <w:p w14:paraId="03598F9E" w14:textId="77777777" w:rsidR="004A1B13" w:rsidRPr="00C2643B" w:rsidRDefault="008E6609" w:rsidP="004A1B13">
      <w:pPr>
        <w:pStyle w:val="p4"/>
        <w:spacing w:line="360" w:lineRule="auto"/>
        <w:rPr>
          <w:rFonts w:ascii="Arial" w:hAnsi="Arial" w:cs="Arial"/>
          <w:sz w:val="28"/>
          <w:szCs w:val="28"/>
        </w:rPr>
      </w:pPr>
      <w:r w:rsidRPr="00C2643B">
        <w:rPr>
          <w:rFonts w:ascii="Arial" w:hAnsi="Arial" w:cs="Arial"/>
          <w:sz w:val="28"/>
          <w:szCs w:val="28"/>
        </w:rPr>
        <w:t>Objective 1:</w:t>
      </w:r>
    </w:p>
    <w:p w14:paraId="5CBAAA8D" w14:textId="0D8AE81E" w:rsidR="008E6609" w:rsidRPr="004A1B13" w:rsidRDefault="008E6609" w:rsidP="00C23E90">
      <w:pPr>
        <w:pStyle w:val="p4"/>
        <w:spacing w:line="360" w:lineRule="auto"/>
        <w:jc w:val="both"/>
        <w:rPr>
          <w:rFonts w:ascii="Arial" w:hAnsi="Arial" w:cs="Arial"/>
          <w:sz w:val="22"/>
          <w:szCs w:val="22"/>
        </w:rPr>
      </w:pPr>
      <w:r w:rsidRPr="004A1B13">
        <w:rPr>
          <w:rFonts w:ascii="Arial" w:hAnsi="Arial" w:cs="Arial"/>
          <w:sz w:val="22"/>
          <w:szCs w:val="22"/>
        </w:rPr>
        <w:t xml:space="preserve">To describe and critically examine the role of migrant workers in sustaining the UK </w:t>
      </w:r>
      <w:r w:rsidR="004D5EEC">
        <w:rPr>
          <w:rFonts w:ascii="Arial" w:hAnsi="Arial" w:cs="Arial"/>
          <w:sz w:val="22"/>
          <w:szCs w:val="22"/>
        </w:rPr>
        <w:t xml:space="preserve">ASC </w:t>
      </w:r>
      <w:r w:rsidRPr="004A1B13">
        <w:rPr>
          <w:rFonts w:ascii="Arial" w:hAnsi="Arial" w:cs="Arial"/>
          <w:sz w:val="22"/>
          <w:szCs w:val="22"/>
        </w:rPr>
        <w:t>workforce, with particular emphasis on service continuity and workforce shortages.</w:t>
      </w:r>
    </w:p>
    <w:p w14:paraId="7AA02818" w14:textId="77777777" w:rsidR="008E6609" w:rsidRPr="00C2643B" w:rsidRDefault="008E6609" w:rsidP="004A1B13">
      <w:pPr>
        <w:pStyle w:val="p4"/>
        <w:spacing w:line="360" w:lineRule="auto"/>
        <w:rPr>
          <w:rFonts w:ascii="Arial" w:hAnsi="Arial" w:cs="Arial"/>
          <w:sz w:val="28"/>
          <w:szCs w:val="28"/>
        </w:rPr>
      </w:pPr>
      <w:r w:rsidRPr="00C2643B">
        <w:rPr>
          <w:rFonts w:ascii="Arial" w:hAnsi="Arial" w:cs="Arial"/>
          <w:sz w:val="28"/>
          <w:szCs w:val="28"/>
        </w:rPr>
        <w:t>Objective 2:</w:t>
      </w:r>
    </w:p>
    <w:p w14:paraId="65D92CDE" w14:textId="77777777" w:rsidR="00DE5806" w:rsidRDefault="008E6609" w:rsidP="00C23E90">
      <w:pPr>
        <w:pStyle w:val="p3"/>
        <w:spacing w:line="360" w:lineRule="auto"/>
        <w:jc w:val="both"/>
        <w:rPr>
          <w:rFonts w:ascii="Arial" w:hAnsi="Arial" w:cs="Arial"/>
          <w:sz w:val="22"/>
          <w:szCs w:val="22"/>
        </w:rPr>
      </w:pPr>
      <w:r w:rsidRPr="004A1B13">
        <w:rPr>
          <w:rFonts w:ascii="Arial" w:hAnsi="Arial" w:cs="Arial"/>
          <w:sz w:val="22"/>
          <w:szCs w:val="22"/>
        </w:rPr>
        <w:t>To analyse UK immigration, employment, and social care policies to assess how they shape the recruitment, deployment, and reliance on migrant workers within the sector.</w:t>
      </w:r>
    </w:p>
    <w:p w14:paraId="4DC3CB06" w14:textId="77777777" w:rsidR="0094122A" w:rsidRDefault="0094122A" w:rsidP="00C23E90">
      <w:pPr>
        <w:pStyle w:val="p3"/>
        <w:spacing w:line="360" w:lineRule="auto"/>
        <w:jc w:val="both"/>
        <w:rPr>
          <w:rFonts w:ascii="Arial" w:hAnsi="Arial" w:cs="Arial"/>
          <w:sz w:val="22"/>
          <w:szCs w:val="22"/>
        </w:rPr>
      </w:pPr>
    </w:p>
    <w:p w14:paraId="092B9FBE" w14:textId="77777777" w:rsidR="0094122A" w:rsidRDefault="0094122A" w:rsidP="004A1B13">
      <w:pPr>
        <w:pStyle w:val="p3"/>
        <w:spacing w:line="360" w:lineRule="auto"/>
        <w:rPr>
          <w:rFonts w:ascii="Arial" w:hAnsi="Arial" w:cs="Arial"/>
          <w:sz w:val="22"/>
          <w:szCs w:val="22"/>
        </w:rPr>
      </w:pPr>
    </w:p>
    <w:p w14:paraId="385C9E45" w14:textId="77777777" w:rsidR="00375B59" w:rsidRDefault="00375B59" w:rsidP="004A1B13">
      <w:pPr>
        <w:pStyle w:val="p3"/>
        <w:spacing w:line="360" w:lineRule="auto"/>
        <w:rPr>
          <w:rFonts w:ascii="Arial" w:hAnsi="Arial" w:cs="Arial"/>
          <w:sz w:val="22"/>
          <w:szCs w:val="22"/>
        </w:rPr>
      </w:pPr>
    </w:p>
    <w:p w14:paraId="6E830A6E" w14:textId="30012E5E" w:rsidR="0094122A" w:rsidRPr="00C2643B" w:rsidRDefault="008E6609" w:rsidP="004A1B13">
      <w:pPr>
        <w:pStyle w:val="p3"/>
        <w:spacing w:line="360" w:lineRule="auto"/>
        <w:rPr>
          <w:rFonts w:ascii="Arial" w:hAnsi="Arial" w:cs="Arial"/>
          <w:sz w:val="28"/>
          <w:szCs w:val="28"/>
        </w:rPr>
      </w:pPr>
      <w:r w:rsidRPr="00C2643B">
        <w:rPr>
          <w:rFonts w:ascii="Arial" w:hAnsi="Arial" w:cs="Arial"/>
          <w:sz w:val="28"/>
          <w:szCs w:val="28"/>
        </w:rPr>
        <w:lastRenderedPageBreak/>
        <w:t>Objective 3:</w:t>
      </w:r>
    </w:p>
    <w:p w14:paraId="44219103" w14:textId="5A5AF558" w:rsidR="008E6609" w:rsidRPr="00602237" w:rsidRDefault="008E6609" w:rsidP="00C23E90">
      <w:pPr>
        <w:pStyle w:val="p3"/>
        <w:spacing w:line="360" w:lineRule="auto"/>
        <w:jc w:val="both"/>
        <w:rPr>
          <w:rFonts w:ascii="Arial" w:hAnsi="Arial" w:cs="Arial"/>
          <w:color w:val="000000" w:themeColor="text1"/>
          <w:sz w:val="22"/>
          <w:szCs w:val="22"/>
        </w:rPr>
      </w:pPr>
      <w:r w:rsidRPr="00602237">
        <w:rPr>
          <w:rFonts w:ascii="Arial" w:hAnsi="Arial" w:cs="Arial"/>
          <w:color w:val="000000" w:themeColor="text1"/>
          <w:sz w:val="22"/>
          <w:szCs w:val="22"/>
        </w:rPr>
        <w:t>To evaluate the structural challenges experienced by migrant workers, including job security, working conditions, and opportunities for career progression, and assess their impact on workforce stability and care quality</w:t>
      </w:r>
      <w:r w:rsidR="00361610" w:rsidRPr="00602237">
        <w:rPr>
          <w:rFonts w:ascii="Arial" w:hAnsi="Arial" w:cs="Arial"/>
          <w:color w:val="000000" w:themeColor="text1"/>
          <w:sz w:val="22"/>
          <w:szCs w:val="22"/>
        </w:rPr>
        <w:t xml:space="preserve"> (</w:t>
      </w:r>
      <w:r w:rsidR="00CE2548" w:rsidRPr="00602237">
        <w:rPr>
          <w:rFonts w:ascii="Arial" w:hAnsi="Arial" w:cs="Arial"/>
          <w:color w:val="000000" w:themeColor="text1"/>
          <w:sz w:val="22"/>
          <w:szCs w:val="22"/>
        </w:rPr>
        <w:t>Al-Btoush and El- Bch</w:t>
      </w:r>
      <w:r w:rsidR="00EC6174" w:rsidRPr="00602237">
        <w:rPr>
          <w:rFonts w:ascii="Arial" w:hAnsi="Arial" w:cs="Arial"/>
          <w:color w:val="000000" w:themeColor="text1"/>
          <w:sz w:val="22"/>
          <w:szCs w:val="22"/>
        </w:rPr>
        <w:t>eraoui, 2024).</w:t>
      </w:r>
    </w:p>
    <w:p w14:paraId="5F0821DF" w14:textId="77777777" w:rsidR="008E6609" w:rsidRPr="00C2643B" w:rsidRDefault="008E6609" w:rsidP="004A1B13">
      <w:pPr>
        <w:pStyle w:val="p4"/>
        <w:spacing w:line="360" w:lineRule="auto"/>
        <w:rPr>
          <w:rFonts w:ascii="Arial" w:hAnsi="Arial" w:cs="Arial"/>
          <w:sz w:val="28"/>
          <w:szCs w:val="28"/>
        </w:rPr>
      </w:pPr>
      <w:r w:rsidRPr="00C2643B">
        <w:rPr>
          <w:rFonts w:ascii="Arial" w:hAnsi="Arial" w:cs="Arial"/>
          <w:sz w:val="28"/>
          <w:szCs w:val="28"/>
        </w:rPr>
        <w:t>Objective 4:</w:t>
      </w:r>
    </w:p>
    <w:p w14:paraId="56084DD7" w14:textId="7ECA3936" w:rsidR="008E6609" w:rsidRPr="004A1B13" w:rsidRDefault="008E6609" w:rsidP="00C23E90">
      <w:pPr>
        <w:pStyle w:val="p3"/>
        <w:spacing w:line="360" w:lineRule="auto"/>
        <w:jc w:val="both"/>
        <w:rPr>
          <w:rFonts w:ascii="Arial" w:hAnsi="Arial" w:cs="Arial"/>
          <w:sz w:val="22"/>
          <w:szCs w:val="22"/>
        </w:rPr>
      </w:pPr>
      <w:r w:rsidRPr="004A1B13">
        <w:rPr>
          <w:rFonts w:ascii="Arial" w:hAnsi="Arial" w:cs="Arial"/>
          <w:sz w:val="22"/>
          <w:szCs w:val="22"/>
        </w:rPr>
        <w:t>To provide recommendations for policy and practice that strengthen support for migrant workers, improve workforce planning in</w:t>
      </w:r>
      <w:r w:rsidR="002E05AB">
        <w:rPr>
          <w:rFonts w:ascii="Arial" w:hAnsi="Arial" w:cs="Arial"/>
          <w:sz w:val="22"/>
          <w:szCs w:val="22"/>
        </w:rPr>
        <w:t xml:space="preserve"> ASC</w:t>
      </w:r>
      <w:r w:rsidRPr="004A1B13">
        <w:rPr>
          <w:rFonts w:ascii="Arial" w:hAnsi="Arial" w:cs="Arial"/>
          <w:sz w:val="22"/>
          <w:szCs w:val="22"/>
        </w:rPr>
        <w:t>, and address ongoing staffing shortages.</w:t>
      </w:r>
    </w:p>
    <w:p w14:paraId="4A96618B" w14:textId="77777777" w:rsidR="008E6609" w:rsidRPr="004A1B13" w:rsidRDefault="008E6609" w:rsidP="00C23E90">
      <w:pPr>
        <w:pStyle w:val="p3"/>
        <w:spacing w:line="360" w:lineRule="auto"/>
        <w:jc w:val="both"/>
        <w:rPr>
          <w:rFonts w:ascii="Arial" w:hAnsi="Arial" w:cs="Arial"/>
          <w:sz w:val="22"/>
          <w:szCs w:val="22"/>
        </w:rPr>
      </w:pPr>
      <w:r w:rsidRPr="004A1B13">
        <w:rPr>
          <w:rFonts w:ascii="Arial" w:hAnsi="Arial" w:cs="Arial"/>
          <w:sz w:val="22"/>
          <w:szCs w:val="22"/>
        </w:rPr>
        <w:t>Together, these objectives guide the structure of the dissertation and inform the thematic analysis undertaken in subsequent chapters.</w:t>
      </w:r>
    </w:p>
    <w:p w14:paraId="6C5762B6" w14:textId="77777777" w:rsidR="008E6609" w:rsidRPr="00C2643B" w:rsidRDefault="008E6609" w:rsidP="00354EEE">
      <w:pPr>
        <w:pStyle w:val="Heading2"/>
        <w:rPr>
          <w:rFonts w:ascii="Arial" w:hAnsi="Arial" w:cs="Arial"/>
          <w:color w:val="000000" w:themeColor="text1"/>
          <w:sz w:val="28"/>
          <w:szCs w:val="28"/>
        </w:rPr>
      </w:pPr>
      <w:r w:rsidRPr="00C2643B">
        <w:rPr>
          <w:rFonts w:ascii="Arial" w:hAnsi="Arial" w:cs="Arial"/>
          <w:color w:val="000000" w:themeColor="text1"/>
          <w:sz w:val="28"/>
          <w:szCs w:val="28"/>
        </w:rPr>
        <w:t>1.5 Conclusion</w:t>
      </w:r>
    </w:p>
    <w:p w14:paraId="35BBEE10" w14:textId="032FD873" w:rsidR="008E6609" w:rsidRPr="00934B34" w:rsidRDefault="00934B34" w:rsidP="00C23E90">
      <w:pPr>
        <w:pStyle w:val="p2"/>
        <w:spacing w:line="360" w:lineRule="auto"/>
        <w:jc w:val="both"/>
        <w:rPr>
          <w:rFonts w:ascii="Arial" w:hAnsi="Arial" w:cs="Arial"/>
          <w:sz w:val="22"/>
          <w:szCs w:val="22"/>
        </w:rPr>
      </w:pPr>
      <w:r w:rsidRPr="00934B34">
        <w:rPr>
          <w:rFonts w:ascii="Arial" w:hAnsi="Arial" w:cs="Arial"/>
          <w:color w:val="000000"/>
          <w:sz w:val="22"/>
          <w:szCs w:val="22"/>
        </w:rPr>
        <w:t xml:space="preserve">This chapter has highlighted the dissertation's main focus: the role of migrant workers in sustaining the UK </w:t>
      </w:r>
      <w:r w:rsidR="00521A3E">
        <w:rPr>
          <w:rFonts w:ascii="Arial" w:hAnsi="Arial" w:cs="Arial"/>
          <w:color w:val="000000"/>
          <w:sz w:val="22"/>
          <w:szCs w:val="22"/>
        </w:rPr>
        <w:t xml:space="preserve">ASC </w:t>
      </w:r>
      <w:r w:rsidRPr="00934B34">
        <w:rPr>
          <w:rFonts w:ascii="Arial" w:hAnsi="Arial" w:cs="Arial"/>
          <w:color w:val="000000"/>
          <w:sz w:val="22"/>
          <w:szCs w:val="22"/>
        </w:rPr>
        <w:t>workforce. It has presented the current workforce situation, clarified essential terminology, and provided a justification based on policy relevance and research gaps. The goal and objectives have been explicitly defined to guide the goal of the research and analytical methodology.</w:t>
      </w:r>
    </w:p>
    <w:p w14:paraId="30C42214" w14:textId="714EB2E3" w:rsidR="008E6609" w:rsidRPr="001436D2" w:rsidRDefault="001436D2" w:rsidP="00C23E90">
      <w:pPr>
        <w:pStyle w:val="p2"/>
        <w:spacing w:line="360" w:lineRule="auto"/>
        <w:jc w:val="both"/>
        <w:rPr>
          <w:rFonts w:ascii="Arial" w:hAnsi="Arial" w:cs="Arial"/>
          <w:sz w:val="22"/>
          <w:szCs w:val="22"/>
        </w:rPr>
      </w:pPr>
      <w:r w:rsidRPr="001436D2">
        <w:rPr>
          <w:rFonts w:ascii="Arial" w:hAnsi="Arial" w:cs="Arial"/>
          <w:color w:val="000000"/>
          <w:sz w:val="22"/>
          <w:szCs w:val="22"/>
        </w:rPr>
        <w:t>The concerns raised in this chapter highlight the importance of considering migration and workforce sustainability together. Understanding migrant workers' contributions and experiences is both important and crucial as the sector faces workforce challenges and regulatory reform.</w:t>
      </w:r>
    </w:p>
    <w:p w14:paraId="537B73A3" w14:textId="77777777" w:rsidR="00D96C4C" w:rsidRDefault="00D96C4C" w:rsidP="00C23E90">
      <w:pPr>
        <w:pStyle w:val="p3"/>
        <w:spacing w:line="360" w:lineRule="auto"/>
        <w:jc w:val="both"/>
        <w:rPr>
          <w:rFonts w:ascii="Arial" w:hAnsi="Arial" w:cs="Arial"/>
          <w:color w:val="000000"/>
          <w:sz w:val="22"/>
          <w:szCs w:val="22"/>
        </w:rPr>
      </w:pPr>
      <w:r w:rsidRPr="004C577D">
        <w:rPr>
          <w:rFonts w:ascii="Arial" w:hAnsi="Arial" w:cs="Arial"/>
          <w:color w:val="000000"/>
          <w:sz w:val="22"/>
          <w:szCs w:val="22"/>
        </w:rPr>
        <w:t>Chapter 2 will build on this foundation by critically analysing existing literature on migrant workers, workforce sustainability, and UK immigration policy. It will look at theoretical perspectives, research findings, and present debates to develop the conceptual foundation for this dissertation.</w:t>
      </w:r>
    </w:p>
    <w:p w14:paraId="44A8220D" w14:textId="77777777" w:rsidR="00D96A6F" w:rsidRDefault="00D96A6F" w:rsidP="00C23E90">
      <w:pPr>
        <w:spacing w:before="100" w:beforeAutospacing="1" w:after="100" w:afterAutospacing="1" w:line="240" w:lineRule="auto"/>
        <w:outlineLvl w:val="1"/>
        <w:rPr>
          <w:rFonts w:ascii="Arial" w:eastAsia="Times New Roman" w:hAnsi="Arial" w:cs="Arial"/>
          <w:b/>
          <w:bCs/>
          <w:kern w:val="0"/>
          <w:sz w:val="28"/>
          <w:szCs w:val="28"/>
          <w:lang w:eastAsia="en-GB"/>
          <w14:ligatures w14:val="none"/>
        </w:rPr>
      </w:pPr>
    </w:p>
    <w:p w14:paraId="2E189DA4" w14:textId="77777777" w:rsidR="004224DC" w:rsidRDefault="004224DC" w:rsidP="00C23E90">
      <w:pPr>
        <w:spacing w:before="100" w:beforeAutospacing="1" w:after="100" w:afterAutospacing="1" w:line="240" w:lineRule="auto"/>
        <w:outlineLvl w:val="1"/>
        <w:rPr>
          <w:rFonts w:ascii="Arial" w:eastAsia="Times New Roman" w:hAnsi="Arial" w:cs="Arial"/>
          <w:b/>
          <w:bCs/>
          <w:kern w:val="0"/>
          <w:sz w:val="28"/>
          <w:szCs w:val="28"/>
          <w:lang w:eastAsia="en-GB"/>
          <w14:ligatures w14:val="none"/>
        </w:rPr>
      </w:pPr>
    </w:p>
    <w:p w14:paraId="678D0EC7" w14:textId="77777777" w:rsidR="00375B59" w:rsidRDefault="00375B59" w:rsidP="004C2DEC">
      <w:pPr>
        <w:spacing w:before="100" w:beforeAutospacing="1" w:after="100" w:afterAutospacing="1" w:line="240" w:lineRule="auto"/>
        <w:jc w:val="left"/>
        <w:outlineLvl w:val="1"/>
        <w:rPr>
          <w:rFonts w:ascii="Arial" w:eastAsia="Times New Roman" w:hAnsi="Arial" w:cs="Arial"/>
          <w:b/>
          <w:bCs/>
          <w:kern w:val="0"/>
          <w:sz w:val="32"/>
          <w:szCs w:val="32"/>
          <w:lang w:eastAsia="en-GB"/>
          <w14:ligatures w14:val="none"/>
        </w:rPr>
      </w:pPr>
    </w:p>
    <w:p w14:paraId="3629F63E" w14:textId="77777777" w:rsidR="00375B59" w:rsidRDefault="00375B59" w:rsidP="004C2DEC">
      <w:pPr>
        <w:spacing w:before="100" w:beforeAutospacing="1" w:after="100" w:afterAutospacing="1" w:line="240" w:lineRule="auto"/>
        <w:jc w:val="left"/>
        <w:outlineLvl w:val="1"/>
        <w:rPr>
          <w:rFonts w:ascii="Arial" w:eastAsia="Times New Roman" w:hAnsi="Arial" w:cs="Arial"/>
          <w:b/>
          <w:bCs/>
          <w:kern w:val="0"/>
          <w:sz w:val="32"/>
          <w:szCs w:val="32"/>
          <w:lang w:eastAsia="en-GB"/>
          <w14:ligatures w14:val="none"/>
        </w:rPr>
      </w:pPr>
    </w:p>
    <w:p w14:paraId="520058A1" w14:textId="297CDCA9" w:rsidR="004C2DEC" w:rsidRPr="00C2643B" w:rsidRDefault="00FC6AAB" w:rsidP="004C2DEC">
      <w:pPr>
        <w:spacing w:before="100" w:beforeAutospacing="1" w:after="100" w:afterAutospacing="1" w:line="240" w:lineRule="auto"/>
        <w:jc w:val="left"/>
        <w:outlineLvl w:val="1"/>
        <w:rPr>
          <w:rFonts w:ascii="Arial" w:eastAsia="Times New Roman" w:hAnsi="Arial" w:cs="Arial"/>
          <w:b/>
          <w:bCs/>
          <w:kern w:val="0"/>
          <w:sz w:val="32"/>
          <w:szCs w:val="32"/>
          <w:lang w:eastAsia="en-GB"/>
          <w14:ligatures w14:val="none"/>
        </w:rPr>
      </w:pPr>
      <w:r w:rsidRPr="00C2643B">
        <w:rPr>
          <w:rFonts w:ascii="Arial" w:eastAsia="Times New Roman" w:hAnsi="Arial" w:cs="Arial"/>
          <w:b/>
          <w:bCs/>
          <w:kern w:val="0"/>
          <w:sz w:val="32"/>
          <w:szCs w:val="32"/>
          <w:lang w:eastAsia="en-GB"/>
          <w14:ligatures w14:val="none"/>
        </w:rPr>
        <w:lastRenderedPageBreak/>
        <w:t xml:space="preserve">Chapter </w:t>
      </w:r>
      <w:r w:rsidR="004C2DEC" w:rsidRPr="00C2643B">
        <w:rPr>
          <w:rFonts w:ascii="Arial" w:eastAsia="Times New Roman" w:hAnsi="Arial" w:cs="Arial"/>
          <w:b/>
          <w:bCs/>
          <w:kern w:val="0"/>
          <w:sz w:val="32"/>
          <w:szCs w:val="32"/>
          <w:lang w:eastAsia="en-GB"/>
          <w14:ligatures w14:val="none"/>
        </w:rPr>
        <w:t>2.1 Introduction</w:t>
      </w:r>
    </w:p>
    <w:p w14:paraId="04B6F0B7" w14:textId="689BC547" w:rsidR="004C2DEC" w:rsidRPr="00602237" w:rsidRDefault="00100B89" w:rsidP="00C23E90">
      <w:pPr>
        <w:pStyle w:val="p1"/>
        <w:spacing w:line="360" w:lineRule="auto"/>
        <w:jc w:val="both"/>
        <w:rPr>
          <w:rFonts w:ascii="Arial" w:hAnsi="Arial" w:cs="Arial"/>
          <w:color w:val="000000" w:themeColor="text1"/>
          <w:sz w:val="22"/>
          <w:szCs w:val="22"/>
        </w:rPr>
      </w:pPr>
      <w:r w:rsidRPr="00602237">
        <w:rPr>
          <w:rFonts w:ascii="Arial" w:hAnsi="Arial" w:cs="Arial"/>
          <w:color w:val="000000" w:themeColor="text1"/>
          <w:sz w:val="22"/>
          <w:szCs w:val="22"/>
        </w:rPr>
        <w:t>This chapter provides a foundation for the dissertation by examining broader issues involving migrant workers and the sustainability of the ASC workforce in the UK.  It investigates the historical, theoretical, international, and national influences that have influenced present workforce challenges across the sector</w:t>
      </w:r>
      <w:r w:rsidR="00440A39" w:rsidRPr="00602237">
        <w:rPr>
          <w:rFonts w:ascii="Arial" w:hAnsi="Arial" w:cs="Arial"/>
          <w:color w:val="000000" w:themeColor="text1"/>
          <w:sz w:val="22"/>
          <w:szCs w:val="22"/>
        </w:rPr>
        <w:t xml:space="preserve"> </w:t>
      </w:r>
      <w:r w:rsidR="00440A39" w:rsidRPr="00602237">
        <w:rPr>
          <w:rStyle w:val="apple-converted-space"/>
          <w:rFonts w:ascii="Arial" w:eastAsiaTheme="majorEastAsia" w:hAnsi="Arial" w:cs="Arial"/>
          <w:color w:val="000000" w:themeColor="text1"/>
          <w:sz w:val="22"/>
          <w:szCs w:val="22"/>
        </w:rPr>
        <w:t> </w:t>
      </w:r>
      <w:r w:rsidR="00440A39" w:rsidRPr="00602237">
        <w:rPr>
          <w:rFonts w:ascii="Arial" w:hAnsi="Arial" w:cs="Arial"/>
          <w:color w:val="000000" w:themeColor="text1"/>
          <w:sz w:val="22"/>
          <w:szCs w:val="22"/>
        </w:rPr>
        <w:t>(Skills for Care, 202</w:t>
      </w:r>
      <w:r w:rsidR="00B01593" w:rsidRPr="00602237">
        <w:rPr>
          <w:rFonts w:ascii="Arial" w:hAnsi="Arial" w:cs="Arial"/>
          <w:color w:val="000000" w:themeColor="text1"/>
          <w:sz w:val="22"/>
          <w:szCs w:val="22"/>
        </w:rPr>
        <w:t>5</w:t>
      </w:r>
      <w:r w:rsidR="00440A39" w:rsidRPr="00602237">
        <w:rPr>
          <w:rFonts w:ascii="Arial" w:hAnsi="Arial" w:cs="Arial"/>
          <w:color w:val="000000" w:themeColor="text1"/>
          <w:sz w:val="22"/>
          <w:szCs w:val="22"/>
        </w:rPr>
        <w:t>)</w:t>
      </w:r>
      <w:r w:rsidRPr="00602237">
        <w:rPr>
          <w:rFonts w:ascii="Arial" w:hAnsi="Arial" w:cs="Arial"/>
          <w:color w:val="000000" w:themeColor="text1"/>
          <w:sz w:val="22"/>
          <w:szCs w:val="22"/>
        </w:rPr>
        <w:t>. Understanding these aspects is critical for examining migrant workers' contributions to workforce stability and service delivery.</w:t>
      </w:r>
    </w:p>
    <w:p w14:paraId="33C98C5E" w14:textId="58C68783" w:rsidR="00F32DEC" w:rsidRPr="00602237" w:rsidRDefault="00724B90" w:rsidP="00C23E90">
      <w:pPr>
        <w:pStyle w:val="p1"/>
        <w:spacing w:line="360" w:lineRule="auto"/>
        <w:jc w:val="both"/>
        <w:rPr>
          <w:rFonts w:ascii="Arial" w:hAnsi="Arial" w:cs="Arial"/>
          <w:color w:val="000000" w:themeColor="text1"/>
          <w:sz w:val="22"/>
          <w:szCs w:val="22"/>
        </w:rPr>
      </w:pPr>
      <w:r w:rsidRPr="00602237">
        <w:rPr>
          <w:rFonts w:ascii="Arial" w:hAnsi="Arial" w:cs="Arial"/>
          <w:color w:val="000000" w:themeColor="text1"/>
          <w:sz w:val="22"/>
          <w:szCs w:val="22"/>
        </w:rPr>
        <w:t>The chapter begins by outlining the development of migrant labour in the ASC sector over time and highlighting significant policy changes that have affected the availability of labour. It will then introduce theoretical perspectives that explain how labour markets, migration, and workforce sustainability are related. By analysing at how various nations handle comparable labour issues, the chapter also investigates the global viewpoint. Finally, it examines the national context of the UK, concentrating on workforce trends, policies, and regulatory frameworks that influence the recruitment and employment of migrant workers in ASC</w:t>
      </w:r>
      <w:r w:rsidR="00F32DEC" w:rsidRPr="00602237">
        <w:rPr>
          <w:rFonts w:ascii="Arial" w:hAnsi="Arial" w:cs="Arial"/>
          <w:color w:val="000000" w:themeColor="text1"/>
          <w:sz w:val="22"/>
          <w:szCs w:val="22"/>
        </w:rPr>
        <w:t xml:space="preserve"> (Migration Observatory, 202</w:t>
      </w:r>
      <w:r w:rsidR="00AC7994" w:rsidRPr="00602237">
        <w:rPr>
          <w:rFonts w:ascii="Arial" w:hAnsi="Arial" w:cs="Arial"/>
          <w:color w:val="000000" w:themeColor="text1"/>
          <w:sz w:val="22"/>
          <w:szCs w:val="22"/>
        </w:rPr>
        <w:t>3</w:t>
      </w:r>
      <w:r w:rsidR="00F32DEC" w:rsidRPr="00602237">
        <w:rPr>
          <w:rFonts w:ascii="Arial" w:hAnsi="Arial" w:cs="Arial"/>
          <w:color w:val="000000" w:themeColor="text1"/>
          <w:sz w:val="22"/>
          <w:szCs w:val="22"/>
        </w:rPr>
        <w:t>).</w:t>
      </w:r>
    </w:p>
    <w:p w14:paraId="4DC22894" w14:textId="4CA6D65A" w:rsidR="00F67DDB" w:rsidRPr="00F9280E" w:rsidRDefault="00F67DDB" w:rsidP="00354EEE">
      <w:pPr>
        <w:pStyle w:val="Heading2"/>
        <w:rPr>
          <w:rFonts w:ascii="Arial" w:eastAsia="Times New Roman" w:hAnsi="Arial" w:cs="Arial"/>
          <w:color w:val="000000" w:themeColor="text1"/>
          <w:sz w:val="28"/>
          <w:szCs w:val="28"/>
          <w:lang w:eastAsia="en-GB"/>
        </w:rPr>
      </w:pPr>
      <w:r w:rsidRPr="00F9280E">
        <w:rPr>
          <w:rFonts w:ascii="Arial" w:eastAsia="Times New Roman" w:hAnsi="Arial" w:cs="Arial"/>
          <w:color w:val="000000" w:themeColor="text1"/>
          <w:sz w:val="28"/>
          <w:szCs w:val="28"/>
          <w:lang w:eastAsia="en-GB"/>
        </w:rPr>
        <w:t>2.2 Historical Background</w:t>
      </w:r>
      <w:r w:rsidR="00245E46" w:rsidRPr="00F9280E">
        <w:rPr>
          <w:rFonts w:ascii="Arial" w:eastAsia="Times New Roman" w:hAnsi="Arial" w:cs="Arial"/>
          <w:color w:val="000000" w:themeColor="text1"/>
          <w:sz w:val="28"/>
          <w:szCs w:val="28"/>
          <w:lang w:eastAsia="en-GB"/>
        </w:rPr>
        <w:t xml:space="preserve"> </w:t>
      </w:r>
    </w:p>
    <w:p w14:paraId="3B8F7C39" w14:textId="18291F14" w:rsidR="007053E6" w:rsidRPr="004C03E7" w:rsidRDefault="00A575B6" w:rsidP="00A9260B">
      <w:pPr>
        <w:pStyle w:val="p1"/>
        <w:spacing w:line="360" w:lineRule="auto"/>
        <w:jc w:val="both"/>
        <w:rPr>
          <w:rFonts w:ascii="Arial" w:hAnsi="Arial" w:cs="Arial"/>
          <w:color w:val="000000" w:themeColor="text1"/>
          <w:sz w:val="22"/>
          <w:szCs w:val="22"/>
        </w:rPr>
      </w:pPr>
      <w:r w:rsidRPr="004C03E7">
        <w:rPr>
          <w:rFonts w:ascii="Arial" w:hAnsi="Arial" w:cs="Arial"/>
          <w:color w:val="000000" w:themeColor="text1"/>
          <w:sz w:val="22"/>
          <w:szCs w:val="22"/>
        </w:rPr>
        <w:t>The present reliance on migrant workers in the UK's ASC workforce has evolved over several decades and reflects broader social, economic, and regulatory changes. Previously, family members or local authority organisations provided the majority of informal care for older adults and people with disabilities</w:t>
      </w:r>
      <w:r w:rsidR="00C322B0" w:rsidRPr="004C03E7">
        <w:rPr>
          <w:rFonts w:ascii="Arial" w:hAnsi="Arial" w:cs="Arial"/>
          <w:color w:val="000000" w:themeColor="text1"/>
          <w:sz w:val="22"/>
          <w:szCs w:val="22"/>
        </w:rPr>
        <w:t xml:space="preserve"> as highlighted by </w:t>
      </w:r>
      <w:r w:rsidR="00C322B0" w:rsidRPr="004C03E7">
        <w:rPr>
          <w:rStyle w:val="apple-converted-space"/>
          <w:rFonts w:ascii="Arial" w:eastAsiaTheme="majorEastAsia" w:hAnsi="Arial" w:cs="Arial"/>
          <w:color w:val="000000" w:themeColor="text1"/>
          <w:sz w:val="22"/>
          <w:szCs w:val="22"/>
        </w:rPr>
        <w:t> </w:t>
      </w:r>
      <w:r w:rsidR="00C322B0" w:rsidRPr="004C03E7">
        <w:rPr>
          <w:rFonts w:ascii="Arial" w:hAnsi="Arial" w:cs="Arial"/>
          <w:color w:val="000000" w:themeColor="text1"/>
          <w:sz w:val="22"/>
          <w:szCs w:val="22"/>
        </w:rPr>
        <w:t xml:space="preserve">(Harker </w:t>
      </w:r>
      <w:r w:rsidR="00C322B0" w:rsidRPr="004C03E7">
        <w:rPr>
          <w:rFonts w:ascii="Arial" w:hAnsi="Arial" w:cs="Arial"/>
          <w:i/>
          <w:iCs/>
          <w:color w:val="000000" w:themeColor="text1"/>
          <w:sz w:val="22"/>
          <w:szCs w:val="22"/>
        </w:rPr>
        <w:t>et al</w:t>
      </w:r>
      <w:r w:rsidR="00C322B0" w:rsidRPr="004C03E7">
        <w:rPr>
          <w:rFonts w:ascii="Arial" w:hAnsi="Arial" w:cs="Arial"/>
          <w:color w:val="000000" w:themeColor="text1"/>
          <w:sz w:val="22"/>
          <w:szCs w:val="22"/>
        </w:rPr>
        <w:t>., 2025)</w:t>
      </w:r>
      <w:r w:rsidRPr="004C03E7">
        <w:rPr>
          <w:rFonts w:ascii="Arial" w:hAnsi="Arial" w:cs="Arial"/>
          <w:color w:val="000000" w:themeColor="text1"/>
          <w:sz w:val="22"/>
          <w:szCs w:val="22"/>
        </w:rPr>
        <w:t>. However, demographic changes, such as an ageing population and rising life expectancy, have resulted in a major increase in demand for formal care services</w:t>
      </w:r>
      <w:r w:rsidR="002D0696" w:rsidRPr="004C03E7">
        <w:rPr>
          <w:rFonts w:ascii="Arial" w:hAnsi="Arial" w:cs="Arial"/>
          <w:color w:val="000000" w:themeColor="text1"/>
          <w:sz w:val="22"/>
          <w:szCs w:val="22"/>
        </w:rPr>
        <w:t xml:space="preserve"> (McKee </w:t>
      </w:r>
      <w:r w:rsidR="002D0696" w:rsidRPr="004C03E7">
        <w:rPr>
          <w:rFonts w:ascii="Arial" w:hAnsi="Arial" w:cs="Arial"/>
          <w:i/>
          <w:iCs/>
          <w:color w:val="000000" w:themeColor="text1"/>
          <w:sz w:val="22"/>
          <w:szCs w:val="22"/>
        </w:rPr>
        <w:t>et al.,</w:t>
      </w:r>
      <w:r w:rsidR="002D0696" w:rsidRPr="004C03E7">
        <w:rPr>
          <w:rFonts w:ascii="Arial" w:hAnsi="Arial" w:cs="Arial"/>
          <w:color w:val="000000" w:themeColor="text1"/>
          <w:sz w:val="22"/>
          <w:szCs w:val="22"/>
        </w:rPr>
        <w:t xml:space="preserve"> 2021)</w:t>
      </w:r>
      <w:r w:rsidRPr="004C03E7">
        <w:rPr>
          <w:rFonts w:ascii="Arial" w:hAnsi="Arial" w:cs="Arial"/>
          <w:color w:val="000000" w:themeColor="text1"/>
          <w:sz w:val="22"/>
          <w:szCs w:val="22"/>
        </w:rPr>
        <w:t>. As demand has risen, the sector has faced continuous recruitment and retention challenges, adding to long-term personnel shortages.</w:t>
      </w:r>
      <w:r w:rsidR="007645A3" w:rsidRPr="004C03E7">
        <w:rPr>
          <w:rFonts w:ascii="Arial" w:hAnsi="Arial" w:cs="Arial"/>
          <w:color w:val="000000" w:themeColor="text1"/>
          <w:sz w:val="22"/>
          <w:szCs w:val="22"/>
        </w:rPr>
        <w:t xml:space="preserve"> For example, there were approximately 131,000 vacant positions in </w:t>
      </w:r>
      <w:r w:rsidR="00521A3E" w:rsidRPr="004C03E7">
        <w:rPr>
          <w:rFonts w:ascii="Arial" w:hAnsi="Arial" w:cs="Arial"/>
          <w:color w:val="000000" w:themeColor="text1"/>
          <w:sz w:val="22"/>
          <w:szCs w:val="22"/>
        </w:rPr>
        <w:t>ASC</w:t>
      </w:r>
      <w:r w:rsidR="007645A3" w:rsidRPr="004C03E7">
        <w:rPr>
          <w:rFonts w:ascii="Arial" w:hAnsi="Arial" w:cs="Arial"/>
          <w:color w:val="000000" w:themeColor="text1"/>
          <w:sz w:val="22"/>
          <w:szCs w:val="22"/>
        </w:rPr>
        <w:t xml:space="preserve"> in England in 2023–2024, indicating ongoing shortages of employees in this sector </w:t>
      </w:r>
      <w:r w:rsidR="00295ED3" w:rsidRPr="004C03E7">
        <w:rPr>
          <w:rFonts w:ascii="Arial" w:hAnsi="Arial" w:cs="Arial"/>
          <w:color w:val="000000" w:themeColor="text1"/>
          <w:sz w:val="22"/>
          <w:szCs w:val="22"/>
        </w:rPr>
        <w:t>(</w:t>
      </w:r>
      <w:r w:rsidR="007645A3" w:rsidRPr="004C03E7">
        <w:rPr>
          <w:rFonts w:ascii="Arial" w:hAnsi="Arial" w:cs="Arial"/>
          <w:color w:val="000000" w:themeColor="text1"/>
          <w:sz w:val="22"/>
          <w:szCs w:val="22"/>
        </w:rPr>
        <w:t xml:space="preserve">UK Parliament POST, 2025). With 19% of the UK population 65 or older in 2022 and projected to rise to 27% by 2072, demographic shifts are further driving up the demand for care </w:t>
      </w:r>
      <w:r w:rsidR="007053E6" w:rsidRPr="004C03E7">
        <w:rPr>
          <w:rFonts w:ascii="Arial" w:hAnsi="Arial" w:cs="Arial"/>
          <w:color w:val="000000" w:themeColor="text1"/>
          <w:sz w:val="22"/>
          <w:szCs w:val="22"/>
        </w:rPr>
        <w:t xml:space="preserve">(Barton </w:t>
      </w:r>
      <w:r w:rsidR="007053E6" w:rsidRPr="004C03E7">
        <w:rPr>
          <w:rFonts w:ascii="Arial" w:hAnsi="Arial" w:cs="Arial"/>
          <w:i/>
          <w:iCs/>
          <w:color w:val="000000" w:themeColor="text1"/>
          <w:sz w:val="22"/>
          <w:szCs w:val="22"/>
        </w:rPr>
        <w:t>et al</w:t>
      </w:r>
      <w:r w:rsidR="007053E6" w:rsidRPr="004C03E7">
        <w:rPr>
          <w:rFonts w:ascii="Arial" w:hAnsi="Arial" w:cs="Arial"/>
          <w:color w:val="000000" w:themeColor="text1"/>
          <w:sz w:val="22"/>
          <w:szCs w:val="22"/>
        </w:rPr>
        <w:t>., 2024)</w:t>
      </w:r>
      <w:r w:rsidR="000B23E3" w:rsidRPr="004C03E7">
        <w:rPr>
          <w:rFonts w:ascii="Arial" w:hAnsi="Arial" w:cs="Arial"/>
          <w:color w:val="000000" w:themeColor="text1"/>
          <w:sz w:val="22"/>
          <w:szCs w:val="22"/>
        </w:rPr>
        <w:t>.</w:t>
      </w:r>
    </w:p>
    <w:p w14:paraId="25746C86" w14:textId="15526B4E" w:rsidR="00BF2741" w:rsidRPr="004C03E7" w:rsidRDefault="00ED728D" w:rsidP="00A9260B">
      <w:pPr>
        <w:pStyle w:val="p1"/>
        <w:spacing w:line="360" w:lineRule="auto"/>
        <w:jc w:val="both"/>
        <w:rPr>
          <w:rFonts w:ascii="Arial" w:hAnsi="Arial" w:cs="Arial"/>
          <w:color w:val="000000" w:themeColor="text1"/>
          <w:sz w:val="22"/>
          <w:szCs w:val="22"/>
        </w:rPr>
      </w:pPr>
      <w:r w:rsidRPr="004C03E7">
        <w:rPr>
          <w:rFonts w:ascii="Arial" w:hAnsi="Arial" w:cs="Arial"/>
          <w:color w:val="000000" w:themeColor="text1"/>
          <w:sz w:val="22"/>
          <w:szCs w:val="22"/>
        </w:rPr>
        <w:t xml:space="preserve">According </w:t>
      </w:r>
      <w:r w:rsidR="00416A00" w:rsidRPr="004C03E7">
        <w:rPr>
          <w:rFonts w:ascii="Arial" w:hAnsi="Arial" w:cs="Arial"/>
          <w:color w:val="000000" w:themeColor="text1"/>
          <w:sz w:val="22"/>
          <w:szCs w:val="22"/>
        </w:rPr>
        <w:t>to</w:t>
      </w:r>
      <w:r w:rsidRPr="004C03E7">
        <w:rPr>
          <w:rFonts w:ascii="Arial" w:hAnsi="Arial" w:cs="Arial"/>
          <w:color w:val="000000" w:themeColor="text1"/>
          <w:sz w:val="22"/>
          <w:szCs w:val="22"/>
        </w:rPr>
        <w:t xml:space="preserve"> Marino and Keizer, (2023) m</w:t>
      </w:r>
      <w:r w:rsidR="008F620D" w:rsidRPr="004C03E7">
        <w:rPr>
          <w:rFonts w:ascii="Arial" w:hAnsi="Arial" w:cs="Arial"/>
          <w:color w:val="000000" w:themeColor="text1"/>
          <w:sz w:val="22"/>
          <w:szCs w:val="22"/>
        </w:rPr>
        <w:t>igrant workers became</w:t>
      </w:r>
      <w:r w:rsidR="00D53B3B" w:rsidRPr="004C03E7">
        <w:rPr>
          <w:rFonts w:ascii="Arial" w:hAnsi="Arial" w:cs="Arial"/>
          <w:color w:val="000000" w:themeColor="text1"/>
          <w:sz w:val="22"/>
          <w:szCs w:val="22"/>
        </w:rPr>
        <w:t xml:space="preserve"> </w:t>
      </w:r>
      <w:r w:rsidR="00FA5B8E" w:rsidRPr="004C03E7">
        <w:rPr>
          <w:rFonts w:ascii="Arial" w:hAnsi="Arial" w:cs="Arial"/>
          <w:color w:val="000000" w:themeColor="text1"/>
          <w:sz w:val="22"/>
          <w:szCs w:val="22"/>
        </w:rPr>
        <w:t xml:space="preserve">increasingly </w:t>
      </w:r>
      <w:r w:rsidR="008F620D" w:rsidRPr="004C03E7">
        <w:rPr>
          <w:rFonts w:ascii="Arial" w:hAnsi="Arial" w:cs="Arial"/>
          <w:color w:val="000000" w:themeColor="text1"/>
          <w:sz w:val="22"/>
          <w:szCs w:val="22"/>
        </w:rPr>
        <w:t>prevalent in ASC workforce</w:t>
      </w:r>
      <w:r w:rsidR="002B4CBE">
        <w:rPr>
          <w:rFonts w:ascii="Arial" w:hAnsi="Arial" w:cs="Arial"/>
          <w:color w:val="000000" w:themeColor="text1"/>
          <w:sz w:val="22"/>
          <w:szCs w:val="22"/>
        </w:rPr>
        <w:t xml:space="preserve"> during </w:t>
      </w:r>
      <w:r w:rsidR="008F620D" w:rsidRPr="004C03E7">
        <w:rPr>
          <w:rFonts w:ascii="Arial" w:hAnsi="Arial" w:cs="Arial"/>
          <w:color w:val="000000" w:themeColor="text1"/>
          <w:sz w:val="22"/>
          <w:szCs w:val="22"/>
        </w:rPr>
        <w:t>the early 2000s. Migrant workers have frequently filled occupations that have been difficult to fill domestically, particularly minimum-wage direct care roles</w:t>
      </w:r>
      <w:r w:rsidR="00171DCD" w:rsidRPr="004C03E7">
        <w:rPr>
          <w:rFonts w:ascii="Arial" w:hAnsi="Arial" w:cs="Arial"/>
          <w:color w:val="000000" w:themeColor="text1"/>
          <w:sz w:val="22"/>
          <w:szCs w:val="22"/>
        </w:rPr>
        <w:t xml:space="preserve"> (Marino and Keizer, 2023)</w:t>
      </w:r>
      <w:r w:rsidR="008F620D" w:rsidRPr="004C03E7">
        <w:rPr>
          <w:rFonts w:ascii="Arial" w:hAnsi="Arial" w:cs="Arial"/>
          <w:color w:val="000000" w:themeColor="text1"/>
          <w:sz w:val="22"/>
          <w:szCs w:val="22"/>
        </w:rPr>
        <w:t xml:space="preserve">. This trend became more </w:t>
      </w:r>
      <w:r w:rsidR="0010547F">
        <w:rPr>
          <w:rFonts w:ascii="Arial" w:hAnsi="Arial" w:cs="Arial"/>
          <w:color w:val="000000" w:themeColor="text1"/>
          <w:sz w:val="22"/>
          <w:szCs w:val="22"/>
        </w:rPr>
        <w:t>pro</w:t>
      </w:r>
      <w:r w:rsidR="00847F23">
        <w:rPr>
          <w:rFonts w:ascii="Arial" w:hAnsi="Arial" w:cs="Arial"/>
          <w:color w:val="000000" w:themeColor="text1"/>
          <w:sz w:val="22"/>
          <w:szCs w:val="22"/>
        </w:rPr>
        <w:t>nounced</w:t>
      </w:r>
      <w:r w:rsidR="008F620D" w:rsidRPr="004C03E7">
        <w:rPr>
          <w:rFonts w:ascii="Arial" w:hAnsi="Arial" w:cs="Arial"/>
          <w:color w:val="000000" w:themeColor="text1"/>
          <w:sz w:val="22"/>
          <w:szCs w:val="22"/>
        </w:rPr>
        <w:t xml:space="preserve"> once the European Union expanded, </w:t>
      </w:r>
      <w:r w:rsidR="008F620D" w:rsidRPr="004C03E7">
        <w:rPr>
          <w:rFonts w:ascii="Arial" w:hAnsi="Arial" w:cs="Arial"/>
          <w:color w:val="000000" w:themeColor="text1"/>
          <w:sz w:val="22"/>
          <w:szCs w:val="22"/>
        </w:rPr>
        <w:lastRenderedPageBreak/>
        <w:t>when workers from Eastern European nations entered the UK employment market, contributing to manpower shortages in sectors including the health and social care</w:t>
      </w:r>
      <w:r w:rsidR="0073620E" w:rsidRPr="004C03E7">
        <w:rPr>
          <w:rFonts w:ascii="Arial" w:hAnsi="Arial" w:cs="Arial"/>
          <w:color w:val="000000" w:themeColor="text1"/>
          <w:sz w:val="22"/>
          <w:szCs w:val="22"/>
        </w:rPr>
        <w:t xml:space="preserve"> (Migration Observatory, 2023).</w:t>
      </w:r>
      <w:r w:rsidR="00554243" w:rsidRPr="004C03E7">
        <w:rPr>
          <w:rFonts w:ascii="Arial" w:hAnsi="Arial" w:cs="Arial"/>
          <w:color w:val="000000" w:themeColor="text1"/>
          <w:sz w:val="22"/>
          <w:szCs w:val="22"/>
        </w:rPr>
        <w:t xml:space="preserve"> Research suggests migrant workers have therefore been crucial in maintaining staffing levels in the social care sector, where domestic labour supply has found it difficult to </w:t>
      </w:r>
      <w:r w:rsidR="009C64E9" w:rsidRPr="004C03E7">
        <w:rPr>
          <w:rFonts w:ascii="Arial" w:hAnsi="Arial" w:cs="Arial"/>
          <w:color w:val="000000" w:themeColor="text1"/>
          <w:sz w:val="22"/>
          <w:szCs w:val="22"/>
        </w:rPr>
        <w:t>keep</w:t>
      </w:r>
      <w:r w:rsidR="00554243" w:rsidRPr="004C03E7">
        <w:rPr>
          <w:rFonts w:ascii="Arial" w:hAnsi="Arial" w:cs="Arial"/>
          <w:color w:val="000000" w:themeColor="text1"/>
          <w:sz w:val="22"/>
          <w:szCs w:val="22"/>
        </w:rPr>
        <w:t xml:space="preserve"> up with demand</w:t>
      </w:r>
      <w:r w:rsidR="009C64E9" w:rsidRPr="004C03E7">
        <w:rPr>
          <w:rFonts w:ascii="Arial" w:hAnsi="Arial" w:cs="Arial"/>
          <w:color w:val="000000" w:themeColor="text1"/>
          <w:sz w:val="22"/>
          <w:szCs w:val="22"/>
        </w:rPr>
        <w:t xml:space="preserve"> </w:t>
      </w:r>
      <w:r w:rsidR="00503A35" w:rsidRPr="004C03E7">
        <w:rPr>
          <w:rFonts w:ascii="Arial" w:hAnsi="Arial" w:cs="Arial"/>
          <w:color w:val="000000" w:themeColor="text1"/>
          <w:sz w:val="22"/>
          <w:szCs w:val="22"/>
        </w:rPr>
        <w:t>(Turnpenny and Hussein, 2022)</w:t>
      </w:r>
    </w:p>
    <w:p w14:paraId="72A8E46F" w14:textId="0BB3EDDE" w:rsidR="004E4A0A" w:rsidRPr="004E4A0A" w:rsidRDefault="00D229E7" w:rsidP="004E4A0A">
      <w:pPr>
        <w:pStyle w:val="p1"/>
        <w:spacing w:line="360" w:lineRule="auto"/>
        <w:jc w:val="both"/>
        <w:rPr>
          <w:rFonts w:ascii="Arial" w:hAnsi="Arial" w:cs="Arial"/>
          <w:color w:val="000000"/>
          <w:sz w:val="22"/>
          <w:szCs w:val="22"/>
        </w:rPr>
      </w:pPr>
      <w:r w:rsidRPr="004E4A0A">
        <w:rPr>
          <w:rFonts w:ascii="Arial" w:hAnsi="Arial" w:cs="Arial"/>
          <w:color w:val="000000"/>
          <w:sz w:val="22"/>
          <w:szCs w:val="22"/>
        </w:rPr>
        <w:t>Following the UK's decision to leave the European Union (EU) in 2016, the composition of the ASC workforce began to shift. However, the most</w:t>
      </w:r>
      <w:r w:rsidR="00847F23">
        <w:rPr>
          <w:rFonts w:ascii="Arial" w:hAnsi="Arial" w:cs="Arial"/>
          <w:color w:val="000000"/>
          <w:sz w:val="22"/>
          <w:szCs w:val="22"/>
        </w:rPr>
        <w:t xml:space="preserve"> significant </w:t>
      </w:r>
      <w:r w:rsidRPr="004E4A0A">
        <w:rPr>
          <w:rFonts w:ascii="Arial" w:hAnsi="Arial" w:cs="Arial"/>
          <w:color w:val="000000"/>
          <w:sz w:val="22"/>
          <w:szCs w:val="22"/>
        </w:rPr>
        <w:t xml:space="preserve">impact occurred after the UK officially left the EU in 2020, and free movement between the UK and EU member states ended. This restricted the availability of European labour in a variety of areas, including ASC (Dayan </w:t>
      </w:r>
      <w:r w:rsidRPr="00001BFD">
        <w:rPr>
          <w:rFonts w:ascii="Arial" w:hAnsi="Arial" w:cs="Arial"/>
          <w:i/>
          <w:iCs/>
          <w:color w:val="000000"/>
          <w:sz w:val="22"/>
          <w:szCs w:val="22"/>
        </w:rPr>
        <w:t>et al.,</w:t>
      </w:r>
      <w:r w:rsidRPr="004E4A0A">
        <w:rPr>
          <w:rFonts w:ascii="Arial" w:hAnsi="Arial" w:cs="Arial"/>
          <w:color w:val="000000"/>
          <w:sz w:val="22"/>
          <w:szCs w:val="22"/>
        </w:rPr>
        <w:t xml:space="preserve"> 2024). As a result, more focus has been placed on alternative international recruitment strategies to meet workforce shortages (Migration Observatory, 2023). According to Portes and Springford (2023), the COVID-19 pandemic increased these labour difficulties, increasing demand for care services while placing further strain on an already overburdened workforce.</w:t>
      </w:r>
    </w:p>
    <w:p w14:paraId="6198FE77" w14:textId="17B0BF55" w:rsidR="00161B1E" w:rsidRPr="004C03E7" w:rsidRDefault="001B6B2D" w:rsidP="00A9260B">
      <w:pPr>
        <w:pStyle w:val="p1"/>
        <w:spacing w:line="360" w:lineRule="auto"/>
        <w:jc w:val="both"/>
        <w:rPr>
          <w:rFonts w:ascii="Arial" w:hAnsi="Arial" w:cs="Arial"/>
          <w:color w:val="000000" w:themeColor="text1"/>
          <w:sz w:val="22"/>
          <w:szCs w:val="22"/>
        </w:rPr>
      </w:pPr>
      <w:r w:rsidRPr="004C03E7">
        <w:rPr>
          <w:rFonts w:ascii="Arial" w:hAnsi="Arial" w:cs="Arial"/>
          <w:color w:val="000000" w:themeColor="text1"/>
          <w:sz w:val="22"/>
          <w:szCs w:val="22"/>
        </w:rPr>
        <w:t>In response to these challenges, the UK government implemented a number of legislative measures aimed at improving workforce recruiting in the care sector</w:t>
      </w:r>
      <w:r w:rsidR="0072333D" w:rsidRPr="004C03E7">
        <w:rPr>
          <w:rFonts w:ascii="Arial" w:hAnsi="Arial" w:cs="Arial"/>
          <w:color w:val="000000" w:themeColor="text1"/>
          <w:sz w:val="22"/>
          <w:szCs w:val="22"/>
        </w:rPr>
        <w:t xml:space="preserve"> Foster, (2024)</w:t>
      </w:r>
      <w:r w:rsidRPr="004C03E7">
        <w:rPr>
          <w:rFonts w:ascii="Arial" w:hAnsi="Arial" w:cs="Arial"/>
          <w:color w:val="000000" w:themeColor="text1"/>
          <w:sz w:val="22"/>
          <w:szCs w:val="22"/>
        </w:rPr>
        <w:t>. One of the most significant developments was the establishment of the Health and Care Worker visa, which enabled care providers to recruit overseas workers under a separate immigration strategy</w:t>
      </w:r>
      <w:r w:rsidR="0065452D" w:rsidRPr="004C03E7">
        <w:rPr>
          <w:rFonts w:ascii="Arial" w:hAnsi="Arial" w:cs="Arial"/>
          <w:color w:val="000000" w:themeColor="text1"/>
          <w:sz w:val="22"/>
          <w:szCs w:val="22"/>
        </w:rPr>
        <w:t xml:space="preserve"> </w:t>
      </w:r>
      <w:r w:rsidR="0065452D" w:rsidRPr="004C03E7">
        <w:rPr>
          <w:rStyle w:val="apple-converted-space"/>
          <w:rFonts w:ascii="Arial" w:eastAsiaTheme="majorEastAsia" w:hAnsi="Arial" w:cs="Arial"/>
          <w:color w:val="000000" w:themeColor="text1"/>
          <w:sz w:val="22"/>
          <w:szCs w:val="22"/>
        </w:rPr>
        <w:t> </w:t>
      </w:r>
      <w:r w:rsidR="0065452D" w:rsidRPr="004C03E7">
        <w:rPr>
          <w:rFonts w:ascii="Arial" w:hAnsi="Arial" w:cs="Arial"/>
          <w:color w:val="000000" w:themeColor="text1"/>
          <w:sz w:val="22"/>
          <w:szCs w:val="22"/>
        </w:rPr>
        <w:t>(Migration Observatory, 2023)</w:t>
      </w:r>
      <w:r w:rsidR="005C2306" w:rsidRPr="004C03E7">
        <w:rPr>
          <w:rFonts w:ascii="Arial" w:hAnsi="Arial" w:cs="Arial"/>
          <w:color w:val="000000" w:themeColor="text1"/>
          <w:sz w:val="22"/>
          <w:szCs w:val="22"/>
        </w:rPr>
        <w:t>.</w:t>
      </w:r>
      <w:r w:rsidR="00F860F0" w:rsidRPr="004C03E7">
        <w:rPr>
          <w:rFonts w:ascii="Arial" w:hAnsi="Arial" w:cs="Arial"/>
          <w:color w:val="000000" w:themeColor="text1"/>
          <w:sz w:val="22"/>
          <w:szCs w:val="22"/>
        </w:rPr>
        <w:t xml:space="preserve"> </w:t>
      </w:r>
      <w:r w:rsidRPr="004C03E7">
        <w:rPr>
          <w:rFonts w:ascii="Arial" w:hAnsi="Arial" w:cs="Arial"/>
          <w:color w:val="000000" w:themeColor="text1"/>
          <w:sz w:val="22"/>
          <w:szCs w:val="22"/>
        </w:rPr>
        <w:t>The inclusion of care roles on the S</w:t>
      </w:r>
      <w:r w:rsidR="003E1E9F" w:rsidRPr="004C03E7">
        <w:rPr>
          <w:rFonts w:ascii="Arial" w:hAnsi="Arial" w:cs="Arial"/>
          <w:color w:val="000000" w:themeColor="text1"/>
          <w:sz w:val="22"/>
          <w:szCs w:val="22"/>
        </w:rPr>
        <w:t xml:space="preserve">OL </w:t>
      </w:r>
      <w:r w:rsidRPr="004C03E7">
        <w:rPr>
          <w:rFonts w:ascii="Arial" w:hAnsi="Arial" w:cs="Arial"/>
          <w:color w:val="000000" w:themeColor="text1"/>
          <w:sz w:val="22"/>
          <w:szCs w:val="22"/>
        </w:rPr>
        <w:t>acknowledged the sector's persistent workforce issues and gave employers more flexibility in recruiting migrant workers</w:t>
      </w:r>
      <w:r w:rsidR="00C2128F" w:rsidRPr="004C03E7">
        <w:rPr>
          <w:rFonts w:ascii="Arial" w:hAnsi="Arial" w:cs="Arial"/>
          <w:color w:val="000000" w:themeColor="text1"/>
          <w:sz w:val="22"/>
          <w:szCs w:val="22"/>
        </w:rPr>
        <w:t xml:space="preserve"> (Migration Advisory Committee, 2023)</w:t>
      </w:r>
      <w:r w:rsidR="0078325A" w:rsidRPr="004C03E7">
        <w:rPr>
          <w:rFonts w:ascii="Arial" w:hAnsi="Arial" w:cs="Arial"/>
          <w:color w:val="000000" w:themeColor="text1"/>
          <w:sz w:val="22"/>
          <w:szCs w:val="22"/>
        </w:rPr>
        <w:t>.</w:t>
      </w:r>
    </w:p>
    <w:p w14:paraId="24667263" w14:textId="77777777" w:rsidR="00161B1E" w:rsidRPr="004C03E7" w:rsidRDefault="004A6C1B" w:rsidP="00A9260B">
      <w:pPr>
        <w:pStyle w:val="p1"/>
        <w:spacing w:line="360" w:lineRule="auto"/>
        <w:jc w:val="both"/>
        <w:rPr>
          <w:rFonts w:ascii="Arial" w:hAnsi="Arial" w:cs="Arial"/>
          <w:color w:val="000000" w:themeColor="text1"/>
          <w:sz w:val="22"/>
          <w:szCs w:val="22"/>
        </w:rPr>
      </w:pPr>
      <w:r w:rsidRPr="004C03E7">
        <w:rPr>
          <w:rFonts w:ascii="Arial" w:hAnsi="Arial" w:cs="Arial"/>
          <w:color w:val="000000" w:themeColor="text1"/>
          <w:sz w:val="22"/>
          <w:szCs w:val="22"/>
        </w:rPr>
        <w:t>In ASC, workforce sustainability remains a significant issue despite these legislative interventions. Migrant workers currently make up a significant proportion of the workforce, and international recruitment has emerged as an important strategy for sustaining employment levels</w:t>
      </w:r>
      <w:r w:rsidR="00ED2B4A" w:rsidRPr="004C03E7">
        <w:rPr>
          <w:rFonts w:ascii="Arial" w:hAnsi="Arial" w:cs="Arial"/>
          <w:color w:val="000000" w:themeColor="text1"/>
          <w:sz w:val="22"/>
          <w:szCs w:val="22"/>
        </w:rPr>
        <w:t xml:space="preserve"> (Skills for Care, 202</w:t>
      </w:r>
      <w:r w:rsidR="00F51A43" w:rsidRPr="004C03E7">
        <w:rPr>
          <w:rFonts w:ascii="Arial" w:hAnsi="Arial" w:cs="Arial"/>
          <w:color w:val="000000" w:themeColor="text1"/>
          <w:sz w:val="22"/>
          <w:szCs w:val="22"/>
        </w:rPr>
        <w:t>5</w:t>
      </w:r>
      <w:r w:rsidR="00ED2B4A" w:rsidRPr="004C03E7">
        <w:rPr>
          <w:rFonts w:ascii="Arial" w:hAnsi="Arial" w:cs="Arial"/>
          <w:color w:val="000000" w:themeColor="text1"/>
          <w:sz w:val="22"/>
          <w:szCs w:val="22"/>
        </w:rPr>
        <w:t>)</w:t>
      </w:r>
      <w:r w:rsidR="00ED2B4A" w:rsidRPr="004C03E7">
        <w:rPr>
          <w:rStyle w:val="s1"/>
          <w:rFonts w:ascii="Arial" w:eastAsiaTheme="majorEastAsia" w:hAnsi="Arial" w:cs="Arial"/>
          <w:color w:val="000000" w:themeColor="text1"/>
          <w:sz w:val="22"/>
          <w:szCs w:val="22"/>
        </w:rPr>
        <w:t>.</w:t>
      </w:r>
      <w:r w:rsidR="00ED2B4A" w:rsidRPr="004C03E7">
        <w:rPr>
          <w:rFonts w:ascii="Arial" w:hAnsi="Arial" w:cs="Arial"/>
          <w:color w:val="000000" w:themeColor="text1"/>
          <w:sz w:val="22"/>
          <w:szCs w:val="22"/>
        </w:rPr>
        <w:t xml:space="preserve"> </w:t>
      </w:r>
      <w:r w:rsidRPr="004C03E7">
        <w:rPr>
          <w:rFonts w:ascii="Arial" w:hAnsi="Arial" w:cs="Arial"/>
          <w:color w:val="000000" w:themeColor="text1"/>
          <w:sz w:val="22"/>
          <w:szCs w:val="22"/>
        </w:rPr>
        <w:t>This strategy has reduced short-term workforce concerns, but it has additionally ignited discussion about long-term labour planning and the degree to which the industry has grown structurally dependent on migrant labour</w:t>
      </w:r>
      <w:r w:rsidR="004E3340" w:rsidRPr="004C03E7">
        <w:rPr>
          <w:rFonts w:ascii="Arial" w:hAnsi="Arial" w:cs="Arial"/>
          <w:color w:val="000000" w:themeColor="text1"/>
          <w:sz w:val="22"/>
          <w:szCs w:val="22"/>
        </w:rPr>
        <w:t xml:space="preserve"> (Migration Advisory Committee, 2023)</w:t>
      </w:r>
      <w:r w:rsidR="004E3340" w:rsidRPr="004C03E7">
        <w:rPr>
          <w:rStyle w:val="s1"/>
          <w:rFonts w:ascii="Arial" w:eastAsiaTheme="majorEastAsia" w:hAnsi="Arial" w:cs="Arial"/>
          <w:color w:val="000000" w:themeColor="text1"/>
          <w:sz w:val="22"/>
          <w:szCs w:val="22"/>
        </w:rPr>
        <w:t>.</w:t>
      </w:r>
      <w:r w:rsidR="004E3340" w:rsidRPr="004C03E7">
        <w:rPr>
          <w:rStyle w:val="apple-converted-space"/>
          <w:rFonts w:ascii="Arial" w:eastAsiaTheme="majorEastAsia" w:hAnsi="Arial" w:cs="Arial"/>
          <w:color w:val="000000" w:themeColor="text1"/>
          <w:sz w:val="22"/>
          <w:szCs w:val="22"/>
        </w:rPr>
        <w:t> </w:t>
      </w:r>
    </w:p>
    <w:p w14:paraId="3F1ECB8B" w14:textId="66B8F77A" w:rsidR="006666AB" w:rsidRPr="00F9280E" w:rsidRDefault="006666AB" w:rsidP="00782BE1">
      <w:pPr>
        <w:pStyle w:val="Heading2"/>
        <w:rPr>
          <w:rStyle w:val="eop"/>
          <w:rFonts w:ascii="Arial" w:hAnsi="Arial" w:cs="Arial"/>
          <w:color w:val="000000" w:themeColor="text1"/>
          <w:sz w:val="22"/>
          <w:szCs w:val="22"/>
        </w:rPr>
      </w:pPr>
      <w:r w:rsidRPr="00F9280E">
        <w:rPr>
          <w:rStyle w:val="normaltextrun"/>
          <w:rFonts w:ascii="Arial" w:hAnsi="Arial" w:cs="Arial"/>
          <w:color w:val="000000" w:themeColor="text1"/>
          <w:sz w:val="28"/>
          <w:szCs w:val="28"/>
        </w:rPr>
        <w:t xml:space="preserve">2.3 Theoretical Background </w:t>
      </w:r>
    </w:p>
    <w:p w14:paraId="3972D1A5" w14:textId="77777777" w:rsidR="00997816" w:rsidRPr="00B84D03" w:rsidRDefault="00997816" w:rsidP="00A9260B">
      <w:pPr>
        <w:pStyle w:val="isselectedend"/>
        <w:spacing w:line="360" w:lineRule="auto"/>
        <w:jc w:val="both"/>
        <w:rPr>
          <w:rFonts w:ascii="Arial" w:hAnsi="Arial" w:cs="Arial"/>
          <w:color w:val="000000" w:themeColor="text1"/>
          <w:sz w:val="22"/>
          <w:szCs w:val="22"/>
        </w:rPr>
      </w:pPr>
      <w:r w:rsidRPr="00B84D03">
        <w:rPr>
          <w:rFonts w:ascii="Arial" w:hAnsi="Arial" w:cs="Arial"/>
          <w:color w:val="000000" w:themeColor="text1"/>
          <w:sz w:val="22"/>
          <w:szCs w:val="22"/>
        </w:rPr>
        <w:t xml:space="preserve">Several theoretical views contribute to an understanding of migrant workers' roles in the ASC workforce, as well as the broader relationship between migration, labour markets, and workforce sustainability. These theories provide a framework for understanding why migrant </w:t>
      </w:r>
      <w:r w:rsidRPr="00B84D03">
        <w:rPr>
          <w:rFonts w:ascii="Arial" w:hAnsi="Arial" w:cs="Arial"/>
          <w:color w:val="000000" w:themeColor="text1"/>
          <w:sz w:val="22"/>
          <w:szCs w:val="22"/>
        </w:rPr>
        <w:lastRenderedPageBreak/>
        <w:t>labour has grown in importance within industries experiencing persistent workforce shortages (Turnpenny and Hussein, 2022).</w:t>
      </w:r>
    </w:p>
    <w:p w14:paraId="04E177F1" w14:textId="4C4731AC" w:rsidR="00997816" w:rsidRPr="00B84D03" w:rsidRDefault="00997816" w:rsidP="00A9260B">
      <w:pPr>
        <w:pStyle w:val="isselectedend"/>
        <w:spacing w:line="360" w:lineRule="auto"/>
        <w:jc w:val="both"/>
        <w:rPr>
          <w:rFonts w:ascii="Arial" w:hAnsi="Arial" w:cs="Arial"/>
          <w:color w:val="000000" w:themeColor="text1"/>
          <w:sz w:val="22"/>
          <w:szCs w:val="22"/>
        </w:rPr>
      </w:pPr>
      <w:r w:rsidRPr="00B84D03">
        <w:rPr>
          <w:rFonts w:ascii="Arial" w:hAnsi="Arial" w:cs="Arial"/>
          <w:color w:val="000000" w:themeColor="text1"/>
          <w:sz w:val="22"/>
          <w:szCs w:val="22"/>
        </w:rPr>
        <w:t>One influential framework is Labour Market Segmentation Theory, which suggests that labour markets are divided into primary and secondary sectors (International Labour Organization, 2023). The primary labour market is characterised by stable employment, higher wages, and opportunities for career progression, whereas the secondary labour market frequently involves low-paid work with limited job security and fewer opportunities for advancement (CORE Econ, 2023). Many frontline care positions in ASC are associated with low wages and demanding working conditions (Hussein, 2017). Consequently, these roles may be less attractive to domestic workers, contributing to recruitment difficulties within the sector (The King’s Fund, 2024). According to this theory, migrant workers often occupy positions within the secondary labour market where labour shortages are most visible (International Labour Organization, 2023).</w:t>
      </w:r>
      <w:r w:rsidR="00B47749" w:rsidRPr="00B84D03">
        <w:rPr>
          <w:rFonts w:ascii="Arial" w:hAnsi="Arial" w:cs="Arial"/>
          <w:color w:val="000000" w:themeColor="text1"/>
          <w:sz w:val="22"/>
          <w:szCs w:val="22"/>
        </w:rPr>
        <w:t xml:space="preserve"> </w:t>
      </w:r>
    </w:p>
    <w:p w14:paraId="58C31996" w14:textId="7EF036C6" w:rsidR="00997816" w:rsidRPr="00B84D03" w:rsidRDefault="00997816" w:rsidP="00A9260B">
      <w:pPr>
        <w:pStyle w:val="isselectedend"/>
        <w:spacing w:line="360" w:lineRule="auto"/>
        <w:jc w:val="both"/>
        <w:rPr>
          <w:rFonts w:ascii="Arial" w:hAnsi="Arial" w:cs="Arial"/>
          <w:color w:val="000000" w:themeColor="text1"/>
          <w:sz w:val="22"/>
          <w:szCs w:val="22"/>
        </w:rPr>
      </w:pPr>
      <w:r w:rsidRPr="00B84D03">
        <w:rPr>
          <w:rFonts w:ascii="Arial" w:hAnsi="Arial" w:cs="Arial"/>
          <w:color w:val="000000" w:themeColor="text1"/>
          <w:sz w:val="22"/>
          <w:szCs w:val="22"/>
        </w:rPr>
        <w:t>Another relevant perspective is Maslow’s Hierarchy of Needs,</w:t>
      </w:r>
      <w:r w:rsidR="00E40104" w:rsidRPr="00B84D03">
        <w:rPr>
          <w:rFonts w:ascii="Arial" w:hAnsi="Arial" w:cs="Arial"/>
          <w:color w:val="000000" w:themeColor="text1"/>
          <w:sz w:val="22"/>
          <w:szCs w:val="22"/>
        </w:rPr>
        <w:t xml:space="preserve"> </w:t>
      </w:r>
      <w:r w:rsidRPr="00B84D03">
        <w:rPr>
          <w:rFonts w:ascii="Arial" w:hAnsi="Arial" w:cs="Arial"/>
          <w:color w:val="000000" w:themeColor="text1"/>
          <w:sz w:val="22"/>
          <w:szCs w:val="22"/>
        </w:rPr>
        <w:t>which explains human motivation through a hierarchy progressing from physiological and safety needs to belonging, esteem, and self-actuali</w:t>
      </w:r>
      <w:r w:rsidR="006052E8" w:rsidRPr="00B84D03">
        <w:rPr>
          <w:rFonts w:ascii="Arial" w:hAnsi="Arial" w:cs="Arial"/>
          <w:color w:val="000000" w:themeColor="text1"/>
          <w:sz w:val="22"/>
          <w:szCs w:val="22"/>
        </w:rPr>
        <w:t>z</w:t>
      </w:r>
      <w:r w:rsidRPr="00B84D03">
        <w:rPr>
          <w:rFonts w:ascii="Arial" w:hAnsi="Arial" w:cs="Arial"/>
          <w:color w:val="000000" w:themeColor="text1"/>
          <w:sz w:val="22"/>
          <w:szCs w:val="22"/>
        </w:rPr>
        <w:t>ation</w:t>
      </w:r>
      <w:r w:rsidR="000C36F7" w:rsidRPr="00B84D03">
        <w:rPr>
          <w:rFonts w:ascii="Arial" w:hAnsi="Arial" w:cs="Arial"/>
          <w:color w:val="000000" w:themeColor="text1"/>
          <w:sz w:val="22"/>
          <w:szCs w:val="22"/>
        </w:rPr>
        <w:t xml:space="preserve"> (Kenrick</w:t>
      </w:r>
      <w:r w:rsidR="000C36F7" w:rsidRPr="00B84D03">
        <w:rPr>
          <w:rStyle w:val="apple-converted-space"/>
          <w:rFonts w:ascii="Arial" w:hAnsi="Arial" w:cs="Arial"/>
          <w:color w:val="000000" w:themeColor="text1"/>
          <w:sz w:val="22"/>
          <w:szCs w:val="22"/>
        </w:rPr>
        <w:t> </w:t>
      </w:r>
      <w:r w:rsidR="000C36F7" w:rsidRPr="00B84D03">
        <w:rPr>
          <w:rStyle w:val="Emphasis"/>
          <w:rFonts w:ascii="Arial" w:hAnsi="Arial" w:cs="Arial"/>
          <w:color w:val="000000" w:themeColor="text1"/>
          <w:sz w:val="22"/>
          <w:szCs w:val="22"/>
        </w:rPr>
        <w:t>et al</w:t>
      </w:r>
      <w:r w:rsidR="000C36F7" w:rsidRPr="00B84D03">
        <w:rPr>
          <w:rFonts w:ascii="Arial" w:hAnsi="Arial" w:cs="Arial"/>
          <w:color w:val="000000" w:themeColor="text1"/>
          <w:sz w:val="22"/>
          <w:szCs w:val="22"/>
        </w:rPr>
        <w:t>., 2010)</w:t>
      </w:r>
      <w:r w:rsidRPr="00B84D03">
        <w:rPr>
          <w:rFonts w:ascii="Arial" w:hAnsi="Arial" w:cs="Arial"/>
          <w:color w:val="000000" w:themeColor="text1"/>
          <w:sz w:val="22"/>
          <w:szCs w:val="22"/>
        </w:rPr>
        <w:t>. According to this theory, individuals prioritise meeting basic needs before progressing towards higher-level aspirations</w:t>
      </w:r>
      <w:r w:rsidR="00071662" w:rsidRPr="00B84D03">
        <w:rPr>
          <w:rFonts w:ascii="Arial" w:hAnsi="Arial" w:cs="Arial"/>
          <w:color w:val="000000" w:themeColor="text1"/>
          <w:sz w:val="22"/>
          <w:szCs w:val="22"/>
        </w:rPr>
        <w:t xml:space="preserve"> (Kenrick</w:t>
      </w:r>
      <w:r w:rsidR="00071662" w:rsidRPr="00B84D03">
        <w:rPr>
          <w:rStyle w:val="apple-converted-space"/>
          <w:rFonts w:ascii="Arial" w:hAnsi="Arial" w:cs="Arial"/>
          <w:color w:val="000000" w:themeColor="text1"/>
          <w:sz w:val="22"/>
          <w:szCs w:val="22"/>
        </w:rPr>
        <w:t> </w:t>
      </w:r>
      <w:r w:rsidR="00071662" w:rsidRPr="00B84D03">
        <w:rPr>
          <w:rStyle w:val="Emphasis"/>
          <w:rFonts w:ascii="Arial" w:hAnsi="Arial" w:cs="Arial"/>
          <w:color w:val="000000" w:themeColor="text1"/>
          <w:sz w:val="22"/>
          <w:szCs w:val="22"/>
        </w:rPr>
        <w:t>et al</w:t>
      </w:r>
      <w:r w:rsidR="00071662" w:rsidRPr="00B84D03">
        <w:rPr>
          <w:rFonts w:ascii="Arial" w:hAnsi="Arial" w:cs="Arial"/>
          <w:color w:val="000000" w:themeColor="text1"/>
          <w:sz w:val="22"/>
          <w:szCs w:val="22"/>
        </w:rPr>
        <w:t>., 2010).</w:t>
      </w:r>
      <w:r w:rsidRPr="00B84D03">
        <w:rPr>
          <w:rFonts w:ascii="Arial" w:hAnsi="Arial" w:cs="Arial"/>
          <w:color w:val="000000" w:themeColor="text1"/>
          <w:sz w:val="22"/>
          <w:szCs w:val="22"/>
        </w:rPr>
        <w:t xml:space="preserve"> Therefore, secure income, safe working conditions, and opportunities for recognition may influence motivation and job satisfaction.</w:t>
      </w:r>
      <w:r w:rsidR="009A00A9" w:rsidRPr="00B84D03">
        <w:rPr>
          <w:rFonts w:ascii="Arial" w:hAnsi="Arial" w:cs="Arial"/>
          <w:color w:val="000000" w:themeColor="text1"/>
          <w:sz w:val="22"/>
          <w:szCs w:val="22"/>
        </w:rPr>
        <w:t xml:space="preserve"> </w:t>
      </w:r>
    </w:p>
    <w:p w14:paraId="4FB982CE" w14:textId="363F3BDC" w:rsidR="00997816" w:rsidRPr="00B84D03" w:rsidRDefault="00997816" w:rsidP="00354D96">
      <w:pPr>
        <w:pStyle w:val="isselectedend"/>
        <w:spacing w:line="360" w:lineRule="auto"/>
        <w:jc w:val="both"/>
        <w:rPr>
          <w:rFonts w:ascii="Arial" w:hAnsi="Arial" w:cs="Arial"/>
          <w:color w:val="000000" w:themeColor="text1"/>
          <w:sz w:val="22"/>
          <w:szCs w:val="22"/>
        </w:rPr>
      </w:pPr>
      <w:r w:rsidRPr="00B84D03">
        <w:rPr>
          <w:rFonts w:ascii="Arial" w:hAnsi="Arial" w:cs="Arial"/>
          <w:color w:val="000000" w:themeColor="text1"/>
          <w:sz w:val="22"/>
          <w:szCs w:val="22"/>
        </w:rPr>
        <w:t>Maslow’s theory is relevant to the ASC workforce because employment conditions may influence recruitment and retention. Many frontline care roles involve demanding workloads and comparatively low wages, which may affect workers’ sense of security and professional fulfilment</w:t>
      </w:r>
      <w:r w:rsidR="005379EA" w:rsidRPr="00B84D03">
        <w:rPr>
          <w:rFonts w:ascii="Arial" w:hAnsi="Arial" w:cs="Arial"/>
          <w:color w:val="000000" w:themeColor="text1"/>
          <w:sz w:val="22"/>
          <w:szCs w:val="22"/>
        </w:rPr>
        <w:t xml:space="preserve"> (Hussein, 2017)</w:t>
      </w:r>
      <w:r w:rsidRPr="00B84D03">
        <w:rPr>
          <w:rFonts w:ascii="Arial" w:hAnsi="Arial" w:cs="Arial"/>
          <w:color w:val="000000" w:themeColor="text1"/>
          <w:sz w:val="22"/>
          <w:szCs w:val="22"/>
        </w:rPr>
        <w:t>. For migrant workers, employment within ASC may initially satisfy physiological and safety needs through income and employment opportunities, while recognition and career progression may shape longer-term commitment to the sector.</w:t>
      </w:r>
    </w:p>
    <w:p w14:paraId="06AD51B7" w14:textId="0E06869B" w:rsidR="0087015E" w:rsidRPr="00B84D03" w:rsidRDefault="001E354D" w:rsidP="00354D96">
      <w:pPr>
        <w:pStyle w:val="NormalWeb"/>
        <w:spacing w:line="360" w:lineRule="auto"/>
        <w:jc w:val="both"/>
        <w:rPr>
          <w:rFonts w:ascii="Arial" w:hAnsi="Arial" w:cs="Arial"/>
          <w:color w:val="000000" w:themeColor="text1"/>
          <w:sz w:val="22"/>
          <w:szCs w:val="22"/>
        </w:rPr>
      </w:pPr>
      <w:r w:rsidRPr="00B84D03">
        <w:rPr>
          <w:rFonts w:ascii="Arial" w:hAnsi="Arial" w:cs="Arial"/>
          <w:color w:val="000000" w:themeColor="text1"/>
          <w:sz w:val="22"/>
          <w:szCs w:val="22"/>
        </w:rPr>
        <w:t xml:space="preserve">Maslow's theory has also been applied in research on employee motivation and job satisfaction. According to </w:t>
      </w:r>
      <w:r w:rsidR="002B3E3B" w:rsidRPr="00B84D03">
        <w:rPr>
          <w:rFonts w:ascii="Arial" w:hAnsi="Arial" w:cs="Arial"/>
          <w:color w:val="000000" w:themeColor="text1"/>
          <w:sz w:val="22"/>
          <w:szCs w:val="22"/>
        </w:rPr>
        <w:t>D</w:t>
      </w:r>
      <w:r w:rsidR="001E42F4" w:rsidRPr="00B84D03">
        <w:rPr>
          <w:rFonts w:ascii="Arial" w:hAnsi="Arial" w:cs="Arial"/>
          <w:color w:val="000000" w:themeColor="text1"/>
          <w:sz w:val="22"/>
          <w:szCs w:val="22"/>
        </w:rPr>
        <w:t xml:space="preserve">e Vries </w:t>
      </w:r>
      <w:r w:rsidR="001E42F4" w:rsidRPr="00B84D03">
        <w:rPr>
          <w:rFonts w:ascii="Arial" w:hAnsi="Arial" w:cs="Arial"/>
          <w:i/>
          <w:iCs/>
          <w:color w:val="000000" w:themeColor="text1"/>
          <w:sz w:val="22"/>
          <w:szCs w:val="22"/>
        </w:rPr>
        <w:t>et al.</w:t>
      </w:r>
      <w:r w:rsidR="00DB75F3" w:rsidRPr="00B84D03">
        <w:rPr>
          <w:rFonts w:ascii="Arial" w:hAnsi="Arial" w:cs="Arial"/>
          <w:i/>
          <w:iCs/>
          <w:color w:val="000000" w:themeColor="text1"/>
          <w:sz w:val="22"/>
          <w:szCs w:val="22"/>
        </w:rPr>
        <w:t>,</w:t>
      </w:r>
      <w:r w:rsidR="001E42F4" w:rsidRPr="00B84D03">
        <w:rPr>
          <w:rFonts w:ascii="Arial" w:hAnsi="Arial" w:cs="Arial"/>
          <w:color w:val="000000" w:themeColor="text1"/>
          <w:sz w:val="22"/>
          <w:szCs w:val="22"/>
        </w:rPr>
        <w:t xml:space="preserve"> (2023)</w:t>
      </w:r>
      <w:r w:rsidRPr="00B84D03">
        <w:rPr>
          <w:rFonts w:ascii="Arial" w:hAnsi="Arial" w:cs="Arial"/>
          <w:color w:val="000000" w:themeColor="text1"/>
          <w:sz w:val="22"/>
          <w:szCs w:val="22"/>
        </w:rPr>
        <w:t>, organisational support, working conditions, and chances for professional growth can all have an impact on job satisfaction and workforce stability in health and social care. This perspective is important for migrant workers in ASC because working experiences and possibilities for advancement may impact retention and long-term commitment to this sector</w:t>
      </w:r>
      <w:r w:rsidR="00C40091" w:rsidRPr="00B84D03">
        <w:rPr>
          <w:rFonts w:ascii="Arial" w:hAnsi="Arial" w:cs="Arial"/>
          <w:color w:val="000000" w:themeColor="text1"/>
          <w:sz w:val="22"/>
          <w:szCs w:val="22"/>
        </w:rPr>
        <w:t xml:space="preserve"> (Eriksson</w:t>
      </w:r>
      <w:r w:rsidR="00C40091" w:rsidRPr="00B84D03">
        <w:rPr>
          <w:rStyle w:val="apple-converted-space"/>
          <w:rFonts w:ascii="Arial" w:hAnsi="Arial" w:cs="Arial"/>
          <w:color w:val="000000" w:themeColor="text1"/>
          <w:sz w:val="22"/>
          <w:szCs w:val="22"/>
        </w:rPr>
        <w:t> </w:t>
      </w:r>
      <w:r w:rsidR="00C40091" w:rsidRPr="00B84D03">
        <w:rPr>
          <w:rStyle w:val="Emphasis"/>
          <w:rFonts w:ascii="Arial" w:hAnsi="Arial" w:cs="Arial"/>
          <w:color w:val="000000" w:themeColor="text1"/>
          <w:sz w:val="22"/>
          <w:szCs w:val="22"/>
        </w:rPr>
        <w:t>et al</w:t>
      </w:r>
      <w:r w:rsidR="00C40091" w:rsidRPr="00B84D03">
        <w:rPr>
          <w:rFonts w:ascii="Arial" w:hAnsi="Arial" w:cs="Arial"/>
          <w:color w:val="000000" w:themeColor="text1"/>
          <w:sz w:val="22"/>
          <w:szCs w:val="22"/>
        </w:rPr>
        <w:t>., 2023).</w:t>
      </w:r>
    </w:p>
    <w:p w14:paraId="061BA471" w14:textId="7CDC9D1C" w:rsidR="00997816" w:rsidRPr="00B84D03" w:rsidRDefault="00997816" w:rsidP="00354D96">
      <w:pPr>
        <w:pStyle w:val="NormalWeb"/>
        <w:spacing w:line="360" w:lineRule="auto"/>
        <w:jc w:val="both"/>
        <w:rPr>
          <w:rFonts w:ascii="Arial" w:hAnsi="Arial" w:cs="Arial"/>
          <w:color w:val="000000" w:themeColor="text1"/>
          <w:sz w:val="22"/>
          <w:szCs w:val="22"/>
        </w:rPr>
      </w:pPr>
      <w:r w:rsidRPr="00B84D03">
        <w:rPr>
          <w:rFonts w:ascii="Arial" w:hAnsi="Arial" w:cs="Arial"/>
          <w:color w:val="000000" w:themeColor="text1"/>
          <w:sz w:val="22"/>
          <w:szCs w:val="22"/>
        </w:rPr>
        <w:t xml:space="preserve">Although both theories provide useful insight, they also have limitations. Labour Market Segmentation Theory has been criticised for focusing primarily on economic structures while </w:t>
      </w:r>
      <w:r w:rsidRPr="00B84D03">
        <w:rPr>
          <w:rFonts w:ascii="Arial" w:hAnsi="Arial" w:cs="Arial"/>
          <w:color w:val="000000" w:themeColor="text1"/>
          <w:sz w:val="22"/>
          <w:szCs w:val="22"/>
        </w:rPr>
        <w:lastRenderedPageBreak/>
        <w:t xml:space="preserve">giving limited attention to migrant workers’ motivations and experiences, as highlighted by Dias-Abey </w:t>
      </w:r>
      <w:r w:rsidR="00167C97" w:rsidRPr="00B84D03">
        <w:rPr>
          <w:rFonts w:ascii="Arial" w:hAnsi="Arial" w:cs="Arial"/>
          <w:color w:val="000000" w:themeColor="text1"/>
          <w:sz w:val="22"/>
          <w:szCs w:val="22"/>
        </w:rPr>
        <w:t>(</w:t>
      </w:r>
      <w:r w:rsidRPr="00B84D03">
        <w:rPr>
          <w:rFonts w:ascii="Arial" w:hAnsi="Arial" w:cs="Arial"/>
          <w:color w:val="000000" w:themeColor="text1"/>
          <w:sz w:val="22"/>
          <w:szCs w:val="22"/>
        </w:rPr>
        <w:t xml:space="preserve">2021). In contrast, Maslow’s theory has been challenged for assuming that needs progress through a fixed hierarchy and for overlooking cultural differences in motivation, as suggested by </w:t>
      </w:r>
      <w:r w:rsidR="002C61DC" w:rsidRPr="00B84D03">
        <w:rPr>
          <w:rFonts w:ascii="Arial" w:hAnsi="Arial" w:cs="Arial"/>
          <w:color w:val="000000" w:themeColor="text1"/>
          <w:sz w:val="22"/>
          <w:szCs w:val="22"/>
        </w:rPr>
        <w:t>King-Hill, (2015)</w:t>
      </w:r>
      <w:r w:rsidRPr="00B84D03">
        <w:rPr>
          <w:rFonts w:ascii="Arial" w:hAnsi="Arial" w:cs="Arial"/>
          <w:color w:val="000000" w:themeColor="text1"/>
          <w:sz w:val="22"/>
          <w:szCs w:val="22"/>
        </w:rPr>
        <w:t>. Nevertheless, when considered together, these theories provide a broader understanding of migrant workers’ roles in ASC. Labour Market Segmentation Theory explains the structural positioning of migrant workers within lower-paid care employment, whereas Maslow’s Hierarchy of Needs highlights how motivation and employment conditions may influence retention and workforce sustainability.</w:t>
      </w:r>
    </w:p>
    <w:p w14:paraId="22130F06" w14:textId="60FAE10E" w:rsidR="00FD5E5F" w:rsidRPr="003A0842" w:rsidRDefault="00FD5E5F" w:rsidP="00C26F27">
      <w:pPr>
        <w:pStyle w:val="Heading2"/>
        <w:rPr>
          <w:rStyle w:val="eop"/>
          <w:rFonts w:ascii="Arial" w:eastAsia="Calibri Light" w:hAnsi="Arial" w:cs="Arial"/>
          <w:color w:val="000000" w:themeColor="text1"/>
          <w:sz w:val="28"/>
          <w:szCs w:val="28"/>
        </w:rPr>
      </w:pPr>
      <w:r w:rsidRPr="003A0842">
        <w:rPr>
          <w:rStyle w:val="normaltextrun"/>
          <w:rFonts w:ascii="Arial" w:hAnsi="Arial" w:cs="Arial"/>
          <w:color w:val="000000" w:themeColor="text1"/>
          <w:sz w:val="28"/>
          <w:szCs w:val="28"/>
        </w:rPr>
        <w:t xml:space="preserve">2.4 International Context </w:t>
      </w:r>
    </w:p>
    <w:p w14:paraId="7BB78CDD" w14:textId="0CEA0E16" w:rsidR="00F83D86" w:rsidRPr="00B84D03" w:rsidRDefault="00F83D86" w:rsidP="00354D96">
      <w:pPr>
        <w:pStyle w:val="p1"/>
        <w:spacing w:line="360" w:lineRule="auto"/>
        <w:jc w:val="both"/>
        <w:rPr>
          <w:rFonts w:ascii="Arial" w:hAnsi="Arial" w:cs="Arial"/>
          <w:color w:val="000000" w:themeColor="text1"/>
          <w:sz w:val="22"/>
          <w:szCs w:val="22"/>
        </w:rPr>
      </w:pPr>
      <w:r w:rsidRPr="00B84D03">
        <w:rPr>
          <w:rFonts w:ascii="Arial" w:hAnsi="Arial" w:cs="Arial"/>
          <w:color w:val="000000" w:themeColor="text1"/>
          <w:sz w:val="22"/>
          <w:szCs w:val="22"/>
        </w:rPr>
        <w:t xml:space="preserve">The role of migrant workers in ASC systems reflects a broader global trend driven by ageing populations and workforce shortages. In many high-income nations, rising life expectancy and declining birth rates have increased demand for long-term care, placing pressure on domestic labour supply, </w:t>
      </w:r>
      <w:r w:rsidRPr="00B84D03">
        <w:rPr>
          <w:rStyle w:val="s1"/>
          <w:rFonts w:ascii="Arial" w:hAnsi="Arial" w:cs="Arial"/>
          <w:color w:val="000000" w:themeColor="text1"/>
          <w:sz w:val="22"/>
          <w:szCs w:val="22"/>
        </w:rPr>
        <w:t>as highlighted by</w:t>
      </w:r>
      <w:r w:rsidR="001D3B6F" w:rsidRPr="00B84D03">
        <w:rPr>
          <w:rStyle w:val="s1"/>
          <w:rFonts w:ascii="Arial" w:hAnsi="Arial" w:cs="Arial"/>
          <w:color w:val="000000" w:themeColor="text1"/>
          <w:sz w:val="22"/>
          <w:szCs w:val="22"/>
        </w:rPr>
        <w:t xml:space="preserve"> </w:t>
      </w:r>
      <w:r w:rsidRPr="00B84D03">
        <w:rPr>
          <w:rStyle w:val="s1"/>
          <w:rFonts w:ascii="Arial" w:hAnsi="Arial" w:cs="Arial"/>
          <w:color w:val="000000" w:themeColor="text1"/>
          <w:sz w:val="22"/>
          <w:szCs w:val="22"/>
        </w:rPr>
        <w:t>International Labour Organization</w:t>
      </w:r>
      <w:r w:rsidR="003D2474" w:rsidRPr="00B84D03">
        <w:rPr>
          <w:rStyle w:val="s1"/>
          <w:rFonts w:ascii="Arial" w:hAnsi="Arial" w:cs="Arial"/>
          <w:color w:val="000000" w:themeColor="text1"/>
          <w:sz w:val="22"/>
          <w:szCs w:val="22"/>
        </w:rPr>
        <w:t>,</w:t>
      </w:r>
      <w:r w:rsidRPr="00B84D03">
        <w:rPr>
          <w:rStyle w:val="s1"/>
          <w:rFonts w:ascii="Arial" w:hAnsi="Arial" w:cs="Arial"/>
          <w:color w:val="000000" w:themeColor="text1"/>
          <w:sz w:val="22"/>
          <w:szCs w:val="22"/>
        </w:rPr>
        <w:t xml:space="preserve"> (2024)</w:t>
      </w:r>
      <w:r w:rsidRPr="00B84D03">
        <w:rPr>
          <w:rFonts w:ascii="Arial" w:hAnsi="Arial" w:cs="Arial"/>
          <w:color w:val="000000" w:themeColor="text1"/>
          <w:sz w:val="22"/>
          <w:szCs w:val="22"/>
        </w:rPr>
        <w:t>. As a result, migrant workers have become an essential component of care systems in countries such as Canada, Germany, and Australia, where international recruitment is used to address labour shortages and maintain service provision</w:t>
      </w:r>
      <w:r w:rsidR="00B17C0B" w:rsidRPr="00B84D03">
        <w:rPr>
          <w:rFonts w:ascii="Arial" w:hAnsi="Arial" w:cs="Arial"/>
          <w:color w:val="000000" w:themeColor="text1"/>
          <w:sz w:val="22"/>
          <w:szCs w:val="22"/>
        </w:rPr>
        <w:t xml:space="preserve"> </w:t>
      </w:r>
      <w:r w:rsidR="00EC21D0" w:rsidRPr="00B84D03">
        <w:rPr>
          <w:rFonts w:ascii="Arial" w:hAnsi="Arial" w:cs="Arial"/>
          <w:color w:val="000000" w:themeColor="text1"/>
          <w:sz w:val="22"/>
          <w:szCs w:val="22"/>
        </w:rPr>
        <w:t>(</w:t>
      </w:r>
      <w:r w:rsidRPr="00B84D03">
        <w:rPr>
          <w:rStyle w:val="s1"/>
          <w:rFonts w:ascii="Arial" w:hAnsi="Arial" w:cs="Arial"/>
          <w:color w:val="000000" w:themeColor="text1"/>
          <w:sz w:val="22"/>
          <w:szCs w:val="22"/>
        </w:rPr>
        <w:t>International Labour Organization 2024)</w:t>
      </w:r>
      <w:r w:rsidRPr="00B84D03">
        <w:rPr>
          <w:rFonts w:ascii="Arial" w:hAnsi="Arial" w:cs="Arial"/>
          <w:color w:val="000000" w:themeColor="text1"/>
          <w:sz w:val="22"/>
          <w:szCs w:val="22"/>
        </w:rPr>
        <w:t>.</w:t>
      </w:r>
    </w:p>
    <w:p w14:paraId="69C26221" w14:textId="4DA0A038" w:rsidR="00F83D86" w:rsidRPr="00B84D03" w:rsidRDefault="00F83D86" w:rsidP="00354D96">
      <w:pPr>
        <w:pStyle w:val="p1"/>
        <w:spacing w:line="360" w:lineRule="auto"/>
        <w:jc w:val="both"/>
        <w:rPr>
          <w:rFonts w:ascii="Arial" w:hAnsi="Arial" w:cs="Arial"/>
          <w:color w:val="000000" w:themeColor="text1"/>
          <w:sz w:val="22"/>
          <w:szCs w:val="22"/>
        </w:rPr>
      </w:pPr>
      <w:r w:rsidRPr="00B84D03">
        <w:rPr>
          <w:rFonts w:ascii="Arial" w:hAnsi="Arial" w:cs="Arial"/>
          <w:color w:val="000000" w:themeColor="text1"/>
          <w:sz w:val="22"/>
          <w:szCs w:val="22"/>
        </w:rPr>
        <w:t xml:space="preserve">Migrant workers in Canada make important contributions to long-term care provision, particularly through programmes such as the Temporary Foreign Worker Program, which supports recruitment into home and residential care services, </w:t>
      </w:r>
      <w:r w:rsidRPr="00B84D03">
        <w:rPr>
          <w:rStyle w:val="s1"/>
          <w:rFonts w:ascii="Arial" w:hAnsi="Arial" w:cs="Arial"/>
          <w:color w:val="000000" w:themeColor="text1"/>
          <w:sz w:val="22"/>
          <w:szCs w:val="22"/>
        </w:rPr>
        <w:t>as suggested by International Labour Organization (2024)</w:t>
      </w:r>
      <w:r w:rsidRPr="00B84D03">
        <w:rPr>
          <w:rFonts w:ascii="Arial" w:hAnsi="Arial" w:cs="Arial"/>
          <w:color w:val="000000" w:themeColor="text1"/>
          <w:sz w:val="22"/>
          <w:szCs w:val="22"/>
        </w:rPr>
        <w:t>. However, concerns remain regarding job security, working conditions, and limited opportunities for permanent settlement. Similarly, Germany has become increasingly reliant on migrant labour, particularly from Eastern European countries, supported by bilateral agreements aimed at addressing workforce shortages in elderly care</w:t>
      </w:r>
      <w:r w:rsidR="00AC3E26" w:rsidRPr="00B84D03">
        <w:rPr>
          <w:rFonts w:ascii="Arial" w:hAnsi="Arial" w:cs="Arial"/>
          <w:color w:val="000000" w:themeColor="text1"/>
          <w:sz w:val="22"/>
          <w:szCs w:val="22"/>
        </w:rPr>
        <w:t xml:space="preserve"> </w:t>
      </w:r>
      <w:r w:rsidR="0053383C" w:rsidRPr="00B84D03">
        <w:rPr>
          <w:rStyle w:val="s1"/>
          <w:rFonts w:ascii="Arial" w:hAnsi="Arial" w:cs="Arial"/>
          <w:color w:val="000000" w:themeColor="text1"/>
          <w:sz w:val="22"/>
          <w:szCs w:val="22"/>
        </w:rPr>
        <w:t>(</w:t>
      </w:r>
      <w:r w:rsidRPr="00B84D03">
        <w:rPr>
          <w:rStyle w:val="s1"/>
          <w:rFonts w:ascii="Arial" w:hAnsi="Arial" w:cs="Arial"/>
          <w:color w:val="000000" w:themeColor="text1"/>
          <w:sz w:val="22"/>
          <w:szCs w:val="22"/>
        </w:rPr>
        <w:t>International Labour Organization 2024)</w:t>
      </w:r>
      <w:r w:rsidRPr="00B84D03">
        <w:rPr>
          <w:rFonts w:ascii="Arial" w:hAnsi="Arial" w:cs="Arial"/>
          <w:color w:val="000000" w:themeColor="text1"/>
          <w:sz w:val="22"/>
          <w:szCs w:val="22"/>
        </w:rPr>
        <w:t>. Despite these initiatives, concerns have been raised regarding labour rights and the long-term sustainability of such recruitment strategies.</w:t>
      </w:r>
    </w:p>
    <w:p w14:paraId="3F50E118" w14:textId="65F80C78" w:rsidR="00F83D86" w:rsidRPr="00B84D03" w:rsidRDefault="00F83D86" w:rsidP="00354D96">
      <w:pPr>
        <w:pStyle w:val="p1"/>
        <w:spacing w:line="360" w:lineRule="auto"/>
        <w:jc w:val="both"/>
        <w:rPr>
          <w:rFonts w:ascii="Arial" w:hAnsi="Arial" w:cs="Arial"/>
          <w:color w:val="000000" w:themeColor="text1"/>
          <w:sz w:val="22"/>
          <w:szCs w:val="22"/>
        </w:rPr>
      </w:pPr>
      <w:r w:rsidRPr="00B84D03">
        <w:rPr>
          <w:rFonts w:ascii="Arial" w:hAnsi="Arial" w:cs="Arial"/>
          <w:color w:val="000000" w:themeColor="text1"/>
          <w:sz w:val="22"/>
          <w:szCs w:val="22"/>
        </w:rPr>
        <w:t xml:space="preserve">Australia is another example of international recruitment being used to strengthen the care workforce. Skilled migration programmes and sector-specific visas have created opportunities for the recruitment of overseas care workers to meet rising demand, </w:t>
      </w:r>
      <w:r w:rsidRPr="00B84D03">
        <w:rPr>
          <w:rStyle w:val="s1"/>
          <w:rFonts w:ascii="Arial" w:hAnsi="Arial" w:cs="Arial"/>
          <w:color w:val="000000" w:themeColor="text1"/>
          <w:sz w:val="22"/>
          <w:szCs w:val="22"/>
        </w:rPr>
        <w:t>as outlined by World Health Organization (2023)</w:t>
      </w:r>
      <w:r w:rsidRPr="00B84D03">
        <w:rPr>
          <w:rFonts w:ascii="Arial" w:hAnsi="Arial" w:cs="Arial"/>
          <w:color w:val="000000" w:themeColor="text1"/>
          <w:sz w:val="22"/>
          <w:szCs w:val="22"/>
        </w:rPr>
        <w:t>. While this has increased workforce capacity, challenges remain, including staff retention, training, and the integration of migrant workers into health and social care systems.</w:t>
      </w:r>
    </w:p>
    <w:p w14:paraId="29D3D315" w14:textId="754F4952" w:rsidR="00F83D86" w:rsidRPr="00B84D03" w:rsidRDefault="00F83D86" w:rsidP="00354D96">
      <w:pPr>
        <w:pStyle w:val="p1"/>
        <w:spacing w:line="360" w:lineRule="auto"/>
        <w:jc w:val="both"/>
        <w:rPr>
          <w:rFonts w:ascii="Arial" w:hAnsi="Arial" w:cs="Arial"/>
          <w:color w:val="000000" w:themeColor="text1"/>
          <w:sz w:val="22"/>
          <w:szCs w:val="22"/>
        </w:rPr>
      </w:pPr>
      <w:r w:rsidRPr="00B84D03">
        <w:rPr>
          <w:rFonts w:ascii="Arial" w:hAnsi="Arial" w:cs="Arial"/>
          <w:color w:val="000000" w:themeColor="text1"/>
          <w:sz w:val="22"/>
          <w:szCs w:val="22"/>
        </w:rPr>
        <w:lastRenderedPageBreak/>
        <w:t>Comparatively, the UK’s reliance on migrant labour is similar to that of these nations, but its policy approach differs. In direct response to workforce shortages, the Health and Care Worker visa was introduced, creating a more targeted pathway for international recruitment</w:t>
      </w:r>
      <w:r w:rsidR="001459BB" w:rsidRPr="00B84D03">
        <w:rPr>
          <w:rFonts w:ascii="Arial" w:hAnsi="Arial" w:cs="Arial"/>
          <w:color w:val="000000" w:themeColor="text1"/>
          <w:sz w:val="22"/>
          <w:szCs w:val="22"/>
        </w:rPr>
        <w:t xml:space="preserve"> </w:t>
      </w:r>
      <w:r w:rsidR="00E73DFB" w:rsidRPr="00B84D03">
        <w:rPr>
          <w:rStyle w:val="s1"/>
          <w:rFonts w:ascii="Arial" w:hAnsi="Arial" w:cs="Arial"/>
          <w:color w:val="000000" w:themeColor="text1"/>
          <w:sz w:val="22"/>
          <w:szCs w:val="22"/>
        </w:rPr>
        <w:t>(</w:t>
      </w:r>
      <w:r w:rsidRPr="00B84D03">
        <w:rPr>
          <w:rStyle w:val="s1"/>
          <w:rFonts w:ascii="Arial" w:hAnsi="Arial" w:cs="Arial"/>
          <w:color w:val="000000" w:themeColor="text1"/>
          <w:sz w:val="22"/>
          <w:szCs w:val="22"/>
        </w:rPr>
        <w:t>Migration Observatory</w:t>
      </w:r>
      <w:r w:rsidR="00406222" w:rsidRPr="00B84D03">
        <w:rPr>
          <w:rStyle w:val="s1"/>
          <w:rFonts w:ascii="Arial" w:hAnsi="Arial" w:cs="Arial"/>
          <w:color w:val="000000" w:themeColor="text1"/>
          <w:sz w:val="22"/>
          <w:szCs w:val="22"/>
        </w:rPr>
        <w:t>,</w:t>
      </w:r>
      <w:r w:rsidRPr="00B84D03">
        <w:rPr>
          <w:rStyle w:val="s1"/>
          <w:rFonts w:ascii="Arial" w:hAnsi="Arial" w:cs="Arial"/>
          <w:color w:val="000000" w:themeColor="text1"/>
          <w:sz w:val="22"/>
          <w:szCs w:val="22"/>
        </w:rPr>
        <w:t xml:space="preserve"> 2023)</w:t>
      </w:r>
      <w:r w:rsidRPr="00B84D03">
        <w:rPr>
          <w:rFonts w:ascii="Arial" w:hAnsi="Arial" w:cs="Arial"/>
          <w:color w:val="000000" w:themeColor="text1"/>
          <w:sz w:val="22"/>
          <w:szCs w:val="22"/>
        </w:rPr>
        <w:t xml:space="preserve">. In contrast, countries such as Australia and Canada depend on broader or short-term migration programmes. Despite these differences, countries face a common challenge of balancing short-term workforce pressures with the need for long-term sustainability and ethical recruitment practices, </w:t>
      </w:r>
      <w:r w:rsidRPr="00B84D03">
        <w:rPr>
          <w:rStyle w:val="s1"/>
          <w:rFonts w:ascii="Arial" w:hAnsi="Arial" w:cs="Arial"/>
          <w:color w:val="000000" w:themeColor="text1"/>
          <w:sz w:val="22"/>
          <w:szCs w:val="22"/>
        </w:rPr>
        <w:t>as emphasised by the International Labour Organization (2024)</w:t>
      </w:r>
      <w:r w:rsidRPr="00B84D03">
        <w:rPr>
          <w:rFonts w:ascii="Arial" w:hAnsi="Arial" w:cs="Arial"/>
          <w:color w:val="000000" w:themeColor="text1"/>
          <w:sz w:val="22"/>
          <w:szCs w:val="22"/>
        </w:rPr>
        <w:t>.</w:t>
      </w:r>
    </w:p>
    <w:p w14:paraId="76983E7F" w14:textId="77777777" w:rsidR="00F83D86" w:rsidRPr="00B84D03" w:rsidRDefault="00F83D86" w:rsidP="00354D96">
      <w:pPr>
        <w:pStyle w:val="p1"/>
        <w:spacing w:line="360" w:lineRule="auto"/>
        <w:jc w:val="both"/>
        <w:rPr>
          <w:rFonts w:ascii="Arial" w:hAnsi="Arial" w:cs="Arial"/>
          <w:color w:val="000000" w:themeColor="text1"/>
          <w:sz w:val="22"/>
          <w:szCs w:val="22"/>
        </w:rPr>
      </w:pPr>
      <w:r w:rsidRPr="00B84D03">
        <w:rPr>
          <w:rFonts w:ascii="Arial" w:hAnsi="Arial" w:cs="Arial"/>
          <w:color w:val="000000" w:themeColor="text1"/>
          <w:sz w:val="22"/>
          <w:szCs w:val="22"/>
        </w:rPr>
        <w:t>Overall, the international context highlights the central role of migrant workers in sustaining ASC systems globally. While international recruitment can alleviate short-term labour shortages, it also raises ongoing concerns regarding workforce planning, policy effectiveness, and the ethical implications of continued reliance on migrant labour.</w:t>
      </w:r>
    </w:p>
    <w:p w14:paraId="2456DDF0" w14:textId="0A8A9BCD" w:rsidR="007172CD" w:rsidRPr="003A0842" w:rsidRDefault="00B532EF" w:rsidP="00C26F27">
      <w:pPr>
        <w:pStyle w:val="Heading2"/>
        <w:rPr>
          <w:rStyle w:val="eop"/>
          <w:rFonts w:ascii="Arial" w:hAnsi="Arial" w:cs="Arial"/>
          <w:color w:val="000000" w:themeColor="text1"/>
          <w:sz w:val="28"/>
          <w:szCs w:val="28"/>
        </w:rPr>
      </w:pPr>
      <w:r w:rsidRPr="003A0842">
        <w:rPr>
          <w:rStyle w:val="normaltextrun"/>
          <w:rFonts w:ascii="Arial" w:hAnsi="Arial" w:cs="Arial"/>
          <w:color w:val="000000" w:themeColor="text1"/>
          <w:sz w:val="28"/>
          <w:szCs w:val="28"/>
        </w:rPr>
        <w:t xml:space="preserve">2.5 National/Local UK Context </w:t>
      </w:r>
    </w:p>
    <w:p w14:paraId="1649F346" w14:textId="268E222D" w:rsidR="009D29A1" w:rsidRPr="00CA5172" w:rsidRDefault="000141C3" w:rsidP="00354D96">
      <w:pPr>
        <w:rPr>
          <w:rFonts w:ascii="Arial" w:eastAsia="Times New Roman" w:hAnsi="Arial" w:cs="Arial"/>
          <w:color w:val="000000" w:themeColor="text1"/>
          <w:kern w:val="0"/>
          <w:lang w:eastAsia="en-GB"/>
          <w14:ligatures w14:val="none"/>
        </w:rPr>
      </w:pPr>
      <w:r w:rsidRPr="00CA5172">
        <w:rPr>
          <w:rFonts w:ascii="Arial" w:hAnsi="Arial" w:cs="Arial"/>
          <w:color w:val="000000" w:themeColor="text1"/>
        </w:rPr>
        <w:t>The role of migrant workers in the</w:t>
      </w:r>
      <w:r w:rsidR="00F64E72" w:rsidRPr="00CA5172">
        <w:rPr>
          <w:rFonts w:ascii="Arial" w:hAnsi="Arial" w:cs="Arial"/>
          <w:color w:val="000000" w:themeColor="text1"/>
        </w:rPr>
        <w:t xml:space="preserve"> </w:t>
      </w:r>
      <w:r w:rsidRPr="00CA5172">
        <w:rPr>
          <w:rFonts w:ascii="Arial" w:hAnsi="Arial" w:cs="Arial"/>
          <w:color w:val="000000" w:themeColor="text1"/>
        </w:rPr>
        <w:t xml:space="preserve">ASC sector is a major concern in the UK, especially in light of continuous labour shortages and rising demand for services. According to Skills for Care (2025), the sector employs about 1.59 million people but continues to have significant vacancy rates, reflecting ongoing recruitment issues. As a result, migrant workers have become </w:t>
      </w:r>
      <w:r w:rsidR="003D71C9" w:rsidRPr="00CA5172">
        <w:rPr>
          <w:rFonts w:ascii="Arial" w:hAnsi="Arial" w:cs="Arial"/>
          <w:color w:val="000000" w:themeColor="text1"/>
        </w:rPr>
        <w:t>a</w:t>
      </w:r>
      <w:r w:rsidR="00CD2868" w:rsidRPr="00CA5172">
        <w:rPr>
          <w:rFonts w:ascii="Arial" w:hAnsi="Arial" w:cs="Arial"/>
          <w:color w:val="000000" w:themeColor="text1"/>
        </w:rPr>
        <w:t xml:space="preserve"> </w:t>
      </w:r>
      <w:r w:rsidR="00CD2868" w:rsidRPr="00CA5172">
        <w:rPr>
          <w:rFonts w:ascii="Arial" w:eastAsia="Times New Roman" w:hAnsi="Arial" w:cs="Arial"/>
          <w:color w:val="000000" w:themeColor="text1"/>
          <w:kern w:val="0"/>
          <w:lang w:eastAsia="en-GB"/>
          <w14:ligatures w14:val="none"/>
        </w:rPr>
        <w:t>significant component of the workforce</w:t>
      </w:r>
      <w:r w:rsidRPr="00CA5172">
        <w:rPr>
          <w:rFonts w:ascii="Arial" w:hAnsi="Arial" w:cs="Arial"/>
          <w:color w:val="000000" w:themeColor="text1"/>
        </w:rPr>
        <w:t>, particularly in frontline care roles, contributing to service delivery and continuity of care, as emphasised by the Migration Observatory (2023).</w:t>
      </w:r>
    </w:p>
    <w:p w14:paraId="4AF61CA6" w14:textId="05499432" w:rsidR="009D29A1" w:rsidRPr="00CA5172" w:rsidRDefault="00C00866" w:rsidP="00354D96">
      <w:pPr>
        <w:pStyle w:val="p2"/>
        <w:spacing w:line="360" w:lineRule="auto"/>
        <w:jc w:val="both"/>
        <w:rPr>
          <w:rFonts w:ascii="Arial" w:hAnsi="Arial" w:cs="Arial"/>
          <w:color w:val="000000" w:themeColor="text1"/>
          <w:sz w:val="22"/>
          <w:szCs w:val="22"/>
        </w:rPr>
      </w:pPr>
      <w:r w:rsidRPr="00CA5172">
        <w:rPr>
          <w:rFonts w:ascii="Arial" w:hAnsi="Arial" w:cs="Arial"/>
          <w:color w:val="000000" w:themeColor="text1"/>
          <w:sz w:val="22"/>
          <w:szCs w:val="22"/>
        </w:rPr>
        <w:t xml:space="preserve">At national level, the UK government has implemented a number of legislative initiatives to address workforce shortages and promote international recruiting. One of the most significant developments is the establishment of the Health and Care Worker visa, which provides a specific migration pathway for overseas care professionals, as </w:t>
      </w:r>
      <w:r w:rsidR="00353EB7" w:rsidRPr="00CA5172">
        <w:rPr>
          <w:rFonts w:ascii="Arial" w:hAnsi="Arial" w:cs="Arial"/>
          <w:color w:val="000000" w:themeColor="text1"/>
          <w:sz w:val="22"/>
          <w:szCs w:val="22"/>
        </w:rPr>
        <w:t>suggested</w:t>
      </w:r>
      <w:r w:rsidRPr="00CA5172">
        <w:rPr>
          <w:rFonts w:ascii="Arial" w:hAnsi="Arial" w:cs="Arial"/>
          <w:color w:val="000000" w:themeColor="text1"/>
          <w:sz w:val="22"/>
          <w:szCs w:val="22"/>
        </w:rPr>
        <w:t xml:space="preserve"> by</w:t>
      </w:r>
      <w:r w:rsidR="00747F5A" w:rsidRPr="00CA5172">
        <w:rPr>
          <w:rFonts w:ascii="Arial" w:hAnsi="Arial" w:cs="Arial"/>
          <w:color w:val="000000" w:themeColor="text1"/>
          <w:sz w:val="22"/>
          <w:szCs w:val="22"/>
        </w:rPr>
        <w:t xml:space="preserve"> </w:t>
      </w:r>
      <w:r w:rsidR="00221B33" w:rsidRPr="00CA5172">
        <w:rPr>
          <w:rFonts w:ascii="Arial" w:hAnsi="Arial" w:cs="Arial"/>
          <w:color w:val="000000" w:themeColor="text1"/>
          <w:sz w:val="22"/>
          <w:szCs w:val="22"/>
        </w:rPr>
        <w:t>GO</w:t>
      </w:r>
      <w:r w:rsidR="00567957" w:rsidRPr="00CA5172">
        <w:rPr>
          <w:rFonts w:ascii="Arial" w:hAnsi="Arial" w:cs="Arial"/>
          <w:color w:val="000000" w:themeColor="text1"/>
          <w:sz w:val="22"/>
          <w:szCs w:val="22"/>
        </w:rPr>
        <w:t xml:space="preserve">V.UK </w:t>
      </w:r>
      <w:r w:rsidRPr="00CA5172">
        <w:rPr>
          <w:rFonts w:ascii="Arial" w:hAnsi="Arial" w:cs="Arial"/>
          <w:color w:val="000000" w:themeColor="text1"/>
          <w:sz w:val="22"/>
          <w:szCs w:val="22"/>
        </w:rPr>
        <w:t xml:space="preserve">(2021). Furthermore, the placement of care roles on the </w:t>
      </w:r>
      <w:r w:rsidR="006F5D97" w:rsidRPr="00CA5172">
        <w:rPr>
          <w:rFonts w:ascii="Arial" w:hAnsi="Arial" w:cs="Arial"/>
          <w:color w:val="000000" w:themeColor="text1"/>
          <w:sz w:val="22"/>
          <w:szCs w:val="22"/>
        </w:rPr>
        <w:t>SOL</w:t>
      </w:r>
      <w:r w:rsidR="00722ED3" w:rsidRPr="00CA5172">
        <w:rPr>
          <w:rFonts w:ascii="Arial" w:hAnsi="Arial" w:cs="Arial"/>
          <w:color w:val="000000" w:themeColor="text1"/>
          <w:sz w:val="22"/>
          <w:szCs w:val="22"/>
        </w:rPr>
        <w:t xml:space="preserve"> </w:t>
      </w:r>
      <w:r w:rsidRPr="00CA5172">
        <w:rPr>
          <w:rFonts w:ascii="Arial" w:hAnsi="Arial" w:cs="Arial"/>
          <w:color w:val="000000" w:themeColor="text1"/>
          <w:sz w:val="22"/>
          <w:szCs w:val="22"/>
        </w:rPr>
        <w:t>acknowledges the sector's continued personnel concerns (Migration Advisory Committee, 2023). However, recent changes to immigration policies, such as restrictions on dependents and salary thresholds, have raised concerns about the sustainable future of relying on foreign employment (Migration Observatory</w:t>
      </w:r>
      <w:r w:rsidR="00BD1B0B" w:rsidRPr="00CA5172">
        <w:rPr>
          <w:rFonts w:ascii="Arial" w:hAnsi="Arial" w:cs="Arial"/>
          <w:color w:val="000000" w:themeColor="text1"/>
          <w:sz w:val="22"/>
          <w:szCs w:val="22"/>
        </w:rPr>
        <w:t>,</w:t>
      </w:r>
      <w:r w:rsidRPr="00CA5172">
        <w:rPr>
          <w:rFonts w:ascii="Arial" w:hAnsi="Arial" w:cs="Arial"/>
          <w:color w:val="000000" w:themeColor="text1"/>
          <w:sz w:val="22"/>
          <w:szCs w:val="22"/>
        </w:rPr>
        <w:t xml:space="preserve"> 2023).</w:t>
      </w:r>
    </w:p>
    <w:p w14:paraId="42BFE87B" w14:textId="77777777" w:rsidR="002F3CFC" w:rsidRPr="00CA5172" w:rsidRDefault="00B312F8" w:rsidP="00354D96">
      <w:pPr>
        <w:pStyle w:val="p1"/>
        <w:spacing w:line="360" w:lineRule="auto"/>
        <w:jc w:val="both"/>
        <w:rPr>
          <w:rFonts w:ascii="Arial" w:hAnsi="Arial" w:cs="Arial"/>
          <w:color w:val="000000" w:themeColor="text1"/>
          <w:sz w:val="22"/>
          <w:szCs w:val="22"/>
        </w:rPr>
      </w:pPr>
      <w:r w:rsidRPr="00CA5172">
        <w:rPr>
          <w:rFonts w:ascii="Arial" w:hAnsi="Arial" w:cs="Arial"/>
          <w:color w:val="000000" w:themeColor="text1"/>
          <w:sz w:val="22"/>
          <w:szCs w:val="22"/>
        </w:rPr>
        <w:t xml:space="preserve">ASC's recruitment processes and personnel composition have been directly impacted by these policy frameworks. The International Labour Organization (2024) acknowledged that while international recruitment has assisted in reducing temporary staffing shortages, it has also contributed to increased concerns about workforce stability, ethical recruitment, and the treatment of migrant workers. Furthermore, the sector's fundamental structural issues such as </w:t>
      </w:r>
      <w:r w:rsidRPr="00CA5172">
        <w:rPr>
          <w:rFonts w:ascii="Arial" w:hAnsi="Arial" w:cs="Arial"/>
          <w:color w:val="000000" w:themeColor="text1"/>
          <w:sz w:val="22"/>
          <w:szCs w:val="22"/>
        </w:rPr>
        <w:lastRenderedPageBreak/>
        <w:t>low pay, limited opportunities for career advancement, and difficult working conditions</w:t>
      </w:r>
      <w:r w:rsidR="00212C36" w:rsidRPr="00CA5172">
        <w:rPr>
          <w:rFonts w:ascii="Arial" w:hAnsi="Arial" w:cs="Arial"/>
          <w:color w:val="000000" w:themeColor="text1"/>
          <w:sz w:val="22"/>
          <w:szCs w:val="22"/>
        </w:rPr>
        <w:t xml:space="preserve"> </w:t>
      </w:r>
      <w:r w:rsidRPr="00CA5172">
        <w:rPr>
          <w:rFonts w:ascii="Arial" w:hAnsi="Arial" w:cs="Arial"/>
          <w:color w:val="000000" w:themeColor="text1"/>
          <w:sz w:val="22"/>
          <w:szCs w:val="22"/>
        </w:rPr>
        <w:t>may be reflected in the sector's reliance on migrant labour, which continues to impact both local and international workers</w:t>
      </w:r>
      <w:r w:rsidR="002F3CFC" w:rsidRPr="00CA5172">
        <w:rPr>
          <w:rFonts w:ascii="Arial" w:hAnsi="Arial" w:cs="Arial"/>
          <w:color w:val="000000" w:themeColor="text1"/>
          <w:sz w:val="22"/>
          <w:szCs w:val="22"/>
        </w:rPr>
        <w:t xml:space="preserve"> (The King’s Fund, 2024)</w:t>
      </w:r>
      <w:r w:rsidR="002F3CFC" w:rsidRPr="00CA5172">
        <w:rPr>
          <w:rStyle w:val="s1"/>
          <w:rFonts w:ascii="Arial" w:eastAsiaTheme="majorEastAsia" w:hAnsi="Arial" w:cs="Arial"/>
          <w:color w:val="000000" w:themeColor="text1"/>
          <w:sz w:val="22"/>
          <w:szCs w:val="22"/>
        </w:rPr>
        <w:t>.</w:t>
      </w:r>
    </w:p>
    <w:p w14:paraId="07CE5F1A" w14:textId="05132FBA" w:rsidR="009D29A1" w:rsidRPr="00CA5172" w:rsidRDefault="00453DF9" w:rsidP="00354D96">
      <w:pPr>
        <w:pStyle w:val="p1"/>
        <w:spacing w:line="360" w:lineRule="auto"/>
        <w:jc w:val="both"/>
        <w:rPr>
          <w:rFonts w:ascii="Arial" w:hAnsi="Arial" w:cs="Arial"/>
          <w:color w:val="000000" w:themeColor="text1"/>
          <w:sz w:val="22"/>
          <w:szCs w:val="22"/>
        </w:rPr>
      </w:pPr>
      <w:r w:rsidRPr="00CA5172">
        <w:rPr>
          <w:rFonts w:ascii="Arial" w:hAnsi="Arial" w:cs="Arial"/>
          <w:color w:val="000000" w:themeColor="text1"/>
          <w:sz w:val="22"/>
          <w:szCs w:val="22"/>
        </w:rPr>
        <w:t>At the local level, the impact of workforce shortages and reliance on migrant workers varies by region in the UK. For example, urban locations like London and the South East have a higher share of migrant workers in the care sector, indicating more demographic variety and access to international labour markets (Skills for Care, 2025). Rural districts and regions, such as the North East and South West, face significant recruitment challenges due to geographic isolation, lower wages, and limited access to migrant workforce</w:t>
      </w:r>
      <w:r w:rsidR="00084767" w:rsidRPr="00CA5172">
        <w:rPr>
          <w:rFonts w:ascii="Arial" w:hAnsi="Arial" w:cs="Arial"/>
          <w:color w:val="000000" w:themeColor="text1"/>
          <w:sz w:val="22"/>
          <w:szCs w:val="22"/>
        </w:rPr>
        <w:t xml:space="preserve"> (House of Commons, 2022)</w:t>
      </w:r>
      <w:r w:rsidRPr="00CA5172">
        <w:rPr>
          <w:rFonts w:ascii="Arial" w:hAnsi="Arial" w:cs="Arial"/>
          <w:color w:val="000000" w:themeColor="text1"/>
          <w:sz w:val="22"/>
          <w:szCs w:val="22"/>
        </w:rPr>
        <w:t>. To address workforce gaps, local authorities and care providers have used targeted recruitment programs, collaborations with training providers, and worldwide recruitment campaigns</w:t>
      </w:r>
      <w:r w:rsidR="003C5DF9" w:rsidRPr="00CA5172">
        <w:rPr>
          <w:rFonts w:ascii="Arial" w:hAnsi="Arial" w:cs="Arial"/>
          <w:color w:val="000000" w:themeColor="text1"/>
          <w:sz w:val="22"/>
          <w:szCs w:val="22"/>
        </w:rPr>
        <w:t xml:space="preserve"> as suggested by the Migration Observatory (2023)</w:t>
      </w:r>
      <w:r w:rsidR="003C5DF9" w:rsidRPr="00CA5172">
        <w:rPr>
          <w:rStyle w:val="s1"/>
          <w:rFonts w:ascii="Arial" w:eastAsiaTheme="majorEastAsia" w:hAnsi="Arial" w:cs="Arial"/>
          <w:color w:val="000000" w:themeColor="text1"/>
          <w:sz w:val="22"/>
          <w:szCs w:val="22"/>
        </w:rPr>
        <w:t>.</w:t>
      </w:r>
    </w:p>
    <w:p w14:paraId="6DBF1049" w14:textId="63521515" w:rsidR="005258FB" w:rsidRPr="00CA5172" w:rsidRDefault="007B0C7F" w:rsidP="00354D96">
      <w:pPr>
        <w:rPr>
          <w:rFonts w:ascii="Arial" w:eastAsia="Times New Roman" w:hAnsi="Arial" w:cs="Arial"/>
          <w:color w:val="000000" w:themeColor="text1"/>
          <w:kern w:val="0"/>
          <w:lang w:eastAsia="en-GB"/>
          <w14:ligatures w14:val="none"/>
        </w:rPr>
      </w:pPr>
      <w:r w:rsidRPr="00CA5172">
        <w:rPr>
          <w:rStyle w:val="eop"/>
          <w:rFonts w:ascii="Arial" w:eastAsia="Calibri Light" w:hAnsi="Arial" w:cs="Arial"/>
          <w:color w:val="000000" w:themeColor="text1"/>
        </w:rPr>
        <w:t xml:space="preserve">Overall, the UK environment demonstrates the increased reliance on foreign labour to support the ASC workforce. While national regulations have aided foreign recruiting, significant issues remain in workforce planning, regional inequities, and the sector's long-term viability. Addressing these difficulties demands a balanced approach that takes into account both current labour needs and broader structural adjustments in </w:t>
      </w:r>
      <w:r w:rsidR="003F0877" w:rsidRPr="00CA5172">
        <w:rPr>
          <w:rStyle w:val="eop"/>
          <w:rFonts w:ascii="Arial" w:eastAsia="Calibri Light" w:hAnsi="Arial" w:cs="Arial"/>
          <w:color w:val="000000" w:themeColor="text1"/>
        </w:rPr>
        <w:t>ASC</w:t>
      </w:r>
      <w:r w:rsidR="005258FB" w:rsidRPr="00CA5172">
        <w:rPr>
          <w:rStyle w:val="eop"/>
          <w:rFonts w:ascii="Arial" w:eastAsia="Calibri Light" w:hAnsi="Arial" w:cs="Arial"/>
          <w:color w:val="000000" w:themeColor="text1"/>
        </w:rPr>
        <w:t xml:space="preserve"> </w:t>
      </w:r>
      <w:r w:rsidR="005258FB" w:rsidRPr="00CA5172">
        <w:rPr>
          <w:rFonts w:ascii="Arial" w:eastAsia="Times New Roman" w:hAnsi="Arial" w:cs="Arial"/>
          <w:color w:val="000000" w:themeColor="text1"/>
          <w:kern w:val="0"/>
          <w:lang w:eastAsia="en-GB"/>
          <w14:ligatures w14:val="none"/>
        </w:rPr>
        <w:t>(Skills for Care, 2025).</w:t>
      </w:r>
    </w:p>
    <w:p w14:paraId="562F3942" w14:textId="64F7F961" w:rsidR="007611F1" w:rsidRPr="003A0842" w:rsidRDefault="00D63F3B" w:rsidP="000B24C3">
      <w:pPr>
        <w:pStyle w:val="Heading2"/>
        <w:rPr>
          <w:rStyle w:val="eop"/>
          <w:rFonts w:ascii="Aptos" w:hAnsi="Aptos" w:cs="Segoe UI"/>
          <w:color w:val="000000" w:themeColor="text1"/>
          <w:sz w:val="16"/>
          <w:szCs w:val="16"/>
        </w:rPr>
      </w:pPr>
      <w:r w:rsidRPr="003A0842">
        <w:rPr>
          <w:rStyle w:val="normaltextrun"/>
          <w:rFonts w:ascii="Arial" w:hAnsi="Arial" w:cs="Arial"/>
          <w:color w:val="000000" w:themeColor="text1"/>
          <w:sz w:val="28"/>
          <w:szCs w:val="28"/>
        </w:rPr>
        <w:t>2.6 Conclusion</w:t>
      </w:r>
    </w:p>
    <w:p w14:paraId="0B96B431" w14:textId="7280D276" w:rsidR="0078393D" w:rsidRPr="00353C5B" w:rsidRDefault="00432926" w:rsidP="00354D96">
      <w:pPr>
        <w:pStyle w:val="p2"/>
        <w:spacing w:line="360" w:lineRule="auto"/>
        <w:jc w:val="both"/>
        <w:rPr>
          <w:rFonts w:ascii="Arial" w:hAnsi="Arial" w:cs="Arial"/>
          <w:sz w:val="22"/>
          <w:szCs w:val="22"/>
        </w:rPr>
      </w:pPr>
      <w:r w:rsidRPr="00353C5B">
        <w:rPr>
          <w:rFonts w:ascii="Arial" w:hAnsi="Arial" w:cs="Arial"/>
          <w:color w:val="000000"/>
          <w:sz w:val="22"/>
          <w:szCs w:val="22"/>
        </w:rPr>
        <w:t>This chapter examined the broader context of migrant workers in the</w:t>
      </w:r>
      <w:r w:rsidR="00570304" w:rsidRPr="00353C5B">
        <w:rPr>
          <w:rFonts w:ascii="Arial" w:hAnsi="Arial" w:cs="Arial"/>
          <w:color w:val="000000"/>
          <w:sz w:val="22"/>
          <w:szCs w:val="22"/>
        </w:rPr>
        <w:t xml:space="preserve"> </w:t>
      </w:r>
      <w:r w:rsidRPr="00353C5B">
        <w:rPr>
          <w:rFonts w:ascii="Arial" w:hAnsi="Arial" w:cs="Arial"/>
          <w:color w:val="000000"/>
          <w:sz w:val="22"/>
          <w:szCs w:val="22"/>
        </w:rPr>
        <w:t xml:space="preserve">ASC workforce, using historical, theoretical, international, and national perspectives. It has demonstrated how long-term workforce shortages, demographic changes, and policy developments have all contributed to the UK's growing reliance on migrant workers. The historical overview emphasised significant changes such as Brexit and the COVID-19 pandemic, while theoretical frameworks such as labour market segmentation and </w:t>
      </w:r>
      <w:r w:rsidR="00EB2773" w:rsidRPr="00CD250F">
        <w:rPr>
          <w:rFonts w:ascii="Arial" w:hAnsi="Arial" w:cs="Arial"/>
          <w:color w:val="000000"/>
          <w:sz w:val="22"/>
          <w:szCs w:val="22"/>
        </w:rPr>
        <w:t>Maslow’s Hierarchy of Needs</w:t>
      </w:r>
      <w:r w:rsidR="00CD250F" w:rsidRPr="00CD250F">
        <w:rPr>
          <w:rFonts w:ascii="Arial" w:hAnsi="Arial" w:cs="Arial"/>
          <w:color w:val="000000"/>
          <w:sz w:val="22"/>
          <w:szCs w:val="22"/>
        </w:rPr>
        <w:t xml:space="preserve"> </w:t>
      </w:r>
      <w:r w:rsidRPr="00CD250F">
        <w:rPr>
          <w:rFonts w:ascii="Arial" w:hAnsi="Arial" w:cs="Arial"/>
          <w:color w:val="000000"/>
          <w:sz w:val="22"/>
          <w:szCs w:val="22"/>
        </w:rPr>
        <w:t>provided insight into workforce patterns and migration trends. The international</w:t>
      </w:r>
      <w:r w:rsidRPr="00353C5B">
        <w:rPr>
          <w:rFonts w:ascii="Arial" w:hAnsi="Arial" w:cs="Arial"/>
          <w:color w:val="000000"/>
          <w:sz w:val="22"/>
          <w:szCs w:val="22"/>
        </w:rPr>
        <w:t xml:space="preserve"> research showed that reliance on migrant workers is a global phenomenon, while the UK context focused on specific governmental responses, workforce challenges, and regional inequalities.</w:t>
      </w:r>
    </w:p>
    <w:p w14:paraId="29167388" w14:textId="5E5B811B" w:rsidR="0078393D" w:rsidRPr="00353C5B" w:rsidRDefault="0081262C" w:rsidP="00354D96">
      <w:pPr>
        <w:pStyle w:val="paragraph"/>
        <w:spacing w:before="0" w:beforeAutospacing="0" w:after="0" w:afterAutospacing="0" w:line="360" w:lineRule="auto"/>
        <w:jc w:val="both"/>
        <w:textAlignment w:val="baseline"/>
        <w:rPr>
          <w:rStyle w:val="eop"/>
          <w:rFonts w:ascii="Arial" w:eastAsia="Calibri Light" w:hAnsi="Arial" w:cs="Arial"/>
          <w:b/>
          <w:bCs/>
          <w:color w:val="000000" w:themeColor="text1"/>
          <w:sz w:val="22"/>
          <w:szCs w:val="22"/>
        </w:rPr>
      </w:pPr>
      <w:r w:rsidRPr="00353C5B">
        <w:rPr>
          <w:rFonts w:ascii="Arial" w:hAnsi="Arial" w:cs="Arial"/>
          <w:color w:val="000000"/>
          <w:sz w:val="22"/>
          <w:szCs w:val="22"/>
        </w:rPr>
        <w:t>Overall, this chapter provides a foundation for understanding workforce sustainability in ASC. The following chapter will outline the research methodology, including how data will be collected and processed to better understand the role of migrant workers in the UK</w:t>
      </w:r>
      <w:r w:rsidR="00463323" w:rsidRPr="00353C5B">
        <w:rPr>
          <w:rFonts w:ascii="Arial" w:hAnsi="Arial" w:cs="Arial"/>
          <w:color w:val="000000"/>
          <w:sz w:val="22"/>
          <w:szCs w:val="22"/>
        </w:rPr>
        <w:t xml:space="preserve"> ASC</w:t>
      </w:r>
      <w:r w:rsidRPr="00353C5B">
        <w:rPr>
          <w:rFonts w:ascii="Arial" w:hAnsi="Arial" w:cs="Arial"/>
          <w:color w:val="000000"/>
          <w:sz w:val="22"/>
          <w:szCs w:val="22"/>
        </w:rPr>
        <w:t xml:space="preserve"> workforce.</w:t>
      </w:r>
    </w:p>
    <w:p w14:paraId="1033D398" w14:textId="77777777" w:rsidR="00A95E8A" w:rsidRDefault="00A95E8A" w:rsidP="00B805D5">
      <w:pPr>
        <w:rPr>
          <w:rFonts w:ascii="Arial" w:hAnsi="Arial" w:cs="Arial"/>
          <w:b/>
          <w:bCs/>
          <w:sz w:val="32"/>
          <w:szCs w:val="32"/>
        </w:rPr>
      </w:pPr>
    </w:p>
    <w:p w14:paraId="55C87DC9" w14:textId="67E9D240" w:rsidR="006B5511" w:rsidRPr="00B805D5" w:rsidRDefault="006B5511" w:rsidP="00B805D5">
      <w:pPr>
        <w:rPr>
          <w:rFonts w:ascii="Arial" w:hAnsi="Arial" w:cs="Arial"/>
          <w:b/>
          <w:bCs/>
          <w:sz w:val="32"/>
          <w:szCs w:val="32"/>
        </w:rPr>
      </w:pPr>
      <w:r w:rsidRPr="00B805D5">
        <w:rPr>
          <w:rFonts w:ascii="Arial" w:hAnsi="Arial" w:cs="Arial"/>
          <w:b/>
          <w:bCs/>
          <w:sz w:val="32"/>
          <w:szCs w:val="32"/>
        </w:rPr>
        <w:lastRenderedPageBreak/>
        <w:t xml:space="preserve">CHAPTER 3 – Methods and Search Strategy </w:t>
      </w:r>
    </w:p>
    <w:p w14:paraId="26EA2D0B" w14:textId="10FDB5CD" w:rsidR="006B5511" w:rsidRPr="003244B2" w:rsidRDefault="006B5511" w:rsidP="000B24C3">
      <w:pPr>
        <w:pStyle w:val="Heading2"/>
        <w:rPr>
          <w:rFonts w:ascii="Arial" w:hAnsi="Arial" w:cs="Arial"/>
          <w:color w:val="000000" w:themeColor="text1"/>
          <w:sz w:val="28"/>
          <w:szCs w:val="28"/>
        </w:rPr>
      </w:pPr>
      <w:r w:rsidRPr="003244B2">
        <w:rPr>
          <w:rFonts w:ascii="Arial" w:hAnsi="Arial" w:cs="Arial"/>
          <w:color w:val="000000" w:themeColor="text1"/>
          <w:sz w:val="28"/>
          <w:szCs w:val="28"/>
        </w:rPr>
        <w:t xml:space="preserve">3.1 Introduction </w:t>
      </w:r>
    </w:p>
    <w:p w14:paraId="7DF1E8A7" w14:textId="17F93B49" w:rsidR="00887F03" w:rsidRDefault="00887F03" w:rsidP="00354D96">
      <w:pPr>
        <w:rPr>
          <w:rFonts w:ascii="Arial" w:hAnsi="Arial" w:cs="Arial"/>
          <w:color w:val="EE0000"/>
        </w:rPr>
      </w:pPr>
      <w:r w:rsidRPr="00C34CA8">
        <w:rPr>
          <w:rFonts w:ascii="Arial" w:hAnsi="Arial" w:cs="Arial"/>
          <w:color w:val="000000"/>
        </w:rPr>
        <w:t xml:space="preserve">This chapter outlines the methodology used to analyse migrant workers' roles in the ASC workforce in the UK. A desk-based, secondary research design was applied to investigate significant issues regarding workforce sustainability and migration, drawing on existing academic literature, policy documents, and workforce reports. The academic methodology poster provides a visual description of this strategy, while this chapter delves deeper into each stage of the research process. The methods outlined in this chapter are critical for locating, choosing, </w:t>
      </w:r>
      <w:r w:rsidRPr="00CA5172">
        <w:rPr>
          <w:rFonts w:ascii="Arial" w:hAnsi="Arial" w:cs="Arial"/>
          <w:color w:val="000000" w:themeColor="text1"/>
        </w:rPr>
        <w:t>and assessing appropriate sources, which serve as the foundation for the thematic findings discussed in Chapter 4</w:t>
      </w:r>
      <w:r w:rsidR="002565AA" w:rsidRPr="00CA5172">
        <w:rPr>
          <w:rFonts w:ascii="Arial" w:hAnsi="Arial" w:cs="Arial"/>
          <w:color w:val="000000" w:themeColor="text1"/>
        </w:rPr>
        <w:t xml:space="preserve"> (Garg, 2016).</w:t>
      </w:r>
    </w:p>
    <w:p w14:paraId="2008B148" w14:textId="77777777" w:rsidR="003244B2" w:rsidRPr="00280ECC" w:rsidRDefault="003244B2" w:rsidP="00354D96">
      <w:pPr>
        <w:rPr>
          <w:rFonts w:ascii="Arial" w:hAnsi="Arial" w:cs="Arial"/>
          <w:color w:val="EE0000"/>
        </w:rPr>
      </w:pPr>
    </w:p>
    <w:p w14:paraId="636E9916" w14:textId="48272A5B" w:rsidR="006B5511" w:rsidRPr="003244B2" w:rsidRDefault="006B5511" w:rsidP="00174EFF">
      <w:pPr>
        <w:pStyle w:val="Heading2"/>
        <w:rPr>
          <w:rFonts w:ascii="Arial" w:hAnsi="Arial" w:cs="Arial"/>
          <w:color w:val="000000" w:themeColor="text1"/>
          <w:sz w:val="28"/>
          <w:szCs w:val="28"/>
        </w:rPr>
      </w:pPr>
      <w:r w:rsidRPr="003244B2">
        <w:rPr>
          <w:rFonts w:ascii="Arial" w:hAnsi="Arial" w:cs="Arial"/>
          <w:color w:val="000000" w:themeColor="text1"/>
          <w:sz w:val="28"/>
          <w:szCs w:val="28"/>
        </w:rPr>
        <w:t xml:space="preserve">3.2 – Search Strategy </w:t>
      </w:r>
    </w:p>
    <w:p w14:paraId="218C31C3" w14:textId="20AB5BED" w:rsidR="006B5511" w:rsidRDefault="00DD6DAD" w:rsidP="00354D96">
      <w:pPr>
        <w:rPr>
          <w:rFonts w:ascii="Arial" w:hAnsi="Arial" w:cs="Arial"/>
          <w:color w:val="000000"/>
        </w:rPr>
      </w:pPr>
      <w:r w:rsidRPr="007A5DC3">
        <w:rPr>
          <w:rFonts w:ascii="Arial" w:hAnsi="Arial" w:cs="Arial"/>
          <w:color w:val="000000"/>
        </w:rPr>
        <w:t xml:space="preserve">A structured search method was </w:t>
      </w:r>
      <w:r w:rsidR="000F3B09" w:rsidRPr="007A5DC3">
        <w:rPr>
          <w:rFonts w:ascii="Arial" w:hAnsi="Arial" w:cs="Arial"/>
          <w:color w:val="000000"/>
        </w:rPr>
        <w:t xml:space="preserve">developed </w:t>
      </w:r>
      <w:r w:rsidRPr="007A5DC3">
        <w:rPr>
          <w:rFonts w:ascii="Arial" w:hAnsi="Arial" w:cs="Arial"/>
          <w:color w:val="000000"/>
        </w:rPr>
        <w:t xml:space="preserve">to find </w:t>
      </w:r>
      <w:r w:rsidR="000F3B09" w:rsidRPr="007A5DC3">
        <w:rPr>
          <w:rFonts w:ascii="Arial" w:hAnsi="Arial" w:cs="Arial"/>
          <w:color w:val="000000"/>
        </w:rPr>
        <w:t xml:space="preserve">reliable </w:t>
      </w:r>
      <w:r w:rsidR="00C84B42" w:rsidRPr="007A5DC3">
        <w:rPr>
          <w:rFonts w:ascii="Arial" w:hAnsi="Arial" w:cs="Arial"/>
          <w:color w:val="000000"/>
        </w:rPr>
        <w:t xml:space="preserve">literature </w:t>
      </w:r>
      <w:r w:rsidRPr="007A5DC3">
        <w:rPr>
          <w:rFonts w:ascii="Arial" w:hAnsi="Arial" w:cs="Arial"/>
          <w:color w:val="000000"/>
        </w:rPr>
        <w:t xml:space="preserve">that was related to the research aim. Keywords from the dissertation title were "migrant workers", "adult social care", "workforce sustainability", and "UK". Synonyms such as "international recruitment", "care workforce", and "health and care staff" were also used to extend the search. Boolean operators were employed to improve the </w:t>
      </w:r>
      <w:r w:rsidRPr="00CA5172">
        <w:rPr>
          <w:rFonts w:ascii="Arial" w:hAnsi="Arial" w:cs="Arial"/>
          <w:color w:val="000000" w:themeColor="text1"/>
        </w:rPr>
        <w:t>search process, with "AND" combining essential elements (for example, "migrant workers AND social care UK") and "OR" including alternative phrases</w:t>
      </w:r>
      <w:r w:rsidR="006E2A5B" w:rsidRPr="00CA5172">
        <w:rPr>
          <w:rFonts w:ascii="Arial" w:hAnsi="Arial" w:cs="Arial"/>
          <w:color w:val="000000" w:themeColor="text1"/>
        </w:rPr>
        <w:t xml:space="preserve"> </w:t>
      </w:r>
      <w:r w:rsidR="00817101" w:rsidRPr="00CA5172">
        <w:rPr>
          <w:rStyle w:val="Strong"/>
          <w:rFonts w:ascii="Arial" w:hAnsi="Arial" w:cs="Arial"/>
          <w:b w:val="0"/>
          <w:bCs w:val="0"/>
          <w:color w:val="000000" w:themeColor="text1"/>
        </w:rPr>
        <w:t>(Birmingham City University, 202</w:t>
      </w:r>
      <w:r w:rsidR="00786315" w:rsidRPr="00CA5172">
        <w:rPr>
          <w:rStyle w:val="Strong"/>
          <w:rFonts w:ascii="Arial" w:hAnsi="Arial" w:cs="Arial"/>
          <w:b w:val="0"/>
          <w:bCs w:val="0"/>
          <w:color w:val="000000" w:themeColor="text1"/>
        </w:rPr>
        <w:t>5</w:t>
      </w:r>
      <w:r w:rsidR="00817101" w:rsidRPr="00CA5172">
        <w:rPr>
          <w:rStyle w:val="Strong"/>
          <w:rFonts w:ascii="Arial" w:hAnsi="Arial" w:cs="Arial"/>
          <w:b w:val="0"/>
          <w:bCs w:val="0"/>
          <w:color w:val="000000" w:themeColor="text1"/>
        </w:rPr>
        <w:t>)</w:t>
      </w:r>
      <w:r w:rsidRPr="00CA5172">
        <w:rPr>
          <w:rFonts w:ascii="Arial" w:hAnsi="Arial" w:cs="Arial"/>
          <w:b/>
          <w:bCs/>
          <w:color w:val="000000" w:themeColor="text1"/>
        </w:rPr>
        <w:t>.</w:t>
      </w:r>
      <w:r w:rsidRPr="00CA5172">
        <w:rPr>
          <w:rFonts w:ascii="Arial" w:hAnsi="Arial" w:cs="Arial"/>
          <w:color w:val="000000" w:themeColor="text1"/>
        </w:rPr>
        <w:t xml:space="preserve"> </w:t>
      </w:r>
      <w:r w:rsidR="008E54D4" w:rsidRPr="00CA5172">
        <w:rPr>
          <w:rFonts w:ascii="Arial" w:hAnsi="Arial" w:cs="Arial"/>
          <w:color w:val="000000" w:themeColor="text1"/>
        </w:rPr>
        <w:t xml:space="preserve">A systematic approach was applied to analyse, refine, and record effective keyword combinations, ensuring consistency and relevance throughout the literature search process. This method is consistent with Bramer </w:t>
      </w:r>
      <w:r w:rsidR="008E54D4" w:rsidRPr="00CA5172">
        <w:rPr>
          <w:rFonts w:ascii="Arial" w:hAnsi="Arial" w:cs="Arial"/>
          <w:i/>
          <w:iCs/>
          <w:color w:val="000000" w:themeColor="text1"/>
        </w:rPr>
        <w:t>et al.</w:t>
      </w:r>
      <w:r w:rsidR="00F40136" w:rsidRPr="00CA5172">
        <w:rPr>
          <w:rFonts w:ascii="Arial" w:hAnsi="Arial" w:cs="Arial"/>
          <w:i/>
          <w:iCs/>
          <w:color w:val="000000" w:themeColor="text1"/>
        </w:rPr>
        <w:t>,</w:t>
      </w:r>
      <w:r w:rsidR="00F40136" w:rsidRPr="00CA5172">
        <w:rPr>
          <w:rFonts w:ascii="Arial" w:hAnsi="Arial" w:cs="Arial"/>
          <w:color w:val="000000" w:themeColor="text1"/>
        </w:rPr>
        <w:t xml:space="preserve"> </w:t>
      </w:r>
      <w:r w:rsidR="008E54D4" w:rsidRPr="00CA5172">
        <w:rPr>
          <w:rFonts w:ascii="Arial" w:hAnsi="Arial" w:cs="Arial"/>
          <w:color w:val="000000" w:themeColor="text1"/>
        </w:rPr>
        <w:t>(2018), who highlight the relevance of structured search techniques when conducting literature reviews.</w:t>
      </w:r>
    </w:p>
    <w:p w14:paraId="0ED84C3E" w14:textId="77777777" w:rsidR="00F51075" w:rsidRPr="007A5DC3" w:rsidRDefault="00F51075" w:rsidP="00354D96">
      <w:pPr>
        <w:rPr>
          <w:rFonts w:ascii="Arial" w:hAnsi="Arial" w:cs="Arial"/>
        </w:rPr>
      </w:pPr>
    </w:p>
    <w:p w14:paraId="1A5DBEDD" w14:textId="2190CB6A" w:rsidR="006B5511" w:rsidRPr="003244B2" w:rsidRDefault="00A9182F" w:rsidP="00174EFF">
      <w:pPr>
        <w:pStyle w:val="Heading2"/>
        <w:rPr>
          <w:rFonts w:ascii="Arial" w:hAnsi="Arial" w:cs="Arial"/>
          <w:color w:val="000000" w:themeColor="text1"/>
          <w:sz w:val="28"/>
          <w:szCs w:val="28"/>
        </w:rPr>
      </w:pPr>
      <w:r w:rsidRPr="003244B2">
        <w:rPr>
          <w:rFonts w:ascii="Arial" w:hAnsi="Arial" w:cs="Arial"/>
          <w:color w:val="000000" w:themeColor="text1"/>
          <w:sz w:val="28"/>
          <w:szCs w:val="28"/>
        </w:rPr>
        <w:t>3.3</w:t>
      </w:r>
      <w:r w:rsidR="006B5511" w:rsidRPr="003244B2">
        <w:rPr>
          <w:rFonts w:ascii="Arial" w:hAnsi="Arial" w:cs="Arial"/>
          <w:color w:val="000000" w:themeColor="text1"/>
          <w:sz w:val="28"/>
          <w:szCs w:val="28"/>
        </w:rPr>
        <w:t>– Searching for Information</w:t>
      </w:r>
    </w:p>
    <w:p w14:paraId="0C35F8F4" w14:textId="0B03C4AC" w:rsidR="008F70E2" w:rsidRPr="00D52274" w:rsidRDefault="008F70E2" w:rsidP="00D52274">
      <w:pPr>
        <w:rPr>
          <w:rFonts w:ascii="Arial" w:hAnsi="Arial" w:cs="Arial"/>
          <w:color w:val="000000"/>
        </w:rPr>
      </w:pPr>
      <w:r w:rsidRPr="00D52274">
        <w:rPr>
          <w:rFonts w:ascii="Arial" w:hAnsi="Arial" w:cs="Arial"/>
          <w:color w:val="000000"/>
        </w:rPr>
        <w:t>To identify relevant literature for this research, a variety of scholarly databases and internet resources were reviewed. Google Scholar, PubMed, and the UWTSD online library databases which provide access to academic publications, policy reports, and peer-reviewed journal articles were important sources. These databases were chosen because they are reliable, easily accessible, and are relevant to research on health and social care</w:t>
      </w:r>
      <w:r w:rsidR="002A3114" w:rsidRPr="00D52274">
        <w:rPr>
          <w:rFonts w:ascii="Arial" w:hAnsi="Arial" w:cs="Arial"/>
          <w:color w:val="000000"/>
        </w:rPr>
        <w:t xml:space="preserve"> </w:t>
      </w:r>
      <w:r w:rsidR="002A3114" w:rsidRPr="00EE6ADC">
        <w:rPr>
          <w:rStyle w:val="Strong"/>
          <w:rFonts w:ascii="Arial" w:hAnsi="Arial" w:cs="Arial"/>
          <w:b w:val="0"/>
          <w:bCs w:val="0"/>
          <w:color w:val="000000" w:themeColor="text1"/>
        </w:rPr>
        <w:t xml:space="preserve">(Aveyard </w:t>
      </w:r>
      <w:r w:rsidR="002A3114" w:rsidRPr="00EE6ADC">
        <w:rPr>
          <w:rStyle w:val="Strong"/>
          <w:rFonts w:ascii="Arial" w:hAnsi="Arial" w:cs="Arial"/>
          <w:b w:val="0"/>
          <w:bCs w:val="0"/>
          <w:i/>
          <w:iCs/>
          <w:color w:val="000000" w:themeColor="text1"/>
        </w:rPr>
        <w:t>et al.,</w:t>
      </w:r>
      <w:r w:rsidR="002A3114" w:rsidRPr="00EE6ADC">
        <w:rPr>
          <w:rStyle w:val="Strong"/>
          <w:rFonts w:ascii="Arial" w:hAnsi="Arial" w:cs="Arial"/>
          <w:b w:val="0"/>
          <w:bCs w:val="0"/>
          <w:color w:val="000000" w:themeColor="text1"/>
        </w:rPr>
        <w:t xml:space="preserve"> 2023)</w:t>
      </w:r>
      <w:r w:rsidRPr="00EE6ADC">
        <w:rPr>
          <w:rFonts w:ascii="Arial" w:hAnsi="Arial" w:cs="Arial"/>
          <w:b/>
          <w:bCs/>
          <w:color w:val="000000" w:themeColor="text1"/>
        </w:rPr>
        <w:t>.</w:t>
      </w:r>
      <w:r w:rsidRPr="00EE6ADC">
        <w:rPr>
          <w:rFonts w:ascii="Arial" w:hAnsi="Arial" w:cs="Arial"/>
          <w:color w:val="000000" w:themeColor="text1"/>
        </w:rPr>
        <w:t xml:space="preserve"> </w:t>
      </w:r>
      <w:r w:rsidRPr="00D52274">
        <w:rPr>
          <w:rFonts w:ascii="Arial" w:hAnsi="Arial" w:cs="Arial"/>
          <w:color w:val="000000"/>
        </w:rPr>
        <w:t xml:space="preserve">Additionally, current workforce data and policy-related information were accessed through </w:t>
      </w:r>
      <w:r w:rsidRPr="00D52274">
        <w:rPr>
          <w:rFonts w:ascii="Arial" w:hAnsi="Arial" w:cs="Arial"/>
          <w:color w:val="000000"/>
        </w:rPr>
        <w:lastRenderedPageBreak/>
        <w:t>reliable organisations' websites, including the World Health Organization, Skills for Care, and the Migration Observatory.</w:t>
      </w:r>
    </w:p>
    <w:p w14:paraId="62F26555" w14:textId="6F96EECE" w:rsidR="0034096B" w:rsidRPr="00EE6ADC" w:rsidRDefault="0034096B" w:rsidP="00D52274">
      <w:pPr>
        <w:rPr>
          <w:rFonts w:ascii="Arial" w:hAnsi="Arial" w:cs="Arial"/>
          <w:color w:val="000000" w:themeColor="text1"/>
        </w:rPr>
      </w:pPr>
      <w:r w:rsidRPr="00D52274">
        <w:rPr>
          <w:rFonts w:ascii="Arial" w:hAnsi="Arial" w:cs="Arial"/>
          <w:color w:val="000000"/>
        </w:rPr>
        <w:t>Several filters were used to increase the relevance of search results. These required giving priority to peer-reviewed sources, concentrating on UK-based studies when applicable, and restricting results to publications from the last 10</w:t>
      </w:r>
      <w:r w:rsidR="00FE1947" w:rsidRPr="00D52274">
        <w:rPr>
          <w:rFonts w:ascii="Arial" w:hAnsi="Arial" w:cs="Arial"/>
          <w:color w:val="000000"/>
        </w:rPr>
        <w:t xml:space="preserve"> years</w:t>
      </w:r>
      <w:r w:rsidRPr="00D52274">
        <w:rPr>
          <w:rFonts w:ascii="Arial" w:hAnsi="Arial" w:cs="Arial"/>
          <w:color w:val="000000"/>
        </w:rPr>
        <w:t>. This guaranteed that the information utilised was up-to-date, trustworthy, and relevant to the subject of the research being conducted</w:t>
      </w:r>
      <w:r w:rsidR="00183D7B" w:rsidRPr="00D52274">
        <w:rPr>
          <w:rFonts w:ascii="Arial" w:hAnsi="Arial" w:cs="Arial"/>
          <w:color w:val="000000"/>
        </w:rPr>
        <w:t xml:space="preserve">, </w:t>
      </w:r>
      <w:r w:rsidR="00781FDE" w:rsidRPr="00D52274">
        <w:rPr>
          <w:rFonts w:ascii="Arial" w:hAnsi="Arial" w:cs="Arial"/>
          <w:color w:val="000000"/>
        </w:rPr>
        <w:t>consistent with the use of a structured and systematic search process</w:t>
      </w:r>
      <w:r w:rsidR="00C84787" w:rsidRPr="00D52274">
        <w:rPr>
          <w:rFonts w:ascii="Arial" w:hAnsi="Arial" w:cs="Arial"/>
          <w:color w:val="000000"/>
        </w:rPr>
        <w:t>.</w:t>
      </w:r>
      <w:r w:rsidRPr="00D52274">
        <w:rPr>
          <w:rFonts w:ascii="Arial" w:hAnsi="Arial" w:cs="Arial"/>
          <w:color w:val="000000"/>
        </w:rPr>
        <w:br/>
      </w:r>
      <w:r w:rsidRPr="00D52274">
        <w:rPr>
          <w:rFonts w:ascii="Arial" w:hAnsi="Arial" w:cs="Arial"/>
          <w:color w:val="000000"/>
        </w:rPr>
        <w:br/>
      </w:r>
      <w:r w:rsidR="00345B26" w:rsidRPr="00D52274">
        <w:rPr>
          <w:rFonts w:ascii="Arial" w:hAnsi="Arial" w:cs="Arial"/>
          <w:color w:val="000000"/>
        </w:rPr>
        <w:t xml:space="preserve">In order to enhance the quality of the results, keywords and search combinations were adjusted throughout the search process. Boolean operators were used to add or change additional terms when initial searches generated too many or irrelevant results. This continuous approach improved the relevance and quality of the literature obtained, ensuring that only the most appropriate and reliable sources were included in the review </w:t>
      </w:r>
      <w:r w:rsidR="00345B26" w:rsidRPr="00EE6ADC">
        <w:rPr>
          <w:rFonts w:ascii="Arial" w:hAnsi="Arial" w:cs="Arial"/>
          <w:color w:val="000000" w:themeColor="text1"/>
        </w:rPr>
        <w:t xml:space="preserve">(Aveyard </w:t>
      </w:r>
      <w:r w:rsidR="00345B26" w:rsidRPr="00EE6ADC">
        <w:rPr>
          <w:rFonts w:ascii="Arial" w:hAnsi="Arial" w:cs="Arial"/>
          <w:i/>
          <w:iCs/>
          <w:color w:val="000000" w:themeColor="text1"/>
        </w:rPr>
        <w:t>et al.,</w:t>
      </w:r>
      <w:r w:rsidR="00345B26" w:rsidRPr="00EE6ADC">
        <w:rPr>
          <w:rFonts w:ascii="Arial" w:hAnsi="Arial" w:cs="Arial"/>
          <w:color w:val="000000" w:themeColor="text1"/>
        </w:rPr>
        <w:t xml:space="preserve"> 2023).</w:t>
      </w:r>
    </w:p>
    <w:p w14:paraId="37C188C4" w14:textId="1B163E7A" w:rsidR="0039665A" w:rsidRPr="00F51075" w:rsidRDefault="0067590A" w:rsidP="00174EFF">
      <w:pPr>
        <w:pStyle w:val="Heading2"/>
        <w:rPr>
          <w:rFonts w:ascii="Arial" w:hAnsi="Arial" w:cs="Arial"/>
          <w:color w:val="000000" w:themeColor="text1"/>
          <w:sz w:val="28"/>
          <w:szCs w:val="28"/>
        </w:rPr>
      </w:pPr>
      <w:r w:rsidRPr="00F51075">
        <w:rPr>
          <w:rFonts w:ascii="Arial" w:hAnsi="Arial" w:cs="Arial"/>
          <w:color w:val="000000" w:themeColor="text1"/>
          <w:sz w:val="28"/>
          <w:szCs w:val="28"/>
        </w:rPr>
        <w:t>3.4</w:t>
      </w:r>
      <w:r w:rsidR="00BF5CD4" w:rsidRPr="00F51075">
        <w:rPr>
          <w:rFonts w:ascii="Arial" w:hAnsi="Arial" w:cs="Arial"/>
          <w:color w:val="000000" w:themeColor="text1"/>
          <w:sz w:val="28"/>
          <w:szCs w:val="28"/>
        </w:rPr>
        <w:t xml:space="preserve"> -</w:t>
      </w:r>
      <w:r w:rsidR="006B5511" w:rsidRPr="00F51075">
        <w:rPr>
          <w:rFonts w:ascii="Arial" w:hAnsi="Arial" w:cs="Arial"/>
          <w:color w:val="000000" w:themeColor="text1"/>
          <w:sz w:val="28"/>
          <w:szCs w:val="28"/>
        </w:rPr>
        <w:t xml:space="preserve">Research Validation </w:t>
      </w:r>
    </w:p>
    <w:p w14:paraId="125D4BCF" w14:textId="2A3157CD" w:rsidR="00D000FC" w:rsidRPr="00C46C44" w:rsidRDefault="00DA5EF5" w:rsidP="00D52274">
      <w:pPr>
        <w:pStyle w:val="Heading2"/>
        <w:tabs>
          <w:tab w:val="num" w:pos="1440"/>
        </w:tabs>
        <w:rPr>
          <w:rFonts w:ascii="Arial" w:hAnsi="Arial" w:cs="Arial"/>
          <w:b/>
          <w:bCs/>
          <w:color w:val="000000" w:themeColor="text1"/>
          <w:sz w:val="22"/>
          <w:szCs w:val="22"/>
        </w:rPr>
      </w:pPr>
      <w:r w:rsidRPr="00C46C44">
        <w:rPr>
          <w:rFonts w:ascii="Arial" w:hAnsi="Arial" w:cs="Arial"/>
          <w:color w:val="000000" w:themeColor="text1"/>
          <w:sz w:val="22"/>
          <w:szCs w:val="22"/>
        </w:rPr>
        <w:t xml:space="preserve">A comprehensive validation method was implemented to ensure that the sources included in the research were relevant, </w:t>
      </w:r>
      <w:r w:rsidR="00470314" w:rsidRPr="00C46C44">
        <w:rPr>
          <w:rFonts w:ascii="Arial" w:hAnsi="Arial" w:cs="Arial"/>
          <w:color w:val="000000" w:themeColor="text1"/>
          <w:sz w:val="22"/>
          <w:szCs w:val="22"/>
        </w:rPr>
        <w:t>credible</w:t>
      </w:r>
      <w:r w:rsidRPr="00C46C44">
        <w:rPr>
          <w:rFonts w:ascii="Arial" w:hAnsi="Arial" w:cs="Arial"/>
          <w:color w:val="000000" w:themeColor="text1"/>
          <w:sz w:val="22"/>
          <w:szCs w:val="22"/>
        </w:rPr>
        <w:t xml:space="preserve"> and suitable for addressing the research question. Initially, articles were scanned by reading the title, abstract, introduction, and conclusion to see if they were on migrant workers,</w:t>
      </w:r>
      <w:r w:rsidR="00AE6689" w:rsidRPr="00C46C44">
        <w:rPr>
          <w:rFonts w:ascii="Arial" w:hAnsi="Arial" w:cs="Arial"/>
          <w:color w:val="000000" w:themeColor="text1"/>
          <w:sz w:val="22"/>
          <w:szCs w:val="22"/>
        </w:rPr>
        <w:t xml:space="preserve"> ASC</w:t>
      </w:r>
      <w:r w:rsidRPr="00C46C44">
        <w:rPr>
          <w:rFonts w:ascii="Arial" w:hAnsi="Arial" w:cs="Arial"/>
          <w:color w:val="000000" w:themeColor="text1"/>
          <w:sz w:val="22"/>
          <w:szCs w:val="22"/>
        </w:rPr>
        <w:t xml:space="preserve">, workforce sustainability, or UK migration policy. This enabled a number of potentially relevant sources to be </w:t>
      </w:r>
      <w:r w:rsidR="00E35CC8" w:rsidRPr="00C46C44">
        <w:rPr>
          <w:rFonts w:ascii="Arial" w:hAnsi="Arial" w:cs="Arial"/>
          <w:color w:val="000000" w:themeColor="text1"/>
          <w:sz w:val="22"/>
          <w:szCs w:val="22"/>
        </w:rPr>
        <w:t>identified efficiently before a more detailed evaluation was undertaken.</w:t>
      </w:r>
    </w:p>
    <w:p w14:paraId="2ABC3449" w14:textId="3F30F979" w:rsidR="007C10DA" w:rsidRPr="00C46C44" w:rsidRDefault="00F40611" w:rsidP="005B0F26">
      <w:pPr>
        <w:pStyle w:val="NormalWeb"/>
        <w:spacing w:line="360" w:lineRule="auto"/>
        <w:jc w:val="both"/>
        <w:rPr>
          <w:rFonts w:ascii="Arial" w:hAnsi="Arial" w:cs="Arial"/>
          <w:color w:val="000000" w:themeColor="text1"/>
          <w:sz w:val="22"/>
          <w:szCs w:val="22"/>
        </w:rPr>
      </w:pPr>
      <w:r w:rsidRPr="00C46C44">
        <w:rPr>
          <w:rFonts w:ascii="Arial" w:hAnsi="Arial" w:cs="Arial"/>
          <w:color w:val="000000" w:themeColor="text1"/>
          <w:sz w:val="22"/>
          <w:szCs w:val="22"/>
        </w:rPr>
        <w:t>To evaluate the quality of selected literature, the CRAAP test</w:t>
      </w:r>
      <w:r w:rsidR="00C928FD" w:rsidRPr="00C46C44">
        <w:rPr>
          <w:rFonts w:ascii="Arial" w:hAnsi="Arial" w:cs="Arial"/>
          <w:color w:val="000000" w:themeColor="text1"/>
          <w:sz w:val="22"/>
          <w:szCs w:val="22"/>
        </w:rPr>
        <w:t xml:space="preserve"> </w:t>
      </w:r>
      <w:r w:rsidRPr="00C46C44">
        <w:rPr>
          <w:rFonts w:ascii="Arial" w:hAnsi="Arial" w:cs="Arial"/>
          <w:color w:val="000000" w:themeColor="text1"/>
          <w:sz w:val="22"/>
          <w:szCs w:val="22"/>
        </w:rPr>
        <w:t>(Currency, Relevance, Authority, Accuracy, and Purpose) was used as a checklist for critical evaluation</w:t>
      </w:r>
      <w:r w:rsidR="0091651F" w:rsidRPr="00C46C44">
        <w:rPr>
          <w:rFonts w:ascii="Arial" w:hAnsi="Arial" w:cs="Arial"/>
          <w:color w:val="000000" w:themeColor="text1"/>
          <w:sz w:val="22"/>
          <w:szCs w:val="22"/>
        </w:rPr>
        <w:t xml:space="preserve"> (Birmingham City University, 2025)</w:t>
      </w:r>
      <w:r w:rsidRPr="00C46C44">
        <w:rPr>
          <w:rFonts w:ascii="Arial" w:hAnsi="Arial" w:cs="Arial"/>
          <w:color w:val="000000" w:themeColor="text1"/>
          <w:sz w:val="22"/>
          <w:szCs w:val="22"/>
        </w:rPr>
        <w:t>. While not all the sources met all five criteria equally, sources with great currency, relevance, and authority received preference. Peer-reviewed journal articles, government publications, and reports published by reputable institutions received high priority.</w:t>
      </w:r>
      <w:r w:rsidR="00012166" w:rsidRPr="00C46C44">
        <w:rPr>
          <w:rFonts w:ascii="Arial" w:hAnsi="Arial" w:cs="Arial"/>
          <w:color w:val="000000" w:themeColor="text1"/>
          <w:sz w:val="22"/>
          <w:szCs w:val="22"/>
        </w:rPr>
        <w:t xml:space="preserve"> </w:t>
      </w:r>
      <w:r w:rsidR="00AB50A1" w:rsidRPr="00C46C44">
        <w:rPr>
          <w:rFonts w:ascii="Arial" w:hAnsi="Arial" w:cs="Arial"/>
          <w:color w:val="000000" w:themeColor="text1"/>
          <w:sz w:val="22"/>
          <w:szCs w:val="22"/>
        </w:rPr>
        <w:t>For example, Skills for Care reports were included because they give up-to-date workforce data and are widely recognised in the ASC industry. Materials with unidentified authors, insufficient evidence, or little relevance to the research issue were eliminated from the final review.</w:t>
      </w:r>
    </w:p>
    <w:p w14:paraId="60B1F4CC" w14:textId="698DE6A8" w:rsidR="0022701B" w:rsidRPr="005B0F26" w:rsidRDefault="00C21661" w:rsidP="009A2C9E">
      <w:pPr>
        <w:pStyle w:val="Heading2"/>
        <w:rPr>
          <w:rFonts w:ascii="Arial" w:hAnsi="Arial" w:cs="Arial"/>
          <w:color w:val="000000" w:themeColor="text1"/>
          <w:sz w:val="28"/>
          <w:szCs w:val="28"/>
        </w:rPr>
      </w:pPr>
      <w:r w:rsidRPr="005B0F26">
        <w:rPr>
          <w:rFonts w:ascii="Arial" w:hAnsi="Arial" w:cs="Arial"/>
          <w:color w:val="000000" w:themeColor="text1"/>
          <w:sz w:val="28"/>
          <w:szCs w:val="28"/>
        </w:rPr>
        <w:lastRenderedPageBreak/>
        <w:t>3.5</w:t>
      </w:r>
      <w:r w:rsidR="006B5511" w:rsidRPr="005B0F26">
        <w:rPr>
          <w:rFonts w:ascii="Arial" w:hAnsi="Arial" w:cs="Arial"/>
          <w:color w:val="000000" w:themeColor="text1"/>
          <w:sz w:val="28"/>
          <w:szCs w:val="28"/>
        </w:rPr>
        <w:t xml:space="preserve">- Inclusion and Exclusion Criteria </w:t>
      </w:r>
    </w:p>
    <w:p w14:paraId="483A2075" w14:textId="2CE846B0" w:rsidR="00AD5568" w:rsidRPr="007619C7" w:rsidRDefault="00AD5568" w:rsidP="00D52274">
      <w:pPr>
        <w:pStyle w:val="isselectedend"/>
        <w:spacing w:line="360" w:lineRule="auto"/>
        <w:jc w:val="both"/>
        <w:rPr>
          <w:rFonts w:ascii="Arial" w:hAnsi="Arial" w:cs="Arial"/>
          <w:color w:val="000000"/>
          <w:sz w:val="22"/>
          <w:szCs w:val="22"/>
        </w:rPr>
      </w:pPr>
      <w:r w:rsidRPr="007619C7">
        <w:rPr>
          <w:rFonts w:ascii="Arial" w:hAnsi="Arial" w:cs="Arial"/>
          <w:color w:val="000000"/>
          <w:sz w:val="22"/>
          <w:szCs w:val="22"/>
        </w:rPr>
        <w:t xml:space="preserve">Clear inclusion and exclusion criteria were established to ensure that the literature reviewed remained relevant and of high quality. Peer-reviewed journal articles, government publications, policy documents, and workforce reports published within the last 10 years were included. Priority was given to UK-based research and literature focusing on migrant workers, </w:t>
      </w:r>
      <w:r w:rsidR="00AE6689">
        <w:rPr>
          <w:rFonts w:ascii="Arial" w:hAnsi="Arial" w:cs="Arial"/>
          <w:color w:val="000000"/>
          <w:sz w:val="22"/>
          <w:szCs w:val="22"/>
        </w:rPr>
        <w:t>ASC</w:t>
      </w:r>
      <w:r w:rsidRPr="007619C7">
        <w:rPr>
          <w:rFonts w:ascii="Arial" w:hAnsi="Arial" w:cs="Arial"/>
          <w:color w:val="000000"/>
          <w:sz w:val="22"/>
          <w:szCs w:val="22"/>
        </w:rPr>
        <w:t>, workforce sustainability, and migration policy. However, older sources were retained where they provided important theoretical foundations relevant to the research question.</w:t>
      </w:r>
    </w:p>
    <w:p w14:paraId="78FC11B3" w14:textId="77777777" w:rsidR="00AD5568" w:rsidRPr="007619C7" w:rsidRDefault="00AD5568" w:rsidP="00D52274">
      <w:pPr>
        <w:pStyle w:val="NormalWeb"/>
        <w:spacing w:line="360" w:lineRule="auto"/>
        <w:jc w:val="both"/>
        <w:rPr>
          <w:rFonts w:ascii="Arial" w:hAnsi="Arial" w:cs="Arial"/>
          <w:color w:val="000000"/>
          <w:sz w:val="22"/>
          <w:szCs w:val="22"/>
        </w:rPr>
      </w:pPr>
      <w:r w:rsidRPr="007619C7">
        <w:rPr>
          <w:rFonts w:ascii="Arial" w:hAnsi="Arial" w:cs="Arial"/>
          <w:color w:val="000000"/>
          <w:sz w:val="22"/>
          <w:szCs w:val="22"/>
        </w:rPr>
        <w:t>Sources were excluded if they lacked academic credibility, provided insufficient supporting evidence, or were not directly relevant to the research topic. Opinion blogs, non-academic websites, duplicate publications, and non-English sources were also excluded. Applying these criteria strengthened the credibility, relevance, and overall focus of the literature reviewed.</w:t>
      </w:r>
    </w:p>
    <w:p w14:paraId="7800E003" w14:textId="57B4E908" w:rsidR="006B5511" w:rsidRPr="005B0F26" w:rsidRDefault="00C21661" w:rsidP="009A2C9E">
      <w:pPr>
        <w:pStyle w:val="Heading2"/>
        <w:rPr>
          <w:rFonts w:ascii="Arial" w:hAnsi="Arial" w:cs="Arial"/>
          <w:color w:val="000000" w:themeColor="text1"/>
          <w:sz w:val="28"/>
          <w:szCs w:val="28"/>
        </w:rPr>
      </w:pPr>
      <w:r w:rsidRPr="005B0F26">
        <w:rPr>
          <w:rFonts w:ascii="Arial" w:hAnsi="Arial" w:cs="Arial"/>
          <w:color w:val="000000" w:themeColor="text1"/>
          <w:sz w:val="28"/>
          <w:szCs w:val="28"/>
        </w:rPr>
        <w:t>3.6</w:t>
      </w:r>
      <w:r w:rsidR="006B5511" w:rsidRPr="005B0F26">
        <w:rPr>
          <w:rFonts w:ascii="Arial" w:hAnsi="Arial" w:cs="Arial"/>
          <w:color w:val="000000" w:themeColor="text1"/>
          <w:sz w:val="28"/>
          <w:szCs w:val="28"/>
        </w:rPr>
        <w:t xml:space="preserve">– Analysing Research </w:t>
      </w:r>
    </w:p>
    <w:p w14:paraId="177A75D4" w14:textId="4955E848" w:rsidR="008C4FCE" w:rsidRPr="00B347DB" w:rsidRDefault="008C4FCE" w:rsidP="00D52274">
      <w:pPr>
        <w:pStyle w:val="isselectedend"/>
        <w:spacing w:line="360" w:lineRule="auto"/>
        <w:jc w:val="both"/>
        <w:rPr>
          <w:rFonts w:ascii="Arial" w:hAnsi="Arial" w:cs="Arial"/>
          <w:color w:val="000000" w:themeColor="text1"/>
          <w:sz w:val="22"/>
          <w:szCs w:val="22"/>
        </w:rPr>
      </w:pPr>
      <w:r w:rsidRPr="00B347DB">
        <w:rPr>
          <w:rFonts w:ascii="Arial" w:hAnsi="Arial" w:cs="Arial"/>
          <w:color w:val="000000" w:themeColor="text1"/>
          <w:sz w:val="22"/>
          <w:szCs w:val="22"/>
        </w:rPr>
        <w:t>The selected literature was analysed using a thematic coding approach to identify patterns and recurring ideas relevant to the research question. Braun and Clarke</w:t>
      </w:r>
      <w:r w:rsidR="00B56B2D" w:rsidRPr="00B347DB">
        <w:rPr>
          <w:rFonts w:ascii="Arial" w:hAnsi="Arial" w:cs="Arial"/>
          <w:color w:val="000000" w:themeColor="text1"/>
          <w:sz w:val="22"/>
          <w:szCs w:val="22"/>
        </w:rPr>
        <w:t>’s</w:t>
      </w:r>
      <w:r w:rsidR="00FD356D" w:rsidRPr="00B347DB">
        <w:rPr>
          <w:rFonts w:ascii="Arial" w:hAnsi="Arial" w:cs="Arial"/>
          <w:color w:val="000000" w:themeColor="text1"/>
          <w:sz w:val="22"/>
          <w:szCs w:val="22"/>
        </w:rPr>
        <w:t>,</w:t>
      </w:r>
      <w:r w:rsidRPr="00B347DB">
        <w:rPr>
          <w:rFonts w:ascii="Arial" w:hAnsi="Arial" w:cs="Arial"/>
          <w:color w:val="000000" w:themeColor="text1"/>
          <w:sz w:val="22"/>
          <w:szCs w:val="22"/>
        </w:rPr>
        <w:t xml:space="preserve"> (2006) thematic analysis framework guided this process, allowing data to be organised and examined systematically. Initially, articles were reviewed carefully to identify repeated themes, issues, and keywords relating to migrant workers, </w:t>
      </w:r>
      <w:r w:rsidR="00925927" w:rsidRPr="00B347DB">
        <w:rPr>
          <w:rFonts w:ascii="Arial" w:hAnsi="Arial" w:cs="Arial"/>
          <w:color w:val="000000" w:themeColor="text1"/>
          <w:sz w:val="22"/>
          <w:szCs w:val="22"/>
        </w:rPr>
        <w:t>ASC</w:t>
      </w:r>
      <w:r w:rsidRPr="00B347DB">
        <w:rPr>
          <w:rFonts w:ascii="Arial" w:hAnsi="Arial" w:cs="Arial"/>
          <w:color w:val="000000" w:themeColor="text1"/>
          <w:sz w:val="22"/>
          <w:szCs w:val="22"/>
        </w:rPr>
        <w:t>, workforce sustainability, and migration policy. These recurring ideas were recorded as initial codes.</w:t>
      </w:r>
    </w:p>
    <w:p w14:paraId="50070EEC" w14:textId="77777777" w:rsidR="008C4FCE" w:rsidRPr="00B347DB" w:rsidRDefault="008C4FCE" w:rsidP="00D52274">
      <w:pPr>
        <w:pStyle w:val="isselectedend"/>
        <w:spacing w:line="360" w:lineRule="auto"/>
        <w:jc w:val="both"/>
        <w:rPr>
          <w:rFonts w:ascii="Arial" w:hAnsi="Arial" w:cs="Arial"/>
          <w:color w:val="000000" w:themeColor="text1"/>
          <w:sz w:val="22"/>
          <w:szCs w:val="22"/>
        </w:rPr>
      </w:pPr>
      <w:r w:rsidRPr="00B347DB">
        <w:rPr>
          <w:rFonts w:ascii="Arial" w:hAnsi="Arial" w:cs="Arial"/>
          <w:color w:val="000000" w:themeColor="text1"/>
          <w:sz w:val="22"/>
          <w:szCs w:val="22"/>
        </w:rPr>
        <w:t>Following initial coding, related codes were grouped together to form broader themes aligned with the research aim and objectives. Throughout the process, themes such as workforce shortages, migration policy, employment conditions, and workforce sustainability emerged.</w:t>
      </w:r>
    </w:p>
    <w:p w14:paraId="7BA84A90" w14:textId="30F74396" w:rsidR="00737D85" w:rsidRPr="00B347DB" w:rsidRDefault="00737D85" w:rsidP="002F07B2">
      <w:pPr>
        <w:pStyle w:val="Heading2"/>
        <w:rPr>
          <w:rFonts w:ascii="Arial" w:hAnsi="Arial" w:cs="Arial"/>
          <w:color w:val="000000" w:themeColor="text1"/>
          <w:sz w:val="22"/>
          <w:szCs w:val="22"/>
        </w:rPr>
      </w:pPr>
      <w:r w:rsidRPr="00B347DB">
        <w:rPr>
          <w:rFonts w:ascii="Arial" w:hAnsi="Arial" w:cs="Arial"/>
          <w:color w:val="000000" w:themeColor="text1"/>
          <w:sz w:val="22"/>
          <w:szCs w:val="22"/>
        </w:rPr>
        <w:t>The selected literature was systematically reviewed to identify significant findings, recurring concepts, and patterns relevant to the research question.</w:t>
      </w:r>
      <w:r w:rsidR="00496C0D" w:rsidRPr="00B347DB">
        <w:rPr>
          <w:rFonts w:ascii="Arial" w:hAnsi="Arial" w:cs="Arial"/>
          <w:color w:val="000000" w:themeColor="text1"/>
          <w:sz w:val="22"/>
          <w:szCs w:val="22"/>
        </w:rPr>
        <w:t xml:space="preserve"> </w:t>
      </w:r>
      <w:r w:rsidRPr="00B347DB">
        <w:rPr>
          <w:rFonts w:ascii="Arial" w:hAnsi="Arial" w:cs="Arial"/>
          <w:color w:val="000000" w:themeColor="text1"/>
          <w:sz w:val="22"/>
          <w:szCs w:val="22"/>
        </w:rPr>
        <w:t>Colour coding was then used to organise related concepts and support in the development of themes, resulting in a systematic and transparent foundation for the findings presented in Chapter 4.</w:t>
      </w:r>
    </w:p>
    <w:p w14:paraId="2B5C6A6D" w14:textId="57E808D9" w:rsidR="006B5511" w:rsidRPr="00B347DB" w:rsidRDefault="00C21661" w:rsidP="002F07B2">
      <w:pPr>
        <w:pStyle w:val="Heading2"/>
        <w:rPr>
          <w:rFonts w:ascii="Arial" w:hAnsi="Arial" w:cs="Arial"/>
          <w:color w:val="000000" w:themeColor="text1"/>
          <w:sz w:val="28"/>
          <w:szCs w:val="28"/>
        </w:rPr>
      </w:pPr>
      <w:r w:rsidRPr="00B347DB">
        <w:rPr>
          <w:rFonts w:ascii="Arial" w:hAnsi="Arial" w:cs="Arial"/>
          <w:color w:val="000000" w:themeColor="text1"/>
          <w:sz w:val="28"/>
          <w:szCs w:val="28"/>
        </w:rPr>
        <w:t>3.7</w:t>
      </w:r>
      <w:r w:rsidR="006B5511" w:rsidRPr="00B347DB">
        <w:rPr>
          <w:rFonts w:ascii="Arial" w:hAnsi="Arial" w:cs="Arial"/>
          <w:color w:val="000000" w:themeColor="text1"/>
          <w:sz w:val="28"/>
          <w:szCs w:val="28"/>
        </w:rPr>
        <w:t xml:space="preserve">– Ethical Considerations </w:t>
      </w:r>
    </w:p>
    <w:p w14:paraId="7B42C69C" w14:textId="3D8D5819" w:rsidR="003934F6" w:rsidRPr="00B347DB" w:rsidRDefault="003934F6" w:rsidP="00D52274">
      <w:pPr>
        <w:pStyle w:val="isselectedend"/>
        <w:spacing w:line="360" w:lineRule="auto"/>
        <w:jc w:val="both"/>
        <w:rPr>
          <w:rFonts w:ascii="Arial" w:hAnsi="Arial" w:cs="Arial"/>
          <w:color w:val="000000" w:themeColor="text1"/>
          <w:sz w:val="22"/>
          <w:szCs w:val="22"/>
        </w:rPr>
      </w:pPr>
      <w:r w:rsidRPr="00B347DB">
        <w:rPr>
          <w:rFonts w:ascii="Arial" w:hAnsi="Arial" w:cs="Arial"/>
          <w:color w:val="000000" w:themeColor="text1"/>
          <w:sz w:val="22"/>
          <w:szCs w:val="22"/>
        </w:rPr>
        <w:t xml:space="preserve">This research was entirely based on secondary sources, meaning that no primary data gathering involving human participants was conducted. As a result, ethical considerations relating to informed consent, confidentiality, and participant protection were not applicable. </w:t>
      </w:r>
      <w:r w:rsidRPr="00B347DB">
        <w:rPr>
          <w:rFonts w:ascii="Arial" w:hAnsi="Arial" w:cs="Arial"/>
          <w:color w:val="000000" w:themeColor="text1"/>
          <w:sz w:val="22"/>
          <w:szCs w:val="22"/>
        </w:rPr>
        <w:lastRenderedPageBreak/>
        <w:t>However, ethical responsibility remained important throughout the research process</w:t>
      </w:r>
      <w:r w:rsidR="00BB4A34" w:rsidRPr="00B347DB">
        <w:rPr>
          <w:rFonts w:ascii="Arial" w:hAnsi="Arial" w:cs="Arial"/>
          <w:color w:val="000000" w:themeColor="text1"/>
          <w:sz w:val="22"/>
          <w:szCs w:val="22"/>
        </w:rPr>
        <w:t xml:space="preserve"> (UK Data Service, 2026)</w:t>
      </w:r>
      <w:r w:rsidRPr="00B347DB">
        <w:rPr>
          <w:rFonts w:ascii="Arial" w:hAnsi="Arial" w:cs="Arial"/>
          <w:color w:val="000000" w:themeColor="text1"/>
          <w:sz w:val="22"/>
          <w:szCs w:val="22"/>
        </w:rPr>
        <w:t>.</w:t>
      </w:r>
    </w:p>
    <w:p w14:paraId="4BCA4C67" w14:textId="77777777" w:rsidR="003934F6" w:rsidRPr="00B347DB" w:rsidRDefault="003934F6" w:rsidP="00D52274">
      <w:pPr>
        <w:pStyle w:val="NormalWeb"/>
        <w:spacing w:line="360" w:lineRule="auto"/>
        <w:jc w:val="both"/>
        <w:rPr>
          <w:rFonts w:ascii="Arial" w:hAnsi="Arial" w:cs="Arial"/>
          <w:color w:val="000000" w:themeColor="text1"/>
          <w:sz w:val="22"/>
          <w:szCs w:val="22"/>
        </w:rPr>
      </w:pPr>
      <w:r w:rsidRPr="00B347DB">
        <w:rPr>
          <w:rFonts w:ascii="Arial" w:hAnsi="Arial" w:cs="Arial"/>
          <w:color w:val="000000" w:themeColor="text1"/>
          <w:sz w:val="22"/>
          <w:szCs w:val="22"/>
        </w:rPr>
        <w:t>Academic integrity was maintained by accurately citing all sources, consistently applying Harvard referencing, and avoiding plagiarism or misrepresentation of evidence. Care was taken to ensure that the literature was interpreted and presented fairly, particularly when discussing migration and workforce policy, where differing viewpoints exist. Furthermore, sources were selected based on relevance and credibility rather than personal preferences, contributing to greater transparency, reduced bias, and supporting the overall reliability of the research findings.</w:t>
      </w:r>
    </w:p>
    <w:p w14:paraId="799931A1" w14:textId="4AD38A45" w:rsidR="006B5511" w:rsidRPr="00B347DB" w:rsidRDefault="006B5511" w:rsidP="002F07B2">
      <w:pPr>
        <w:pStyle w:val="Heading2"/>
        <w:rPr>
          <w:rFonts w:ascii="Arial" w:hAnsi="Arial" w:cs="Arial"/>
          <w:color w:val="000000" w:themeColor="text1"/>
          <w:sz w:val="28"/>
          <w:szCs w:val="28"/>
        </w:rPr>
      </w:pPr>
      <w:r w:rsidRPr="00B347DB">
        <w:rPr>
          <w:rFonts w:ascii="Arial" w:hAnsi="Arial" w:cs="Arial"/>
          <w:color w:val="000000" w:themeColor="text1"/>
          <w:sz w:val="28"/>
          <w:szCs w:val="28"/>
        </w:rPr>
        <w:t xml:space="preserve">3.8 – Chapter Conclusion </w:t>
      </w:r>
    </w:p>
    <w:p w14:paraId="7AD3A421" w14:textId="77777777" w:rsidR="00A51DEF" w:rsidRPr="00B347DB" w:rsidRDefault="00A51DEF" w:rsidP="00D52274">
      <w:pPr>
        <w:pStyle w:val="isselectedend"/>
        <w:spacing w:line="360" w:lineRule="auto"/>
        <w:jc w:val="both"/>
        <w:rPr>
          <w:rFonts w:ascii="Arial" w:hAnsi="Arial" w:cs="Arial"/>
          <w:color w:val="000000" w:themeColor="text1"/>
          <w:sz w:val="22"/>
          <w:szCs w:val="22"/>
        </w:rPr>
      </w:pPr>
      <w:r w:rsidRPr="00B347DB">
        <w:rPr>
          <w:rFonts w:ascii="Arial" w:hAnsi="Arial" w:cs="Arial"/>
          <w:color w:val="000000" w:themeColor="text1"/>
          <w:sz w:val="22"/>
          <w:szCs w:val="22"/>
        </w:rPr>
        <w:t>This chapter explained the methodology used to identify, evaluate, and analyse literature on migrant workers and workforce sustainability in the UK ASC sector. A structured search approach, together with inclusion and exclusion criteria, enabled the systematic selection of relevant and credible sources. Research validation tools, such as the CRAAP test, improved the quality of the literature reviewed, while Braun and Clarke’s (2006) thematic analysis framework provided an organised approach to arranging findings. These strategies worked together to ensure transparency and consistency throughout the research process.</w:t>
      </w:r>
    </w:p>
    <w:p w14:paraId="244C7A94" w14:textId="2506A5EE" w:rsidR="00A51DEF" w:rsidRPr="00B347DB" w:rsidRDefault="00A51DEF" w:rsidP="00D52274">
      <w:pPr>
        <w:pStyle w:val="NormalWeb"/>
        <w:spacing w:line="360" w:lineRule="auto"/>
        <w:jc w:val="both"/>
        <w:rPr>
          <w:rFonts w:ascii="Arial" w:hAnsi="Arial" w:cs="Arial"/>
          <w:color w:val="000000" w:themeColor="text1"/>
          <w:sz w:val="22"/>
          <w:szCs w:val="22"/>
        </w:rPr>
      </w:pPr>
      <w:r w:rsidRPr="00B347DB">
        <w:rPr>
          <w:rFonts w:ascii="Arial" w:hAnsi="Arial" w:cs="Arial"/>
          <w:color w:val="000000" w:themeColor="text1"/>
          <w:sz w:val="22"/>
          <w:szCs w:val="22"/>
        </w:rPr>
        <w:t>Chapter 4 will present the results of this analysis, organised into key themes and explored in relation to the research question and research objectives.</w:t>
      </w:r>
      <w:r w:rsidR="00727CC9" w:rsidRPr="00B347DB">
        <w:rPr>
          <w:rFonts w:ascii="Arial" w:hAnsi="Arial" w:cs="Arial"/>
          <w:color w:val="000000" w:themeColor="text1"/>
          <w:sz w:val="22"/>
          <w:szCs w:val="22"/>
        </w:rPr>
        <w:t xml:space="preserve"> </w:t>
      </w:r>
    </w:p>
    <w:p w14:paraId="1BCAF500" w14:textId="77777777" w:rsidR="00C267E2" w:rsidRPr="00B347DB" w:rsidRDefault="00C267E2" w:rsidP="00D52274">
      <w:pPr>
        <w:pStyle w:val="NormalWeb"/>
        <w:spacing w:line="360" w:lineRule="auto"/>
        <w:jc w:val="both"/>
        <w:rPr>
          <w:rFonts w:ascii="Arial" w:hAnsi="Arial" w:cs="Arial"/>
          <w:color w:val="000000" w:themeColor="text1"/>
          <w:sz w:val="22"/>
          <w:szCs w:val="22"/>
        </w:rPr>
      </w:pPr>
    </w:p>
    <w:p w14:paraId="3CB469EB" w14:textId="306C681D" w:rsidR="00C267E2" w:rsidRPr="005A2BBC" w:rsidRDefault="00C267E2" w:rsidP="00C267E2">
      <w:pPr>
        <w:pStyle w:val="Heading1"/>
        <w:rPr>
          <w:rFonts w:ascii="Arial" w:hAnsi="Arial" w:cs="Arial"/>
          <w:b/>
          <w:bCs/>
          <w:color w:val="000000" w:themeColor="text1"/>
          <w:sz w:val="32"/>
          <w:szCs w:val="32"/>
        </w:rPr>
      </w:pPr>
      <w:r w:rsidRPr="005A2BBC">
        <w:rPr>
          <w:rFonts w:ascii="Arial" w:hAnsi="Arial" w:cs="Arial"/>
          <w:b/>
          <w:bCs/>
          <w:color w:val="000000" w:themeColor="text1"/>
          <w:sz w:val="32"/>
          <w:szCs w:val="32"/>
        </w:rPr>
        <w:lastRenderedPageBreak/>
        <w:t xml:space="preserve">CHAPTER 4 – Findings and Discussion </w:t>
      </w:r>
    </w:p>
    <w:p w14:paraId="7805B462" w14:textId="26EEDFBF" w:rsidR="00C267E2" w:rsidRPr="00996659" w:rsidRDefault="00C267E2" w:rsidP="00984682">
      <w:pPr>
        <w:pStyle w:val="Heading2"/>
        <w:rPr>
          <w:rFonts w:ascii="Arial" w:hAnsi="Arial" w:cs="Arial"/>
          <w:color w:val="000000" w:themeColor="text1"/>
          <w:sz w:val="28"/>
          <w:szCs w:val="28"/>
        </w:rPr>
      </w:pPr>
      <w:r w:rsidRPr="00996659">
        <w:rPr>
          <w:rFonts w:ascii="Arial" w:hAnsi="Arial" w:cs="Arial"/>
          <w:color w:val="000000" w:themeColor="text1"/>
          <w:sz w:val="28"/>
          <w:szCs w:val="28"/>
        </w:rPr>
        <w:t xml:space="preserve">4.1 – Introduction </w:t>
      </w:r>
    </w:p>
    <w:p w14:paraId="64A877DE" w14:textId="54EB3CA1" w:rsidR="00A450CD" w:rsidRPr="006254F5" w:rsidRDefault="00B065CA" w:rsidP="006254F5">
      <w:pPr>
        <w:pStyle w:val="Heading2"/>
        <w:rPr>
          <w:rFonts w:ascii="Arial" w:hAnsi="Arial" w:cs="Arial"/>
          <w:color w:val="000000"/>
          <w:sz w:val="22"/>
          <w:szCs w:val="22"/>
        </w:rPr>
      </w:pPr>
      <w:r w:rsidRPr="006254F5">
        <w:rPr>
          <w:rFonts w:ascii="Arial" w:hAnsi="Arial" w:cs="Arial"/>
          <w:color w:val="000000"/>
          <w:sz w:val="22"/>
          <w:szCs w:val="22"/>
        </w:rPr>
        <w:t xml:space="preserve">This chapter presents and examines the findings of a thematic analysis of literature on the role of migrant workers in sustaining the UK ASC workforce. Applying the methodology described in Chapter 3, key patterns and recurring ideas were identified and organised into three main categories, workforce shortages and reliance on migrant workers, migration policy and international recruitment, and migrant worker experiences, wellbeing, and workforce sustainability. </w:t>
      </w:r>
      <w:r w:rsidR="00E9042F" w:rsidRPr="006254F5">
        <w:rPr>
          <w:rFonts w:ascii="Arial" w:hAnsi="Arial" w:cs="Arial"/>
          <w:color w:val="000000"/>
          <w:sz w:val="22"/>
          <w:szCs w:val="22"/>
        </w:rPr>
        <w:t>T</w:t>
      </w:r>
      <w:r w:rsidR="00C63D39" w:rsidRPr="006254F5">
        <w:rPr>
          <w:rFonts w:ascii="Arial" w:hAnsi="Arial" w:cs="Arial"/>
          <w:color w:val="000000"/>
          <w:sz w:val="22"/>
          <w:szCs w:val="22"/>
        </w:rPr>
        <w:t xml:space="preserve">his </w:t>
      </w:r>
      <w:r w:rsidR="00E9042F" w:rsidRPr="006254F5">
        <w:rPr>
          <w:rFonts w:ascii="Arial" w:hAnsi="Arial" w:cs="Arial"/>
          <w:color w:val="000000"/>
          <w:sz w:val="22"/>
          <w:szCs w:val="22"/>
        </w:rPr>
        <w:t>chapter critically analyses these themes and compares findings with wider literature, policy documents, and workforce reports to evaluate the contribution of migrant workers to the UK ASC sector.</w:t>
      </w:r>
    </w:p>
    <w:p w14:paraId="76CC989F" w14:textId="77777777" w:rsidR="00060108" w:rsidRPr="00996659" w:rsidRDefault="00C267E2" w:rsidP="006254F5">
      <w:pPr>
        <w:pStyle w:val="Heading2"/>
        <w:rPr>
          <w:rFonts w:ascii="Arial" w:hAnsi="Arial" w:cs="Arial"/>
          <w:color w:val="000000" w:themeColor="text1"/>
          <w:sz w:val="28"/>
          <w:szCs w:val="28"/>
        </w:rPr>
      </w:pPr>
      <w:r w:rsidRPr="00996659">
        <w:rPr>
          <w:rFonts w:ascii="Arial" w:hAnsi="Arial" w:cs="Arial"/>
          <w:color w:val="000000" w:themeColor="text1"/>
          <w:sz w:val="28"/>
          <w:szCs w:val="28"/>
        </w:rPr>
        <w:t xml:space="preserve">4.2 – Thematic Analysis </w:t>
      </w:r>
    </w:p>
    <w:p w14:paraId="057EE284" w14:textId="0B592AD3" w:rsidR="0091360F" w:rsidRDefault="00AE4584" w:rsidP="006254F5">
      <w:pPr>
        <w:pStyle w:val="Heading2"/>
        <w:rPr>
          <w:rFonts w:ascii="Arial" w:hAnsi="Arial" w:cs="Arial"/>
          <w:color w:val="000000" w:themeColor="text1"/>
          <w:sz w:val="22"/>
          <w:szCs w:val="22"/>
        </w:rPr>
      </w:pPr>
      <w:r w:rsidRPr="002D5658">
        <w:rPr>
          <w:rFonts w:ascii="Arial" w:hAnsi="Arial" w:cs="Arial"/>
          <w:color w:val="000000" w:themeColor="text1"/>
          <w:sz w:val="22"/>
          <w:szCs w:val="22"/>
        </w:rPr>
        <w:t>Thematic analysis is a qualitative method for identifying, analysing, and interpreting patterns or themes in a dataset (Braun and Clarke, 2006). In secondary research, thematic analysis enables researchers to organise data from existing literature into relevant themes that meet the research question. This method was chosen because it provides a structured and adjustable approach to examining recurring ideas across multiple sources</w:t>
      </w:r>
      <w:r w:rsidR="00FA3C0E" w:rsidRPr="002D5658">
        <w:rPr>
          <w:rFonts w:ascii="Arial" w:hAnsi="Arial" w:cs="Arial"/>
          <w:color w:val="000000" w:themeColor="text1"/>
          <w:sz w:val="22"/>
          <w:szCs w:val="22"/>
        </w:rPr>
        <w:t xml:space="preserve"> (Braun and Clarke, 2006).</w:t>
      </w:r>
    </w:p>
    <w:p w14:paraId="41BA9D06" w14:textId="2C76E15E" w:rsidR="000F5F69" w:rsidRPr="00C470FF" w:rsidRDefault="000F5F69" w:rsidP="006254F5">
      <w:pPr>
        <w:rPr>
          <w:rFonts w:ascii="Arial" w:hAnsi="Arial" w:cs="Arial"/>
          <w:color w:val="000000" w:themeColor="text1"/>
        </w:rPr>
      </w:pPr>
      <w:r w:rsidRPr="00C470FF">
        <w:rPr>
          <w:rFonts w:ascii="Arial" w:hAnsi="Arial" w:cs="Arial"/>
          <w:color w:val="000000" w:themeColor="text1"/>
        </w:rPr>
        <w:t xml:space="preserve">In order to find common themes about migrant workers and workforce sustainability in the UK ASC sector, selected journal articles were analysed and coded applying the methodology described in Chapter 3. The seven selected papers were </w:t>
      </w:r>
      <w:r w:rsidR="0079783C" w:rsidRPr="00C470FF">
        <w:rPr>
          <w:rStyle w:val="Strong"/>
          <w:rFonts w:ascii="Arial" w:hAnsi="Arial" w:cs="Arial"/>
          <w:b w:val="0"/>
          <w:bCs w:val="0"/>
          <w:color w:val="000000" w:themeColor="text1"/>
        </w:rPr>
        <w:t>assigned numerical identifiers</w:t>
      </w:r>
      <w:r w:rsidR="0079783C" w:rsidRPr="00C470FF">
        <w:rPr>
          <w:rFonts w:ascii="Arial" w:hAnsi="Arial" w:cs="Arial"/>
          <w:color w:val="000000" w:themeColor="text1"/>
        </w:rPr>
        <w:t xml:space="preserve"> </w:t>
      </w:r>
      <w:r w:rsidRPr="00C470FF">
        <w:rPr>
          <w:rFonts w:ascii="Arial" w:hAnsi="Arial" w:cs="Arial"/>
          <w:color w:val="000000" w:themeColor="text1"/>
        </w:rPr>
        <w:t>(Papers 1–7) for clarity throughout the</w:t>
      </w:r>
      <w:r w:rsidR="0089127B" w:rsidRPr="00C470FF">
        <w:rPr>
          <w:rFonts w:ascii="Arial" w:hAnsi="Arial" w:cs="Arial"/>
          <w:color w:val="000000" w:themeColor="text1"/>
        </w:rPr>
        <w:t xml:space="preserve"> </w:t>
      </w:r>
      <w:r w:rsidR="0089127B" w:rsidRPr="00C470FF">
        <w:rPr>
          <w:rStyle w:val="Strong"/>
          <w:rFonts w:ascii="Arial" w:hAnsi="Arial" w:cs="Arial"/>
          <w:b w:val="0"/>
          <w:bCs w:val="0"/>
          <w:color w:val="000000" w:themeColor="text1"/>
        </w:rPr>
        <w:t>thematic analysis</w:t>
      </w:r>
      <w:r w:rsidRPr="00C470FF">
        <w:rPr>
          <w:rFonts w:ascii="Arial" w:hAnsi="Arial" w:cs="Arial"/>
          <w:color w:val="000000" w:themeColor="text1"/>
        </w:rPr>
        <w:t>. These identification numbers are u</w:t>
      </w:r>
      <w:r w:rsidR="00C41CBF" w:rsidRPr="00C470FF">
        <w:rPr>
          <w:rFonts w:ascii="Arial" w:hAnsi="Arial" w:cs="Arial"/>
          <w:color w:val="000000" w:themeColor="text1"/>
        </w:rPr>
        <w:t>sed</w:t>
      </w:r>
      <w:r w:rsidRPr="00C470FF">
        <w:rPr>
          <w:rFonts w:ascii="Arial" w:hAnsi="Arial" w:cs="Arial"/>
          <w:color w:val="000000" w:themeColor="text1"/>
        </w:rPr>
        <w:t xml:space="preserve"> throughout this chapter to analyse and compare findings from the literature.</w:t>
      </w:r>
      <w:r w:rsidR="00C470FF" w:rsidRPr="00C470FF">
        <w:rPr>
          <w:rFonts w:ascii="Arial" w:hAnsi="Arial" w:cs="Arial"/>
          <w:color w:val="000000" w:themeColor="text1"/>
        </w:rPr>
        <w:t xml:space="preserve"> </w:t>
      </w:r>
      <w:r w:rsidR="00C470FF" w:rsidRPr="00C470FF">
        <w:rPr>
          <w:rFonts w:ascii="Arial" w:hAnsi="Arial" w:cs="Arial"/>
          <w:color w:val="000000" w:themeColor="text1"/>
        </w:rPr>
        <w:t>Key findings, concepts and recurring issues were documented in a results summary table (see Appendix). Similar concepts and patterns were then compared to establish broader themes, allowing relationships between the selected studies to be identified and analysed, consistent with Braun and Clarke's (2006) thematic analysis framework</w:t>
      </w:r>
      <w:r w:rsidR="002B6B04">
        <w:rPr>
          <w:rFonts w:ascii="Arial" w:hAnsi="Arial" w:cs="Arial"/>
          <w:color w:val="000000" w:themeColor="text1"/>
        </w:rPr>
        <w:t>.</w:t>
      </w:r>
    </w:p>
    <w:p w14:paraId="7EBE2429" w14:textId="77777777" w:rsidR="006254F5" w:rsidRPr="002D5658" w:rsidRDefault="00EE4003" w:rsidP="006254F5">
      <w:pPr>
        <w:rPr>
          <w:rFonts w:ascii="Arial" w:hAnsi="Arial" w:cs="Arial"/>
          <w:color w:val="000000" w:themeColor="text1"/>
        </w:rPr>
      </w:pPr>
      <w:r w:rsidRPr="002D5658">
        <w:rPr>
          <w:rFonts w:ascii="Arial" w:hAnsi="Arial" w:cs="Arial"/>
          <w:color w:val="000000" w:themeColor="text1"/>
        </w:rPr>
        <w:t>Three themes emerged from the analysis: workforce shortages and reliance on migrant workers, migration policy and international recruitment, and migrant worker experiences, wellbeing, and workforce sustainability. These themes reflect the key issues identified across the literature and provide the framework for the findings and discussion presented in the following sections of this chapter.</w:t>
      </w:r>
    </w:p>
    <w:p w14:paraId="068CBAD6" w14:textId="77777777" w:rsidR="006254F5" w:rsidRPr="002D5658" w:rsidRDefault="006254F5" w:rsidP="006254F5">
      <w:pPr>
        <w:rPr>
          <w:rFonts w:ascii="Arial" w:hAnsi="Arial" w:cs="Arial"/>
          <w:color w:val="000000" w:themeColor="text1"/>
        </w:rPr>
      </w:pPr>
    </w:p>
    <w:p w14:paraId="553C58B9" w14:textId="5F7E2CE2" w:rsidR="00C267E2" w:rsidRPr="0003364F" w:rsidRDefault="00C267E2" w:rsidP="006254F5">
      <w:pPr>
        <w:rPr>
          <w:rFonts w:ascii="Arial" w:hAnsi="Arial" w:cs="Arial"/>
          <w:sz w:val="28"/>
          <w:szCs w:val="28"/>
        </w:rPr>
      </w:pPr>
      <w:r w:rsidRPr="0003364F">
        <w:rPr>
          <w:rFonts w:ascii="Arial" w:hAnsi="Arial" w:cs="Arial"/>
          <w:b/>
          <w:bCs/>
          <w:color w:val="000000" w:themeColor="text1"/>
          <w:sz w:val="28"/>
          <w:szCs w:val="28"/>
        </w:rPr>
        <w:lastRenderedPageBreak/>
        <w:t xml:space="preserve">4.3 – Theme 1 </w:t>
      </w:r>
      <w:r w:rsidR="00636903" w:rsidRPr="0003364F">
        <w:rPr>
          <w:rFonts w:ascii="Arial" w:hAnsi="Arial" w:cs="Arial"/>
          <w:b/>
          <w:bCs/>
          <w:color w:val="000000" w:themeColor="text1"/>
          <w:sz w:val="28"/>
          <w:szCs w:val="28"/>
        </w:rPr>
        <w:t>Workforce Shortages and Reliance on Migrant Workers</w:t>
      </w:r>
    </w:p>
    <w:p w14:paraId="445BC794" w14:textId="6DFD8FF0" w:rsidR="007E62C9" w:rsidRPr="00FC1E26" w:rsidRDefault="00F83D91" w:rsidP="000A50DA">
      <w:pPr>
        <w:pStyle w:val="Heading2"/>
        <w:rPr>
          <w:rFonts w:ascii="Arial" w:hAnsi="Arial" w:cs="Arial"/>
          <w:color w:val="000000" w:themeColor="text1"/>
          <w:sz w:val="28"/>
          <w:szCs w:val="28"/>
        </w:rPr>
      </w:pPr>
      <w:r w:rsidRPr="00FC1E26">
        <w:rPr>
          <w:rFonts w:ascii="Arial" w:hAnsi="Arial" w:cs="Arial"/>
          <w:color w:val="000000" w:themeColor="text1"/>
          <w:sz w:val="28"/>
          <w:szCs w:val="28"/>
        </w:rPr>
        <w:t>4.</w:t>
      </w:r>
      <w:r w:rsidR="003A2F08" w:rsidRPr="00FC1E26">
        <w:rPr>
          <w:rFonts w:ascii="Arial" w:hAnsi="Arial" w:cs="Arial"/>
          <w:color w:val="000000" w:themeColor="text1"/>
          <w:sz w:val="28"/>
          <w:szCs w:val="28"/>
        </w:rPr>
        <w:t xml:space="preserve">3.1 </w:t>
      </w:r>
      <w:r w:rsidR="005C4DAD" w:rsidRPr="00FC1E26">
        <w:rPr>
          <w:rFonts w:ascii="Arial" w:hAnsi="Arial" w:cs="Arial"/>
          <w:color w:val="000000" w:themeColor="text1"/>
          <w:sz w:val="28"/>
          <w:szCs w:val="28"/>
        </w:rPr>
        <w:t>Definition</w:t>
      </w:r>
    </w:p>
    <w:p w14:paraId="27B3A091" w14:textId="580E123C" w:rsidR="007E62C9" w:rsidRPr="002D5658" w:rsidRDefault="00025CEA" w:rsidP="00D52274">
      <w:pPr>
        <w:pStyle w:val="Heading4"/>
        <w:rPr>
          <w:rFonts w:ascii="Arial" w:hAnsi="Arial" w:cs="Arial"/>
          <w:i w:val="0"/>
          <w:iCs w:val="0"/>
          <w:color w:val="000000" w:themeColor="text1"/>
        </w:rPr>
      </w:pPr>
      <w:r w:rsidRPr="002D5658">
        <w:rPr>
          <w:rFonts w:ascii="Arial" w:hAnsi="Arial" w:cs="Arial"/>
          <w:i w:val="0"/>
          <w:iCs w:val="0"/>
          <w:color w:val="000000" w:themeColor="text1"/>
        </w:rPr>
        <w:t>Workforce shortages refer to persistent difficulties in recruiting and retaining adequate staff to meet the growing demand for care services in the ASC sector</w:t>
      </w:r>
      <w:r w:rsidR="0082408F" w:rsidRPr="002D5658">
        <w:rPr>
          <w:rFonts w:ascii="Arial" w:hAnsi="Arial" w:cs="Arial"/>
          <w:i w:val="0"/>
          <w:iCs w:val="0"/>
          <w:color w:val="000000" w:themeColor="text1"/>
        </w:rPr>
        <w:t xml:space="preserve"> (Skills for Care, 2024).</w:t>
      </w:r>
      <w:r w:rsidR="0082408F" w:rsidRPr="002D5658">
        <w:rPr>
          <w:rStyle w:val="apple-converted-space"/>
          <w:rFonts w:ascii="-webkit-standard" w:hAnsi="-webkit-standard"/>
          <w:color w:val="000000" w:themeColor="text1"/>
          <w:sz w:val="27"/>
          <w:szCs w:val="27"/>
        </w:rPr>
        <w:t> </w:t>
      </w:r>
      <w:r w:rsidRPr="002D5658">
        <w:rPr>
          <w:rFonts w:ascii="Arial" w:hAnsi="Arial" w:cs="Arial"/>
          <w:i w:val="0"/>
          <w:iCs w:val="0"/>
          <w:color w:val="000000" w:themeColor="text1"/>
        </w:rPr>
        <w:t>Reliance on migrant workers refers to the growing reliance on individuals born outside the UK to cover workforce gaps and maintain service delivery. Migrant workers have emerged as an important source of employment in the ASC sector, particularly in frontline care professions where recruiting and retention issues are most evident</w:t>
      </w:r>
      <w:r w:rsidR="0082408F" w:rsidRPr="002D5658">
        <w:rPr>
          <w:rFonts w:ascii="Arial" w:hAnsi="Arial" w:cs="Arial"/>
          <w:i w:val="0"/>
          <w:iCs w:val="0"/>
          <w:color w:val="000000" w:themeColor="text1"/>
        </w:rPr>
        <w:t xml:space="preserve"> (Turnpenny and Hussein, 2022).</w:t>
      </w:r>
    </w:p>
    <w:p w14:paraId="20F83610" w14:textId="77777777" w:rsidR="005C1219" w:rsidRPr="002D5658" w:rsidRDefault="005C1219" w:rsidP="00D52274">
      <w:pPr>
        <w:pStyle w:val="Heading4"/>
        <w:rPr>
          <w:rFonts w:ascii="Arial" w:hAnsi="Arial" w:cs="Arial"/>
          <w:i w:val="0"/>
          <w:iCs w:val="0"/>
          <w:color w:val="000000" w:themeColor="text1"/>
        </w:rPr>
      </w:pPr>
    </w:p>
    <w:p w14:paraId="1A22E8EB" w14:textId="6919E1CC" w:rsidR="00F321E4" w:rsidRPr="002D5658" w:rsidRDefault="005B1D78" w:rsidP="00D52274">
      <w:pPr>
        <w:pStyle w:val="Heading4"/>
        <w:rPr>
          <w:rFonts w:ascii="Arial" w:hAnsi="Arial" w:cs="Arial"/>
          <w:i w:val="0"/>
          <w:iCs w:val="0"/>
          <w:color w:val="000000" w:themeColor="text1"/>
        </w:rPr>
      </w:pPr>
      <w:r w:rsidRPr="002D5658">
        <w:rPr>
          <w:rFonts w:ascii="Arial" w:hAnsi="Arial" w:cs="Arial"/>
          <w:i w:val="0"/>
          <w:iCs w:val="0"/>
          <w:color w:val="000000" w:themeColor="text1"/>
        </w:rPr>
        <w:t>The relationship between workforce shortages and the increasing reliance on migrant workers is examined in this theme, in addition to how their participation promotes workforce sustainability and continuity of care throughout the sector (UK Parliament POST, 2025). It also takes into account whether the ASC workforce's growing reliance on foreign recruitment is a long-term, sustainable workforce plan or a reflection of larger structural challenges (International Labour Organization, 2024).</w:t>
      </w:r>
    </w:p>
    <w:p w14:paraId="474CD6DA" w14:textId="77777777" w:rsidR="00060108" w:rsidRPr="005C1219" w:rsidRDefault="00060108" w:rsidP="00D52274">
      <w:pPr>
        <w:pStyle w:val="Heading4"/>
        <w:rPr>
          <w:rFonts w:ascii="Arial" w:hAnsi="Arial" w:cs="Arial"/>
          <w:b/>
          <w:bCs/>
          <w:i w:val="0"/>
          <w:iCs w:val="0"/>
          <w:color w:val="000000" w:themeColor="text1"/>
          <w:sz w:val="24"/>
          <w:szCs w:val="24"/>
        </w:rPr>
      </w:pPr>
    </w:p>
    <w:p w14:paraId="711548C9" w14:textId="62C77866" w:rsidR="009E4202" w:rsidRPr="005C1219" w:rsidRDefault="003A2F08" w:rsidP="000A50DA">
      <w:pPr>
        <w:pStyle w:val="Heading2"/>
        <w:rPr>
          <w:rFonts w:ascii="Arial" w:hAnsi="Arial" w:cs="Arial"/>
          <w:i/>
          <w:iCs/>
          <w:color w:val="000000" w:themeColor="text1"/>
          <w:sz w:val="28"/>
          <w:szCs w:val="28"/>
        </w:rPr>
      </w:pPr>
      <w:r w:rsidRPr="005C1219">
        <w:rPr>
          <w:rFonts w:ascii="Arial" w:hAnsi="Arial" w:cs="Arial"/>
          <w:color w:val="000000" w:themeColor="text1"/>
          <w:sz w:val="28"/>
          <w:szCs w:val="28"/>
        </w:rPr>
        <w:t xml:space="preserve">4.3.2 </w:t>
      </w:r>
      <w:r w:rsidR="00C267E2" w:rsidRPr="005C1219">
        <w:rPr>
          <w:rFonts w:ascii="Arial" w:hAnsi="Arial" w:cs="Arial"/>
          <w:color w:val="000000" w:themeColor="text1"/>
          <w:sz w:val="28"/>
          <w:szCs w:val="28"/>
        </w:rPr>
        <w:t>Background Information</w:t>
      </w:r>
    </w:p>
    <w:p w14:paraId="77D3C545" w14:textId="5EAC4796" w:rsidR="006D0AC7" w:rsidRPr="004A7CD6" w:rsidRDefault="006D0AC7" w:rsidP="00D52274">
      <w:pPr>
        <w:rPr>
          <w:rFonts w:ascii="Arial" w:hAnsi="Arial" w:cs="Arial"/>
          <w:color w:val="000000" w:themeColor="text1"/>
        </w:rPr>
      </w:pPr>
      <w:r w:rsidRPr="004A7CD6">
        <w:rPr>
          <w:rFonts w:ascii="Arial" w:hAnsi="Arial" w:cs="Arial"/>
          <w:color w:val="000000" w:themeColor="text1"/>
        </w:rPr>
        <w:t xml:space="preserve">Workforce shortages in the UK ASC industry are not a new phenomenon; they have developed over several decades as demand for care services has grown. Factors such as an ageing population, rising life expectancy, and increasingly complex care needs have put major strain on the sector's ability to recruit and retain sufficient staff (Care Quality Commission, 2025). Although ASC is still one of the largest employment sectors in the UK, labour shortages persist despite different recruitment initiatives and policy interventions </w:t>
      </w:r>
      <w:r w:rsidR="004D62C5" w:rsidRPr="004A7CD6">
        <w:rPr>
          <w:rFonts w:ascii="Arial" w:hAnsi="Arial" w:cs="Arial"/>
          <w:color w:val="000000" w:themeColor="text1"/>
        </w:rPr>
        <w:t>(Institute for Government, 2025).</w:t>
      </w:r>
    </w:p>
    <w:p w14:paraId="1BE22B23" w14:textId="77777777" w:rsidR="000B7094" w:rsidRPr="004A7CD6" w:rsidRDefault="00DB1374" w:rsidP="00D52274">
      <w:pPr>
        <w:rPr>
          <w:rFonts w:ascii="Arial" w:hAnsi="Arial" w:cs="Arial"/>
          <w:color w:val="000000" w:themeColor="text1"/>
        </w:rPr>
      </w:pPr>
      <w:r w:rsidRPr="004A7CD6">
        <w:rPr>
          <w:rFonts w:ascii="Arial" w:hAnsi="Arial" w:cs="Arial"/>
          <w:color w:val="000000" w:themeColor="text1"/>
        </w:rPr>
        <w:t xml:space="preserve">Historically, migrant workers have played a crucial role in addressing workforce shortages within health and social care (Gershlick and Charlesworth, 2019). Their contribution increased in importance during the early 2000s, particularly following the expansion of the European Union, which enhanced labour mobility across member states (Dias-Abey, 2021). More recently, Brexit and the COVID-19 pandemic have intensified workforce pressures, resulting in employers relying more heavily on international recruitment to maintain staffing levels (Dayan </w:t>
      </w:r>
      <w:r w:rsidRPr="004A7CD6">
        <w:rPr>
          <w:rFonts w:ascii="Arial" w:hAnsi="Arial" w:cs="Arial"/>
          <w:i/>
          <w:iCs/>
          <w:color w:val="000000" w:themeColor="text1"/>
        </w:rPr>
        <w:t>et al.,</w:t>
      </w:r>
      <w:r w:rsidRPr="004A7CD6">
        <w:rPr>
          <w:rFonts w:ascii="Arial" w:hAnsi="Arial" w:cs="Arial"/>
          <w:color w:val="000000" w:themeColor="text1"/>
        </w:rPr>
        <w:t xml:space="preserve"> 2024). These developments have contributed to ongoing debates regarding whether migrant workers provide a sustainable solution to workforce shortages or whether </w:t>
      </w:r>
      <w:r w:rsidRPr="004A7CD6">
        <w:rPr>
          <w:rFonts w:ascii="Arial" w:hAnsi="Arial" w:cs="Arial"/>
          <w:color w:val="000000" w:themeColor="text1"/>
        </w:rPr>
        <w:lastRenderedPageBreak/>
        <w:t>increasing reliance on overseas recruitment reflects wider structural challenges within the ASC sector.</w:t>
      </w:r>
    </w:p>
    <w:p w14:paraId="387C78E4" w14:textId="77777777" w:rsidR="00323AF7" w:rsidRPr="004A7CD6" w:rsidRDefault="00593A7D" w:rsidP="00D52274">
      <w:pPr>
        <w:rPr>
          <w:rFonts w:ascii="Arial" w:hAnsi="Arial" w:cs="Arial"/>
          <w:color w:val="000000" w:themeColor="text1"/>
        </w:rPr>
      </w:pPr>
      <w:r w:rsidRPr="004A7CD6">
        <w:rPr>
          <w:rFonts w:ascii="Arial" w:hAnsi="Arial" w:cs="Arial"/>
          <w:color w:val="000000" w:themeColor="text1"/>
        </w:rPr>
        <w:t>These developments have made it more crucial to understand how significantly migrant workers contribute to workforce stability and whether the ASC sector's existing recruitment methods offer a long-term, viable solution to staffing shortages</w:t>
      </w:r>
      <w:r w:rsidR="00584470" w:rsidRPr="004A7CD6">
        <w:rPr>
          <w:rFonts w:ascii="Arial" w:hAnsi="Arial" w:cs="Arial"/>
          <w:color w:val="000000" w:themeColor="text1"/>
        </w:rPr>
        <w:t xml:space="preserve"> (UK Parliament POST, 2025).</w:t>
      </w:r>
    </w:p>
    <w:p w14:paraId="5B39A867" w14:textId="41AE3BBC" w:rsidR="00323AF7" w:rsidRPr="005C1219" w:rsidRDefault="0028080A" w:rsidP="000A50DA">
      <w:pPr>
        <w:pStyle w:val="Heading2"/>
        <w:rPr>
          <w:rFonts w:ascii="Arial" w:hAnsi="Arial" w:cs="Arial"/>
          <w:color w:val="000000" w:themeColor="text1"/>
          <w:sz w:val="28"/>
          <w:szCs w:val="28"/>
        </w:rPr>
      </w:pPr>
      <w:r w:rsidRPr="005C1219">
        <w:rPr>
          <w:rFonts w:ascii="Arial" w:hAnsi="Arial" w:cs="Arial"/>
          <w:color w:val="000000" w:themeColor="text1"/>
          <w:sz w:val="28"/>
          <w:szCs w:val="28"/>
        </w:rPr>
        <w:t xml:space="preserve">4.3.3 </w:t>
      </w:r>
      <w:r w:rsidR="00C267E2" w:rsidRPr="005C1219">
        <w:rPr>
          <w:rFonts w:ascii="Arial" w:hAnsi="Arial" w:cs="Arial"/>
          <w:color w:val="000000" w:themeColor="text1"/>
          <w:sz w:val="28"/>
          <w:szCs w:val="28"/>
        </w:rPr>
        <w:t>Impact on Research Question</w:t>
      </w:r>
    </w:p>
    <w:p w14:paraId="3D62AE4B" w14:textId="62C0D498" w:rsidR="00323AF7" w:rsidRPr="003F463E" w:rsidRDefault="00933B29" w:rsidP="00D52274">
      <w:pPr>
        <w:rPr>
          <w:rFonts w:ascii="Arial" w:hAnsi="Arial" w:cs="Arial"/>
          <w:color w:val="000000" w:themeColor="text1"/>
        </w:rPr>
      </w:pPr>
      <w:r w:rsidRPr="000A31A6">
        <w:rPr>
          <w:rFonts w:ascii="Arial" w:hAnsi="Arial" w:cs="Arial"/>
          <w:color w:val="000000"/>
        </w:rPr>
        <w:t xml:space="preserve">This theme is central to the research question because it examines the extent to which migrant </w:t>
      </w:r>
      <w:r w:rsidRPr="003F463E">
        <w:rPr>
          <w:rFonts w:ascii="Arial" w:hAnsi="Arial" w:cs="Arial"/>
          <w:color w:val="000000" w:themeColor="text1"/>
        </w:rPr>
        <w:t xml:space="preserve">workers contribute to sustaining the UK ASC workforce. Edwards </w:t>
      </w:r>
      <w:r w:rsidRPr="003F463E">
        <w:rPr>
          <w:rFonts w:ascii="Arial" w:hAnsi="Arial" w:cs="Arial"/>
          <w:i/>
          <w:iCs/>
          <w:color w:val="000000" w:themeColor="text1"/>
        </w:rPr>
        <w:t>et al.</w:t>
      </w:r>
      <w:r w:rsidR="00E11292" w:rsidRPr="003F463E">
        <w:rPr>
          <w:rFonts w:ascii="Arial" w:hAnsi="Arial" w:cs="Arial"/>
          <w:i/>
          <w:iCs/>
          <w:color w:val="000000" w:themeColor="text1"/>
        </w:rPr>
        <w:t>,</w:t>
      </w:r>
      <w:r w:rsidRPr="003F463E">
        <w:rPr>
          <w:rFonts w:ascii="Arial" w:hAnsi="Arial" w:cs="Arial"/>
          <w:i/>
          <w:iCs/>
          <w:color w:val="000000" w:themeColor="text1"/>
        </w:rPr>
        <w:t xml:space="preserve"> </w:t>
      </w:r>
      <w:r w:rsidRPr="003F463E">
        <w:rPr>
          <w:rFonts w:ascii="Arial" w:hAnsi="Arial" w:cs="Arial"/>
          <w:color w:val="000000" w:themeColor="text1"/>
        </w:rPr>
        <w:t>(2022) highlight that ongoing labour shortages continue to create significant challenges for service delivery, continuity of care, and workforce stability within the sector. As a result, the industry's reliance on foreign labour has increased to help address staffing gaps.</w:t>
      </w:r>
      <w:r w:rsidR="00FE0A02" w:rsidRPr="003F463E">
        <w:rPr>
          <w:rFonts w:ascii="Arial" w:hAnsi="Arial" w:cs="Arial"/>
          <w:color w:val="000000" w:themeColor="text1"/>
        </w:rPr>
        <w:t xml:space="preserve"> </w:t>
      </w:r>
      <w:r w:rsidR="00F6529F" w:rsidRPr="003F463E">
        <w:rPr>
          <w:rFonts w:ascii="Arial" w:hAnsi="Arial" w:cs="Arial"/>
          <w:color w:val="000000" w:themeColor="text1"/>
        </w:rPr>
        <w:t xml:space="preserve">According to Arfeen </w:t>
      </w:r>
      <w:r w:rsidR="00F6529F" w:rsidRPr="003F463E">
        <w:rPr>
          <w:rFonts w:ascii="Arial" w:hAnsi="Arial" w:cs="Arial"/>
          <w:i/>
          <w:iCs/>
          <w:color w:val="000000" w:themeColor="text1"/>
        </w:rPr>
        <w:t>et al.</w:t>
      </w:r>
      <w:r w:rsidR="00E11292" w:rsidRPr="003F463E">
        <w:rPr>
          <w:rFonts w:ascii="Arial" w:hAnsi="Arial" w:cs="Arial"/>
          <w:color w:val="000000" w:themeColor="text1"/>
        </w:rPr>
        <w:t xml:space="preserve">, </w:t>
      </w:r>
      <w:r w:rsidR="00F6529F" w:rsidRPr="003F463E">
        <w:rPr>
          <w:rFonts w:ascii="Arial" w:hAnsi="Arial" w:cs="Arial"/>
          <w:color w:val="000000" w:themeColor="text1"/>
        </w:rPr>
        <w:t xml:space="preserve">(2025), migrant workers have become an increasingly essential component of the UK health and care workforce, contributing to service provision in the face of ongoing recruitment challenges. </w:t>
      </w:r>
      <w:r w:rsidRPr="003F463E">
        <w:rPr>
          <w:rFonts w:ascii="Arial" w:hAnsi="Arial" w:cs="Arial"/>
          <w:color w:val="000000" w:themeColor="text1"/>
        </w:rPr>
        <w:t>Evaluating the role migrant workers play in replacing staffing gaps and assisting with care delivery requires an understanding of this connection.</w:t>
      </w:r>
    </w:p>
    <w:p w14:paraId="608CDB9B" w14:textId="36EDE155" w:rsidR="00D77F02" w:rsidRPr="003F463E" w:rsidRDefault="0013665B" w:rsidP="00D52274">
      <w:pPr>
        <w:rPr>
          <w:rFonts w:ascii="Arial" w:hAnsi="Arial" w:cs="Arial"/>
          <w:color w:val="000000" w:themeColor="text1"/>
        </w:rPr>
      </w:pPr>
      <w:r w:rsidRPr="003F463E">
        <w:rPr>
          <w:rFonts w:ascii="Arial" w:hAnsi="Arial" w:cs="Arial"/>
          <w:color w:val="000000" w:themeColor="text1"/>
        </w:rPr>
        <w:t>Furthermore, this theme is strongly related to Objective 1, which seeks to critically evaluate the role of migrant workers in workforce sustainability and service continuity.</w:t>
      </w:r>
      <w:r w:rsidR="002A3DB9" w:rsidRPr="003F463E">
        <w:rPr>
          <w:rFonts w:ascii="Arial" w:hAnsi="Arial" w:cs="Arial"/>
          <w:color w:val="000000" w:themeColor="text1"/>
        </w:rPr>
        <w:t xml:space="preserve"> According to Arfeen </w:t>
      </w:r>
      <w:r w:rsidR="002A3DB9" w:rsidRPr="003F463E">
        <w:rPr>
          <w:rFonts w:ascii="Arial" w:hAnsi="Arial" w:cs="Arial"/>
          <w:i/>
          <w:iCs/>
          <w:color w:val="000000" w:themeColor="text1"/>
        </w:rPr>
        <w:t>et al.</w:t>
      </w:r>
      <w:r w:rsidR="00E11292" w:rsidRPr="003F463E">
        <w:rPr>
          <w:rFonts w:ascii="Arial" w:hAnsi="Arial" w:cs="Arial"/>
          <w:color w:val="000000" w:themeColor="text1"/>
        </w:rPr>
        <w:t xml:space="preserve">, </w:t>
      </w:r>
      <w:r w:rsidR="002A3DB9" w:rsidRPr="003F463E">
        <w:rPr>
          <w:rFonts w:ascii="Arial" w:hAnsi="Arial" w:cs="Arial"/>
          <w:color w:val="000000" w:themeColor="text1"/>
        </w:rPr>
        <w:t xml:space="preserve">(2025), the UK's growing reliance on migrant workers highlights a significant contribution to the sustainability of health and social care services. </w:t>
      </w:r>
      <w:r w:rsidRPr="003F463E">
        <w:rPr>
          <w:rFonts w:ascii="Arial" w:hAnsi="Arial" w:cs="Arial"/>
          <w:color w:val="000000" w:themeColor="text1"/>
        </w:rPr>
        <w:t>This theme explores the relationship between labour shortages and reliance on migrant workers, providing insight into whether foreign recruitment is a long-term solution or a temporary response to persistent workforce challenges in the ASC sector.</w:t>
      </w:r>
    </w:p>
    <w:p w14:paraId="2E96EE3D" w14:textId="77777777" w:rsidR="00060108" w:rsidRPr="001411E0" w:rsidRDefault="00060108" w:rsidP="00AA0254">
      <w:pPr>
        <w:pStyle w:val="Heading4"/>
        <w:jc w:val="left"/>
        <w:rPr>
          <w:rFonts w:ascii="Arial" w:hAnsi="Arial" w:cs="Arial"/>
          <w:b/>
          <w:bCs/>
          <w:i w:val="0"/>
          <w:iCs w:val="0"/>
          <w:color w:val="000000" w:themeColor="text1"/>
          <w:sz w:val="21"/>
          <w:szCs w:val="21"/>
        </w:rPr>
      </w:pPr>
    </w:p>
    <w:p w14:paraId="2FBBA9E2" w14:textId="5B26E213" w:rsidR="00C267E2" w:rsidRPr="001411E0" w:rsidRDefault="0028080A" w:rsidP="000A50DA">
      <w:pPr>
        <w:pStyle w:val="Heading2"/>
        <w:rPr>
          <w:rFonts w:ascii="Arial" w:hAnsi="Arial" w:cs="Arial"/>
          <w:i/>
          <w:iCs/>
          <w:color w:val="000000" w:themeColor="text1"/>
          <w:sz w:val="28"/>
          <w:szCs w:val="28"/>
        </w:rPr>
      </w:pPr>
      <w:r w:rsidRPr="001411E0">
        <w:rPr>
          <w:rFonts w:ascii="Arial" w:hAnsi="Arial" w:cs="Arial"/>
          <w:color w:val="000000" w:themeColor="text1"/>
          <w:sz w:val="28"/>
          <w:szCs w:val="28"/>
        </w:rPr>
        <w:t xml:space="preserve">4.3.4 </w:t>
      </w:r>
      <w:r w:rsidR="00C267E2" w:rsidRPr="001411E0">
        <w:rPr>
          <w:rFonts w:ascii="Arial" w:hAnsi="Arial" w:cs="Arial"/>
          <w:color w:val="000000" w:themeColor="text1"/>
          <w:sz w:val="28"/>
          <w:szCs w:val="28"/>
        </w:rPr>
        <w:t>Statistical Information</w:t>
      </w:r>
    </w:p>
    <w:p w14:paraId="7C89B4A2" w14:textId="77777777" w:rsidR="00C50887" w:rsidRPr="00D63399" w:rsidRDefault="0091092A" w:rsidP="0054218F">
      <w:pPr>
        <w:pStyle w:val="isselectedend"/>
        <w:spacing w:line="360" w:lineRule="auto"/>
        <w:jc w:val="both"/>
        <w:rPr>
          <w:rFonts w:ascii="Arial" w:hAnsi="Arial" w:cs="Arial"/>
          <w:color w:val="000000" w:themeColor="text1"/>
          <w:sz w:val="22"/>
          <w:szCs w:val="22"/>
        </w:rPr>
      </w:pPr>
      <w:r w:rsidRPr="00D63399">
        <w:rPr>
          <w:rFonts w:ascii="Arial" w:hAnsi="Arial" w:cs="Arial"/>
          <w:color w:val="000000" w:themeColor="text1"/>
          <w:sz w:val="22"/>
          <w:szCs w:val="22"/>
        </w:rPr>
        <w:t>Workforce data indicates the extent of staffing challenges in the UK  ASC sector, which can help to explain the increased reliance on migrant workers. According to Skills for Care (2025), the ASC workforce in England was over 1.59 million individuals in 2023/24, with approximately 131,000 vacancies vacant. Despite recent reductions in vacancy rates, these numbers indicate that workforce shortages remain a serious concern for the sector. Furthermore, Skills for Care (2025) stated that foreign recruitment has made a significant contribution to workforce growth in recent years, with migrant workers increasingly filling direct care roles that have proven challenging to accommodate domestically.</w:t>
      </w:r>
    </w:p>
    <w:p w14:paraId="53A11400" w14:textId="77777777" w:rsidR="00A90448" w:rsidRPr="00D63399" w:rsidRDefault="00A90448" w:rsidP="0054218F">
      <w:pPr>
        <w:pStyle w:val="NormalWeb"/>
        <w:spacing w:line="360" w:lineRule="auto"/>
        <w:jc w:val="both"/>
        <w:rPr>
          <w:rFonts w:ascii="Arial" w:hAnsi="Arial" w:cs="Arial"/>
          <w:color w:val="000000" w:themeColor="text1"/>
          <w:sz w:val="22"/>
          <w:szCs w:val="22"/>
        </w:rPr>
      </w:pPr>
      <w:r w:rsidRPr="00D63399">
        <w:rPr>
          <w:rFonts w:ascii="Arial" w:hAnsi="Arial" w:cs="Arial"/>
          <w:color w:val="000000" w:themeColor="text1"/>
          <w:sz w:val="22"/>
          <w:szCs w:val="22"/>
        </w:rPr>
        <w:lastRenderedPageBreak/>
        <w:t>These statistics are especially important as they reveal a potential contradiction within the sector. Although the workforce has grown, recruitment and retention challenges persist, implying that workforce shortages are caused by more than simply a lack of available workers. According to The King's Fund (2024), structural challenges such as low pay, demanding working conditions, and limited opportunities for career advancement continue to reduce the attractiveness of care work, contributing to ongoing recruitment difficulties. This suggests that workforce shortages are influenced by wider systemic issues rather than workforce supply alone.</w:t>
      </w:r>
    </w:p>
    <w:p w14:paraId="74111868" w14:textId="77777777" w:rsidR="00567654" w:rsidRPr="00D63399" w:rsidRDefault="00567654" w:rsidP="0054218F">
      <w:pPr>
        <w:pStyle w:val="NormalWeb"/>
        <w:spacing w:line="360" w:lineRule="auto"/>
        <w:jc w:val="both"/>
        <w:rPr>
          <w:rFonts w:ascii="Arial" w:hAnsi="Arial" w:cs="Arial"/>
          <w:color w:val="000000" w:themeColor="text1"/>
          <w:sz w:val="22"/>
          <w:szCs w:val="22"/>
        </w:rPr>
      </w:pPr>
      <w:r w:rsidRPr="00D63399">
        <w:rPr>
          <w:rFonts w:ascii="Arial" w:hAnsi="Arial" w:cs="Arial"/>
          <w:color w:val="000000" w:themeColor="text1"/>
          <w:sz w:val="22"/>
          <w:szCs w:val="22"/>
        </w:rPr>
        <w:t>Additionally, the Migration Observatory (2023) reports that changes to immigration policy have directly affected workforce supply, particularly following Brexit and the introduction of the Health and Care Worker visa. While international recruitment has helped address immediate staffing shortages, the increasing proportion of migrant workers raises concerns about long-term workforce sustainability. This reliance may leave the ASC sector vulnerable to future policy changes, highlighting the need for workforce strategies that focus on both recruitment and retention (UK Parliament POST, 2025).</w:t>
      </w:r>
    </w:p>
    <w:p w14:paraId="247B455C" w14:textId="336C88E4" w:rsidR="000858F3" w:rsidRPr="001411E0" w:rsidRDefault="0028080A" w:rsidP="00F22681">
      <w:pPr>
        <w:pStyle w:val="Heading2"/>
        <w:rPr>
          <w:rFonts w:ascii="Arial" w:hAnsi="Arial" w:cs="Arial"/>
          <w:color w:val="000000" w:themeColor="text1"/>
          <w:sz w:val="28"/>
          <w:szCs w:val="28"/>
        </w:rPr>
      </w:pPr>
      <w:r w:rsidRPr="001411E0">
        <w:rPr>
          <w:rFonts w:ascii="Arial" w:hAnsi="Arial" w:cs="Arial"/>
          <w:color w:val="000000" w:themeColor="text1"/>
          <w:sz w:val="28"/>
          <w:szCs w:val="28"/>
        </w:rPr>
        <w:t>4.3.5</w:t>
      </w:r>
      <w:r w:rsidR="00BB73D0" w:rsidRPr="001411E0">
        <w:rPr>
          <w:rFonts w:ascii="Arial" w:hAnsi="Arial" w:cs="Arial"/>
          <w:color w:val="000000" w:themeColor="text1"/>
          <w:sz w:val="28"/>
          <w:szCs w:val="28"/>
        </w:rPr>
        <w:t xml:space="preserve"> </w:t>
      </w:r>
      <w:r w:rsidR="00C267E2" w:rsidRPr="001411E0">
        <w:rPr>
          <w:rFonts w:ascii="Arial" w:hAnsi="Arial" w:cs="Arial"/>
          <w:color w:val="000000" w:themeColor="text1"/>
          <w:sz w:val="28"/>
          <w:szCs w:val="28"/>
        </w:rPr>
        <w:t>Theories, Policies, and Legislation</w:t>
      </w:r>
    </w:p>
    <w:p w14:paraId="3018FC86" w14:textId="77777777" w:rsidR="00A550DC" w:rsidRPr="00D63399" w:rsidRDefault="008F6561" w:rsidP="0054218F">
      <w:pPr>
        <w:rPr>
          <w:rFonts w:ascii="Arial" w:hAnsi="Arial" w:cs="Arial"/>
          <w:color w:val="000000" w:themeColor="text1"/>
        </w:rPr>
      </w:pPr>
      <w:r w:rsidRPr="00D63399">
        <w:rPr>
          <w:rFonts w:ascii="Arial" w:hAnsi="Arial" w:cs="Arial"/>
          <w:color w:val="000000" w:themeColor="text1"/>
        </w:rPr>
        <w:t>The findings in this theme align closely with Labour Market Segmentation Theory, which states that sectors with low pay and difficult working conditions often encounter recruiting challenges (International Labour Organization, 2023). The reliance on foreign workers identified in Papers 1, 2, and 3 provides support to this perspective, as migrant labour is increasingly used to fill vacancies that have proven difficult to recruit domestically.</w:t>
      </w:r>
    </w:p>
    <w:p w14:paraId="342851A7" w14:textId="01F3AB39" w:rsidR="003B62A1" w:rsidRPr="00D63399" w:rsidRDefault="008B284C" w:rsidP="0054218F">
      <w:pPr>
        <w:pStyle w:val="NormalWeb"/>
        <w:spacing w:line="360" w:lineRule="auto"/>
        <w:jc w:val="both"/>
        <w:rPr>
          <w:rFonts w:ascii="Arial" w:hAnsi="Arial" w:cs="Arial"/>
          <w:color w:val="000000" w:themeColor="text1"/>
          <w:sz w:val="22"/>
          <w:szCs w:val="22"/>
        </w:rPr>
      </w:pPr>
      <w:r w:rsidRPr="00D63399">
        <w:rPr>
          <w:rFonts w:ascii="Arial" w:hAnsi="Arial" w:cs="Arial"/>
          <w:color w:val="000000" w:themeColor="text1"/>
          <w:sz w:val="22"/>
          <w:szCs w:val="22"/>
        </w:rPr>
        <w:t>Policy developments have also had an impact on workforce supply in ASC. The Health and Care Worker visa established a specialised immigration channel, allowing care providers to employ overseas workers to address staffing gaps (GOV.UK, 2021). Furthermore, the inclusion of care roles on the S</w:t>
      </w:r>
      <w:r w:rsidR="00722ED3" w:rsidRPr="00D63399">
        <w:rPr>
          <w:rFonts w:ascii="Arial" w:hAnsi="Arial" w:cs="Arial"/>
          <w:color w:val="000000" w:themeColor="text1"/>
          <w:sz w:val="22"/>
          <w:szCs w:val="22"/>
        </w:rPr>
        <w:t>OL</w:t>
      </w:r>
      <w:r w:rsidRPr="00D63399">
        <w:rPr>
          <w:rFonts w:ascii="Arial" w:hAnsi="Arial" w:cs="Arial"/>
          <w:color w:val="000000" w:themeColor="text1"/>
          <w:sz w:val="22"/>
          <w:szCs w:val="22"/>
        </w:rPr>
        <w:t xml:space="preserve"> specifically acknowledged the sector's long-standing recruiting challenges and gave companies more flexibility to recruit overseas (Migration Advisory Committee, 2023). While these approaches have proven to  reduce urgent staffing needs, they have also increased reliance on foreign labour, raising concerns about the workforce's sustainability.</w:t>
      </w:r>
    </w:p>
    <w:p w14:paraId="583024EE" w14:textId="5D2FDD4C" w:rsidR="006E5E68" w:rsidRPr="008E69DC" w:rsidRDefault="00BB73D0" w:rsidP="00F22681">
      <w:pPr>
        <w:pStyle w:val="Heading2"/>
        <w:rPr>
          <w:rFonts w:ascii="Arial" w:hAnsi="Arial" w:cs="Arial"/>
          <w:color w:val="000000" w:themeColor="text1"/>
          <w:sz w:val="28"/>
          <w:szCs w:val="28"/>
        </w:rPr>
      </w:pPr>
      <w:r w:rsidRPr="008E69DC">
        <w:rPr>
          <w:rFonts w:ascii="Arial" w:hAnsi="Arial" w:cs="Arial"/>
          <w:color w:val="000000" w:themeColor="text1"/>
          <w:sz w:val="28"/>
          <w:szCs w:val="28"/>
        </w:rPr>
        <w:t xml:space="preserve">4.3.6 </w:t>
      </w:r>
      <w:r w:rsidR="00C267E2" w:rsidRPr="008E69DC">
        <w:rPr>
          <w:rFonts w:ascii="Arial" w:hAnsi="Arial" w:cs="Arial"/>
          <w:color w:val="000000" w:themeColor="text1"/>
          <w:sz w:val="28"/>
          <w:szCs w:val="28"/>
        </w:rPr>
        <w:t>Implications</w:t>
      </w:r>
    </w:p>
    <w:p w14:paraId="3F99095F" w14:textId="55CF8A5E" w:rsidR="006E5E68" w:rsidRPr="006E5E68" w:rsidRDefault="006E5E68" w:rsidP="0054218F">
      <w:pPr>
        <w:pStyle w:val="NormalWeb"/>
        <w:spacing w:line="360" w:lineRule="auto"/>
        <w:jc w:val="both"/>
        <w:rPr>
          <w:rFonts w:ascii="Arial" w:hAnsi="Arial" w:cs="Arial"/>
          <w:b/>
          <w:bCs/>
          <w:sz w:val="22"/>
          <w:szCs w:val="22"/>
        </w:rPr>
      </w:pPr>
      <w:r w:rsidRPr="006E5E68">
        <w:rPr>
          <w:rFonts w:ascii="Arial" w:hAnsi="Arial" w:cs="Arial"/>
          <w:color w:val="000000"/>
          <w:sz w:val="22"/>
          <w:szCs w:val="22"/>
        </w:rPr>
        <w:t xml:space="preserve">The findings indicate that migrant workers contribute significantly to the sustainability of the workforce by filling staffing gaps and ensuring continuity of care. For example, Turnpenny and </w:t>
      </w:r>
      <w:r w:rsidRPr="006E5E68">
        <w:rPr>
          <w:rFonts w:ascii="Arial" w:hAnsi="Arial" w:cs="Arial"/>
          <w:color w:val="000000"/>
          <w:sz w:val="22"/>
          <w:szCs w:val="22"/>
        </w:rPr>
        <w:lastRenderedPageBreak/>
        <w:t xml:space="preserve">Hussein (2022) highlight the significance of migrant workers in maintaining care services, while Arfeen </w:t>
      </w:r>
      <w:r w:rsidRPr="00797A5B">
        <w:rPr>
          <w:rFonts w:ascii="Arial" w:hAnsi="Arial" w:cs="Arial"/>
          <w:i/>
          <w:iCs/>
          <w:color w:val="000000"/>
          <w:sz w:val="22"/>
          <w:szCs w:val="22"/>
        </w:rPr>
        <w:t>et al.</w:t>
      </w:r>
      <w:r w:rsidR="00797A5B">
        <w:rPr>
          <w:rFonts w:ascii="Arial" w:hAnsi="Arial" w:cs="Arial"/>
          <w:color w:val="000000"/>
          <w:sz w:val="22"/>
          <w:szCs w:val="22"/>
        </w:rPr>
        <w:t>,</w:t>
      </w:r>
      <w:r w:rsidRPr="006E5E68">
        <w:rPr>
          <w:rFonts w:ascii="Arial" w:hAnsi="Arial" w:cs="Arial"/>
          <w:color w:val="000000"/>
          <w:sz w:val="22"/>
          <w:szCs w:val="22"/>
        </w:rPr>
        <w:t xml:space="preserve"> (2025) highlight the increasing reliance on migrant workers to address staffing shortages. However, as the impact of Brexit on recruitment patterns shows, a greater reliance on migrant labour may make the sector more vulnerable to changes in policy. Furthermore, Marino and Keizer (2023) and Edwards </w:t>
      </w:r>
      <w:r w:rsidRPr="00392372">
        <w:rPr>
          <w:rFonts w:ascii="Arial" w:hAnsi="Arial" w:cs="Arial"/>
          <w:i/>
          <w:iCs/>
          <w:color w:val="000000"/>
          <w:sz w:val="22"/>
          <w:szCs w:val="22"/>
        </w:rPr>
        <w:t>et al.</w:t>
      </w:r>
      <w:r w:rsidR="00392372">
        <w:rPr>
          <w:rFonts w:ascii="Arial" w:hAnsi="Arial" w:cs="Arial"/>
          <w:i/>
          <w:iCs/>
          <w:color w:val="000000"/>
          <w:sz w:val="22"/>
          <w:szCs w:val="22"/>
        </w:rPr>
        <w:t>,</w:t>
      </w:r>
      <w:r w:rsidRPr="006E5E68">
        <w:rPr>
          <w:rFonts w:ascii="Arial" w:hAnsi="Arial" w:cs="Arial"/>
          <w:color w:val="000000"/>
          <w:sz w:val="22"/>
          <w:szCs w:val="22"/>
        </w:rPr>
        <w:t xml:space="preserve"> (2022) suggest that if issues such as low wages, limited career progression, and retention challenges persist, international recruitment may not be sufficient to address labour shortages. As a result, migrant workers contribute significantly to the ASC workforce, although long-term workforce planning remains crucial.</w:t>
      </w:r>
      <w:r w:rsidR="00392372">
        <w:rPr>
          <w:rFonts w:ascii="Arial" w:hAnsi="Arial" w:cs="Arial"/>
          <w:color w:val="000000"/>
          <w:sz w:val="22"/>
          <w:szCs w:val="22"/>
        </w:rPr>
        <w:t xml:space="preserve"> </w:t>
      </w:r>
    </w:p>
    <w:p w14:paraId="6D50BEC4" w14:textId="1F72303B" w:rsidR="00C267E2" w:rsidRPr="008E69DC" w:rsidRDefault="00BB73D0" w:rsidP="00F22681">
      <w:pPr>
        <w:pStyle w:val="Heading2"/>
        <w:rPr>
          <w:rFonts w:ascii="Arial" w:hAnsi="Arial" w:cs="Arial"/>
          <w:i/>
          <w:iCs/>
          <w:color w:val="000000" w:themeColor="text1"/>
          <w:sz w:val="28"/>
          <w:szCs w:val="28"/>
        </w:rPr>
      </w:pPr>
      <w:r w:rsidRPr="008E69DC">
        <w:rPr>
          <w:rFonts w:ascii="Arial" w:hAnsi="Arial" w:cs="Arial"/>
          <w:color w:val="000000" w:themeColor="text1"/>
          <w:sz w:val="28"/>
          <w:szCs w:val="28"/>
        </w:rPr>
        <w:t xml:space="preserve">4.3.7 </w:t>
      </w:r>
      <w:r w:rsidR="00C267E2" w:rsidRPr="008E69DC">
        <w:rPr>
          <w:rFonts w:ascii="Arial" w:hAnsi="Arial" w:cs="Arial"/>
          <w:color w:val="000000" w:themeColor="text1"/>
          <w:sz w:val="28"/>
          <w:szCs w:val="28"/>
        </w:rPr>
        <w:t>Examples from Your Articles</w:t>
      </w:r>
    </w:p>
    <w:p w14:paraId="693DFF28" w14:textId="399604AD" w:rsidR="00112B55" w:rsidRPr="00905763" w:rsidRDefault="005821CE" w:rsidP="000A24F2">
      <w:pPr>
        <w:pStyle w:val="NormalWeb"/>
        <w:spacing w:line="360" w:lineRule="auto"/>
        <w:jc w:val="both"/>
        <w:rPr>
          <w:rFonts w:ascii="Arial" w:hAnsi="Arial" w:cs="Arial"/>
          <w:color w:val="000000"/>
          <w:sz w:val="22"/>
          <w:szCs w:val="22"/>
        </w:rPr>
      </w:pPr>
      <w:r w:rsidRPr="004111D8">
        <w:rPr>
          <w:rFonts w:ascii="Arial" w:hAnsi="Arial" w:cs="Arial"/>
          <w:color w:val="000000"/>
          <w:sz w:val="22"/>
          <w:szCs w:val="22"/>
        </w:rPr>
        <w:t xml:space="preserve">Papers 1 (Arfeen </w:t>
      </w:r>
      <w:r w:rsidRPr="004111D8">
        <w:rPr>
          <w:rFonts w:ascii="Arial" w:hAnsi="Arial" w:cs="Arial"/>
          <w:i/>
          <w:iCs/>
          <w:color w:val="000000"/>
          <w:sz w:val="22"/>
          <w:szCs w:val="22"/>
        </w:rPr>
        <w:t>et al.,</w:t>
      </w:r>
      <w:r w:rsidRPr="004111D8">
        <w:rPr>
          <w:rFonts w:ascii="Arial" w:hAnsi="Arial" w:cs="Arial"/>
          <w:color w:val="000000"/>
          <w:sz w:val="22"/>
          <w:szCs w:val="22"/>
        </w:rPr>
        <w:t xml:space="preserve"> 2025), 2 (Turnpenny and Hussein, 2022), and 3 (Marino and Keizer, 2023) highlight the important role migrant workers play in addressing workforce shortages within the UK ASC sector.</w:t>
      </w:r>
      <w:r w:rsidR="004111D8">
        <w:rPr>
          <w:rFonts w:ascii="-webkit-standard" w:hAnsi="-webkit-standard"/>
          <w:color w:val="000000"/>
          <w:sz w:val="27"/>
          <w:szCs w:val="27"/>
        </w:rPr>
        <w:t xml:space="preserve"> </w:t>
      </w:r>
      <w:r w:rsidR="00112B55" w:rsidRPr="00905763">
        <w:rPr>
          <w:rFonts w:ascii="Arial" w:hAnsi="Arial" w:cs="Arial"/>
          <w:color w:val="000000"/>
          <w:sz w:val="22"/>
          <w:szCs w:val="22"/>
        </w:rPr>
        <w:t>Paper 1 argues that migrant workers have become increasingly important in maintaining health and care services as recruitment challenges continue. Similarly, Paper 2 found that migrant home care workers contribute significantly to service sustainability by filling staffing gaps and ensuring continuity of care. These studies agree that migrant workers play a crucial role in helping the sector respond to ongoing workforce shortages.</w:t>
      </w:r>
    </w:p>
    <w:p w14:paraId="42B779C4" w14:textId="77777777" w:rsidR="00C914EA" w:rsidRPr="00033E34" w:rsidRDefault="00C914EA" w:rsidP="000A24F2">
      <w:pPr>
        <w:pStyle w:val="isselectedend"/>
        <w:spacing w:line="360" w:lineRule="auto"/>
        <w:jc w:val="both"/>
        <w:rPr>
          <w:rFonts w:ascii="Arial" w:hAnsi="Arial" w:cs="Arial"/>
          <w:color w:val="000000"/>
          <w:sz w:val="22"/>
          <w:szCs w:val="22"/>
        </w:rPr>
      </w:pPr>
      <w:r w:rsidRPr="00033E34">
        <w:rPr>
          <w:rFonts w:ascii="Arial" w:hAnsi="Arial" w:cs="Arial"/>
          <w:color w:val="000000"/>
          <w:sz w:val="22"/>
          <w:szCs w:val="22"/>
        </w:rPr>
        <w:t>However, Paper 3 presents a slightly different perspective, arguing that reliance on migrant labour is driven not only by workforce shortages but also by labour market regulation and employment structures within the care sector. This suggests that demand for migrant workers may reflect wider structural challenges, including low pay and recruitment difficulties, rather than simply a shortage of available workers.</w:t>
      </w:r>
    </w:p>
    <w:p w14:paraId="13C71DC9" w14:textId="77777777" w:rsidR="00C914EA" w:rsidRPr="00033E34" w:rsidRDefault="00C914EA" w:rsidP="000A24F2">
      <w:pPr>
        <w:pStyle w:val="NormalWeb"/>
        <w:spacing w:line="360" w:lineRule="auto"/>
        <w:jc w:val="both"/>
        <w:rPr>
          <w:rFonts w:ascii="Arial" w:hAnsi="Arial" w:cs="Arial"/>
          <w:color w:val="000000"/>
          <w:sz w:val="22"/>
          <w:szCs w:val="22"/>
        </w:rPr>
      </w:pPr>
      <w:r w:rsidRPr="00033E34">
        <w:rPr>
          <w:rFonts w:ascii="Arial" w:hAnsi="Arial" w:cs="Arial"/>
          <w:color w:val="000000"/>
          <w:sz w:val="22"/>
          <w:szCs w:val="22"/>
        </w:rPr>
        <w:t>Collectively, these findings support the research question by demonstrating that migrant workers make a significant contribution to workforce sustainability. However, the evidence also suggests that international recruitment alone is unlikely to resolve workforce shortages unless underlying workforce challenges are addressed.</w:t>
      </w:r>
    </w:p>
    <w:p w14:paraId="00C1CFCB" w14:textId="763BFECB" w:rsidR="00B70F08" w:rsidRPr="008E69DC" w:rsidRDefault="00BB73D0" w:rsidP="00F22681">
      <w:pPr>
        <w:pStyle w:val="Heading2"/>
        <w:rPr>
          <w:rFonts w:ascii="Arial" w:hAnsi="Arial" w:cs="Arial"/>
          <w:color w:val="000000" w:themeColor="text1"/>
          <w:sz w:val="28"/>
          <w:szCs w:val="28"/>
        </w:rPr>
      </w:pPr>
      <w:r w:rsidRPr="008E69DC">
        <w:rPr>
          <w:rFonts w:ascii="Arial" w:hAnsi="Arial" w:cs="Arial"/>
          <w:color w:val="000000" w:themeColor="text1"/>
          <w:sz w:val="28"/>
          <w:szCs w:val="28"/>
        </w:rPr>
        <w:t xml:space="preserve">4.3.8 </w:t>
      </w:r>
      <w:r w:rsidR="00C267E2" w:rsidRPr="008E69DC">
        <w:rPr>
          <w:rFonts w:ascii="Arial" w:hAnsi="Arial" w:cs="Arial"/>
          <w:color w:val="000000" w:themeColor="text1"/>
          <w:sz w:val="28"/>
          <w:szCs w:val="28"/>
        </w:rPr>
        <w:t>Connections to Other Themes</w:t>
      </w:r>
    </w:p>
    <w:p w14:paraId="32B28E81" w14:textId="4991A6AB" w:rsidR="00574F1D" w:rsidRPr="001C43ED" w:rsidRDefault="008A53E9" w:rsidP="000A24F2">
      <w:pPr>
        <w:pStyle w:val="NormalWeb"/>
        <w:spacing w:line="360" w:lineRule="auto"/>
        <w:jc w:val="both"/>
        <w:rPr>
          <w:rFonts w:ascii="Arial" w:hAnsi="Arial" w:cs="Arial"/>
          <w:color w:val="EE0000"/>
          <w:sz w:val="22"/>
          <w:szCs w:val="22"/>
        </w:rPr>
      </w:pPr>
      <w:r w:rsidRPr="001C43ED">
        <w:rPr>
          <w:rFonts w:ascii="Arial" w:hAnsi="Arial" w:cs="Arial"/>
          <w:color w:val="000000"/>
          <w:sz w:val="22"/>
          <w:szCs w:val="22"/>
        </w:rPr>
        <w:t xml:space="preserve">This theme is closely connected to Theme 2, Migration Policy and International Recruitment, and Theme 3, Migrant Worker Experiences, Wellbeing and Workforce Sustainability. Workforce shortages have increased the sector's reliance on international recruitment, making </w:t>
      </w:r>
      <w:r w:rsidRPr="001C43ED">
        <w:rPr>
          <w:rFonts w:ascii="Arial" w:hAnsi="Arial" w:cs="Arial"/>
          <w:color w:val="000000"/>
          <w:sz w:val="22"/>
          <w:szCs w:val="22"/>
        </w:rPr>
        <w:lastRenderedPageBreak/>
        <w:t>migration policy an important factor influencing workforce supply. At the same time, long-term workforce sustainability depends not only on attracting migrant workers but also on supporting their wellbeing, job satisfaction, and retention. Consequently, these themes are interconnected and collectively influence the sustainability of the UK ASC workforce.</w:t>
      </w:r>
    </w:p>
    <w:p w14:paraId="74B18A6F" w14:textId="77777777" w:rsidR="006E73B2" w:rsidRPr="002C7971" w:rsidRDefault="00C267E2" w:rsidP="000E42ED">
      <w:pPr>
        <w:pStyle w:val="Heading2"/>
        <w:jc w:val="left"/>
        <w:rPr>
          <w:rFonts w:ascii="Arial" w:eastAsia="Times New Roman" w:hAnsi="Arial" w:cs="Arial"/>
          <w:b/>
          <w:bCs/>
          <w:color w:val="000000" w:themeColor="text1"/>
          <w:lang w:eastAsia="en-GB"/>
        </w:rPr>
      </w:pPr>
      <w:r w:rsidRPr="002C7971">
        <w:rPr>
          <w:rFonts w:ascii="Arial" w:hAnsi="Arial" w:cs="Arial"/>
          <w:b/>
          <w:bCs/>
          <w:color w:val="000000" w:themeColor="text1"/>
        </w:rPr>
        <w:t xml:space="preserve">4.4 – Theme 2 </w:t>
      </w:r>
      <w:r w:rsidR="006E73B2" w:rsidRPr="002C7971">
        <w:rPr>
          <w:rFonts w:ascii="Arial" w:hAnsi="Arial" w:cs="Arial"/>
          <w:b/>
          <w:bCs/>
          <w:color w:val="000000" w:themeColor="text1"/>
        </w:rPr>
        <w:t>Migration Policy and International Recruitment</w:t>
      </w:r>
    </w:p>
    <w:p w14:paraId="5A18C2D7" w14:textId="24A39B3D" w:rsidR="006E73B2" w:rsidRPr="008E69DC" w:rsidRDefault="00135687" w:rsidP="00F22681">
      <w:pPr>
        <w:pStyle w:val="Heading2"/>
        <w:rPr>
          <w:rFonts w:ascii="Arial" w:hAnsi="Arial" w:cs="Arial"/>
          <w:color w:val="000000" w:themeColor="text1"/>
          <w:sz w:val="28"/>
          <w:szCs w:val="28"/>
        </w:rPr>
      </w:pPr>
      <w:r w:rsidRPr="008E69DC">
        <w:rPr>
          <w:rFonts w:ascii="Arial" w:hAnsi="Arial" w:cs="Arial"/>
          <w:color w:val="000000" w:themeColor="text1"/>
          <w:sz w:val="28"/>
          <w:szCs w:val="28"/>
        </w:rPr>
        <w:t xml:space="preserve">4.4.1 </w:t>
      </w:r>
      <w:r w:rsidR="006E73B2" w:rsidRPr="008E69DC">
        <w:rPr>
          <w:rFonts w:ascii="Arial" w:hAnsi="Arial" w:cs="Arial"/>
          <w:color w:val="000000" w:themeColor="text1"/>
          <w:sz w:val="28"/>
          <w:szCs w:val="28"/>
        </w:rPr>
        <w:t>Definition</w:t>
      </w:r>
    </w:p>
    <w:p w14:paraId="19CB0C32" w14:textId="49911CB3" w:rsidR="002F4EE0" w:rsidRPr="008726FC" w:rsidRDefault="003B6797" w:rsidP="00476125">
      <w:pPr>
        <w:rPr>
          <w:rFonts w:ascii="Arial" w:hAnsi="Arial" w:cs="Arial"/>
          <w:b/>
          <w:bCs/>
          <w:i/>
          <w:iCs/>
          <w:color w:val="000000" w:themeColor="text1"/>
        </w:rPr>
      </w:pPr>
      <w:r w:rsidRPr="008726FC">
        <w:rPr>
          <w:rFonts w:ascii="Arial" w:hAnsi="Arial" w:cs="Arial"/>
          <w:color w:val="000000" w:themeColor="text1"/>
        </w:rPr>
        <w:t xml:space="preserve">Migration policy refers to laws, regulations, and government strategies that govern the movement, entry, and employment of individuals across national borders (Dias-Abey, 2021). Within the UK ASC industry, migration policy influences the labour supply by establishing who is eligible to work in the country through visa channels and immigration restrictions (Migration Advisory Committee, 2023). International recruiting is the process of recruiting workers from other countries to tackle labour shortages and improve service delivery (International Labour Organization, 2024). This theme focuses on how migration rules and foreign recruitment techniques have influenced workforce sustainability and the industry's reliance on migrant workers </w:t>
      </w:r>
      <w:r w:rsidR="00F43485" w:rsidRPr="008726FC">
        <w:rPr>
          <w:rFonts w:ascii="Arial" w:hAnsi="Arial" w:cs="Arial"/>
          <w:color w:val="000000" w:themeColor="text1"/>
        </w:rPr>
        <w:t>(Turnpenny and Hussein, 2022).</w:t>
      </w:r>
    </w:p>
    <w:p w14:paraId="370044A0" w14:textId="67D5B4D8" w:rsidR="00C267E2" w:rsidRPr="008E69DC" w:rsidRDefault="00135687" w:rsidP="00F22681">
      <w:pPr>
        <w:pStyle w:val="Heading2"/>
        <w:rPr>
          <w:rFonts w:ascii="Arial" w:hAnsi="Arial" w:cs="Arial"/>
          <w:i/>
          <w:iCs/>
          <w:color w:val="000000" w:themeColor="text1"/>
          <w:sz w:val="28"/>
          <w:szCs w:val="28"/>
        </w:rPr>
      </w:pPr>
      <w:r w:rsidRPr="008E69DC">
        <w:rPr>
          <w:rFonts w:ascii="Arial" w:hAnsi="Arial" w:cs="Arial"/>
          <w:color w:val="000000" w:themeColor="text1"/>
          <w:sz w:val="28"/>
          <w:szCs w:val="28"/>
        </w:rPr>
        <w:t>4.4</w:t>
      </w:r>
      <w:r w:rsidR="00441CE1" w:rsidRPr="008E69DC">
        <w:rPr>
          <w:rFonts w:ascii="Arial" w:hAnsi="Arial" w:cs="Arial"/>
          <w:color w:val="000000" w:themeColor="text1"/>
          <w:sz w:val="28"/>
          <w:szCs w:val="28"/>
        </w:rPr>
        <w:t xml:space="preserve">.2 </w:t>
      </w:r>
      <w:r w:rsidR="00C267E2" w:rsidRPr="008E69DC">
        <w:rPr>
          <w:rFonts w:ascii="Arial" w:hAnsi="Arial" w:cs="Arial"/>
          <w:color w:val="000000" w:themeColor="text1"/>
          <w:sz w:val="28"/>
          <w:szCs w:val="28"/>
        </w:rPr>
        <w:t>Background Information</w:t>
      </w:r>
    </w:p>
    <w:p w14:paraId="2ADA4618" w14:textId="3E814841" w:rsidR="005567DE" w:rsidRPr="00E91E3D" w:rsidRDefault="00D7037F" w:rsidP="00476125">
      <w:pPr>
        <w:rPr>
          <w:rFonts w:ascii="Arial" w:hAnsi="Arial" w:cs="Arial"/>
          <w:b/>
          <w:bCs/>
          <w:color w:val="000000" w:themeColor="text1"/>
        </w:rPr>
      </w:pPr>
      <w:r w:rsidRPr="00E91E3D">
        <w:rPr>
          <w:rFonts w:ascii="Arial" w:hAnsi="Arial" w:cs="Arial"/>
          <w:color w:val="000000" w:themeColor="text1"/>
        </w:rPr>
        <w:t>Migration policy has become increasingly crucial in shaping the workforce supply in the UK ASC sector. Historically, migrant workers have contributed to addressing labour shortages, particularly as the European Union expanded in the early 2000s, increasing labour mobility across member states (</w:t>
      </w:r>
      <w:r w:rsidRPr="00E91E3D">
        <w:rPr>
          <w:rStyle w:val="Strong"/>
          <w:rFonts w:ascii="Arial" w:hAnsi="Arial" w:cs="Arial"/>
          <w:b w:val="0"/>
          <w:bCs w:val="0"/>
          <w:color w:val="000000" w:themeColor="text1"/>
        </w:rPr>
        <w:t>Turnpenny and Hussein, 2022</w:t>
      </w:r>
      <w:r w:rsidRPr="00E91E3D">
        <w:rPr>
          <w:rFonts w:ascii="Arial" w:hAnsi="Arial" w:cs="Arial"/>
          <w:color w:val="000000" w:themeColor="text1"/>
        </w:rPr>
        <w:t>). However, the UK's exit from the European Union resulted in a substantial shift in migration policy, with the termination of free movement and the introduction of new immigration restrictions for foreign workers (</w:t>
      </w:r>
      <w:r w:rsidRPr="00E91E3D">
        <w:rPr>
          <w:rStyle w:val="Strong"/>
          <w:rFonts w:ascii="Arial" w:hAnsi="Arial" w:cs="Arial"/>
          <w:b w:val="0"/>
          <w:bCs w:val="0"/>
          <w:color w:val="000000" w:themeColor="text1"/>
        </w:rPr>
        <w:t>Portes and Springford, 2023</w:t>
      </w:r>
      <w:r w:rsidRPr="00E91E3D">
        <w:rPr>
          <w:rFonts w:ascii="Arial" w:hAnsi="Arial" w:cs="Arial"/>
          <w:color w:val="000000" w:themeColor="text1"/>
        </w:rPr>
        <w:t>).</w:t>
      </w:r>
    </w:p>
    <w:p w14:paraId="3AAED9F7" w14:textId="77777777" w:rsidR="00853963" w:rsidRPr="00E91E3D" w:rsidRDefault="00853963" w:rsidP="00476125">
      <w:pPr>
        <w:rPr>
          <w:rStyle w:val="apple-converted-space"/>
          <w:rFonts w:ascii="Arial" w:hAnsi="Arial" w:cs="Arial"/>
          <w:color w:val="000000" w:themeColor="text1"/>
        </w:rPr>
      </w:pPr>
      <w:r w:rsidRPr="00E91E3D">
        <w:rPr>
          <w:rFonts w:ascii="Arial" w:hAnsi="Arial" w:cs="Arial"/>
          <w:color w:val="000000" w:themeColor="text1"/>
        </w:rPr>
        <w:t>In response to growing workforce shortages, new visa pathways were established to facilitate the recruitment of international health and care professionals (</w:t>
      </w:r>
      <w:r w:rsidRPr="00E91E3D">
        <w:rPr>
          <w:rStyle w:val="Strong"/>
          <w:rFonts w:ascii="Arial" w:hAnsi="Arial" w:cs="Arial"/>
          <w:b w:val="0"/>
          <w:bCs w:val="0"/>
          <w:color w:val="000000" w:themeColor="text1"/>
        </w:rPr>
        <w:t>Department of Health and Social Care, 2024</w:t>
      </w:r>
      <w:r w:rsidRPr="00E91E3D">
        <w:rPr>
          <w:rFonts w:ascii="Arial" w:hAnsi="Arial" w:cs="Arial"/>
          <w:color w:val="000000" w:themeColor="text1"/>
        </w:rPr>
        <w:t>). As a result, international recruitment has become an increasingly essential workforce strategy within ASC, supporting providers in meeting staffing requirements while raising concerns about long-term workforce sustainability and dependency on migrant employment (</w:t>
      </w:r>
      <w:r w:rsidRPr="00E91E3D">
        <w:rPr>
          <w:rStyle w:val="Strong"/>
          <w:rFonts w:ascii="Arial" w:hAnsi="Arial" w:cs="Arial"/>
          <w:b w:val="0"/>
          <w:bCs w:val="0"/>
          <w:color w:val="000000" w:themeColor="text1"/>
        </w:rPr>
        <w:t>Local Government Association, 2024</w:t>
      </w:r>
      <w:r w:rsidRPr="00E91E3D">
        <w:rPr>
          <w:rFonts w:ascii="Arial" w:hAnsi="Arial" w:cs="Arial"/>
          <w:color w:val="000000" w:themeColor="text1"/>
        </w:rPr>
        <w:t>). These developments have made migration policy a key factor influencing both workforce supply and the future stability of the sector (</w:t>
      </w:r>
      <w:r w:rsidRPr="00E91E3D">
        <w:rPr>
          <w:rStyle w:val="Strong"/>
          <w:rFonts w:ascii="Arial" w:hAnsi="Arial" w:cs="Arial"/>
          <w:b w:val="0"/>
          <w:bCs w:val="0"/>
          <w:color w:val="000000" w:themeColor="text1"/>
        </w:rPr>
        <w:t>Care Quality Commission, 2024</w:t>
      </w:r>
      <w:r w:rsidRPr="00E91E3D">
        <w:rPr>
          <w:rFonts w:ascii="Arial" w:hAnsi="Arial" w:cs="Arial"/>
          <w:color w:val="000000" w:themeColor="text1"/>
        </w:rPr>
        <w:t>).</w:t>
      </w:r>
      <w:r w:rsidRPr="00E91E3D">
        <w:rPr>
          <w:rStyle w:val="apple-converted-space"/>
          <w:rFonts w:ascii="Arial" w:hAnsi="Arial" w:cs="Arial"/>
          <w:color w:val="000000" w:themeColor="text1"/>
        </w:rPr>
        <w:t> </w:t>
      </w:r>
    </w:p>
    <w:p w14:paraId="44F72B43" w14:textId="77777777" w:rsidR="008E69DC" w:rsidRPr="008E69DC" w:rsidRDefault="008E69DC" w:rsidP="00476125">
      <w:pPr>
        <w:rPr>
          <w:rFonts w:ascii="Arial" w:hAnsi="Arial" w:cs="Arial"/>
          <w:color w:val="000000" w:themeColor="text1"/>
          <w:sz w:val="21"/>
          <w:szCs w:val="21"/>
        </w:rPr>
      </w:pPr>
    </w:p>
    <w:p w14:paraId="2E913F18" w14:textId="3A40F088" w:rsidR="00C267E2" w:rsidRPr="008E69DC" w:rsidRDefault="00141B16" w:rsidP="00F22681">
      <w:pPr>
        <w:pStyle w:val="Heading2"/>
        <w:rPr>
          <w:rFonts w:ascii="Arial" w:hAnsi="Arial" w:cs="Arial"/>
          <w:i/>
          <w:iCs/>
          <w:color w:val="000000" w:themeColor="text1"/>
          <w:sz w:val="28"/>
          <w:szCs w:val="28"/>
        </w:rPr>
      </w:pPr>
      <w:r w:rsidRPr="008E69DC">
        <w:rPr>
          <w:rFonts w:ascii="Arial" w:hAnsi="Arial" w:cs="Arial"/>
          <w:color w:val="000000" w:themeColor="text1"/>
          <w:sz w:val="28"/>
          <w:szCs w:val="28"/>
        </w:rPr>
        <w:t xml:space="preserve">4.4.3 </w:t>
      </w:r>
      <w:r w:rsidR="00C267E2" w:rsidRPr="008E69DC">
        <w:rPr>
          <w:rFonts w:ascii="Arial" w:hAnsi="Arial" w:cs="Arial"/>
          <w:color w:val="000000" w:themeColor="text1"/>
          <w:sz w:val="28"/>
          <w:szCs w:val="28"/>
        </w:rPr>
        <w:t>Impact on Research Question</w:t>
      </w:r>
    </w:p>
    <w:p w14:paraId="627CC685" w14:textId="737F1326" w:rsidR="002C4852" w:rsidRPr="00E91E3D" w:rsidRDefault="002C4852" w:rsidP="00476125">
      <w:pPr>
        <w:rPr>
          <w:rFonts w:ascii="Arial" w:hAnsi="Arial" w:cs="Arial"/>
          <w:i/>
          <w:iCs/>
          <w:color w:val="000000" w:themeColor="text1"/>
        </w:rPr>
      </w:pPr>
      <w:r w:rsidRPr="00E91E3D">
        <w:rPr>
          <w:rFonts w:ascii="Arial" w:hAnsi="Arial" w:cs="Arial"/>
          <w:color w:val="000000" w:themeColor="text1"/>
        </w:rPr>
        <w:t>This theme is highly relevant to the research question because both migration policy and international recruitment have a direct impact on the availability of migrant workers in the UK ASC workforce. The World Health Organization (2023) highlights that immigration regulations, visa requirements, and government recruitment strategies can significantly influence care providers' capacity to recruit international employees. According to</w:t>
      </w:r>
      <w:r w:rsidR="004C5E52" w:rsidRPr="00E91E3D">
        <w:rPr>
          <w:rFonts w:ascii="Arial" w:hAnsi="Arial" w:cs="Arial"/>
          <w:color w:val="000000" w:themeColor="text1"/>
        </w:rPr>
        <w:t xml:space="preserve"> </w:t>
      </w:r>
      <w:r w:rsidR="007B50A4" w:rsidRPr="00E91E3D">
        <w:rPr>
          <w:rFonts w:ascii="Arial" w:hAnsi="Arial" w:cs="Arial"/>
          <w:color w:val="000000" w:themeColor="text1"/>
        </w:rPr>
        <w:t>Gershlick and Charlesworth (2019)</w:t>
      </w:r>
      <w:r w:rsidRPr="00E91E3D">
        <w:rPr>
          <w:rFonts w:ascii="Arial" w:hAnsi="Arial" w:cs="Arial"/>
          <w:color w:val="000000" w:themeColor="text1"/>
        </w:rPr>
        <w:t>, migrant workers have become increasingly important in addressing workforce shortages, with migration policy becoming a significant factor influencing workforce sustainability. Examining this connection provides insight into whether international recruitment provides a long-term solution to staffing challenges or simply addresses current workforce shortages. As a result, understanding the impact of migration policy is critical for assessing the role migrant workers play in supporting the UK ASC sector (Institute for Government, 2025).</w:t>
      </w:r>
    </w:p>
    <w:p w14:paraId="07C03B27" w14:textId="606C4357" w:rsidR="00C73471" w:rsidRPr="008E69DC" w:rsidRDefault="00141B16" w:rsidP="00F9646C">
      <w:pPr>
        <w:pStyle w:val="Heading2"/>
        <w:rPr>
          <w:rFonts w:ascii="Arial" w:hAnsi="Arial" w:cs="Arial"/>
          <w:color w:val="000000" w:themeColor="text1"/>
          <w:sz w:val="28"/>
          <w:szCs w:val="28"/>
        </w:rPr>
      </w:pPr>
      <w:r w:rsidRPr="008E69DC">
        <w:rPr>
          <w:rFonts w:ascii="Arial" w:hAnsi="Arial" w:cs="Arial"/>
          <w:color w:val="000000" w:themeColor="text1"/>
          <w:sz w:val="28"/>
          <w:szCs w:val="28"/>
        </w:rPr>
        <w:t>4.4.</w:t>
      </w:r>
      <w:r w:rsidR="00D824E3" w:rsidRPr="008E69DC">
        <w:rPr>
          <w:rFonts w:ascii="Arial" w:hAnsi="Arial" w:cs="Arial"/>
          <w:color w:val="000000" w:themeColor="text1"/>
          <w:sz w:val="28"/>
          <w:szCs w:val="28"/>
        </w:rPr>
        <w:t xml:space="preserve">4 </w:t>
      </w:r>
      <w:r w:rsidR="00C267E2" w:rsidRPr="008E69DC">
        <w:rPr>
          <w:rFonts w:ascii="Arial" w:hAnsi="Arial" w:cs="Arial"/>
          <w:color w:val="000000" w:themeColor="text1"/>
          <w:sz w:val="28"/>
          <w:szCs w:val="28"/>
        </w:rPr>
        <w:t>Statistical Information</w:t>
      </w:r>
    </w:p>
    <w:p w14:paraId="144FA887" w14:textId="77777777" w:rsidR="007A38B6" w:rsidRPr="009A53BC" w:rsidRDefault="007A38B6" w:rsidP="005419C6">
      <w:pPr>
        <w:pStyle w:val="isselectedend"/>
        <w:spacing w:line="360" w:lineRule="auto"/>
        <w:jc w:val="both"/>
        <w:rPr>
          <w:rFonts w:ascii="Arial" w:hAnsi="Arial" w:cs="Arial"/>
          <w:color w:val="000000" w:themeColor="text1"/>
          <w:sz w:val="22"/>
          <w:szCs w:val="22"/>
        </w:rPr>
      </w:pPr>
      <w:r w:rsidRPr="009A53BC">
        <w:rPr>
          <w:rFonts w:ascii="Arial" w:hAnsi="Arial" w:cs="Arial"/>
          <w:color w:val="000000" w:themeColor="text1"/>
          <w:sz w:val="22"/>
          <w:szCs w:val="22"/>
        </w:rPr>
        <w:t>Migration policy has had a significant impact on labour supply in the UK ASC sector. According to Skills for Care (2025), approximately 32% of ASC workers in England were born outside the UK, highlighting the significant contribution of migrant workers to the sector. Furthermore, international recruitment increased substantially following the introduction of the Health and Care Worker visa (GOV.UK, 2021), establishing overseas recruitment as a major source of workforce growth. Despite this, vacancy rates remained above 8%, with over 130,000 vacant posts across the sector (Skills for Care, 2025).</w:t>
      </w:r>
    </w:p>
    <w:p w14:paraId="433D2805" w14:textId="77777777" w:rsidR="00182678" w:rsidRPr="009A53BC" w:rsidRDefault="007A38B6" w:rsidP="005419C6">
      <w:pPr>
        <w:pStyle w:val="NormalWeb"/>
        <w:spacing w:line="360" w:lineRule="auto"/>
        <w:jc w:val="both"/>
        <w:rPr>
          <w:rFonts w:ascii="Arial" w:hAnsi="Arial" w:cs="Arial"/>
          <w:color w:val="000000" w:themeColor="text1"/>
          <w:sz w:val="22"/>
          <w:szCs w:val="22"/>
        </w:rPr>
      </w:pPr>
      <w:r w:rsidRPr="009A53BC">
        <w:rPr>
          <w:rFonts w:ascii="Arial" w:hAnsi="Arial" w:cs="Arial"/>
          <w:color w:val="000000" w:themeColor="text1"/>
          <w:sz w:val="22"/>
          <w:szCs w:val="22"/>
        </w:rPr>
        <w:t>These statistics are particularly important because they reveal a potential contradiction. While international recruitment has increased labour supply and helped address staffing shortages, there are still a considerable number of vacancies. This suggests that migration policies and international recruitment can contribute to maintaining the workforce, but they may not fully address underlying issues such as recruitment, retention, and working conditions</w:t>
      </w:r>
      <w:r w:rsidR="00363F6C" w:rsidRPr="009A53BC">
        <w:rPr>
          <w:rFonts w:ascii="Arial" w:hAnsi="Arial" w:cs="Arial"/>
          <w:color w:val="000000" w:themeColor="text1"/>
          <w:sz w:val="22"/>
          <w:szCs w:val="22"/>
        </w:rPr>
        <w:t xml:space="preserve"> (House </w:t>
      </w:r>
      <w:r w:rsidR="00514E1C" w:rsidRPr="009A53BC">
        <w:rPr>
          <w:rFonts w:ascii="Arial" w:hAnsi="Arial" w:cs="Arial"/>
          <w:color w:val="000000" w:themeColor="text1"/>
          <w:sz w:val="22"/>
          <w:szCs w:val="22"/>
        </w:rPr>
        <w:t>of Commons, 2022)</w:t>
      </w:r>
      <w:r w:rsidRPr="009A53BC">
        <w:rPr>
          <w:rFonts w:ascii="Arial" w:hAnsi="Arial" w:cs="Arial"/>
          <w:color w:val="000000" w:themeColor="text1"/>
          <w:sz w:val="22"/>
          <w:szCs w:val="22"/>
        </w:rPr>
        <w:t>. Consequently, the sector's long-term sustainability depends on a combination of international recruitment and domestic workforce development (Institute for Government, 2025).</w:t>
      </w:r>
    </w:p>
    <w:p w14:paraId="1B311BD3" w14:textId="3A121D02" w:rsidR="00C267E2" w:rsidRPr="008E69DC" w:rsidRDefault="00D824E3" w:rsidP="00F9646C">
      <w:pPr>
        <w:pStyle w:val="Heading2"/>
        <w:rPr>
          <w:rFonts w:ascii="Arial" w:hAnsi="Arial" w:cs="Arial"/>
          <w:color w:val="000000" w:themeColor="text1"/>
          <w:sz w:val="21"/>
          <w:szCs w:val="21"/>
        </w:rPr>
      </w:pPr>
      <w:r w:rsidRPr="008E69DC">
        <w:rPr>
          <w:rFonts w:ascii="Arial" w:hAnsi="Arial" w:cs="Arial"/>
          <w:color w:val="000000" w:themeColor="text1"/>
          <w:sz w:val="28"/>
          <w:szCs w:val="28"/>
        </w:rPr>
        <w:lastRenderedPageBreak/>
        <w:t xml:space="preserve">4.4.5 </w:t>
      </w:r>
      <w:r w:rsidR="00C267E2" w:rsidRPr="008E69DC">
        <w:rPr>
          <w:rFonts w:ascii="Arial" w:hAnsi="Arial" w:cs="Arial"/>
          <w:color w:val="000000" w:themeColor="text1"/>
          <w:sz w:val="28"/>
          <w:szCs w:val="28"/>
        </w:rPr>
        <w:t>Theories, Policies, and Legislation</w:t>
      </w:r>
    </w:p>
    <w:p w14:paraId="3291E3D7" w14:textId="77777777" w:rsidR="00990B72" w:rsidRPr="00BA166F" w:rsidRDefault="00E30DAA" w:rsidP="009A53BC">
      <w:pPr>
        <w:pStyle w:val="isselectedend"/>
        <w:spacing w:line="360" w:lineRule="auto"/>
        <w:jc w:val="both"/>
        <w:rPr>
          <w:rFonts w:ascii="Arial" w:hAnsi="Arial" w:cs="Arial"/>
          <w:color w:val="000000" w:themeColor="text1"/>
          <w:sz w:val="22"/>
          <w:szCs w:val="22"/>
        </w:rPr>
      </w:pPr>
      <w:r w:rsidRPr="00BA166F">
        <w:rPr>
          <w:rFonts w:ascii="Arial" w:hAnsi="Arial" w:cs="Arial"/>
          <w:color w:val="000000" w:themeColor="text1"/>
          <w:sz w:val="22"/>
          <w:szCs w:val="22"/>
        </w:rPr>
        <w:t>The Labour Market Segmentation Theory provides a valuable framework for understanding migration policies and international recruitment in the UK ASC sector. According to CORE Econ (2023), labour markets are divided into segments, with some sectors facing continuous recruitment challenges due to factors such as low pay, limited professional development, and difficult working conditions. As a result, employers may increasingly rely on migrant workers to fill vacancies in sectors where domestic recruitment remains challenging, suggesting that international recruitment may reflect wider structural weaknesses within the labour market rather than simply a shortage of available workers (Marino and Keizer, 2023). This is directly relevant to the research question because it explains why foreign recruitment has become such a significant approach for addressing labour shortages and ensuring workforce sustainability in ASC.</w:t>
      </w:r>
    </w:p>
    <w:p w14:paraId="486AFE20" w14:textId="4FBE3DFE" w:rsidR="00FA6E0D" w:rsidRPr="00BA166F" w:rsidRDefault="00CC1BE3" w:rsidP="00BA166F">
      <w:pPr>
        <w:pStyle w:val="isselectedend"/>
        <w:spacing w:line="360" w:lineRule="auto"/>
        <w:jc w:val="both"/>
        <w:rPr>
          <w:rFonts w:ascii="Arial" w:hAnsi="Arial" w:cs="Arial"/>
          <w:color w:val="000000" w:themeColor="text1"/>
          <w:sz w:val="22"/>
          <w:szCs w:val="22"/>
        </w:rPr>
      </w:pPr>
      <w:r w:rsidRPr="00BA166F">
        <w:rPr>
          <w:rFonts w:ascii="Arial" w:hAnsi="Arial" w:cs="Arial"/>
          <w:color w:val="000000" w:themeColor="text1"/>
        </w:rPr>
        <w:t>Several policies and legislative developments have impacted international recruitment in the sector. The introduction of the Health and Care Worker visa established a dedicated pathway for overseas care workers, while post-Brexit immigration reforms changed the recruitment landscape by ending free movement between the UK and European Union member states (GOV.UK, 2021). These policy changes have influenced workforce supply and continue to shape the industry's reliance on migrant labour</w:t>
      </w:r>
      <w:r w:rsidR="00BA166F">
        <w:rPr>
          <w:rFonts w:ascii="Arial" w:hAnsi="Arial" w:cs="Arial"/>
          <w:color w:val="000000" w:themeColor="text1"/>
        </w:rPr>
        <w:t xml:space="preserve"> </w:t>
      </w:r>
      <w:r w:rsidRPr="00BA166F">
        <w:rPr>
          <w:rFonts w:ascii="Arial" w:hAnsi="Arial" w:cs="Arial"/>
          <w:color w:val="000000" w:themeColor="text1"/>
        </w:rPr>
        <w:t>(Care Quality Commission, 2024).</w:t>
      </w:r>
      <w:r w:rsidR="00ED7655" w:rsidRPr="00BA166F">
        <w:rPr>
          <w:rFonts w:ascii="Arial" w:hAnsi="Arial" w:cs="Arial"/>
          <w:color w:val="000000" w:themeColor="text1"/>
        </w:rPr>
        <w:br/>
      </w:r>
    </w:p>
    <w:p w14:paraId="7F984A37" w14:textId="6A33593D" w:rsidR="00C267E2" w:rsidRPr="008E69DC" w:rsidRDefault="00D824E3" w:rsidP="00F9646C">
      <w:pPr>
        <w:pStyle w:val="Heading2"/>
        <w:rPr>
          <w:rFonts w:ascii="Arial" w:hAnsi="Arial" w:cs="Arial"/>
          <w:i/>
          <w:iCs/>
          <w:color w:val="000000" w:themeColor="text1"/>
          <w:sz w:val="28"/>
          <w:szCs w:val="28"/>
        </w:rPr>
      </w:pPr>
      <w:r w:rsidRPr="008E69DC">
        <w:rPr>
          <w:rFonts w:ascii="Arial" w:hAnsi="Arial" w:cs="Arial"/>
          <w:color w:val="000000" w:themeColor="text1"/>
          <w:sz w:val="28"/>
          <w:szCs w:val="28"/>
        </w:rPr>
        <w:t xml:space="preserve">4.4.6 </w:t>
      </w:r>
      <w:r w:rsidR="00C267E2" w:rsidRPr="008E69DC">
        <w:rPr>
          <w:rFonts w:ascii="Arial" w:hAnsi="Arial" w:cs="Arial"/>
          <w:color w:val="000000" w:themeColor="text1"/>
          <w:sz w:val="28"/>
          <w:szCs w:val="28"/>
        </w:rPr>
        <w:t>Implications</w:t>
      </w:r>
    </w:p>
    <w:p w14:paraId="1B4AB997" w14:textId="77777777" w:rsidR="0047168E" w:rsidRPr="00BA166F" w:rsidRDefault="0047168E" w:rsidP="00305CCE">
      <w:pPr>
        <w:pStyle w:val="isselectedend"/>
        <w:spacing w:line="360" w:lineRule="auto"/>
        <w:jc w:val="both"/>
        <w:rPr>
          <w:rFonts w:ascii="Arial" w:hAnsi="Arial" w:cs="Arial"/>
          <w:color w:val="000000" w:themeColor="text1"/>
          <w:sz w:val="22"/>
          <w:szCs w:val="22"/>
        </w:rPr>
      </w:pPr>
      <w:r w:rsidRPr="00BA166F">
        <w:rPr>
          <w:rFonts w:ascii="Arial" w:hAnsi="Arial" w:cs="Arial"/>
          <w:color w:val="000000" w:themeColor="text1"/>
          <w:sz w:val="22"/>
          <w:szCs w:val="22"/>
        </w:rPr>
        <w:t>Migration policies and international recruitment have positive as well as negative impacts on the UK ASC workforce. International recruitment has had a beneficial effect on staffing shortages by increasing staff supply and ensuring continuity of care. This has allowed numerous providers to fill vacancies that would otherwise remain unfilled, ensuring service delivery and reducing workforce pressures (Skills for Care, 2025).</w:t>
      </w:r>
    </w:p>
    <w:p w14:paraId="1CBEA5A8" w14:textId="3972CAA4" w:rsidR="0047168E" w:rsidRPr="00BA166F" w:rsidRDefault="0047168E" w:rsidP="00305CCE">
      <w:pPr>
        <w:pStyle w:val="NormalWeb"/>
        <w:spacing w:line="360" w:lineRule="auto"/>
        <w:jc w:val="both"/>
        <w:rPr>
          <w:rFonts w:ascii="Arial" w:hAnsi="Arial" w:cs="Arial"/>
          <w:color w:val="000000" w:themeColor="text1"/>
          <w:sz w:val="22"/>
          <w:szCs w:val="22"/>
        </w:rPr>
      </w:pPr>
      <w:r w:rsidRPr="00BA166F">
        <w:rPr>
          <w:rFonts w:ascii="Arial" w:hAnsi="Arial" w:cs="Arial"/>
          <w:color w:val="000000" w:themeColor="text1"/>
          <w:sz w:val="22"/>
          <w:szCs w:val="22"/>
        </w:rPr>
        <w:t xml:space="preserve">However, there are some potential challenges connected with increased reliance on migrant labour. </w:t>
      </w:r>
      <w:r w:rsidR="007113F8" w:rsidRPr="00BA166F">
        <w:rPr>
          <w:rStyle w:val="Strong"/>
          <w:rFonts w:ascii="Arial" w:hAnsi="Arial" w:cs="Arial"/>
          <w:b w:val="0"/>
          <w:bCs w:val="0"/>
          <w:color w:val="000000" w:themeColor="text1"/>
          <w:sz w:val="22"/>
          <w:szCs w:val="22"/>
        </w:rPr>
        <w:t xml:space="preserve">Turnpenny and Hussein, </w:t>
      </w:r>
      <w:r w:rsidR="00CA1B8D" w:rsidRPr="00BA166F">
        <w:rPr>
          <w:rStyle w:val="Strong"/>
          <w:rFonts w:ascii="Arial" w:hAnsi="Arial" w:cs="Arial"/>
          <w:b w:val="0"/>
          <w:bCs w:val="0"/>
          <w:color w:val="000000" w:themeColor="text1"/>
          <w:sz w:val="22"/>
          <w:szCs w:val="22"/>
        </w:rPr>
        <w:t>(</w:t>
      </w:r>
      <w:r w:rsidR="007113F8" w:rsidRPr="00BA166F">
        <w:rPr>
          <w:rStyle w:val="Strong"/>
          <w:rFonts w:ascii="Arial" w:hAnsi="Arial" w:cs="Arial"/>
          <w:b w:val="0"/>
          <w:bCs w:val="0"/>
          <w:color w:val="000000" w:themeColor="text1"/>
          <w:sz w:val="22"/>
          <w:szCs w:val="22"/>
        </w:rPr>
        <w:t>2022</w:t>
      </w:r>
      <w:r w:rsidR="00CA1B8D" w:rsidRPr="00BA166F">
        <w:rPr>
          <w:rStyle w:val="Strong"/>
          <w:rFonts w:ascii="Arial" w:hAnsi="Arial" w:cs="Arial"/>
          <w:b w:val="0"/>
          <w:bCs w:val="0"/>
          <w:color w:val="000000" w:themeColor="text1"/>
          <w:sz w:val="22"/>
          <w:szCs w:val="22"/>
        </w:rPr>
        <w:t xml:space="preserve">) highlight </w:t>
      </w:r>
      <w:r w:rsidR="00A85687" w:rsidRPr="00BA166F">
        <w:rPr>
          <w:rStyle w:val="Strong"/>
          <w:rFonts w:ascii="Arial" w:hAnsi="Arial" w:cs="Arial"/>
          <w:b w:val="0"/>
          <w:bCs w:val="0"/>
          <w:color w:val="000000" w:themeColor="text1"/>
          <w:sz w:val="22"/>
          <w:szCs w:val="22"/>
        </w:rPr>
        <w:t xml:space="preserve">that </w:t>
      </w:r>
      <w:r w:rsidR="00CA1B8D" w:rsidRPr="00BA166F">
        <w:rPr>
          <w:rFonts w:ascii="Arial" w:hAnsi="Arial" w:cs="Arial"/>
          <w:color w:val="000000" w:themeColor="text1"/>
          <w:sz w:val="22"/>
          <w:szCs w:val="22"/>
        </w:rPr>
        <w:t>w</w:t>
      </w:r>
      <w:r w:rsidRPr="00BA166F">
        <w:rPr>
          <w:rFonts w:ascii="Arial" w:hAnsi="Arial" w:cs="Arial"/>
          <w:color w:val="000000" w:themeColor="text1"/>
          <w:sz w:val="22"/>
          <w:szCs w:val="22"/>
        </w:rPr>
        <w:t>hile international recruitment can provide a short-term solution to labour shortages, it may increase the sector's reliance on migration policy and foreign labour markets</w:t>
      </w:r>
      <w:r w:rsidR="007113F8" w:rsidRPr="00BA166F">
        <w:rPr>
          <w:rFonts w:ascii="Arial" w:hAnsi="Arial" w:cs="Arial"/>
          <w:color w:val="000000" w:themeColor="text1"/>
          <w:sz w:val="22"/>
          <w:szCs w:val="22"/>
        </w:rPr>
        <w:t>.</w:t>
      </w:r>
      <w:r w:rsidR="00343480" w:rsidRPr="00BA166F">
        <w:rPr>
          <w:rFonts w:ascii="Arial" w:hAnsi="Arial" w:cs="Arial"/>
          <w:color w:val="000000" w:themeColor="text1"/>
          <w:sz w:val="22"/>
          <w:szCs w:val="22"/>
        </w:rPr>
        <w:t xml:space="preserve"> </w:t>
      </w:r>
      <w:r w:rsidRPr="00BA166F">
        <w:rPr>
          <w:rFonts w:ascii="Arial" w:hAnsi="Arial" w:cs="Arial"/>
          <w:color w:val="000000" w:themeColor="text1"/>
          <w:sz w:val="22"/>
          <w:szCs w:val="22"/>
        </w:rPr>
        <w:t>Changes in immigration regulations or recruitment limits may therefore have an impact on workforce supply and cause additional staffing challenges</w:t>
      </w:r>
      <w:r w:rsidR="00343480" w:rsidRPr="00BA166F">
        <w:rPr>
          <w:rFonts w:ascii="Arial" w:hAnsi="Arial" w:cs="Arial"/>
          <w:color w:val="000000" w:themeColor="text1"/>
          <w:sz w:val="22"/>
          <w:szCs w:val="22"/>
        </w:rPr>
        <w:t xml:space="preserve"> (</w:t>
      </w:r>
      <w:r w:rsidR="00343480" w:rsidRPr="00BA166F">
        <w:rPr>
          <w:rStyle w:val="Strong"/>
          <w:rFonts w:ascii="Arial" w:hAnsi="Arial" w:cs="Arial"/>
          <w:b w:val="0"/>
          <w:bCs w:val="0"/>
          <w:color w:val="000000" w:themeColor="text1"/>
          <w:sz w:val="22"/>
          <w:szCs w:val="22"/>
        </w:rPr>
        <w:t>Portes and Springford, 2023</w:t>
      </w:r>
      <w:r w:rsidR="00343480" w:rsidRPr="00BA166F">
        <w:rPr>
          <w:rFonts w:ascii="Arial" w:hAnsi="Arial" w:cs="Arial"/>
          <w:color w:val="000000" w:themeColor="text1"/>
          <w:sz w:val="22"/>
          <w:szCs w:val="22"/>
        </w:rPr>
        <w:t>)</w:t>
      </w:r>
      <w:r w:rsidRPr="00BA166F">
        <w:rPr>
          <w:rFonts w:ascii="Arial" w:hAnsi="Arial" w:cs="Arial"/>
          <w:b/>
          <w:bCs/>
          <w:color w:val="000000" w:themeColor="text1"/>
          <w:sz w:val="22"/>
          <w:szCs w:val="22"/>
        </w:rPr>
        <w:t>.</w:t>
      </w:r>
      <w:r w:rsidRPr="00BA166F">
        <w:rPr>
          <w:rFonts w:ascii="Arial" w:hAnsi="Arial" w:cs="Arial"/>
          <w:color w:val="000000" w:themeColor="text1"/>
          <w:sz w:val="22"/>
          <w:szCs w:val="22"/>
        </w:rPr>
        <w:t xml:space="preserve"> Furthermore, prolonged dependence on </w:t>
      </w:r>
      <w:r w:rsidRPr="00BA166F">
        <w:rPr>
          <w:rFonts w:ascii="Arial" w:hAnsi="Arial" w:cs="Arial"/>
          <w:color w:val="000000" w:themeColor="text1"/>
          <w:sz w:val="22"/>
          <w:szCs w:val="22"/>
        </w:rPr>
        <w:lastRenderedPageBreak/>
        <w:t>international recruitment could shift focus away from underlying workforce issues such as retention difficulties, limited career prospects, and working conditions (Migration Advisory Committee, 2022). As a result, while migration policy and international recruitment help to ensure workforce sustainability, long-term workforce stability will most likely require both overseas recruitment and domestic workforce improvements (The King's Fund, 2024).</w:t>
      </w:r>
    </w:p>
    <w:p w14:paraId="7F953281" w14:textId="58EA73E2" w:rsidR="00C267E2" w:rsidRPr="008E69DC" w:rsidRDefault="008B747E" w:rsidP="00F9646C">
      <w:pPr>
        <w:pStyle w:val="Heading2"/>
        <w:rPr>
          <w:rFonts w:ascii="Arial" w:hAnsi="Arial" w:cs="Arial"/>
          <w:i/>
          <w:iCs/>
          <w:color w:val="000000" w:themeColor="text1"/>
          <w:sz w:val="28"/>
          <w:szCs w:val="28"/>
        </w:rPr>
      </w:pPr>
      <w:r w:rsidRPr="008E69DC">
        <w:rPr>
          <w:rFonts w:ascii="Arial" w:hAnsi="Arial" w:cs="Arial"/>
          <w:color w:val="000000" w:themeColor="text1"/>
          <w:sz w:val="28"/>
          <w:szCs w:val="28"/>
        </w:rPr>
        <w:t xml:space="preserve">4.4.7 </w:t>
      </w:r>
      <w:r w:rsidR="00C267E2" w:rsidRPr="008E69DC">
        <w:rPr>
          <w:rFonts w:ascii="Arial" w:hAnsi="Arial" w:cs="Arial"/>
          <w:color w:val="000000" w:themeColor="text1"/>
          <w:sz w:val="28"/>
          <w:szCs w:val="28"/>
        </w:rPr>
        <w:t>Examples from Your Articles</w:t>
      </w:r>
    </w:p>
    <w:p w14:paraId="0977FFD5" w14:textId="77777777" w:rsidR="00A8449D" w:rsidRPr="00A8449D" w:rsidRDefault="00A8449D" w:rsidP="00305CCE">
      <w:pPr>
        <w:pStyle w:val="NormalWeb"/>
        <w:spacing w:line="360" w:lineRule="auto"/>
        <w:jc w:val="both"/>
        <w:rPr>
          <w:rFonts w:ascii="Arial" w:hAnsi="Arial" w:cs="Arial"/>
          <w:color w:val="000000"/>
          <w:sz w:val="22"/>
          <w:szCs w:val="22"/>
        </w:rPr>
      </w:pPr>
      <w:r w:rsidRPr="00B265BC">
        <w:rPr>
          <w:rFonts w:ascii="Arial" w:hAnsi="Arial" w:cs="Arial"/>
          <w:color w:val="000000" w:themeColor="text1"/>
          <w:sz w:val="22"/>
          <w:szCs w:val="22"/>
        </w:rPr>
        <w:t xml:space="preserve">The findings from Papers 1 (Arfeen </w:t>
      </w:r>
      <w:r w:rsidRPr="00B265BC">
        <w:rPr>
          <w:rFonts w:ascii="Arial" w:hAnsi="Arial" w:cs="Arial"/>
          <w:i/>
          <w:iCs/>
          <w:color w:val="000000" w:themeColor="text1"/>
          <w:sz w:val="22"/>
          <w:szCs w:val="22"/>
        </w:rPr>
        <w:t>et al.,</w:t>
      </w:r>
      <w:r w:rsidRPr="00B265BC">
        <w:rPr>
          <w:rFonts w:ascii="Arial" w:hAnsi="Arial" w:cs="Arial"/>
          <w:color w:val="000000" w:themeColor="text1"/>
          <w:sz w:val="22"/>
          <w:szCs w:val="22"/>
        </w:rPr>
        <w:t xml:space="preserve"> 2025), 2 (Turnpenny and Hussein, 2022), and 3 (Marino and Keizer, 2023) suggest that migration policies and international recruitment have a major impact on staffing supply in the UK ASC sector. Paper 2 discusses how migrant workers have become increasingly important in providing care services, especially in response </w:t>
      </w:r>
      <w:r w:rsidRPr="00A8449D">
        <w:rPr>
          <w:rFonts w:ascii="Arial" w:hAnsi="Arial" w:cs="Arial"/>
          <w:color w:val="000000"/>
          <w:sz w:val="22"/>
          <w:szCs w:val="22"/>
        </w:rPr>
        <w:t>to ongoing workforce shortages. According to the study, overseas recruitment has helped to maintain service delivery by providing an alternative source of labour when domestic recruitment is insufficient.</w:t>
      </w:r>
    </w:p>
    <w:p w14:paraId="4B301DF7" w14:textId="64A6182A" w:rsidR="0010674F" w:rsidRPr="009219E5" w:rsidRDefault="006069F5" w:rsidP="00305CCE">
      <w:pPr>
        <w:pStyle w:val="isselectedend"/>
        <w:spacing w:line="360" w:lineRule="auto"/>
        <w:jc w:val="both"/>
        <w:rPr>
          <w:rFonts w:ascii="Arial" w:hAnsi="Arial" w:cs="Arial"/>
          <w:color w:val="000000"/>
          <w:sz w:val="22"/>
          <w:szCs w:val="22"/>
        </w:rPr>
      </w:pPr>
      <w:r w:rsidRPr="006069F5">
        <w:rPr>
          <w:rFonts w:ascii="Arial" w:hAnsi="Arial" w:cs="Arial"/>
          <w:color w:val="000000"/>
          <w:sz w:val="22"/>
          <w:szCs w:val="22"/>
        </w:rPr>
        <w:t>Similarly, Paper 1 argues that migrant workers have become critical to the delivery of health and care services in the UK. The study suggests that migration policies directly influence workforce availability by affecting the recruitment and retention of migrant workers.</w:t>
      </w:r>
      <w:r>
        <w:rPr>
          <w:rFonts w:ascii="-webkit-standard" w:hAnsi="-webkit-standard"/>
          <w:color w:val="000000"/>
          <w:sz w:val="27"/>
          <w:szCs w:val="27"/>
        </w:rPr>
        <w:t xml:space="preserve"> </w:t>
      </w:r>
      <w:r w:rsidR="003A0663" w:rsidRPr="009219E5">
        <w:rPr>
          <w:rFonts w:ascii="Arial" w:hAnsi="Arial" w:cs="Arial"/>
          <w:color w:val="000000"/>
          <w:sz w:val="22"/>
          <w:szCs w:val="22"/>
        </w:rPr>
        <w:t>This supports the view that international recruitment has become an important workforce strategy for addressing staffing shortages.</w:t>
      </w:r>
    </w:p>
    <w:p w14:paraId="43044EAC" w14:textId="0B7138AA" w:rsidR="00913643" w:rsidRPr="009219E5" w:rsidRDefault="00913643" w:rsidP="00305CCE">
      <w:pPr>
        <w:pStyle w:val="NormalWeb"/>
        <w:spacing w:line="360" w:lineRule="auto"/>
        <w:jc w:val="both"/>
        <w:rPr>
          <w:rFonts w:ascii="Arial" w:hAnsi="Arial" w:cs="Arial"/>
          <w:color w:val="000000"/>
          <w:sz w:val="22"/>
          <w:szCs w:val="22"/>
        </w:rPr>
      </w:pPr>
      <w:r w:rsidRPr="009219E5">
        <w:rPr>
          <w:rFonts w:ascii="Arial" w:hAnsi="Arial" w:cs="Arial"/>
          <w:color w:val="000000"/>
          <w:sz w:val="22"/>
          <w:szCs w:val="22"/>
        </w:rPr>
        <w:t>Paper 3 suggests a more critical perspective. While acknowledging the importance of migrant  workers, the study argues that demand for migrant labour is impacted not only by workforce shortages, but also by labour market structures and working conditions in the care sector. This implies that while overseas recruitment may help fill staffing </w:t>
      </w:r>
      <w:r w:rsidR="002C70EC" w:rsidRPr="009219E5">
        <w:rPr>
          <w:rFonts w:ascii="Arial" w:hAnsi="Arial" w:cs="Arial"/>
          <w:color w:val="000000"/>
          <w:sz w:val="22"/>
          <w:szCs w:val="22"/>
        </w:rPr>
        <w:t>gaps</w:t>
      </w:r>
      <w:r w:rsidRPr="009219E5">
        <w:rPr>
          <w:rFonts w:ascii="Arial" w:hAnsi="Arial" w:cs="Arial"/>
          <w:color w:val="000000"/>
          <w:sz w:val="22"/>
          <w:szCs w:val="22"/>
        </w:rPr>
        <w:t>, it does not always address the underlying reasons of recruitment challenges.</w:t>
      </w:r>
    </w:p>
    <w:p w14:paraId="13C4E023" w14:textId="2A55CC09" w:rsidR="00CD7F09" w:rsidRPr="009219E5" w:rsidRDefault="009A1515" w:rsidP="00305CCE">
      <w:pPr>
        <w:pStyle w:val="NormalWeb"/>
        <w:spacing w:line="360" w:lineRule="auto"/>
        <w:jc w:val="both"/>
        <w:rPr>
          <w:rFonts w:ascii="Arial" w:hAnsi="Arial" w:cs="Arial"/>
          <w:color w:val="000000"/>
          <w:sz w:val="22"/>
          <w:szCs w:val="22"/>
        </w:rPr>
      </w:pPr>
      <w:r w:rsidRPr="009219E5">
        <w:rPr>
          <w:rFonts w:ascii="Arial" w:hAnsi="Arial" w:cs="Arial"/>
          <w:color w:val="000000"/>
          <w:sz w:val="22"/>
          <w:szCs w:val="22"/>
        </w:rPr>
        <w:t>Overall, these findings demonstrate that migration policy and foreign recruitment have a significant impact on workforce sustainability. Papers 1 and 2 commonly agree that migrant workers contribute to workforce capacity and continuity of care, however Paper 3 emphasises the risk that reliance on foreign recruiting may mask structural challenges. These findings contribute to the study question by demonstrating that migrant</w:t>
      </w:r>
      <w:r w:rsidR="00547727">
        <w:rPr>
          <w:rFonts w:ascii="Arial" w:hAnsi="Arial" w:cs="Arial"/>
          <w:color w:val="000000"/>
          <w:sz w:val="22"/>
          <w:szCs w:val="22"/>
        </w:rPr>
        <w:t xml:space="preserve"> </w:t>
      </w:r>
      <w:r w:rsidR="009219E5" w:rsidRPr="009219E5">
        <w:rPr>
          <w:rFonts w:ascii="Arial" w:hAnsi="Arial" w:cs="Arial"/>
          <w:color w:val="000000"/>
          <w:sz w:val="22"/>
          <w:szCs w:val="22"/>
        </w:rPr>
        <w:t>Workers play an important role in supporting the UK ASC workforce, but long-term viability is likely to be dependent on both international recruiting and improvements in domestic workforce conditions.</w:t>
      </w:r>
    </w:p>
    <w:p w14:paraId="1E4CEC22" w14:textId="6ED9E97E" w:rsidR="00C267E2" w:rsidRPr="008E69DC" w:rsidRDefault="008B747E" w:rsidP="00453985">
      <w:pPr>
        <w:pStyle w:val="Heading2"/>
        <w:rPr>
          <w:rFonts w:ascii="Arial" w:hAnsi="Arial" w:cs="Arial"/>
          <w:i/>
          <w:iCs/>
          <w:color w:val="000000" w:themeColor="text1"/>
          <w:sz w:val="28"/>
          <w:szCs w:val="28"/>
        </w:rPr>
      </w:pPr>
      <w:r w:rsidRPr="008E69DC">
        <w:rPr>
          <w:rFonts w:ascii="Arial" w:hAnsi="Arial" w:cs="Arial"/>
          <w:color w:val="000000" w:themeColor="text1"/>
          <w:sz w:val="28"/>
          <w:szCs w:val="28"/>
        </w:rPr>
        <w:lastRenderedPageBreak/>
        <w:t>4.4.</w:t>
      </w:r>
      <w:r w:rsidR="00D52290" w:rsidRPr="008E69DC">
        <w:rPr>
          <w:rFonts w:ascii="Arial" w:hAnsi="Arial" w:cs="Arial"/>
          <w:color w:val="000000" w:themeColor="text1"/>
          <w:sz w:val="28"/>
          <w:szCs w:val="28"/>
        </w:rPr>
        <w:t xml:space="preserve">8 </w:t>
      </w:r>
      <w:r w:rsidR="00C267E2" w:rsidRPr="008E69DC">
        <w:rPr>
          <w:rFonts w:ascii="Arial" w:hAnsi="Arial" w:cs="Arial"/>
          <w:color w:val="000000" w:themeColor="text1"/>
          <w:sz w:val="28"/>
          <w:szCs w:val="28"/>
        </w:rPr>
        <w:t>Connections to Other Themes</w:t>
      </w:r>
    </w:p>
    <w:p w14:paraId="7FA4F98E" w14:textId="7550EB5C" w:rsidR="00BB4FF9" w:rsidRPr="00B265BC" w:rsidRDefault="00BB4FF9" w:rsidP="00305CCE">
      <w:pPr>
        <w:pStyle w:val="Heading2"/>
        <w:rPr>
          <w:rFonts w:ascii="Arial" w:hAnsi="Arial" w:cs="Arial"/>
          <w:color w:val="000000" w:themeColor="text1"/>
          <w:sz w:val="22"/>
          <w:szCs w:val="22"/>
        </w:rPr>
      </w:pPr>
      <w:r w:rsidRPr="00B265BC">
        <w:rPr>
          <w:rFonts w:ascii="Arial" w:hAnsi="Arial" w:cs="Arial"/>
          <w:color w:val="000000" w:themeColor="text1"/>
          <w:sz w:val="22"/>
          <w:szCs w:val="22"/>
        </w:rPr>
        <w:t>This theme is closely connected to the other themes identified in the research. Workforce shortages have raised the demand for international recruiting, making migration policy a crucial element in determining the availability of migrant workers in the ASC sector. At the same time, the success of international recruitment is determined not only by attracting international workers, but also by ensuring their well-being, job satisfaction, and retention. As a result, migration policy, workforce shortages, and migrant worker experiences are closely interconnected and determine the long-term viability of the UK ASC workforce</w:t>
      </w:r>
      <w:r w:rsidR="00334CC6" w:rsidRPr="00B265BC">
        <w:rPr>
          <w:rFonts w:ascii="Arial" w:hAnsi="Arial" w:cs="Arial"/>
          <w:color w:val="000000" w:themeColor="text1"/>
          <w:sz w:val="22"/>
          <w:szCs w:val="22"/>
        </w:rPr>
        <w:t xml:space="preserve"> (UK Parliament POST, 2025).</w:t>
      </w:r>
    </w:p>
    <w:p w14:paraId="22A89200" w14:textId="77777777" w:rsidR="002B563F" w:rsidRPr="00B91F4C" w:rsidRDefault="00C267E2" w:rsidP="002B563F">
      <w:pPr>
        <w:pStyle w:val="pdq2pgselectionanchorcontainer"/>
        <w:spacing w:line="360" w:lineRule="auto"/>
        <w:rPr>
          <w:rFonts w:ascii="Arial" w:hAnsi="Arial" w:cs="Arial"/>
          <w:b/>
          <w:bCs/>
          <w:color w:val="000000"/>
          <w:sz w:val="32"/>
          <w:szCs w:val="32"/>
        </w:rPr>
      </w:pPr>
      <w:r w:rsidRPr="00B91F4C">
        <w:rPr>
          <w:rFonts w:ascii="Arial" w:hAnsi="Arial" w:cs="Arial"/>
          <w:b/>
          <w:bCs/>
          <w:sz w:val="32"/>
          <w:szCs w:val="32"/>
        </w:rPr>
        <w:t xml:space="preserve">4.5 – Theme 3 </w:t>
      </w:r>
      <w:r w:rsidR="002B563F" w:rsidRPr="00182678">
        <w:rPr>
          <w:rStyle w:val="Strong"/>
          <w:rFonts w:ascii="Arial" w:hAnsi="Arial" w:cs="Arial"/>
          <w:color w:val="000000"/>
          <w:sz w:val="32"/>
          <w:szCs w:val="32"/>
        </w:rPr>
        <w:t>Migrant Worker Experiences, Wellbeing, and Workforce Sustainability</w:t>
      </w:r>
    </w:p>
    <w:p w14:paraId="0A5638EF" w14:textId="41FDFF90" w:rsidR="00A23B6F" w:rsidRPr="006E48FD" w:rsidRDefault="00D52290" w:rsidP="00453985">
      <w:pPr>
        <w:pStyle w:val="Heading2"/>
        <w:rPr>
          <w:rStyle w:val="Strong"/>
          <w:rFonts w:ascii="Arial" w:hAnsi="Arial" w:cs="Arial"/>
          <w:b w:val="0"/>
          <w:bCs w:val="0"/>
          <w:color w:val="000000" w:themeColor="text1"/>
          <w:sz w:val="28"/>
          <w:szCs w:val="28"/>
        </w:rPr>
      </w:pPr>
      <w:r w:rsidRPr="006E48FD">
        <w:rPr>
          <w:rStyle w:val="Strong"/>
          <w:rFonts w:ascii="Arial" w:hAnsi="Arial" w:cs="Arial"/>
          <w:b w:val="0"/>
          <w:bCs w:val="0"/>
          <w:color w:val="000000" w:themeColor="text1"/>
          <w:sz w:val="28"/>
          <w:szCs w:val="28"/>
        </w:rPr>
        <w:t xml:space="preserve">4.5.1 </w:t>
      </w:r>
      <w:r w:rsidR="00C267E2" w:rsidRPr="006E48FD">
        <w:rPr>
          <w:rStyle w:val="Strong"/>
          <w:rFonts w:ascii="Arial" w:hAnsi="Arial" w:cs="Arial"/>
          <w:b w:val="0"/>
          <w:bCs w:val="0"/>
          <w:color w:val="000000" w:themeColor="text1"/>
          <w:sz w:val="28"/>
          <w:szCs w:val="28"/>
        </w:rPr>
        <w:t>Definition</w:t>
      </w:r>
    </w:p>
    <w:p w14:paraId="60FEA3DF" w14:textId="2D4D00B0" w:rsidR="00B53DF4" w:rsidRPr="00B265BC" w:rsidRDefault="00B53DF4" w:rsidP="00305CCE">
      <w:pPr>
        <w:spacing w:before="100" w:beforeAutospacing="1" w:after="100" w:afterAutospacing="1"/>
        <w:rPr>
          <w:rFonts w:ascii="Arial" w:hAnsi="Arial" w:cs="Arial"/>
          <w:b/>
          <w:bCs/>
          <w:color w:val="000000" w:themeColor="text1"/>
          <w:sz w:val="28"/>
          <w:szCs w:val="28"/>
        </w:rPr>
      </w:pPr>
      <w:r w:rsidRPr="00B265BC">
        <w:rPr>
          <w:rFonts w:ascii="Arial" w:hAnsi="Arial" w:cs="Arial"/>
          <w:color w:val="000000" w:themeColor="text1"/>
        </w:rPr>
        <w:t>Migrant worker experiences refer to the personal and professional experiences of individuals who work in the UK</w:t>
      </w:r>
      <w:r w:rsidR="00925927" w:rsidRPr="00B265BC">
        <w:rPr>
          <w:rFonts w:ascii="Arial" w:hAnsi="Arial" w:cs="Arial"/>
          <w:color w:val="000000" w:themeColor="text1"/>
        </w:rPr>
        <w:t xml:space="preserve"> </w:t>
      </w:r>
      <w:r w:rsidRPr="00B265BC">
        <w:rPr>
          <w:rFonts w:ascii="Arial" w:hAnsi="Arial" w:cs="Arial"/>
          <w:color w:val="000000" w:themeColor="text1"/>
        </w:rPr>
        <w:t>ASC sector outside their country of origin</w:t>
      </w:r>
      <w:r w:rsidRPr="00B265BC">
        <w:rPr>
          <w:rStyle w:val="apple-converted-space"/>
          <w:rFonts w:ascii="Arial" w:hAnsi="Arial" w:cs="Arial"/>
          <w:color w:val="000000" w:themeColor="text1"/>
        </w:rPr>
        <w:t> </w:t>
      </w:r>
      <w:r w:rsidRPr="00B265BC">
        <w:rPr>
          <w:rStyle w:val="Strong"/>
          <w:rFonts w:ascii="Arial" w:hAnsi="Arial" w:cs="Arial"/>
          <w:b w:val="0"/>
          <w:bCs w:val="0"/>
          <w:color w:val="000000" w:themeColor="text1"/>
        </w:rPr>
        <w:t>(Hussein, 2022).</w:t>
      </w:r>
      <w:r w:rsidRPr="00B265BC">
        <w:rPr>
          <w:rStyle w:val="apple-converted-space"/>
          <w:rFonts w:ascii="Arial" w:hAnsi="Arial" w:cs="Arial"/>
          <w:b/>
          <w:bCs/>
          <w:color w:val="000000" w:themeColor="text1"/>
        </w:rPr>
        <w:t> </w:t>
      </w:r>
      <w:r w:rsidRPr="00B265BC">
        <w:rPr>
          <w:rFonts w:ascii="Arial" w:hAnsi="Arial" w:cs="Arial"/>
          <w:color w:val="000000" w:themeColor="text1"/>
        </w:rPr>
        <w:t>These experiences include working conditions, job satisfaction, wellbeing, workplace relationships, and opportunities for career progression. Workforce sustainability refers to the ASC sector's ability to recruit, retain, and support a skilled workforce capable of meeting the growing demand for care services</w:t>
      </w:r>
      <w:r w:rsidRPr="00B265BC">
        <w:rPr>
          <w:rStyle w:val="apple-converted-space"/>
          <w:rFonts w:ascii="Arial" w:hAnsi="Arial" w:cs="Arial"/>
          <w:color w:val="000000" w:themeColor="text1"/>
        </w:rPr>
        <w:t> </w:t>
      </w:r>
      <w:r w:rsidRPr="00B265BC">
        <w:rPr>
          <w:rStyle w:val="Strong"/>
          <w:rFonts w:ascii="Arial" w:hAnsi="Arial" w:cs="Arial"/>
          <w:b w:val="0"/>
          <w:bCs w:val="0"/>
          <w:color w:val="000000" w:themeColor="text1"/>
        </w:rPr>
        <w:t xml:space="preserve">(Eriksson </w:t>
      </w:r>
      <w:r w:rsidRPr="00B265BC">
        <w:rPr>
          <w:rStyle w:val="Strong"/>
          <w:rFonts w:ascii="Arial" w:hAnsi="Arial" w:cs="Arial"/>
          <w:b w:val="0"/>
          <w:bCs w:val="0"/>
          <w:i/>
          <w:iCs/>
          <w:color w:val="000000" w:themeColor="text1"/>
        </w:rPr>
        <w:t xml:space="preserve">et al., </w:t>
      </w:r>
      <w:r w:rsidRPr="00B265BC">
        <w:rPr>
          <w:rStyle w:val="Strong"/>
          <w:rFonts w:ascii="Arial" w:hAnsi="Arial" w:cs="Arial"/>
          <w:b w:val="0"/>
          <w:bCs w:val="0"/>
          <w:color w:val="000000" w:themeColor="text1"/>
        </w:rPr>
        <w:t>2023).</w:t>
      </w:r>
      <w:r w:rsidRPr="00B265BC">
        <w:rPr>
          <w:rStyle w:val="apple-converted-space"/>
          <w:rFonts w:ascii="Arial" w:hAnsi="Arial" w:cs="Arial"/>
          <w:color w:val="000000" w:themeColor="text1"/>
        </w:rPr>
        <w:t> </w:t>
      </w:r>
      <w:r w:rsidRPr="00B265BC">
        <w:rPr>
          <w:rFonts w:ascii="Arial" w:hAnsi="Arial" w:cs="Arial"/>
          <w:color w:val="000000" w:themeColor="text1"/>
        </w:rPr>
        <w:t>This theme explores how migrant workers' experiences and wellbeing influence workforce sustainability and the long-term stability of the UK ASC workforce.</w:t>
      </w:r>
    </w:p>
    <w:p w14:paraId="67B40AAE" w14:textId="0CEE87EE" w:rsidR="00C267E2" w:rsidRPr="006E48FD" w:rsidRDefault="00D52290" w:rsidP="00453985">
      <w:pPr>
        <w:pStyle w:val="Heading2"/>
        <w:rPr>
          <w:rFonts w:ascii="Arial" w:hAnsi="Arial" w:cs="Arial"/>
          <w:i/>
          <w:iCs/>
          <w:color w:val="000000" w:themeColor="text1"/>
          <w:sz w:val="28"/>
          <w:szCs w:val="28"/>
        </w:rPr>
      </w:pPr>
      <w:r w:rsidRPr="006E48FD">
        <w:rPr>
          <w:rFonts w:ascii="Arial" w:hAnsi="Arial" w:cs="Arial"/>
          <w:color w:val="000000" w:themeColor="text1"/>
          <w:sz w:val="28"/>
          <w:szCs w:val="28"/>
        </w:rPr>
        <w:t xml:space="preserve">4.5.2 </w:t>
      </w:r>
      <w:r w:rsidR="00C267E2" w:rsidRPr="006E48FD">
        <w:rPr>
          <w:rFonts w:ascii="Arial" w:hAnsi="Arial" w:cs="Arial"/>
          <w:color w:val="000000" w:themeColor="text1"/>
          <w:sz w:val="28"/>
          <w:szCs w:val="28"/>
        </w:rPr>
        <w:t>Background Information</w:t>
      </w:r>
    </w:p>
    <w:p w14:paraId="1E09914A" w14:textId="728F5FC1" w:rsidR="00EB2E41" w:rsidRPr="000E7EBF" w:rsidRDefault="00EB2E41" w:rsidP="00305CCE">
      <w:pPr>
        <w:pStyle w:val="pdq2pgselectionanchorcontainer"/>
        <w:spacing w:line="360" w:lineRule="auto"/>
        <w:jc w:val="both"/>
        <w:rPr>
          <w:rFonts w:ascii="Arial" w:hAnsi="Arial" w:cs="Arial"/>
          <w:color w:val="000000" w:themeColor="text1"/>
          <w:sz w:val="22"/>
          <w:szCs w:val="22"/>
        </w:rPr>
      </w:pPr>
      <w:r w:rsidRPr="000E7EBF">
        <w:rPr>
          <w:rFonts w:ascii="Arial" w:hAnsi="Arial" w:cs="Arial"/>
          <w:color w:val="000000" w:themeColor="text1"/>
          <w:sz w:val="22"/>
          <w:szCs w:val="22"/>
        </w:rPr>
        <w:t>As the UK</w:t>
      </w:r>
      <w:r w:rsidR="008F1520" w:rsidRPr="000E7EBF">
        <w:rPr>
          <w:rFonts w:ascii="Arial" w:hAnsi="Arial" w:cs="Arial"/>
          <w:color w:val="000000" w:themeColor="text1"/>
          <w:sz w:val="22"/>
          <w:szCs w:val="22"/>
        </w:rPr>
        <w:t>’s</w:t>
      </w:r>
      <w:r w:rsidRPr="000E7EBF">
        <w:rPr>
          <w:rFonts w:ascii="Arial" w:hAnsi="Arial" w:cs="Arial"/>
          <w:color w:val="000000" w:themeColor="text1"/>
          <w:sz w:val="22"/>
          <w:szCs w:val="22"/>
        </w:rPr>
        <w:t xml:space="preserve"> ASC</w:t>
      </w:r>
      <w:r w:rsidR="008F1520" w:rsidRPr="000E7EBF">
        <w:rPr>
          <w:rFonts w:ascii="Arial" w:hAnsi="Arial" w:cs="Arial"/>
          <w:color w:val="000000" w:themeColor="text1"/>
          <w:sz w:val="22"/>
          <w:szCs w:val="22"/>
        </w:rPr>
        <w:t xml:space="preserve"> </w:t>
      </w:r>
      <w:r w:rsidRPr="000E7EBF">
        <w:rPr>
          <w:rFonts w:ascii="Arial" w:hAnsi="Arial" w:cs="Arial"/>
          <w:color w:val="000000" w:themeColor="text1"/>
          <w:sz w:val="22"/>
          <w:szCs w:val="22"/>
        </w:rPr>
        <w:t xml:space="preserve">sector has become more reliant on migrant workers to address workforce shortages, there has been an increased emphasis on their work experiences. This is particularly important as the UK's ageing population continues to increase the demand for </w:t>
      </w:r>
      <w:r w:rsidR="00EE3ACA" w:rsidRPr="000E7EBF">
        <w:rPr>
          <w:rFonts w:ascii="Arial" w:hAnsi="Arial" w:cs="Arial"/>
          <w:color w:val="000000" w:themeColor="text1"/>
          <w:sz w:val="22"/>
          <w:szCs w:val="22"/>
        </w:rPr>
        <w:t>ASC</w:t>
      </w:r>
      <w:r w:rsidRPr="000E7EBF">
        <w:rPr>
          <w:rFonts w:ascii="Arial" w:hAnsi="Arial" w:cs="Arial"/>
          <w:color w:val="000000" w:themeColor="text1"/>
          <w:sz w:val="22"/>
          <w:szCs w:val="22"/>
        </w:rPr>
        <w:t xml:space="preserve"> services, placing additional pressure on an already stretched workforce.</w:t>
      </w:r>
      <w:r w:rsidRPr="000E7EBF">
        <w:rPr>
          <w:rStyle w:val="apple-converted-space"/>
          <w:rFonts w:ascii="Arial" w:hAnsi="Arial" w:cs="Arial"/>
          <w:color w:val="000000" w:themeColor="text1"/>
          <w:sz w:val="22"/>
          <w:szCs w:val="22"/>
        </w:rPr>
        <w:t> </w:t>
      </w:r>
      <w:r w:rsidRPr="000E7EBF">
        <w:rPr>
          <w:rStyle w:val="Strong"/>
          <w:rFonts w:ascii="Arial" w:hAnsi="Arial" w:cs="Arial"/>
          <w:b w:val="0"/>
          <w:bCs w:val="0"/>
          <w:color w:val="000000" w:themeColor="text1"/>
          <w:sz w:val="22"/>
          <w:szCs w:val="22"/>
        </w:rPr>
        <w:t xml:space="preserve">According to Buchan </w:t>
      </w:r>
      <w:r w:rsidRPr="000E7EBF">
        <w:rPr>
          <w:rStyle w:val="Strong"/>
          <w:rFonts w:ascii="Arial" w:hAnsi="Arial" w:cs="Arial"/>
          <w:b w:val="0"/>
          <w:bCs w:val="0"/>
          <w:i/>
          <w:iCs/>
          <w:color w:val="000000" w:themeColor="text1"/>
          <w:sz w:val="22"/>
          <w:szCs w:val="22"/>
        </w:rPr>
        <w:t>et al</w:t>
      </w:r>
      <w:r w:rsidR="000E7EBF" w:rsidRPr="000E7EBF">
        <w:rPr>
          <w:rStyle w:val="Strong"/>
          <w:rFonts w:ascii="Arial" w:hAnsi="Arial" w:cs="Arial"/>
          <w:b w:val="0"/>
          <w:bCs w:val="0"/>
          <w:i/>
          <w:iCs/>
          <w:color w:val="000000" w:themeColor="text1"/>
          <w:sz w:val="22"/>
          <w:szCs w:val="22"/>
        </w:rPr>
        <w:t>.,</w:t>
      </w:r>
      <w:r w:rsidRPr="000E7EBF">
        <w:rPr>
          <w:rStyle w:val="Strong"/>
          <w:rFonts w:ascii="Arial" w:hAnsi="Arial" w:cs="Arial"/>
          <w:b w:val="0"/>
          <w:bCs w:val="0"/>
          <w:color w:val="000000" w:themeColor="text1"/>
          <w:sz w:val="22"/>
          <w:szCs w:val="22"/>
        </w:rPr>
        <w:t xml:space="preserve"> (2019),</w:t>
      </w:r>
      <w:r w:rsidRPr="000E7EBF">
        <w:rPr>
          <w:rStyle w:val="apple-converted-space"/>
          <w:rFonts w:ascii="Arial" w:hAnsi="Arial" w:cs="Arial"/>
          <w:b/>
          <w:bCs/>
          <w:color w:val="000000" w:themeColor="text1"/>
          <w:sz w:val="22"/>
          <w:szCs w:val="22"/>
        </w:rPr>
        <w:t> </w:t>
      </w:r>
      <w:r w:rsidRPr="000E7EBF">
        <w:rPr>
          <w:rFonts w:ascii="Arial" w:hAnsi="Arial" w:cs="Arial"/>
          <w:color w:val="000000" w:themeColor="text1"/>
          <w:sz w:val="22"/>
          <w:szCs w:val="22"/>
        </w:rPr>
        <w:t>increasing demand for health and social care services has placed growing pressure on workforce capacity across the UK.</w:t>
      </w:r>
    </w:p>
    <w:p w14:paraId="7017824C" w14:textId="77777777" w:rsidR="00EB2E41" w:rsidRPr="000E7EBF" w:rsidRDefault="00EB2E41" w:rsidP="00305CCE">
      <w:pPr>
        <w:pStyle w:val="NormalWeb"/>
        <w:spacing w:line="360" w:lineRule="auto"/>
        <w:jc w:val="both"/>
        <w:rPr>
          <w:rFonts w:ascii="Arial" w:hAnsi="Arial" w:cs="Arial"/>
          <w:color w:val="000000" w:themeColor="text1"/>
          <w:sz w:val="22"/>
          <w:szCs w:val="22"/>
        </w:rPr>
      </w:pPr>
      <w:r w:rsidRPr="000E7EBF">
        <w:rPr>
          <w:rFonts w:ascii="Arial" w:hAnsi="Arial" w:cs="Arial"/>
          <w:color w:val="000000" w:themeColor="text1"/>
          <w:sz w:val="22"/>
          <w:szCs w:val="22"/>
        </w:rPr>
        <w:t xml:space="preserve">While international recruitment has contributed to increasing workforce capacity, concerns have been raised regarding migrant workers' wellbeing, job satisfaction, retention, and career </w:t>
      </w:r>
      <w:r w:rsidRPr="000E7EBF">
        <w:rPr>
          <w:rFonts w:ascii="Arial" w:hAnsi="Arial" w:cs="Arial"/>
          <w:color w:val="000000" w:themeColor="text1"/>
          <w:sz w:val="22"/>
          <w:szCs w:val="22"/>
        </w:rPr>
        <w:lastRenderedPageBreak/>
        <w:t>progression.</w:t>
      </w:r>
      <w:r w:rsidRPr="000E7EBF">
        <w:rPr>
          <w:rStyle w:val="apple-converted-space"/>
          <w:rFonts w:ascii="Arial" w:hAnsi="Arial" w:cs="Arial"/>
          <w:color w:val="000000" w:themeColor="text1"/>
          <w:sz w:val="22"/>
          <w:szCs w:val="22"/>
        </w:rPr>
        <w:t> </w:t>
      </w:r>
      <w:r w:rsidRPr="000E7EBF">
        <w:rPr>
          <w:rStyle w:val="Strong"/>
          <w:rFonts w:ascii="Arial" w:hAnsi="Arial" w:cs="Arial"/>
          <w:b w:val="0"/>
          <w:bCs w:val="0"/>
          <w:color w:val="000000" w:themeColor="text1"/>
          <w:sz w:val="22"/>
          <w:szCs w:val="22"/>
        </w:rPr>
        <w:t>Hussein (2022) highlights</w:t>
      </w:r>
      <w:r w:rsidRPr="000E7EBF">
        <w:rPr>
          <w:rStyle w:val="apple-converted-space"/>
          <w:rFonts w:ascii="Arial" w:hAnsi="Arial" w:cs="Arial"/>
          <w:color w:val="000000" w:themeColor="text1"/>
          <w:sz w:val="22"/>
          <w:szCs w:val="22"/>
        </w:rPr>
        <w:t> </w:t>
      </w:r>
      <w:r w:rsidRPr="000E7EBF">
        <w:rPr>
          <w:rFonts w:ascii="Arial" w:hAnsi="Arial" w:cs="Arial"/>
          <w:color w:val="000000" w:themeColor="text1"/>
          <w:sz w:val="22"/>
          <w:szCs w:val="22"/>
        </w:rPr>
        <w:t>that these factors have important implications not only for individual migrant workers but also for the long-term sustainability of the care workforce.</w:t>
      </w:r>
    </w:p>
    <w:p w14:paraId="39CD3D50" w14:textId="77777777" w:rsidR="009C6680" w:rsidRDefault="00EB2E41" w:rsidP="00305CCE">
      <w:pPr>
        <w:pStyle w:val="NormalWeb"/>
        <w:spacing w:line="360" w:lineRule="auto"/>
        <w:jc w:val="both"/>
        <w:rPr>
          <w:rStyle w:val="Strong"/>
          <w:rFonts w:ascii="Arial" w:hAnsi="Arial" w:cs="Arial"/>
          <w:b w:val="0"/>
          <w:bCs w:val="0"/>
          <w:color w:val="EE0000"/>
          <w:sz w:val="22"/>
          <w:szCs w:val="22"/>
        </w:rPr>
      </w:pPr>
      <w:r w:rsidRPr="00416AB3">
        <w:rPr>
          <w:rFonts w:ascii="Arial" w:hAnsi="Arial" w:cs="Arial"/>
          <w:color w:val="000000"/>
          <w:sz w:val="22"/>
          <w:szCs w:val="22"/>
        </w:rPr>
        <w:t xml:space="preserve">In recent years, workforce sustainability has extended beyond recruitment to include supporting and retaining experienced employees. Improving working conditions, promoting staff wellbeing, and creating inclusive working environments are widely recognised as essential components of maintaining a stable and resilient ASC workforce. Consequently, understanding migrant workers' experiences has become an important aspect of improving workforce sustainability within the UK </w:t>
      </w:r>
      <w:r w:rsidRPr="000E7EBF">
        <w:rPr>
          <w:rFonts w:ascii="Arial" w:hAnsi="Arial" w:cs="Arial"/>
          <w:color w:val="000000" w:themeColor="text1"/>
          <w:sz w:val="22"/>
          <w:szCs w:val="22"/>
        </w:rPr>
        <w:t>ASC sector</w:t>
      </w:r>
      <w:r w:rsidRPr="000E7EBF">
        <w:rPr>
          <w:rStyle w:val="apple-converted-space"/>
          <w:rFonts w:ascii="Arial" w:hAnsi="Arial" w:cs="Arial"/>
          <w:color w:val="000000" w:themeColor="text1"/>
          <w:sz w:val="22"/>
          <w:szCs w:val="22"/>
        </w:rPr>
        <w:t> </w:t>
      </w:r>
      <w:r w:rsidRPr="000E7EBF">
        <w:rPr>
          <w:rStyle w:val="Strong"/>
          <w:rFonts w:ascii="Arial" w:hAnsi="Arial" w:cs="Arial"/>
          <w:b w:val="0"/>
          <w:bCs w:val="0"/>
          <w:color w:val="000000" w:themeColor="text1"/>
          <w:sz w:val="22"/>
          <w:szCs w:val="22"/>
        </w:rPr>
        <w:t>(Tawodzera, 2024).</w:t>
      </w:r>
    </w:p>
    <w:p w14:paraId="2B9BCC53" w14:textId="308FF461" w:rsidR="00A23B6F" w:rsidRPr="006E48FD" w:rsidRDefault="00335706" w:rsidP="00453985">
      <w:pPr>
        <w:pStyle w:val="Heading2"/>
        <w:rPr>
          <w:rFonts w:ascii="Arial" w:hAnsi="Arial" w:cs="Arial"/>
          <w:color w:val="000000" w:themeColor="text1"/>
          <w:sz w:val="28"/>
          <w:szCs w:val="28"/>
        </w:rPr>
      </w:pPr>
      <w:r w:rsidRPr="006E48FD">
        <w:rPr>
          <w:rFonts w:ascii="Arial" w:hAnsi="Arial" w:cs="Arial"/>
          <w:color w:val="000000" w:themeColor="text1"/>
          <w:sz w:val="28"/>
          <w:szCs w:val="28"/>
        </w:rPr>
        <w:t xml:space="preserve">4.5.3 </w:t>
      </w:r>
      <w:r w:rsidR="00C267E2" w:rsidRPr="006E48FD">
        <w:rPr>
          <w:rFonts w:ascii="Arial" w:hAnsi="Arial" w:cs="Arial"/>
          <w:color w:val="000000" w:themeColor="text1"/>
          <w:sz w:val="28"/>
          <w:szCs w:val="28"/>
        </w:rPr>
        <w:t>Impact on Research Question</w:t>
      </w:r>
    </w:p>
    <w:p w14:paraId="5BB80F6D" w14:textId="5896BAC9" w:rsidR="00D3083B" w:rsidRPr="000E7EBF" w:rsidRDefault="00D3083B" w:rsidP="000E7EBF">
      <w:pPr>
        <w:pStyle w:val="NormalWeb"/>
        <w:spacing w:line="360" w:lineRule="auto"/>
        <w:jc w:val="both"/>
        <w:rPr>
          <w:rStyle w:val="Strong"/>
          <w:rFonts w:ascii="Arial" w:hAnsi="Arial" w:cs="Arial"/>
          <w:b w:val="0"/>
          <w:bCs w:val="0"/>
          <w:color w:val="000000" w:themeColor="text1"/>
          <w:sz w:val="21"/>
          <w:szCs w:val="21"/>
        </w:rPr>
      </w:pPr>
      <w:r w:rsidRPr="000E7EBF">
        <w:rPr>
          <w:rFonts w:ascii="Arial" w:hAnsi="Arial" w:cs="Arial"/>
          <w:color w:val="000000" w:themeColor="text1"/>
          <w:sz w:val="22"/>
          <w:szCs w:val="22"/>
        </w:rPr>
        <w:t>This theme is highly relevant to the research question because migrant workers' experiences and wellbeing have a direct impact on workforce sustainability within the UK</w:t>
      </w:r>
      <w:r w:rsidR="00EE3ACA" w:rsidRPr="000E7EBF">
        <w:rPr>
          <w:rFonts w:ascii="Arial" w:hAnsi="Arial" w:cs="Arial"/>
          <w:color w:val="000000" w:themeColor="text1"/>
          <w:sz w:val="22"/>
          <w:szCs w:val="22"/>
        </w:rPr>
        <w:t xml:space="preserve"> </w:t>
      </w:r>
      <w:r w:rsidRPr="000E7EBF">
        <w:rPr>
          <w:rFonts w:ascii="Arial" w:hAnsi="Arial" w:cs="Arial"/>
          <w:color w:val="000000" w:themeColor="text1"/>
          <w:sz w:val="22"/>
          <w:szCs w:val="22"/>
        </w:rPr>
        <w:t>ASC sector. While migrant workers play an important role in addressing workforce shortages, sustaining a skilled and motivated workforce requires more than recruitment alone.</w:t>
      </w:r>
      <w:r w:rsidRPr="000E7EBF">
        <w:rPr>
          <w:rStyle w:val="apple-converted-space"/>
          <w:rFonts w:ascii="Arial" w:hAnsi="Arial" w:cs="Arial"/>
          <w:color w:val="000000" w:themeColor="text1"/>
          <w:sz w:val="22"/>
          <w:szCs w:val="22"/>
        </w:rPr>
        <w:t> </w:t>
      </w:r>
      <w:r w:rsidRPr="000E7EBF">
        <w:rPr>
          <w:rStyle w:val="Strong"/>
          <w:rFonts w:ascii="Arial" w:hAnsi="Arial" w:cs="Arial"/>
          <w:b w:val="0"/>
          <w:bCs w:val="0"/>
          <w:color w:val="000000" w:themeColor="text1"/>
          <w:sz w:val="22"/>
          <w:szCs w:val="22"/>
        </w:rPr>
        <w:t xml:space="preserve">According to Buchan </w:t>
      </w:r>
      <w:r w:rsidRPr="000E7EBF">
        <w:rPr>
          <w:rStyle w:val="Strong"/>
          <w:rFonts w:ascii="Arial" w:hAnsi="Arial" w:cs="Arial"/>
          <w:b w:val="0"/>
          <w:bCs w:val="0"/>
          <w:i/>
          <w:iCs/>
          <w:color w:val="000000" w:themeColor="text1"/>
          <w:sz w:val="22"/>
          <w:szCs w:val="22"/>
        </w:rPr>
        <w:t>et al.</w:t>
      </w:r>
      <w:r w:rsidR="000E7EBF" w:rsidRPr="000E7EBF">
        <w:rPr>
          <w:rStyle w:val="Strong"/>
          <w:rFonts w:ascii="Arial" w:hAnsi="Arial" w:cs="Arial"/>
          <w:b w:val="0"/>
          <w:bCs w:val="0"/>
          <w:i/>
          <w:iCs/>
          <w:color w:val="000000" w:themeColor="text1"/>
          <w:sz w:val="22"/>
          <w:szCs w:val="22"/>
        </w:rPr>
        <w:t>,</w:t>
      </w:r>
      <w:r w:rsidRPr="000E7EBF">
        <w:rPr>
          <w:rStyle w:val="Strong"/>
          <w:rFonts w:ascii="Arial" w:hAnsi="Arial" w:cs="Arial"/>
          <w:b w:val="0"/>
          <w:bCs w:val="0"/>
          <w:i/>
          <w:iCs/>
          <w:color w:val="000000" w:themeColor="text1"/>
          <w:sz w:val="22"/>
          <w:szCs w:val="22"/>
        </w:rPr>
        <w:t xml:space="preserve"> </w:t>
      </w:r>
      <w:r w:rsidRPr="000E7EBF">
        <w:rPr>
          <w:rStyle w:val="Strong"/>
          <w:rFonts w:ascii="Arial" w:hAnsi="Arial" w:cs="Arial"/>
          <w:b w:val="0"/>
          <w:bCs w:val="0"/>
          <w:color w:val="000000" w:themeColor="text1"/>
          <w:sz w:val="22"/>
          <w:szCs w:val="22"/>
        </w:rPr>
        <w:t>(2019),</w:t>
      </w:r>
      <w:r w:rsidRPr="000E7EBF">
        <w:rPr>
          <w:rStyle w:val="apple-converted-space"/>
          <w:rFonts w:ascii="Arial" w:hAnsi="Arial" w:cs="Arial"/>
          <w:color w:val="000000" w:themeColor="text1"/>
          <w:sz w:val="22"/>
          <w:szCs w:val="22"/>
        </w:rPr>
        <w:t> </w:t>
      </w:r>
      <w:r w:rsidRPr="000E7EBF">
        <w:rPr>
          <w:rFonts w:ascii="Arial" w:hAnsi="Arial" w:cs="Arial"/>
          <w:color w:val="000000" w:themeColor="text1"/>
          <w:sz w:val="22"/>
          <w:szCs w:val="22"/>
        </w:rPr>
        <w:t>staff retention, career development, and supportive working environments are essential to maintaining a sustainable health and social care workforce. Examining these experiences provides a deeper understanding of whether migrant workers' contributions can support the long-term sustainability of the ASC workforce. Consequently, understanding migrant workers' experiences is essential to fully appreciating the role</w:t>
      </w:r>
      <w:r w:rsidR="00373A16" w:rsidRPr="000E7EBF">
        <w:rPr>
          <w:rFonts w:ascii="Arial" w:hAnsi="Arial" w:cs="Arial"/>
          <w:color w:val="000000" w:themeColor="text1"/>
          <w:sz w:val="22"/>
          <w:szCs w:val="22"/>
        </w:rPr>
        <w:t xml:space="preserve"> they play </w:t>
      </w:r>
      <w:r w:rsidRPr="000E7EBF">
        <w:rPr>
          <w:rFonts w:ascii="Arial" w:hAnsi="Arial" w:cs="Arial"/>
          <w:color w:val="000000" w:themeColor="text1"/>
          <w:sz w:val="22"/>
          <w:szCs w:val="22"/>
        </w:rPr>
        <w:t>in supporting the UK's</w:t>
      </w:r>
      <w:r w:rsidR="00CA4E68" w:rsidRPr="000E7EBF">
        <w:rPr>
          <w:rFonts w:ascii="Arial" w:hAnsi="Arial" w:cs="Arial"/>
          <w:color w:val="000000" w:themeColor="text1"/>
          <w:sz w:val="22"/>
          <w:szCs w:val="22"/>
        </w:rPr>
        <w:t xml:space="preserve"> ASC</w:t>
      </w:r>
      <w:r w:rsidRPr="000E7EBF">
        <w:rPr>
          <w:rFonts w:ascii="Arial" w:hAnsi="Arial" w:cs="Arial"/>
          <w:color w:val="000000" w:themeColor="text1"/>
          <w:sz w:val="22"/>
          <w:szCs w:val="22"/>
        </w:rPr>
        <w:t xml:space="preserve"> sector</w:t>
      </w:r>
      <w:r w:rsidRPr="000E7EBF">
        <w:rPr>
          <w:rStyle w:val="apple-converted-space"/>
          <w:rFonts w:ascii="Arial" w:hAnsi="Arial" w:cs="Arial"/>
          <w:color w:val="000000" w:themeColor="text1"/>
          <w:sz w:val="22"/>
          <w:szCs w:val="22"/>
        </w:rPr>
        <w:t> </w:t>
      </w:r>
      <w:r w:rsidR="004E20D2" w:rsidRPr="000E7EBF">
        <w:rPr>
          <w:rFonts w:ascii="Arial" w:hAnsi="Arial" w:cs="Arial"/>
          <w:color w:val="000000" w:themeColor="text1"/>
          <w:sz w:val="22"/>
          <w:szCs w:val="22"/>
        </w:rPr>
        <w:t xml:space="preserve">(Wilkinson </w:t>
      </w:r>
      <w:r w:rsidR="004E20D2" w:rsidRPr="000E7EBF">
        <w:rPr>
          <w:rFonts w:ascii="Arial" w:hAnsi="Arial" w:cs="Arial"/>
          <w:i/>
          <w:iCs/>
          <w:color w:val="000000" w:themeColor="text1"/>
          <w:sz w:val="22"/>
          <w:szCs w:val="22"/>
        </w:rPr>
        <w:t xml:space="preserve">et al., </w:t>
      </w:r>
      <w:r w:rsidR="004E20D2" w:rsidRPr="000E7EBF">
        <w:rPr>
          <w:rFonts w:ascii="Arial" w:hAnsi="Arial" w:cs="Arial"/>
          <w:color w:val="000000" w:themeColor="text1"/>
          <w:sz w:val="22"/>
          <w:szCs w:val="22"/>
        </w:rPr>
        <w:t>2025).</w:t>
      </w:r>
    </w:p>
    <w:p w14:paraId="7FC405DF" w14:textId="685D6D81" w:rsidR="00C267E2" w:rsidRPr="006E48FD" w:rsidRDefault="00335706" w:rsidP="00453985">
      <w:pPr>
        <w:pStyle w:val="Heading2"/>
        <w:rPr>
          <w:rFonts w:ascii="Arial" w:hAnsi="Arial" w:cs="Arial"/>
          <w:i/>
          <w:iCs/>
          <w:color w:val="000000" w:themeColor="text1"/>
          <w:sz w:val="28"/>
          <w:szCs w:val="28"/>
        </w:rPr>
      </w:pPr>
      <w:r w:rsidRPr="006E48FD">
        <w:rPr>
          <w:rFonts w:ascii="Arial" w:hAnsi="Arial" w:cs="Arial"/>
          <w:color w:val="000000" w:themeColor="text1"/>
          <w:sz w:val="28"/>
          <w:szCs w:val="28"/>
        </w:rPr>
        <w:t>4.5.</w:t>
      </w:r>
      <w:r w:rsidR="00761558" w:rsidRPr="006E48FD">
        <w:rPr>
          <w:rFonts w:ascii="Arial" w:hAnsi="Arial" w:cs="Arial"/>
          <w:color w:val="000000" w:themeColor="text1"/>
          <w:sz w:val="28"/>
          <w:szCs w:val="28"/>
        </w:rPr>
        <w:t>4</w:t>
      </w:r>
      <w:r w:rsidRPr="006E48FD">
        <w:rPr>
          <w:rFonts w:ascii="Arial" w:hAnsi="Arial" w:cs="Arial"/>
          <w:color w:val="000000" w:themeColor="text1"/>
          <w:sz w:val="28"/>
          <w:szCs w:val="28"/>
        </w:rPr>
        <w:t xml:space="preserve"> </w:t>
      </w:r>
      <w:r w:rsidR="00C267E2" w:rsidRPr="006E48FD">
        <w:rPr>
          <w:rFonts w:ascii="Arial" w:hAnsi="Arial" w:cs="Arial"/>
          <w:color w:val="000000" w:themeColor="text1"/>
          <w:sz w:val="28"/>
          <w:szCs w:val="28"/>
        </w:rPr>
        <w:t>Statistical Information</w:t>
      </w:r>
    </w:p>
    <w:p w14:paraId="7F2637F0" w14:textId="06D7BAF7" w:rsidR="000C5169" w:rsidRPr="005F1418" w:rsidRDefault="000C5169" w:rsidP="00305CCE">
      <w:pPr>
        <w:pStyle w:val="NormalWeb"/>
        <w:spacing w:line="360" w:lineRule="auto"/>
        <w:jc w:val="both"/>
        <w:rPr>
          <w:rFonts w:ascii="Arial" w:hAnsi="Arial" w:cs="Arial"/>
          <w:b/>
          <w:bCs/>
          <w:color w:val="000000" w:themeColor="text1"/>
          <w:sz w:val="22"/>
          <w:szCs w:val="22"/>
        </w:rPr>
      </w:pPr>
      <w:r w:rsidRPr="005F1418">
        <w:rPr>
          <w:rFonts w:ascii="Arial" w:hAnsi="Arial" w:cs="Arial"/>
          <w:color w:val="000000" w:themeColor="text1"/>
          <w:sz w:val="22"/>
          <w:szCs w:val="22"/>
        </w:rPr>
        <w:t>Recent workforce data emphasise the significance of providing further support to migrant workers beyond recruitment.</w:t>
      </w:r>
      <w:r w:rsidRPr="005F1418">
        <w:rPr>
          <w:rStyle w:val="apple-converted-space"/>
          <w:rFonts w:ascii="Arial" w:hAnsi="Arial" w:cs="Arial"/>
          <w:color w:val="000000" w:themeColor="text1"/>
          <w:sz w:val="22"/>
          <w:szCs w:val="22"/>
        </w:rPr>
        <w:t> </w:t>
      </w:r>
      <w:r w:rsidRPr="005F1418">
        <w:rPr>
          <w:rStyle w:val="Strong"/>
          <w:rFonts w:ascii="Arial" w:hAnsi="Arial" w:cs="Arial"/>
          <w:b w:val="0"/>
          <w:bCs w:val="0"/>
          <w:color w:val="000000" w:themeColor="text1"/>
          <w:sz w:val="22"/>
          <w:szCs w:val="22"/>
        </w:rPr>
        <w:t>According to Skills for Care (2025), approximately 335,000 people leave the UK ASC workforce each year, highlighting the persistent challenge of retaining experienced staff.</w:t>
      </w:r>
      <w:r w:rsidRPr="005F1418">
        <w:rPr>
          <w:rStyle w:val="apple-converted-space"/>
          <w:rFonts w:ascii="Arial" w:hAnsi="Arial" w:cs="Arial"/>
          <w:b/>
          <w:bCs/>
          <w:color w:val="000000" w:themeColor="text1"/>
          <w:sz w:val="22"/>
          <w:szCs w:val="22"/>
        </w:rPr>
        <w:t> </w:t>
      </w:r>
      <w:r w:rsidRPr="005F1418">
        <w:rPr>
          <w:rFonts w:ascii="Arial" w:hAnsi="Arial" w:cs="Arial"/>
          <w:color w:val="000000" w:themeColor="text1"/>
          <w:sz w:val="22"/>
          <w:szCs w:val="22"/>
        </w:rPr>
        <w:t>The report also identifies a workforce turnover rate of</w:t>
      </w:r>
      <w:r w:rsidRPr="005F1418">
        <w:rPr>
          <w:rStyle w:val="apple-converted-space"/>
          <w:rFonts w:ascii="Arial" w:hAnsi="Arial" w:cs="Arial"/>
          <w:color w:val="000000" w:themeColor="text1"/>
          <w:sz w:val="22"/>
          <w:szCs w:val="22"/>
        </w:rPr>
        <w:t> </w:t>
      </w:r>
      <w:r w:rsidRPr="005F1418">
        <w:rPr>
          <w:rStyle w:val="Strong"/>
          <w:rFonts w:ascii="Arial" w:hAnsi="Arial" w:cs="Arial"/>
          <w:b w:val="0"/>
          <w:bCs w:val="0"/>
          <w:color w:val="000000" w:themeColor="text1"/>
          <w:sz w:val="22"/>
          <w:szCs w:val="22"/>
        </w:rPr>
        <w:t>23.1%</w:t>
      </w:r>
      <w:r w:rsidRPr="005F1418">
        <w:rPr>
          <w:rFonts w:ascii="Arial" w:hAnsi="Arial" w:cs="Arial"/>
          <w:b/>
          <w:bCs/>
          <w:color w:val="000000" w:themeColor="text1"/>
          <w:sz w:val="22"/>
          <w:szCs w:val="22"/>
        </w:rPr>
        <w:t>,</w:t>
      </w:r>
      <w:r w:rsidRPr="005F1418">
        <w:rPr>
          <w:rFonts w:ascii="Arial" w:hAnsi="Arial" w:cs="Arial"/>
          <w:color w:val="000000" w:themeColor="text1"/>
          <w:sz w:val="22"/>
          <w:szCs w:val="22"/>
        </w:rPr>
        <w:t xml:space="preserve"> demonstrating the difficulties employers face in maintaining a stable workforce. Furthermore, the UK's population aged 65 years and over is projected to increase significantly over the coming decades, increasing demand for </w:t>
      </w:r>
      <w:r w:rsidR="0010609F" w:rsidRPr="005F1418">
        <w:rPr>
          <w:rFonts w:ascii="Arial" w:hAnsi="Arial" w:cs="Arial"/>
          <w:color w:val="000000" w:themeColor="text1"/>
          <w:sz w:val="22"/>
          <w:szCs w:val="22"/>
        </w:rPr>
        <w:t xml:space="preserve">ASC </w:t>
      </w:r>
      <w:r w:rsidRPr="005F1418">
        <w:rPr>
          <w:rFonts w:ascii="Arial" w:hAnsi="Arial" w:cs="Arial"/>
          <w:color w:val="000000" w:themeColor="text1"/>
          <w:sz w:val="22"/>
          <w:szCs w:val="22"/>
        </w:rPr>
        <w:t>services and placing additional pressure on workforce capacity</w:t>
      </w:r>
      <w:r w:rsidRPr="005F1418">
        <w:rPr>
          <w:rStyle w:val="apple-converted-space"/>
          <w:rFonts w:ascii="Arial" w:hAnsi="Arial" w:cs="Arial"/>
          <w:color w:val="000000" w:themeColor="text1"/>
          <w:sz w:val="22"/>
          <w:szCs w:val="22"/>
        </w:rPr>
        <w:t> </w:t>
      </w:r>
      <w:r w:rsidRPr="005F1418">
        <w:rPr>
          <w:rStyle w:val="Strong"/>
          <w:rFonts w:ascii="Arial" w:hAnsi="Arial" w:cs="Arial"/>
          <w:b w:val="0"/>
          <w:bCs w:val="0"/>
          <w:color w:val="000000" w:themeColor="text1"/>
          <w:sz w:val="22"/>
          <w:szCs w:val="22"/>
        </w:rPr>
        <w:t xml:space="preserve">(Barton </w:t>
      </w:r>
      <w:r w:rsidRPr="005F1418">
        <w:rPr>
          <w:rStyle w:val="Strong"/>
          <w:rFonts w:ascii="Arial" w:hAnsi="Arial" w:cs="Arial"/>
          <w:b w:val="0"/>
          <w:bCs w:val="0"/>
          <w:i/>
          <w:iCs/>
          <w:color w:val="000000" w:themeColor="text1"/>
          <w:sz w:val="22"/>
          <w:szCs w:val="22"/>
        </w:rPr>
        <w:t>et al.,</w:t>
      </w:r>
      <w:r w:rsidRPr="005F1418">
        <w:rPr>
          <w:rStyle w:val="Strong"/>
          <w:rFonts w:ascii="Arial" w:hAnsi="Arial" w:cs="Arial"/>
          <w:b w:val="0"/>
          <w:bCs w:val="0"/>
          <w:color w:val="000000" w:themeColor="text1"/>
          <w:sz w:val="22"/>
          <w:szCs w:val="22"/>
        </w:rPr>
        <w:t xml:space="preserve"> 2024).</w:t>
      </w:r>
    </w:p>
    <w:p w14:paraId="470244F4" w14:textId="57A0DC56" w:rsidR="003677F0" w:rsidRDefault="008E4CD3" w:rsidP="00305CCE">
      <w:pPr>
        <w:pStyle w:val="Heading4"/>
        <w:rPr>
          <w:rStyle w:val="Strong"/>
          <w:rFonts w:ascii="Arial" w:hAnsi="Arial" w:cs="Arial"/>
          <w:b w:val="0"/>
          <w:bCs w:val="0"/>
          <w:i w:val="0"/>
          <w:iCs w:val="0"/>
          <w:color w:val="EE0000"/>
        </w:rPr>
      </w:pPr>
      <w:r w:rsidRPr="00922E33">
        <w:rPr>
          <w:rFonts w:ascii="Arial" w:hAnsi="Arial" w:cs="Arial"/>
          <w:i w:val="0"/>
          <w:iCs w:val="0"/>
          <w:color w:val="000000"/>
        </w:rPr>
        <w:lastRenderedPageBreak/>
        <w:t xml:space="preserve">These statistics indicate that workforce sustainability depends not only on employing sufficient staff but also on improving staff retention, wellbeing, and job satisfaction. While migrant workers continue to contribute significantly to the UK ASC workforce, addressing high staff turnover and rising demand for care services is essential to ensuring long-term workforce </w:t>
      </w:r>
      <w:r w:rsidRPr="005F1418">
        <w:rPr>
          <w:rFonts w:ascii="Arial" w:hAnsi="Arial" w:cs="Arial"/>
          <w:i w:val="0"/>
          <w:iCs w:val="0"/>
          <w:color w:val="000000" w:themeColor="text1"/>
        </w:rPr>
        <w:t>sustainability</w:t>
      </w:r>
      <w:r w:rsidRPr="005F1418">
        <w:rPr>
          <w:rStyle w:val="apple-converted-space"/>
          <w:rFonts w:ascii="Arial" w:hAnsi="Arial" w:cs="Arial"/>
          <w:i w:val="0"/>
          <w:iCs w:val="0"/>
          <w:color w:val="000000" w:themeColor="text1"/>
        </w:rPr>
        <w:t> </w:t>
      </w:r>
      <w:r w:rsidRPr="005F1418">
        <w:rPr>
          <w:rStyle w:val="Strong"/>
          <w:rFonts w:ascii="Arial" w:hAnsi="Arial" w:cs="Arial"/>
          <w:b w:val="0"/>
          <w:bCs w:val="0"/>
          <w:i w:val="0"/>
          <w:iCs w:val="0"/>
          <w:color w:val="000000" w:themeColor="text1"/>
        </w:rPr>
        <w:t xml:space="preserve">(Wilkinson </w:t>
      </w:r>
      <w:r w:rsidRPr="005F1418">
        <w:rPr>
          <w:rStyle w:val="Strong"/>
          <w:rFonts w:ascii="Arial" w:hAnsi="Arial" w:cs="Arial"/>
          <w:b w:val="0"/>
          <w:bCs w:val="0"/>
          <w:color w:val="000000" w:themeColor="text1"/>
        </w:rPr>
        <w:t>et al.,</w:t>
      </w:r>
      <w:r w:rsidRPr="005F1418">
        <w:rPr>
          <w:rStyle w:val="Strong"/>
          <w:rFonts w:ascii="Arial" w:hAnsi="Arial" w:cs="Arial"/>
          <w:b w:val="0"/>
          <w:bCs w:val="0"/>
          <w:i w:val="0"/>
          <w:iCs w:val="0"/>
          <w:color w:val="000000" w:themeColor="text1"/>
        </w:rPr>
        <w:t xml:space="preserve"> 2025).</w:t>
      </w:r>
    </w:p>
    <w:p w14:paraId="0B3B6575" w14:textId="77777777" w:rsidR="003741A4" w:rsidRPr="003741A4" w:rsidRDefault="003741A4" w:rsidP="003741A4"/>
    <w:p w14:paraId="007E13A5" w14:textId="746F6161" w:rsidR="00C267E2" w:rsidRPr="006E48FD" w:rsidRDefault="003741A4" w:rsidP="00453985">
      <w:pPr>
        <w:pStyle w:val="Heading2"/>
        <w:rPr>
          <w:rFonts w:ascii="Arial" w:hAnsi="Arial" w:cs="Arial"/>
          <w:i/>
          <w:iCs/>
          <w:color w:val="000000" w:themeColor="text1"/>
          <w:sz w:val="28"/>
          <w:szCs w:val="28"/>
        </w:rPr>
      </w:pPr>
      <w:r w:rsidRPr="006E48FD">
        <w:rPr>
          <w:rFonts w:ascii="Arial" w:hAnsi="Arial" w:cs="Arial"/>
          <w:color w:val="000000" w:themeColor="text1"/>
          <w:sz w:val="28"/>
          <w:szCs w:val="28"/>
        </w:rPr>
        <w:t>4.5.</w:t>
      </w:r>
      <w:r w:rsidR="004923BB" w:rsidRPr="006E48FD">
        <w:rPr>
          <w:rFonts w:ascii="Arial" w:hAnsi="Arial" w:cs="Arial"/>
          <w:color w:val="000000" w:themeColor="text1"/>
          <w:sz w:val="28"/>
          <w:szCs w:val="28"/>
        </w:rPr>
        <w:t xml:space="preserve">5 </w:t>
      </w:r>
      <w:r w:rsidR="00C267E2" w:rsidRPr="006E48FD">
        <w:rPr>
          <w:rFonts w:ascii="Arial" w:hAnsi="Arial" w:cs="Arial"/>
          <w:color w:val="000000" w:themeColor="text1"/>
          <w:sz w:val="28"/>
          <w:szCs w:val="28"/>
        </w:rPr>
        <w:t>Theories, Policies, and Legislation</w:t>
      </w:r>
    </w:p>
    <w:p w14:paraId="4581EB1B" w14:textId="1DFB7262" w:rsidR="00A23B6F" w:rsidRPr="005F1418" w:rsidRDefault="00A815EC" w:rsidP="009D00DC">
      <w:pPr>
        <w:pStyle w:val="NormalWeb"/>
        <w:spacing w:line="360" w:lineRule="auto"/>
        <w:jc w:val="both"/>
        <w:rPr>
          <w:rStyle w:val="Strong"/>
          <w:rFonts w:ascii="Arial" w:hAnsi="Arial" w:cs="Arial"/>
          <w:b w:val="0"/>
          <w:bCs w:val="0"/>
          <w:color w:val="000000" w:themeColor="text1"/>
          <w:sz w:val="22"/>
          <w:szCs w:val="22"/>
        </w:rPr>
      </w:pPr>
      <w:r w:rsidRPr="005F1418">
        <w:rPr>
          <w:rStyle w:val="Strong"/>
          <w:rFonts w:ascii="Arial" w:hAnsi="Arial" w:cs="Arial"/>
          <w:b w:val="0"/>
          <w:bCs w:val="0"/>
          <w:color w:val="000000" w:themeColor="text1"/>
          <w:sz w:val="22"/>
          <w:szCs w:val="22"/>
        </w:rPr>
        <w:t xml:space="preserve">Maslow's Hierarchy of Needs is a valuable framework for understanding migrant worker experiences and workforce sustainability in the UK ASC sector. According to Carroll </w:t>
      </w:r>
      <w:r w:rsidRPr="005F1418">
        <w:rPr>
          <w:rStyle w:val="Strong"/>
          <w:rFonts w:ascii="Arial" w:hAnsi="Arial" w:cs="Arial"/>
          <w:b w:val="0"/>
          <w:bCs w:val="0"/>
          <w:i/>
          <w:iCs/>
          <w:color w:val="000000" w:themeColor="text1"/>
          <w:sz w:val="22"/>
          <w:szCs w:val="22"/>
        </w:rPr>
        <w:t>et al.</w:t>
      </w:r>
      <w:r w:rsidR="005F1418" w:rsidRPr="005F1418">
        <w:rPr>
          <w:rStyle w:val="Strong"/>
          <w:rFonts w:ascii="Arial" w:hAnsi="Arial" w:cs="Arial"/>
          <w:b w:val="0"/>
          <w:bCs w:val="0"/>
          <w:i/>
          <w:iCs/>
          <w:color w:val="000000" w:themeColor="text1"/>
          <w:sz w:val="22"/>
          <w:szCs w:val="22"/>
        </w:rPr>
        <w:t>,</w:t>
      </w:r>
      <w:r w:rsidRPr="005F1418">
        <w:rPr>
          <w:rStyle w:val="Strong"/>
          <w:rFonts w:ascii="Arial" w:hAnsi="Arial" w:cs="Arial"/>
          <w:b w:val="0"/>
          <w:bCs w:val="0"/>
          <w:color w:val="000000" w:themeColor="text1"/>
          <w:sz w:val="22"/>
          <w:szCs w:val="22"/>
        </w:rPr>
        <w:t xml:space="preserve"> (2025),</w:t>
      </w:r>
      <w:r w:rsidRPr="005F1418">
        <w:rPr>
          <w:rStyle w:val="apple-converted-space"/>
          <w:rFonts w:ascii="Arial" w:hAnsi="Arial" w:cs="Arial"/>
          <w:color w:val="000000" w:themeColor="text1"/>
          <w:sz w:val="22"/>
          <w:szCs w:val="22"/>
        </w:rPr>
        <w:t> </w:t>
      </w:r>
      <w:r w:rsidRPr="005F1418">
        <w:rPr>
          <w:rFonts w:ascii="Arial" w:hAnsi="Arial" w:cs="Arial"/>
          <w:color w:val="000000" w:themeColor="text1"/>
          <w:sz w:val="22"/>
          <w:szCs w:val="22"/>
        </w:rPr>
        <w:t>the theory provides a useful framework for understanding how factors such as safety, belonging, esteem, and personal development influence staff wellbeing within healthcare settings. These needs can be met within the ASC workforce by providing positive working environments, career development opportunities, and organisational support. When these needs are met, migrant workers are more likely to experience improved wellbeing, job satisfaction, and retention, which helps to ensure long-term workforce sustainability</w:t>
      </w:r>
      <w:r w:rsidRPr="005F1418">
        <w:rPr>
          <w:rStyle w:val="apple-converted-space"/>
          <w:rFonts w:ascii="Arial" w:hAnsi="Arial" w:cs="Arial"/>
          <w:color w:val="000000" w:themeColor="text1"/>
          <w:sz w:val="22"/>
          <w:szCs w:val="22"/>
        </w:rPr>
        <w:t> </w:t>
      </w:r>
      <w:r w:rsidRPr="005F1418">
        <w:rPr>
          <w:rStyle w:val="Strong"/>
          <w:rFonts w:ascii="Arial" w:hAnsi="Arial" w:cs="Arial"/>
          <w:b w:val="0"/>
          <w:bCs w:val="0"/>
          <w:color w:val="000000" w:themeColor="text1"/>
          <w:sz w:val="22"/>
          <w:szCs w:val="22"/>
        </w:rPr>
        <w:t xml:space="preserve">(Wilkinson </w:t>
      </w:r>
      <w:r w:rsidRPr="005F1418">
        <w:rPr>
          <w:rStyle w:val="Strong"/>
          <w:rFonts w:ascii="Arial" w:hAnsi="Arial" w:cs="Arial"/>
          <w:b w:val="0"/>
          <w:bCs w:val="0"/>
          <w:i/>
          <w:iCs/>
          <w:color w:val="000000" w:themeColor="text1"/>
          <w:sz w:val="22"/>
          <w:szCs w:val="22"/>
        </w:rPr>
        <w:t>et al.,</w:t>
      </w:r>
      <w:r w:rsidRPr="005F1418">
        <w:rPr>
          <w:rStyle w:val="Strong"/>
          <w:rFonts w:ascii="Arial" w:hAnsi="Arial" w:cs="Arial"/>
          <w:b w:val="0"/>
          <w:bCs w:val="0"/>
          <w:color w:val="000000" w:themeColor="text1"/>
          <w:sz w:val="22"/>
          <w:szCs w:val="22"/>
        </w:rPr>
        <w:t xml:space="preserve"> 2025).</w:t>
      </w:r>
    </w:p>
    <w:p w14:paraId="55A249B7" w14:textId="210A8E69" w:rsidR="003F5EEE" w:rsidRPr="00214209" w:rsidRDefault="00676B9B" w:rsidP="003F5EEE">
      <w:pPr>
        <w:pStyle w:val="NormalWeb"/>
        <w:spacing w:line="360" w:lineRule="auto"/>
        <w:jc w:val="both"/>
        <w:rPr>
          <w:rFonts w:ascii="Arial" w:hAnsi="Arial" w:cs="Arial"/>
          <w:color w:val="000000" w:themeColor="text1"/>
          <w:sz w:val="22"/>
          <w:szCs w:val="22"/>
        </w:rPr>
      </w:pPr>
      <w:r w:rsidRPr="005F1418">
        <w:rPr>
          <w:rFonts w:ascii="Arial" w:hAnsi="Arial" w:cs="Arial"/>
          <w:color w:val="000000" w:themeColor="text1"/>
          <w:sz w:val="22"/>
          <w:szCs w:val="22"/>
        </w:rPr>
        <w:t xml:space="preserve">However, Maslow's theory has limitations. Rojas </w:t>
      </w:r>
      <w:r w:rsidRPr="005F1418">
        <w:rPr>
          <w:rFonts w:ascii="Arial" w:hAnsi="Arial" w:cs="Arial"/>
          <w:i/>
          <w:iCs/>
          <w:color w:val="000000" w:themeColor="text1"/>
          <w:sz w:val="22"/>
          <w:szCs w:val="22"/>
        </w:rPr>
        <w:t>et al.</w:t>
      </w:r>
      <w:r w:rsidR="00001E2E" w:rsidRPr="005F1418">
        <w:rPr>
          <w:rFonts w:ascii="Arial" w:hAnsi="Arial" w:cs="Arial"/>
          <w:i/>
          <w:iCs/>
          <w:color w:val="000000" w:themeColor="text1"/>
          <w:sz w:val="22"/>
          <w:szCs w:val="22"/>
        </w:rPr>
        <w:t>,</w:t>
      </w:r>
      <w:r w:rsidRPr="005F1418">
        <w:rPr>
          <w:rFonts w:ascii="Arial" w:hAnsi="Arial" w:cs="Arial"/>
          <w:color w:val="000000" w:themeColor="text1"/>
          <w:sz w:val="22"/>
          <w:szCs w:val="22"/>
        </w:rPr>
        <w:t xml:space="preserve"> (2023) argue that individuals do not always progress through their needs in a fixed order, as personal and social circumstances influence which needs are prioritised. Migrant workers may prioritise financial security, stable employment, or family responsibilities over higher-level needs. This suggests that workforce retention is influenced not only by individual motivation but also by wider organisational and </w:t>
      </w:r>
      <w:r w:rsidRPr="00214209">
        <w:rPr>
          <w:rFonts w:ascii="Arial" w:hAnsi="Arial" w:cs="Arial"/>
          <w:color w:val="000000" w:themeColor="text1"/>
          <w:sz w:val="22"/>
          <w:szCs w:val="22"/>
        </w:rPr>
        <w:t xml:space="preserve">policy factors (Alkhateeb </w:t>
      </w:r>
      <w:r w:rsidRPr="00214209">
        <w:rPr>
          <w:rFonts w:ascii="Arial" w:hAnsi="Arial" w:cs="Arial"/>
          <w:i/>
          <w:iCs/>
          <w:color w:val="000000" w:themeColor="text1"/>
          <w:sz w:val="22"/>
          <w:szCs w:val="22"/>
        </w:rPr>
        <w:t xml:space="preserve">et al., </w:t>
      </w:r>
      <w:r w:rsidRPr="00214209">
        <w:rPr>
          <w:rFonts w:ascii="Arial" w:hAnsi="Arial" w:cs="Arial"/>
          <w:color w:val="000000" w:themeColor="text1"/>
          <w:sz w:val="22"/>
          <w:szCs w:val="22"/>
        </w:rPr>
        <w:t>2025).</w:t>
      </w:r>
    </w:p>
    <w:p w14:paraId="0142BD5C" w14:textId="5AD8FAA0" w:rsidR="003F5EEE" w:rsidRPr="00214209" w:rsidRDefault="00A16FF2" w:rsidP="003F5EEE">
      <w:pPr>
        <w:pStyle w:val="NormalWeb"/>
        <w:spacing w:line="360" w:lineRule="auto"/>
        <w:jc w:val="both"/>
        <w:rPr>
          <w:rFonts w:ascii="Arial" w:hAnsi="Arial" w:cs="Arial"/>
          <w:color w:val="000000" w:themeColor="text1"/>
          <w:sz w:val="22"/>
          <w:szCs w:val="22"/>
        </w:rPr>
      </w:pPr>
      <w:r w:rsidRPr="00214209">
        <w:rPr>
          <w:rFonts w:ascii="Arial" w:hAnsi="Arial" w:cs="Arial"/>
          <w:color w:val="000000" w:themeColor="text1"/>
          <w:sz w:val="22"/>
          <w:szCs w:val="22"/>
        </w:rPr>
        <w:t xml:space="preserve">The Care Act 2014 and the NHS Long Term Workforce Plan (2023) both emphasise the significance of building and retaining a sustainable workforce through staff support, well-being, and career development. Despite these </w:t>
      </w:r>
      <w:r w:rsidR="00EF10AA" w:rsidRPr="00214209">
        <w:rPr>
          <w:rFonts w:ascii="Arial" w:hAnsi="Arial" w:cs="Arial"/>
          <w:color w:val="000000" w:themeColor="text1"/>
          <w:sz w:val="22"/>
          <w:szCs w:val="22"/>
        </w:rPr>
        <w:t>policies</w:t>
      </w:r>
      <w:r w:rsidRPr="00214209">
        <w:rPr>
          <w:rFonts w:ascii="Arial" w:hAnsi="Arial" w:cs="Arial"/>
          <w:color w:val="000000" w:themeColor="text1"/>
          <w:sz w:val="22"/>
          <w:szCs w:val="22"/>
        </w:rPr>
        <w:t xml:space="preserve"> and </w:t>
      </w:r>
      <w:r w:rsidR="00EF10AA" w:rsidRPr="00214209">
        <w:rPr>
          <w:rFonts w:ascii="Arial" w:hAnsi="Arial" w:cs="Arial"/>
          <w:color w:val="000000" w:themeColor="text1"/>
          <w:sz w:val="22"/>
          <w:szCs w:val="22"/>
        </w:rPr>
        <w:t>commitments</w:t>
      </w:r>
      <w:r w:rsidRPr="00214209">
        <w:rPr>
          <w:rFonts w:ascii="Arial" w:hAnsi="Arial" w:cs="Arial"/>
          <w:color w:val="000000" w:themeColor="text1"/>
          <w:sz w:val="22"/>
          <w:szCs w:val="22"/>
        </w:rPr>
        <w:t>, the ASC sector continues to face workforce shortages and high employee turnover.</w:t>
      </w:r>
      <w:r w:rsidR="00B01037" w:rsidRPr="00214209">
        <w:rPr>
          <w:rFonts w:ascii="Arial" w:hAnsi="Arial" w:cs="Arial"/>
          <w:color w:val="000000" w:themeColor="text1"/>
          <w:sz w:val="22"/>
          <w:szCs w:val="22"/>
        </w:rPr>
        <w:t xml:space="preserve"> According to Villamin </w:t>
      </w:r>
      <w:r w:rsidR="00B01037" w:rsidRPr="00214209">
        <w:rPr>
          <w:rFonts w:ascii="Arial" w:hAnsi="Arial" w:cs="Arial"/>
          <w:i/>
          <w:iCs/>
          <w:color w:val="000000" w:themeColor="text1"/>
          <w:sz w:val="22"/>
          <w:szCs w:val="22"/>
        </w:rPr>
        <w:t>et al.</w:t>
      </w:r>
      <w:r w:rsidR="009B7030" w:rsidRPr="00214209">
        <w:rPr>
          <w:rFonts w:ascii="Arial" w:hAnsi="Arial" w:cs="Arial"/>
          <w:i/>
          <w:iCs/>
          <w:color w:val="000000" w:themeColor="text1"/>
          <w:sz w:val="22"/>
          <w:szCs w:val="22"/>
        </w:rPr>
        <w:t>,</w:t>
      </w:r>
      <w:r w:rsidR="009B7030" w:rsidRPr="00214209">
        <w:rPr>
          <w:rFonts w:ascii="Arial" w:hAnsi="Arial" w:cs="Arial"/>
          <w:color w:val="000000" w:themeColor="text1"/>
          <w:sz w:val="22"/>
          <w:szCs w:val="22"/>
        </w:rPr>
        <w:t xml:space="preserve"> </w:t>
      </w:r>
      <w:r w:rsidR="00B01037" w:rsidRPr="00214209">
        <w:rPr>
          <w:rFonts w:ascii="Arial" w:hAnsi="Arial" w:cs="Arial"/>
          <w:color w:val="000000" w:themeColor="text1"/>
          <w:sz w:val="22"/>
          <w:szCs w:val="22"/>
        </w:rPr>
        <w:t>(2025), improving retention requires more than just workforce planning</w:t>
      </w:r>
      <w:r w:rsidR="00C711A8" w:rsidRPr="00214209">
        <w:rPr>
          <w:rFonts w:ascii="Arial" w:hAnsi="Arial" w:cs="Arial"/>
          <w:color w:val="000000" w:themeColor="text1"/>
          <w:sz w:val="22"/>
          <w:szCs w:val="22"/>
        </w:rPr>
        <w:t xml:space="preserve">, </w:t>
      </w:r>
      <w:r w:rsidR="00B01037" w:rsidRPr="00214209">
        <w:rPr>
          <w:rFonts w:ascii="Arial" w:hAnsi="Arial" w:cs="Arial"/>
          <w:color w:val="000000" w:themeColor="text1"/>
          <w:sz w:val="22"/>
          <w:szCs w:val="22"/>
        </w:rPr>
        <w:t>organisational support, career advancement, and a sense of belonging are all essential factors in retaining migrant healthcare professionals.</w:t>
      </w:r>
      <w:r w:rsidR="0054485E" w:rsidRPr="00214209">
        <w:rPr>
          <w:rFonts w:ascii="-webkit-standard" w:hAnsi="-webkit-standard"/>
          <w:color w:val="000000" w:themeColor="text1"/>
          <w:sz w:val="25"/>
        </w:rPr>
        <w:t xml:space="preserve"> </w:t>
      </w:r>
      <w:r w:rsidRPr="00214209">
        <w:rPr>
          <w:rFonts w:ascii="Arial" w:hAnsi="Arial" w:cs="Arial"/>
          <w:color w:val="000000" w:themeColor="text1"/>
          <w:sz w:val="22"/>
          <w:szCs w:val="22"/>
        </w:rPr>
        <w:t>This suggests that, while policy provides an important framework for workforce sustainability, improving working conditions and supporting migrants are still critical to establishing long-term workforce stability.</w:t>
      </w:r>
    </w:p>
    <w:p w14:paraId="309A55C0" w14:textId="77777777" w:rsidR="00214209" w:rsidRDefault="00214209" w:rsidP="003F5EEE">
      <w:pPr>
        <w:pStyle w:val="NormalWeb"/>
        <w:spacing w:line="360" w:lineRule="auto"/>
        <w:jc w:val="both"/>
        <w:rPr>
          <w:rFonts w:ascii="Arial" w:hAnsi="Arial" w:cs="Arial"/>
          <w:color w:val="000000" w:themeColor="text1"/>
          <w:sz w:val="28"/>
          <w:szCs w:val="28"/>
        </w:rPr>
      </w:pPr>
    </w:p>
    <w:p w14:paraId="580D1932" w14:textId="73E8448A" w:rsidR="0070595D" w:rsidRPr="003F5EEE" w:rsidRDefault="004923BB" w:rsidP="003F5EEE">
      <w:pPr>
        <w:pStyle w:val="NormalWeb"/>
        <w:spacing w:line="360" w:lineRule="auto"/>
        <w:jc w:val="both"/>
        <w:rPr>
          <w:rFonts w:ascii="Arial" w:hAnsi="Arial" w:cs="Arial"/>
          <w:b/>
          <w:bCs/>
          <w:color w:val="000000"/>
          <w:sz w:val="22"/>
          <w:szCs w:val="22"/>
        </w:rPr>
      </w:pPr>
      <w:r w:rsidRPr="006E48FD">
        <w:rPr>
          <w:rFonts w:ascii="Arial" w:hAnsi="Arial" w:cs="Arial"/>
          <w:color w:val="000000" w:themeColor="text1"/>
          <w:sz w:val="28"/>
          <w:szCs w:val="28"/>
        </w:rPr>
        <w:lastRenderedPageBreak/>
        <w:t xml:space="preserve">4.5.6 </w:t>
      </w:r>
      <w:r w:rsidR="00C267E2" w:rsidRPr="006E48FD">
        <w:rPr>
          <w:rFonts w:ascii="Arial" w:hAnsi="Arial" w:cs="Arial"/>
          <w:color w:val="000000" w:themeColor="text1"/>
          <w:sz w:val="28"/>
          <w:szCs w:val="28"/>
        </w:rPr>
        <w:t>Implications</w:t>
      </w:r>
    </w:p>
    <w:p w14:paraId="4CD0C9DE" w14:textId="0B9FEC1F" w:rsidR="002F450A" w:rsidRPr="00214209" w:rsidRDefault="002F450A" w:rsidP="009D00DC">
      <w:pPr>
        <w:pStyle w:val="Heading4"/>
        <w:rPr>
          <w:rFonts w:ascii="Arial" w:hAnsi="Arial" w:cs="Arial"/>
          <w:b/>
          <w:bCs/>
          <w:i w:val="0"/>
          <w:iCs w:val="0"/>
          <w:color w:val="000000" w:themeColor="text1"/>
          <w:sz w:val="28"/>
          <w:szCs w:val="28"/>
        </w:rPr>
      </w:pPr>
      <w:r w:rsidRPr="00214209">
        <w:rPr>
          <w:rFonts w:ascii="Arial" w:hAnsi="Arial" w:cs="Arial"/>
          <w:i w:val="0"/>
          <w:iCs w:val="0"/>
          <w:color w:val="000000" w:themeColor="text1"/>
        </w:rPr>
        <w:t>Migrant worker experiences have both positive and negative impacts on workforce sustainability in the UK</w:t>
      </w:r>
      <w:r w:rsidR="00AE29BA" w:rsidRPr="00214209">
        <w:rPr>
          <w:rFonts w:ascii="Arial" w:hAnsi="Arial" w:cs="Arial"/>
          <w:i w:val="0"/>
          <w:iCs w:val="0"/>
          <w:color w:val="000000" w:themeColor="text1"/>
        </w:rPr>
        <w:t xml:space="preserve"> </w:t>
      </w:r>
      <w:r w:rsidRPr="00214209">
        <w:rPr>
          <w:rFonts w:ascii="Arial" w:hAnsi="Arial" w:cs="Arial"/>
          <w:i w:val="0"/>
          <w:iCs w:val="0"/>
          <w:color w:val="000000" w:themeColor="text1"/>
        </w:rPr>
        <w:t>ASC</w:t>
      </w:r>
      <w:r w:rsidR="00AE29BA" w:rsidRPr="00214209">
        <w:rPr>
          <w:rFonts w:ascii="Arial" w:hAnsi="Arial" w:cs="Arial"/>
          <w:i w:val="0"/>
          <w:iCs w:val="0"/>
          <w:color w:val="000000" w:themeColor="text1"/>
        </w:rPr>
        <w:t xml:space="preserve"> </w:t>
      </w:r>
      <w:r w:rsidRPr="00214209">
        <w:rPr>
          <w:rFonts w:ascii="Arial" w:hAnsi="Arial" w:cs="Arial"/>
          <w:i w:val="0"/>
          <w:iCs w:val="0"/>
          <w:color w:val="000000" w:themeColor="text1"/>
        </w:rPr>
        <w:t>sector. Positive workplace experiences, including supportive management, opportunities for career advancement, and employee wellbeing, can improve job satisfaction and staff retention.</w:t>
      </w:r>
      <w:r w:rsidRPr="00214209">
        <w:rPr>
          <w:rStyle w:val="apple-converted-space"/>
          <w:rFonts w:ascii="Arial" w:hAnsi="Arial" w:cs="Arial"/>
          <w:i w:val="0"/>
          <w:iCs w:val="0"/>
          <w:color w:val="000000" w:themeColor="text1"/>
        </w:rPr>
        <w:t> </w:t>
      </w:r>
      <w:r w:rsidR="00576BCA" w:rsidRPr="00214209">
        <w:rPr>
          <w:rFonts w:ascii="Arial" w:hAnsi="Arial" w:cs="Arial"/>
          <w:i w:val="0"/>
          <w:iCs w:val="0"/>
          <w:color w:val="000000" w:themeColor="text1"/>
        </w:rPr>
        <w:t xml:space="preserve">Averens </w:t>
      </w:r>
      <w:r w:rsidR="00576BCA" w:rsidRPr="00214209">
        <w:rPr>
          <w:rFonts w:ascii="Arial" w:hAnsi="Arial" w:cs="Arial"/>
          <w:color w:val="000000" w:themeColor="text1"/>
        </w:rPr>
        <w:t>et al.</w:t>
      </w:r>
      <w:r w:rsidR="009A067D" w:rsidRPr="00214209">
        <w:rPr>
          <w:rFonts w:ascii="Arial" w:hAnsi="Arial" w:cs="Arial"/>
          <w:color w:val="000000" w:themeColor="text1"/>
        </w:rPr>
        <w:t>,</w:t>
      </w:r>
      <w:r w:rsidR="00576BCA" w:rsidRPr="00214209">
        <w:rPr>
          <w:rFonts w:ascii="Arial" w:hAnsi="Arial" w:cs="Arial"/>
          <w:i w:val="0"/>
          <w:iCs w:val="0"/>
          <w:color w:val="000000" w:themeColor="text1"/>
        </w:rPr>
        <w:t xml:space="preserve"> (2022) </w:t>
      </w:r>
      <w:r w:rsidR="002442D4" w:rsidRPr="00214209">
        <w:rPr>
          <w:rFonts w:ascii="Arial" w:hAnsi="Arial" w:cs="Arial"/>
          <w:i w:val="0"/>
          <w:iCs w:val="0"/>
          <w:color w:val="000000" w:themeColor="text1"/>
        </w:rPr>
        <w:t>highlighted</w:t>
      </w:r>
      <w:r w:rsidR="00576BCA" w:rsidRPr="00214209">
        <w:rPr>
          <w:rFonts w:ascii="Arial" w:hAnsi="Arial" w:cs="Arial"/>
          <w:i w:val="0"/>
          <w:iCs w:val="0"/>
          <w:color w:val="000000" w:themeColor="text1"/>
        </w:rPr>
        <w:t xml:space="preserve"> that interventions concentrating on supportive working environments and staff well-being are among the most successful techniques for increasing job satisfaction and decreasing turnover.</w:t>
      </w:r>
    </w:p>
    <w:p w14:paraId="0851D736" w14:textId="64AF0900" w:rsidR="0003750C" w:rsidRPr="00214209" w:rsidRDefault="0003750C" w:rsidP="009D00DC">
      <w:pPr>
        <w:pStyle w:val="NormalWeb"/>
        <w:spacing w:line="360" w:lineRule="auto"/>
        <w:jc w:val="both"/>
        <w:rPr>
          <w:rFonts w:ascii="Arial" w:hAnsi="Arial" w:cs="Arial"/>
          <w:color w:val="000000" w:themeColor="text1"/>
          <w:sz w:val="22"/>
          <w:szCs w:val="22"/>
        </w:rPr>
      </w:pPr>
      <w:r w:rsidRPr="00214209">
        <w:rPr>
          <w:rFonts w:ascii="Arial" w:hAnsi="Arial" w:cs="Arial"/>
          <w:color w:val="000000" w:themeColor="text1"/>
          <w:sz w:val="22"/>
          <w:szCs w:val="22"/>
        </w:rPr>
        <w:t xml:space="preserve">However, negative workplace experiences can have the opposite effect. Poor working conditions, limited career development opportunities, workplace discrimination, and insufficient organisational support can all have a negative impact on job satisfaction and increase employee turnover. According to Omiyi </w:t>
      </w:r>
      <w:r w:rsidRPr="00214209">
        <w:rPr>
          <w:rFonts w:ascii="Arial" w:hAnsi="Arial" w:cs="Arial"/>
          <w:i/>
          <w:iCs/>
          <w:color w:val="000000" w:themeColor="text1"/>
          <w:sz w:val="22"/>
          <w:szCs w:val="22"/>
        </w:rPr>
        <w:t>et al.</w:t>
      </w:r>
      <w:r w:rsidR="00C8681E" w:rsidRPr="00214209">
        <w:rPr>
          <w:rFonts w:ascii="Arial" w:hAnsi="Arial" w:cs="Arial"/>
          <w:i/>
          <w:iCs/>
          <w:color w:val="000000" w:themeColor="text1"/>
          <w:sz w:val="22"/>
          <w:szCs w:val="22"/>
        </w:rPr>
        <w:t>,</w:t>
      </w:r>
      <w:r w:rsidR="00C8681E" w:rsidRPr="00214209">
        <w:rPr>
          <w:rFonts w:ascii="Arial" w:hAnsi="Arial" w:cs="Arial"/>
          <w:color w:val="000000" w:themeColor="text1"/>
          <w:sz w:val="22"/>
          <w:szCs w:val="22"/>
        </w:rPr>
        <w:t xml:space="preserve"> </w:t>
      </w:r>
      <w:r w:rsidRPr="00214209">
        <w:rPr>
          <w:rFonts w:ascii="Arial" w:hAnsi="Arial" w:cs="Arial"/>
          <w:color w:val="000000" w:themeColor="text1"/>
          <w:sz w:val="22"/>
          <w:szCs w:val="22"/>
        </w:rPr>
        <w:t>(2024), internationally qualified healthcare professionals in the UK frequently face issues related to workplace integration, career advancement, and organisational assistance, all of which can have an impact on retention and long-term workforce sustainability.</w:t>
      </w:r>
    </w:p>
    <w:p w14:paraId="1B1245A3" w14:textId="754F8FF0" w:rsidR="008722BA" w:rsidRPr="00214209" w:rsidRDefault="008722BA" w:rsidP="009D00DC">
      <w:pPr>
        <w:pStyle w:val="NormalWeb"/>
        <w:spacing w:line="360" w:lineRule="auto"/>
        <w:jc w:val="both"/>
        <w:rPr>
          <w:rFonts w:ascii="Arial" w:hAnsi="Arial" w:cs="Arial"/>
          <w:color w:val="000000" w:themeColor="text1"/>
          <w:sz w:val="22"/>
          <w:szCs w:val="22"/>
        </w:rPr>
      </w:pPr>
      <w:r w:rsidRPr="00214209">
        <w:rPr>
          <w:rFonts w:ascii="Arial" w:hAnsi="Arial" w:cs="Arial"/>
          <w:color w:val="000000" w:themeColor="text1"/>
          <w:sz w:val="22"/>
          <w:szCs w:val="22"/>
        </w:rPr>
        <w:t>As a result, migrant workers may be more likely to leave the industry, placing more strain on an already overburdened workforce. As a result, while migrant workers contribute significantly to the ASC sector, enhancing their well-being and working conditions is critical for achieving a stable and sustainable workforce (Work Rights Centre, 2024).</w:t>
      </w:r>
    </w:p>
    <w:p w14:paraId="786CC29E" w14:textId="1EB4591E" w:rsidR="00C267E2" w:rsidRPr="006E48FD" w:rsidRDefault="004923BB" w:rsidP="00453985">
      <w:pPr>
        <w:pStyle w:val="Heading2"/>
        <w:rPr>
          <w:rFonts w:ascii="Arial" w:hAnsi="Arial" w:cs="Arial"/>
          <w:i/>
          <w:iCs/>
          <w:color w:val="000000" w:themeColor="text1"/>
          <w:sz w:val="28"/>
          <w:szCs w:val="28"/>
        </w:rPr>
      </w:pPr>
      <w:r w:rsidRPr="006E48FD">
        <w:rPr>
          <w:rFonts w:ascii="Arial" w:hAnsi="Arial" w:cs="Arial"/>
          <w:color w:val="000000" w:themeColor="text1"/>
          <w:sz w:val="28"/>
          <w:szCs w:val="28"/>
        </w:rPr>
        <w:t xml:space="preserve">4.5.7 </w:t>
      </w:r>
      <w:r w:rsidR="00C267E2" w:rsidRPr="006E48FD">
        <w:rPr>
          <w:rFonts w:ascii="Arial" w:hAnsi="Arial" w:cs="Arial"/>
          <w:color w:val="000000" w:themeColor="text1"/>
          <w:sz w:val="28"/>
          <w:szCs w:val="28"/>
        </w:rPr>
        <w:t>Examples from Your Articles</w:t>
      </w:r>
    </w:p>
    <w:p w14:paraId="26CC1C5B" w14:textId="77777777" w:rsidR="00620CAA" w:rsidRPr="0024727A" w:rsidRDefault="00764C59" w:rsidP="009D00DC">
      <w:pPr>
        <w:pStyle w:val="isselectedend"/>
        <w:spacing w:line="360" w:lineRule="auto"/>
        <w:jc w:val="both"/>
        <w:rPr>
          <w:rFonts w:ascii="Arial" w:hAnsi="Arial" w:cs="Arial"/>
          <w:color w:val="000000"/>
          <w:sz w:val="22"/>
          <w:szCs w:val="22"/>
        </w:rPr>
      </w:pPr>
      <w:r w:rsidRPr="0024727A">
        <w:rPr>
          <w:rFonts w:ascii="Arial" w:hAnsi="Arial" w:cs="Arial"/>
          <w:color w:val="000000"/>
          <w:sz w:val="22"/>
          <w:szCs w:val="22"/>
        </w:rPr>
        <w:t xml:space="preserve">The findings from Papers 4 (Hussein, 2022), 5 (Tawodzera, 2024), 6 (Agbonmwandolor </w:t>
      </w:r>
      <w:r w:rsidRPr="000047D8">
        <w:rPr>
          <w:rFonts w:ascii="Arial" w:hAnsi="Arial" w:cs="Arial"/>
          <w:i/>
          <w:iCs/>
          <w:color w:val="000000"/>
          <w:sz w:val="22"/>
          <w:szCs w:val="22"/>
        </w:rPr>
        <w:t>et al.,</w:t>
      </w:r>
      <w:r w:rsidRPr="0024727A">
        <w:rPr>
          <w:rFonts w:ascii="Arial" w:hAnsi="Arial" w:cs="Arial"/>
          <w:color w:val="000000"/>
          <w:sz w:val="22"/>
          <w:szCs w:val="22"/>
        </w:rPr>
        <w:t xml:space="preserve"> 2024), and 7 (Edwards </w:t>
      </w:r>
      <w:r w:rsidRPr="004066F4">
        <w:rPr>
          <w:rFonts w:ascii="Arial" w:hAnsi="Arial" w:cs="Arial"/>
          <w:i/>
          <w:iCs/>
          <w:color w:val="000000"/>
          <w:sz w:val="22"/>
          <w:szCs w:val="22"/>
        </w:rPr>
        <w:t>et al.,</w:t>
      </w:r>
      <w:r w:rsidRPr="0024727A">
        <w:rPr>
          <w:rFonts w:ascii="Arial" w:hAnsi="Arial" w:cs="Arial"/>
          <w:color w:val="000000"/>
          <w:sz w:val="22"/>
          <w:szCs w:val="22"/>
        </w:rPr>
        <w:t xml:space="preserve"> 2022) suggest that migrant worker experiences have a significant effect on workforce sustainability in the UK ASC industry. Paper 4 emphasises that the growing global demand for migrant care workers has significant implications for workers' well-being, suggesting that supporting migrant workers is critical for ensuring a sustainable workforce. Similarly, Paper 5 investigates the difficulties that migrant workers face in balancing paid care employment with family responsibilities and international caring, revealing how personal and professional demands can impact wellbeing and job satisfaction.</w:t>
      </w:r>
    </w:p>
    <w:p w14:paraId="188BFAD6" w14:textId="30AC284F" w:rsidR="00E232AA" w:rsidRPr="0024727A" w:rsidRDefault="00E232AA" w:rsidP="009D00DC">
      <w:pPr>
        <w:pStyle w:val="NormalWeb"/>
        <w:spacing w:line="360" w:lineRule="auto"/>
        <w:jc w:val="both"/>
        <w:rPr>
          <w:rFonts w:ascii="Arial" w:hAnsi="Arial" w:cs="Arial"/>
          <w:color w:val="000000"/>
          <w:sz w:val="22"/>
          <w:szCs w:val="22"/>
        </w:rPr>
      </w:pPr>
      <w:r w:rsidRPr="0024727A">
        <w:rPr>
          <w:rFonts w:ascii="Arial" w:hAnsi="Arial" w:cs="Arial"/>
          <w:color w:val="000000"/>
          <w:sz w:val="22"/>
          <w:szCs w:val="22"/>
        </w:rPr>
        <w:t xml:space="preserve">Paper 6 highlights the significance of well-being by demonstrating that migrant healthcare workers employed a variety of coping methods to maintain their mental health throughout the COVID-19 pandemic. These findings indicate that organisational support and access to suitable wellbeing resources are critical for maintaining a resilient workforce. </w:t>
      </w:r>
      <w:r w:rsidR="003B727D" w:rsidRPr="0024727A">
        <w:rPr>
          <w:rFonts w:ascii="Arial" w:hAnsi="Arial" w:cs="Arial"/>
          <w:color w:val="000000"/>
          <w:sz w:val="22"/>
          <w:szCs w:val="22"/>
        </w:rPr>
        <w:t xml:space="preserve">In contrast, </w:t>
      </w:r>
      <w:r w:rsidR="003B727D" w:rsidRPr="0024727A">
        <w:rPr>
          <w:rFonts w:ascii="Arial" w:hAnsi="Arial" w:cs="Arial"/>
          <w:color w:val="000000"/>
          <w:sz w:val="22"/>
          <w:szCs w:val="22"/>
        </w:rPr>
        <w:lastRenderedPageBreak/>
        <w:t>Paper 7 places greater emphasis on organisational factors affecting staff attraction and retention, arguing that improving working conditions, career development, and staff support may have a greater impact on workforce sustainability than recruitment initiatives alone.</w:t>
      </w:r>
    </w:p>
    <w:p w14:paraId="7CA5DA40" w14:textId="77777777" w:rsidR="00A23B6F" w:rsidRDefault="00CF5562" w:rsidP="009D00DC">
      <w:pPr>
        <w:rPr>
          <w:rFonts w:ascii="Arial" w:hAnsi="Arial" w:cs="Arial"/>
          <w:color w:val="000000"/>
        </w:rPr>
      </w:pPr>
      <w:r w:rsidRPr="0024727A">
        <w:rPr>
          <w:rFonts w:ascii="Arial" w:hAnsi="Arial" w:cs="Arial"/>
          <w:color w:val="000000"/>
        </w:rPr>
        <w:t>Overall, the papers agree that employing foreign labour is not the only way to ensure a sustainable workforce. Paper 7 emphasises the need to address broader organisational aspects that impact staff retention, while Papers 4, 5, and 6 stress the significance of well-being and worker experiences. By showing that migrant workers contribute significantly to the UK ASC workforce, these findings collectively help address the research question. However, long-term sustainability also depends on establishing supportive work environments that promote wellbeing, job satisfaction, and workforce retention.</w:t>
      </w:r>
    </w:p>
    <w:p w14:paraId="7FF05B00" w14:textId="05471C6A" w:rsidR="00A23B6F" w:rsidRPr="00FA5A18" w:rsidRDefault="004923BB" w:rsidP="00453985">
      <w:pPr>
        <w:pStyle w:val="Heading2"/>
        <w:rPr>
          <w:rFonts w:ascii="Arial" w:hAnsi="Arial" w:cs="Arial"/>
          <w:color w:val="000000" w:themeColor="text1"/>
          <w:sz w:val="28"/>
          <w:szCs w:val="28"/>
        </w:rPr>
      </w:pPr>
      <w:r w:rsidRPr="00FA5A18">
        <w:rPr>
          <w:rFonts w:ascii="Arial" w:hAnsi="Arial" w:cs="Arial"/>
          <w:color w:val="000000" w:themeColor="text1"/>
          <w:sz w:val="28"/>
          <w:szCs w:val="28"/>
        </w:rPr>
        <w:t xml:space="preserve">4.5.8 </w:t>
      </w:r>
      <w:r w:rsidR="00C267E2" w:rsidRPr="00FA5A18">
        <w:rPr>
          <w:rFonts w:ascii="Arial" w:hAnsi="Arial" w:cs="Arial"/>
          <w:color w:val="000000" w:themeColor="text1"/>
          <w:sz w:val="28"/>
          <w:szCs w:val="28"/>
        </w:rPr>
        <w:t>Connections to Other Themes</w:t>
      </w:r>
    </w:p>
    <w:p w14:paraId="3971BAAA" w14:textId="5200B36E" w:rsidR="00462F37" w:rsidRPr="00076BC4" w:rsidRDefault="00462F37" w:rsidP="009D00DC">
      <w:pPr>
        <w:rPr>
          <w:rStyle w:val="Strong"/>
          <w:rFonts w:ascii="Arial" w:hAnsi="Arial" w:cs="Arial"/>
          <w:b w:val="0"/>
          <w:bCs w:val="0"/>
          <w:color w:val="000000" w:themeColor="text1"/>
        </w:rPr>
      </w:pPr>
      <w:r w:rsidRPr="00076BC4">
        <w:rPr>
          <w:rFonts w:ascii="Arial" w:hAnsi="Arial" w:cs="Arial"/>
          <w:color w:val="000000" w:themeColor="text1"/>
        </w:rPr>
        <w:t>This theme is strongly connected to the other themes identified during the research. Workforce shortages have increased reliance on migrant workers, making international recruitment an essential strategy for sustaining the UK</w:t>
      </w:r>
      <w:r w:rsidR="00A7108B" w:rsidRPr="00076BC4">
        <w:rPr>
          <w:rFonts w:ascii="Arial" w:hAnsi="Arial" w:cs="Arial"/>
          <w:color w:val="000000" w:themeColor="text1"/>
        </w:rPr>
        <w:t xml:space="preserve"> </w:t>
      </w:r>
      <w:r w:rsidRPr="00076BC4">
        <w:rPr>
          <w:rFonts w:ascii="Arial" w:hAnsi="Arial" w:cs="Arial"/>
          <w:color w:val="000000" w:themeColor="text1"/>
        </w:rPr>
        <w:t>ASC workforce.</w:t>
      </w:r>
      <w:r w:rsidRPr="00076BC4">
        <w:rPr>
          <w:rStyle w:val="apple-converted-space"/>
          <w:rFonts w:ascii="Arial" w:hAnsi="Arial" w:cs="Arial"/>
          <w:color w:val="000000" w:themeColor="text1"/>
        </w:rPr>
        <w:t> </w:t>
      </w:r>
      <w:r w:rsidRPr="00076BC4">
        <w:rPr>
          <w:rStyle w:val="Strong"/>
          <w:rFonts w:ascii="Arial" w:hAnsi="Arial" w:cs="Arial"/>
          <w:b w:val="0"/>
          <w:bCs w:val="0"/>
          <w:color w:val="000000" w:themeColor="text1"/>
        </w:rPr>
        <w:t xml:space="preserve">According to Vadean </w:t>
      </w:r>
      <w:r w:rsidRPr="00076BC4">
        <w:rPr>
          <w:rStyle w:val="Strong"/>
          <w:rFonts w:ascii="Arial" w:hAnsi="Arial" w:cs="Arial"/>
          <w:b w:val="0"/>
          <w:bCs w:val="0"/>
          <w:i/>
          <w:iCs/>
          <w:color w:val="000000" w:themeColor="text1"/>
        </w:rPr>
        <w:t>et al.</w:t>
      </w:r>
      <w:r w:rsidR="00743559" w:rsidRPr="00076BC4">
        <w:rPr>
          <w:rStyle w:val="Strong"/>
          <w:rFonts w:ascii="Arial" w:hAnsi="Arial" w:cs="Arial"/>
          <w:b w:val="0"/>
          <w:bCs w:val="0"/>
          <w:i/>
          <w:iCs/>
          <w:color w:val="000000" w:themeColor="text1"/>
        </w:rPr>
        <w:t>,</w:t>
      </w:r>
      <w:r w:rsidRPr="00076BC4">
        <w:rPr>
          <w:rStyle w:val="Strong"/>
          <w:rFonts w:ascii="Arial" w:hAnsi="Arial" w:cs="Arial"/>
          <w:b w:val="0"/>
          <w:bCs w:val="0"/>
          <w:color w:val="000000" w:themeColor="text1"/>
        </w:rPr>
        <w:t xml:space="preserve"> (2025),</w:t>
      </w:r>
      <w:r w:rsidRPr="00076BC4">
        <w:rPr>
          <w:rStyle w:val="apple-converted-space"/>
          <w:rFonts w:ascii="Arial" w:hAnsi="Arial" w:cs="Arial"/>
          <w:color w:val="000000" w:themeColor="text1"/>
        </w:rPr>
        <w:t> </w:t>
      </w:r>
      <w:r w:rsidRPr="00076BC4">
        <w:rPr>
          <w:rFonts w:ascii="Arial" w:hAnsi="Arial" w:cs="Arial"/>
          <w:color w:val="000000" w:themeColor="text1"/>
        </w:rPr>
        <w:t>migration has become an increasingly important component of meeting workforce demand across the UK health and social care sector. However, effectively recruiting migrant workers is only one part of workforce sustainability. Their experiences, wellbeing, job satisfaction, and retention are all critical factors in ensuring long-term workforce stability. As a result, workforce shortages, migration policy, international recruitment, and migrant worker experiences are all interconnected and influence the long-term sustainability of the UK ASC workforce</w:t>
      </w:r>
      <w:r w:rsidRPr="00076BC4">
        <w:rPr>
          <w:rStyle w:val="apple-converted-space"/>
          <w:rFonts w:ascii="Arial" w:hAnsi="Arial" w:cs="Arial"/>
          <w:color w:val="000000" w:themeColor="text1"/>
        </w:rPr>
        <w:t> </w:t>
      </w:r>
      <w:r w:rsidRPr="00076BC4">
        <w:rPr>
          <w:rStyle w:val="Strong"/>
          <w:rFonts w:ascii="Arial" w:hAnsi="Arial" w:cs="Arial"/>
          <w:b w:val="0"/>
          <w:bCs w:val="0"/>
          <w:color w:val="000000" w:themeColor="text1"/>
        </w:rPr>
        <w:t>(Work Rights Centre, 2024).</w:t>
      </w:r>
    </w:p>
    <w:p w14:paraId="127DE7C9" w14:textId="6A617FD3" w:rsidR="00C267E2" w:rsidRPr="00FA5A18" w:rsidRDefault="00C267E2" w:rsidP="00EA1B77">
      <w:pPr>
        <w:pStyle w:val="Heading2"/>
        <w:rPr>
          <w:rFonts w:ascii="Arial" w:hAnsi="Arial" w:cs="Arial"/>
          <w:color w:val="000000" w:themeColor="text1"/>
          <w:sz w:val="28"/>
          <w:szCs w:val="28"/>
        </w:rPr>
      </w:pPr>
      <w:r w:rsidRPr="00FA5A18">
        <w:rPr>
          <w:rFonts w:ascii="Arial" w:hAnsi="Arial" w:cs="Arial"/>
          <w:color w:val="000000" w:themeColor="text1"/>
          <w:sz w:val="28"/>
          <w:szCs w:val="28"/>
        </w:rPr>
        <w:t xml:space="preserve">4.6 – Chapter Conclusion </w:t>
      </w:r>
    </w:p>
    <w:p w14:paraId="15B019F7" w14:textId="77777777" w:rsidR="007F4E7D" w:rsidRDefault="00D06BD0" w:rsidP="007F4E7D">
      <w:pPr>
        <w:pStyle w:val="NormalWeb"/>
        <w:spacing w:line="360" w:lineRule="auto"/>
        <w:jc w:val="both"/>
        <w:rPr>
          <w:rStyle w:val="Strong"/>
          <w:rFonts w:ascii="Arial" w:hAnsi="Arial" w:cs="Arial"/>
          <w:b w:val="0"/>
          <w:bCs w:val="0"/>
          <w:color w:val="000000"/>
          <w:sz w:val="22"/>
          <w:szCs w:val="22"/>
        </w:rPr>
      </w:pPr>
      <w:r w:rsidRPr="002509FE">
        <w:rPr>
          <w:rFonts w:ascii="Arial" w:hAnsi="Arial" w:cs="Arial"/>
          <w:color w:val="000000"/>
          <w:sz w:val="22"/>
          <w:szCs w:val="22"/>
        </w:rPr>
        <w:t>This chapter presented and discussed the key findings from the selected literature, organised into three themes</w:t>
      </w:r>
      <w:r w:rsidR="00491BC8" w:rsidRPr="002509FE">
        <w:rPr>
          <w:rFonts w:ascii="Arial" w:hAnsi="Arial" w:cs="Arial"/>
          <w:color w:val="000000"/>
          <w:sz w:val="22"/>
          <w:szCs w:val="22"/>
        </w:rPr>
        <w:t xml:space="preserve">: </w:t>
      </w:r>
      <w:r w:rsidRPr="002509FE">
        <w:rPr>
          <w:rFonts w:ascii="Arial" w:hAnsi="Arial" w:cs="Arial"/>
          <w:color w:val="000000"/>
          <w:sz w:val="22"/>
          <w:szCs w:val="22"/>
        </w:rPr>
        <w:t>workforce shortages, migration policy and international recruitment, and migrant worker experiences and workforce sustainability.</w:t>
      </w:r>
      <w:r w:rsidR="00AC4F06" w:rsidRPr="002509FE">
        <w:rPr>
          <w:rFonts w:ascii="Arial" w:hAnsi="Arial" w:cs="Arial"/>
          <w:color w:val="000000"/>
          <w:sz w:val="22"/>
          <w:szCs w:val="22"/>
        </w:rPr>
        <w:t xml:space="preserve"> The findings demonstrate that migrant workers play an important role in supporting the UK's ASC workforce by addressing staffing shortages and ensuring service delivery. However, long-term </w:t>
      </w:r>
      <w:r w:rsidR="00FC788E">
        <w:rPr>
          <w:rFonts w:ascii="Arial" w:hAnsi="Arial" w:cs="Arial"/>
          <w:color w:val="000000"/>
          <w:sz w:val="22"/>
          <w:szCs w:val="22"/>
        </w:rPr>
        <w:t>workforce</w:t>
      </w:r>
      <w:r w:rsidR="00AC4F06" w:rsidRPr="002509FE">
        <w:rPr>
          <w:rFonts w:ascii="Arial" w:hAnsi="Arial" w:cs="Arial"/>
          <w:color w:val="000000"/>
          <w:sz w:val="22"/>
          <w:szCs w:val="22"/>
        </w:rPr>
        <w:t xml:space="preserve"> sustainability relies on more than just international recruitment. Staff well-being, job satisfaction, retention, organisational support, and effective workforce policies are essential for establishing a stable and resilient workforce. Overall, this chapter highlights the relationship between migration, workforce sustainability, and the growing need for ASC services.</w:t>
      </w:r>
      <w:r w:rsidRPr="002509FE">
        <w:rPr>
          <w:rStyle w:val="apple-converted-space"/>
          <w:rFonts w:ascii="Arial" w:hAnsi="Arial" w:cs="Arial"/>
          <w:color w:val="000000"/>
          <w:sz w:val="22"/>
          <w:szCs w:val="22"/>
        </w:rPr>
        <w:t> </w:t>
      </w:r>
      <w:r w:rsidRPr="002509FE">
        <w:rPr>
          <w:rStyle w:val="Strong"/>
          <w:rFonts w:ascii="Arial" w:hAnsi="Arial" w:cs="Arial"/>
          <w:b w:val="0"/>
          <w:bCs w:val="0"/>
          <w:color w:val="000000"/>
          <w:sz w:val="22"/>
          <w:szCs w:val="22"/>
        </w:rPr>
        <w:t xml:space="preserve">Chapter 5 will critically evaluate these findings in relation to the role migrant workers play in supporting workforce </w:t>
      </w:r>
      <w:r w:rsidRPr="002509FE">
        <w:rPr>
          <w:rStyle w:val="Strong"/>
          <w:rFonts w:ascii="Arial" w:hAnsi="Arial" w:cs="Arial"/>
          <w:b w:val="0"/>
          <w:bCs w:val="0"/>
          <w:color w:val="000000"/>
          <w:sz w:val="22"/>
          <w:szCs w:val="22"/>
        </w:rPr>
        <w:lastRenderedPageBreak/>
        <w:t>sustainability within the UK ASC sector, compare them with the wider literature, and discuss their implications for policy, practice, and future workforce development.</w:t>
      </w:r>
    </w:p>
    <w:p w14:paraId="3F98EDCF" w14:textId="77777777" w:rsidR="00626EBA" w:rsidRDefault="00626EBA" w:rsidP="007F4E7D">
      <w:pPr>
        <w:pStyle w:val="NormalWeb"/>
        <w:spacing w:line="360" w:lineRule="auto"/>
        <w:jc w:val="both"/>
        <w:rPr>
          <w:rFonts w:ascii="Arial" w:hAnsi="Arial" w:cs="Arial"/>
          <w:b/>
          <w:bCs/>
          <w:sz w:val="32"/>
          <w:szCs w:val="32"/>
        </w:rPr>
      </w:pPr>
    </w:p>
    <w:p w14:paraId="7D338436" w14:textId="77777777" w:rsidR="00626EBA" w:rsidRDefault="00626EBA" w:rsidP="007F4E7D">
      <w:pPr>
        <w:pStyle w:val="NormalWeb"/>
        <w:spacing w:line="360" w:lineRule="auto"/>
        <w:jc w:val="both"/>
        <w:rPr>
          <w:rFonts w:ascii="Arial" w:hAnsi="Arial" w:cs="Arial"/>
          <w:b/>
          <w:bCs/>
          <w:sz w:val="32"/>
          <w:szCs w:val="32"/>
        </w:rPr>
      </w:pPr>
    </w:p>
    <w:p w14:paraId="63435EC3" w14:textId="77777777" w:rsidR="00626EBA" w:rsidRDefault="00626EBA" w:rsidP="007F4E7D">
      <w:pPr>
        <w:pStyle w:val="NormalWeb"/>
        <w:spacing w:line="360" w:lineRule="auto"/>
        <w:jc w:val="both"/>
        <w:rPr>
          <w:rFonts w:ascii="Arial" w:hAnsi="Arial" w:cs="Arial"/>
          <w:b/>
          <w:bCs/>
          <w:sz w:val="32"/>
          <w:szCs w:val="32"/>
        </w:rPr>
      </w:pPr>
    </w:p>
    <w:p w14:paraId="07A54E88" w14:textId="77777777" w:rsidR="00626EBA" w:rsidRDefault="00626EBA" w:rsidP="007F4E7D">
      <w:pPr>
        <w:pStyle w:val="NormalWeb"/>
        <w:spacing w:line="360" w:lineRule="auto"/>
        <w:jc w:val="both"/>
        <w:rPr>
          <w:rFonts w:ascii="Arial" w:hAnsi="Arial" w:cs="Arial"/>
          <w:b/>
          <w:bCs/>
          <w:sz w:val="32"/>
          <w:szCs w:val="32"/>
        </w:rPr>
      </w:pPr>
    </w:p>
    <w:p w14:paraId="1CEA0D82" w14:textId="77777777" w:rsidR="00626EBA" w:rsidRDefault="00626EBA" w:rsidP="007F4E7D">
      <w:pPr>
        <w:pStyle w:val="NormalWeb"/>
        <w:spacing w:line="360" w:lineRule="auto"/>
        <w:jc w:val="both"/>
        <w:rPr>
          <w:rFonts w:ascii="Arial" w:hAnsi="Arial" w:cs="Arial"/>
          <w:b/>
          <w:bCs/>
          <w:sz w:val="32"/>
          <w:szCs w:val="32"/>
        </w:rPr>
      </w:pPr>
    </w:p>
    <w:p w14:paraId="71991893" w14:textId="77777777" w:rsidR="00626EBA" w:rsidRDefault="00626EBA" w:rsidP="007F4E7D">
      <w:pPr>
        <w:pStyle w:val="NormalWeb"/>
        <w:spacing w:line="360" w:lineRule="auto"/>
        <w:jc w:val="both"/>
        <w:rPr>
          <w:rFonts w:ascii="Arial" w:hAnsi="Arial" w:cs="Arial"/>
          <w:b/>
          <w:bCs/>
          <w:sz w:val="32"/>
          <w:szCs w:val="32"/>
        </w:rPr>
      </w:pPr>
    </w:p>
    <w:p w14:paraId="46EDD06C" w14:textId="77777777" w:rsidR="00626EBA" w:rsidRDefault="00626EBA" w:rsidP="007F4E7D">
      <w:pPr>
        <w:pStyle w:val="NormalWeb"/>
        <w:spacing w:line="360" w:lineRule="auto"/>
        <w:jc w:val="both"/>
        <w:rPr>
          <w:rFonts w:ascii="Arial" w:hAnsi="Arial" w:cs="Arial"/>
          <w:b/>
          <w:bCs/>
          <w:sz w:val="32"/>
          <w:szCs w:val="32"/>
        </w:rPr>
      </w:pPr>
    </w:p>
    <w:p w14:paraId="3690A735" w14:textId="77777777" w:rsidR="00626EBA" w:rsidRDefault="00626EBA" w:rsidP="007F4E7D">
      <w:pPr>
        <w:pStyle w:val="NormalWeb"/>
        <w:spacing w:line="360" w:lineRule="auto"/>
        <w:jc w:val="both"/>
        <w:rPr>
          <w:rFonts w:ascii="Arial" w:hAnsi="Arial" w:cs="Arial"/>
          <w:b/>
          <w:bCs/>
          <w:sz w:val="32"/>
          <w:szCs w:val="32"/>
        </w:rPr>
      </w:pPr>
    </w:p>
    <w:p w14:paraId="3FBE9502" w14:textId="77777777" w:rsidR="00626EBA" w:rsidRDefault="00626EBA" w:rsidP="007F4E7D">
      <w:pPr>
        <w:pStyle w:val="NormalWeb"/>
        <w:spacing w:line="360" w:lineRule="auto"/>
        <w:jc w:val="both"/>
        <w:rPr>
          <w:rFonts w:ascii="Arial" w:hAnsi="Arial" w:cs="Arial"/>
          <w:b/>
          <w:bCs/>
          <w:sz w:val="32"/>
          <w:szCs w:val="32"/>
        </w:rPr>
      </w:pPr>
    </w:p>
    <w:p w14:paraId="4E79341D" w14:textId="77777777" w:rsidR="00626EBA" w:rsidRDefault="00626EBA" w:rsidP="007F4E7D">
      <w:pPr>
        <w:pStyle w:val="NormalWeb"/>
        <w:spacing w:line="360" w:lineRule="auto"/>
        <w:jc w:val="both"/>
        <w:rPr>
          <w:rFonts w:ascii="Arial" w:hAnsi="Arial" w:cs="Arial"/>
          <w:b/>
          <w:bCs/>
          <w:sz w:val="32"/>
          <w:szCs w:val="32"/>
        </w:rPr>
      </w:pPr>
    </w:p>
    <w:p w14:paraId="6411BE80" w14:textId="77777777" w:rsidR="00626EBA" w:rsidRDefault="00626EBA" w:rsidP="007F4E7D">
      <w:pPr>
        <w:pStyle w:val="NormalWeb"/>
        <w:spacing w:line="360" w:lineRule="auto"/>
        <w:jc w:val="both"/>
        <w:rPr>
          <w:rFonts w:ascii="Arial" w:hAnsi="Arial" w:cs="Arial"/>
          <w:b/>
          <w:bCs/>
          <w:sz w:val="32"/>
          <w:szCs w:val="32"/>
        </w:rPr>
      </w:pPr>
    </w:p>
    <w:p w14:paraId="26123AE8" w14:textId="77777777" w:rsidR="00626EBA" w:rsidRDefault="00626EBA" w:rsidP="007F4E7D">
      <w:pPr>
        <w:pStyle w:val="NormalWeb"/>
        <w:spacing w:line="360" w:lineRule="auto"/>
        <w:jc w:val="both"/>
        <w:rPr>
          <w:rFonts w:ascii="Arial" w:hAnsi="Arial" w:cs="Arial"/>
          <w:b/>
          <w:bCs/>
          <w:sz w:val="32"/>
          <w:szCs w:val="32"/>
        </w:rPr>
      </w:pPr>
    </w:p>
    <w:p w14:paraId="2886AE61" w14:textId="77777777" w:rsidR="00626EBA" w:rsidRDefault="00626EBA" w:rsidP="007F4E7D">
      <w:pPr>
        <w:pStyle w:val="NormalWeb"/>
        <w:spacing w:line="360" w:lineRule="auto"/>
        <w:jc w:val="both"/>
        <w:rPr>
          <w:rFonts w:ascii="Arial" w:hAnsi="Arial" w:cs="Arial"/>
          <w:b/>
          <w:bCs/>
          <w:sz w:val="32"/>
          <w:szCs w:val="32"/>
        </w:rPr>
      </w:pPr>
    </w:p>
    <w:p w14:paraId="157C565D" w14:textId="77777777" w:rsidR="00626EBA" w:rsidRDefault="00626EBA" w:rsidP="007F4E7D">
      <w:pPr>
        <w:pStyle w:val="NormalWeb"/>
        <w:spacing w:line="360" w:lineRule="auto"/>
        <w:jc w:val="both"/>
        <w:rPr>
          <w:rFonts w:ascii="Arial" w:hAnsi="Arial" w:cs="Arial"/>
          <w:b/>
          <w:bCs/>
          <w:sz w:val="32"/>
          <w:szCs w:val="32"/>
        </w:rPr>
      </w:pPr>
    </w:p>
    <w:p w14:paraId="3FB40F3D" w14:textId="77777777" w:rsidR="00626EBA" w:rsidRDefault="00626EBA" w:rsidP="007F4E7D">
      <w:pPr>
        <w:pStyle w:val="NormalWeb"/>
        <w:spacing w:line="360" w:lineRule="auto"/>
        <w:jc w:val="both"/>
        <w:rPr>
          <w:rFonts w:ascii="Arial" w:hAnsi="Arial" w:cs="Arial"/>
          <w:b/>
          <w:bCs/>
          <w:sz w:val="32"/>
          <w:szCs w:val="32"/>
        </w:rPr>
      </w:pPr>
    </w:p>
    <w:p w14:paraId="27999F54" w14:textId="5E09F976" w:rsidR="008A547E" w:rsidRPr="007F4E7D" w:rsidRDefault="00AE73E7" w:rsidP="007F4E7D">
      <w:pPr>
        <w:pStyle w:val="NormalWeb"/>
        <w:spacing w:line="360" w:lineRule="auto"/>
        <w:jc w:val="both"/>
        <w:rPr>
          <w:rFonts w:ascii="Arial" w:hAnsi="Arial" w:cs="Arial"/>
          <w:color w:val="000000"/>
          <w:sz w:val="22"/>
          <w:szCs w:val="22"/>
        </w:rPr>
      </w:pPr>
      <w:r w:rsidRPr="008A547E">
        <w:rPr>
          <w:rFonts w:ascii="Arial" w:hAnsi="Arial" w:cs="Arial"/>
          <w:b/>
          <w:bCs/>
          <w:sz w:val="32"/>
          <w:szCs w:val="32"/>
        </w:rPr>
        <w:lastRenderedPageBreak/>
        <w:t>Chapter</w:t>
      </w:r>
      <w:r w:rsidR="00CD4029">
        <w:rPr>
          <w:rFonts w:ascii="Arial" w:hAnsi="Arial" w:cs="Arial"/>
          <w:b/>
          <w:bCs/>
          <w:sz w:val="32"/>
          <w:szCs w:val="32"/>
        </w:rPr>
        <w:t xml:space="preserve"> </w:t>
      </w:r>
      <w:r w:rsidR="00FB10DC" w:rsidRPr="008A547E">
        <w:rPr>
          <w:rFonts w:ascii="Arial" w:hAnsi="Arial" w:cs="Arial"/>
          <w:b/>
          <w:bCs/>
          <w:sz w:val="32"/>
          <w:szCs w:val="32"/>
        </w:rPr>
        <w:t>5</w:t>
      </w:r>
    </w:p>
    <w:p w14:paraId="28BA9511" w14:textId="2E7708CE" w:rsidR="00FB10DC" w:rsidRPr="00CD4029" w:rsidRDefault="008A547E" w:rsidP="00EA1B77">
      <w:pPr>
        <w:pStyle w:val="Heading2"/>
        <w:rPr>
          <w:rFonts w:ascii="Arial" w:hAnsi="Arial" w:cs="Arial"/>
          <w:color w:val="000000" w:themeColor="text1"/>
          <w:sz w:val="28"/>
          <w:szCs w:val="28"/>
        </w:rPr>
      </w:pPr>
      <w:r w:rsidRPr="00CD4029">
        <w:rPr>
          <w:rFonts w:ascii="Arial" w:hAnsi="Arial" w:cs="Arial"/>
          <w:color w:val="000000" w:themeColor="text1"/>
          <w:sz w:val="28"/>
          <w:szCs w:val="28"/>
        </w:rPr>
        <w:t>5</w:t>
      </w:r>
      <w:r w:rsidR="00FB10DC" w:rsidRPr="00CD4029">
        <w:rPr>
          <w:rFonts w:ascii="Arial" w:hAnsi="Arial" w:cs="Arial"/>
          <w:color w:val="000000" w:themeColor="text1"/>
          <w:sz w:val="28"/>
          <w:szCs w:val="28"/>
        </w:rPr>
        <w:t xml:space="preserve">.1 – Overall Conclusion </w:t>
      </w:r>
    </w:p>
    <w:p w14:paraId="1591F15E" w14:textId="7CB65B9D" w:rsidR="0062579B" w:rsidRPr="007B3B6D" w:rsidRDefault="0062579B" w:rsidP="003574A6">
      <w:pPr>
        <w:pStyle w:val="pdq2pgselectionanchorcontainer"/>
        <w:spacing w:line="360" w:lineRule="auto"/>
        <w:jc w:val="both"/>
        <w:rPr>
          <w:rFonts w:ascii="Arial" w:hAnsi="Arial" w:cs="Arial"/>
          <w:color w:val="000000"/>
          <w:sz w:val="22"/>
          <w:szCs w:val="22"/>
        </w:rPr>
      </w:pPr>
      <w:r w:rsidRPr="007B3B6D">
        <w:rPr>
          <w:rFonts w:ascii="Arial" w:hAnsi="Arial" w:cs="Arial"/>
          <w:color w:val="000000"/>
          <w:sz w:val="22"/>
          <w:szCs w:val="22"/>
        </w:rPr>
        <w:t>This dissertation e</w:t>
      </w:r>
      <w:r w:rsidR="0000601E" w:rsidRPr="007B3B6D">
        <w:rPr>
          <w:rFonts w:ascii="Arial" w:hAnsi="Arial" w:cs="Arial"/>
          <w:color w:val="000000"/>
          <w:sz w:val="22"/>
          <w:szCs w:val="22"/>
        </w:rPr>
        <w:t>xamined</w:t>
      </w:r>
      <w:r w:rsidRPr="007B3B6D">
        <w:rPr>
          <w:rFonts w:ascii="Arial" w:hAnsi="Arial" w:cs="Arial"/>
          <w:color w:val="000000"/>
          <w:sz w:val="22"/>
          <w:szCs w:val="22"/>
        </w:rPr>
        <w:t xml:space="preserve"> the role migrant workers play in supporting workforce sustainability within the</w:t>
      </w:r>
      <w:r w:rsidR="0000601E" w:rsidRPr="007B3B6D">
        <w:rPr>
          <w:rFonts w:ascii="Arial" w:hAnsi="Arial" w:cs="Arial"/>
          <w:color w:val="000000"/>
          <w:sz w:val="22"/>
          <w:szCs w:val="22"/>
        </w:rPr>
        <w:t xml:space="preserve"> </w:t>
      </w:r>
      <w:r w:rsidRPr="007B3B6D">
        <w:rPr>
          <w:rFonts w:ascii="Arial" w:hAnsi="Arial" w:cs="Arial"/>
          <w:color w:val="000000"/>
          <w:sz w:val="22"/>
          <w:szCs w:val="22"/>
        </w:rPr>
        <w:t xml:space="preserve">UK ASC sector. </w:t>
      </w:r>
      <w:r w:rsidR="007B3B6D" w:rsidRPr="007B3B6D">
        <w:rPr>
          <w:rFonts w:ascii="Arial" w:hAnsi="Arial" w:cs="Arial"/>
          <w:color w:val="000000"/>
          <w:sz w:val="22"/>
          <w:szCs w:val="22"/>
        </w:rPr>
        <w:t>The research examined  how migrant workers contribute to the development of workforce capacity and continuity of care, in addition to how migration policy, international recruitment, and migrant worker experiences affect long-term workforce sustainability.</w:t>
      </w:r>
    </w:p>
    <w:p w14:paraId="0521602E" w14:textId="77777777" w:rsidR="00F76CFC" w:rsidRPr="00B57A44" w:rsidRDefault="00F76CFC" w:rsidP="003574A6">
      <w:pPr>
        <w:pStyle w:val="NormalWeb"/>
        <w:spacing w:line="360" w:lineRule="auto"/>
        <w:jc w:val="both"/>
        <w:rPr>
          <w:rFonts w:ascii="Arial" w:hAnsi="Arial" w:cs="Arial"/>
          <w:color w:val="000000"/>
          <w:sz w:val="22"/>
          <w:szCs w:val="22"/>
        </w:rPr>
      </w:pPr>
      <w:r w:rsidRPr="00B57A44">
        <w:rPr>
          <w:rFonts w:ascii="Arial" w:hAnsi="Arial" w:cs="Arial"/>
          <w:color w:val="000000"/>
          <w:sz w:val="22"/>
          <w:szCs w:val="22"/>
        </w:rPr>
        <w:t>The literature examined for this dissertation revealed that migrant workers have become a crucial part of the UK ASC workforce, assisting in maintaining service delivery and addressing ongoing workforce shortages. But the results also demonstrated that international recruitment is not the only factor that affects workforce sustainability. Maintaining a stable and resilient workforce was found to be dependent equally on a number of factors, including supportive migration policies, effective workforce planning, employee well-being, job satisfaction, career development, and retention.</w:t>
      </w:r>
    </w:p>
    <w:p w14:paraId="7F3F11F8" w14:textId="3388B2F8" w:rsidR="0062579B" w:rsidRPr="00AF70BD" w:rsidRDefault="00F10E37" w:rsidP="003574A6">
      <w:pPr>
        <w:rPr>
          <w:rFonts w:ascii="Arial" w:hAnsi="Arial" w:cs="Arial"/>
        </w:rPr>
      </w:pPr>
      <w:r w:rsidRPr="00AF70BD">
        <w:rPr>
          <w:rFonts w:ascii="Arial" w:hAnsi="Arial" w:cs="Arial"/>
          <w:color w:val="000000"/>
        </w:rPr>
        <w:t>The research aim and objectives were achieved by a comprehensive examination of current literature, workforce reports, and policy documents. The thematic analysis revealed three interconnected themes: workforce shortages and reliance on migrant workers, migration policy and international recruitment, and migrant worker experiences, well-being, and workplace sustainability. These findings suggest that, while migrant workers contribute significantly to the UK ASC sector, achieving long-term workforce sustainability requires a balanced approach that combines international recruitment with improved workforce planning, supportive employment practices, and investment in the current workforce.</w:t>
      </w:r>
    </w:p>
    <w:p w14:paraId="18F56BAB" w14:textId="77777777" w:rsidR="00FB10DC" w:rsidRPr="003158B3" w:rsidRDefault="00FB10DC" w:rsidP="00FB10DC">
      <w:pPr>
        <w:rPr>
          <w:rFonts w:ascii="Arial" w:hAnsi="Arial" w:cs="Arial"/>
        </w:rPr>
      </w:pPr>
    </w:p>
    <w:p w14:paraId="0FB88268" w14:textId="58B224C3" w:rsidR="00FB10DC" w:rsidRPr="00CD4029" w:rsidRDefault="003158B3" w:rsidP="000416C5">
      <w:pPr>
        <w:pStyle w:val="Heading2"/>
        <w:rPr>
          <w:rFonts w:ascii="Arial" w:hAnsi="Arial" w:cs="Arial"/>
          <w:color w:val="000000" w:themeColor="text1"/>
          <w:sz w:val="28"/>
          <w:szCs w:val="28"/>
        </w:rPr>
      </w:pPr>
      <w:r w:rsidRPr="00CD4029">
        <w:rPr>
          <w:rFonts w:ascii="Arial" w:hAnsi="Arial" w:cs="Arial"/>
          <w:color w:val="000000" w:themeColor="text1"/>
          <w:sz w:val="28"/>
          <w:szCs w:val="28"/>
        </w:rPr>
        <w:t xml:space="preserve">Chapter </w:t>
      </w:r>
      <w:r w:rsidR="00FB10DC" w:rsidRPr="00CD4029">
        <w:rPr>
          <w:rFonts w:ascii="Arial" w:hAnsi="Arial" w:cs="Arial"/>
          <w:color w:val="000000" w:themeColor="text1"/>
          <w:sz w:val="28"/>
          <w:szCs w:val="28"/>
        </w:rPr>
        <w:t xml:space="preserve">5.2 – Recommendations </w:t>
      </w:r>
    </w:p>
    <w:p w14:paraId="73B2E430" w14:textId="77777777" w:rsidR="00F80054" w:rsidRPr="00CD4029" w:rsidRDefault="00FB10DC" w:rsidP="000416C5">
      <w:pPr>
        <w:pStyle w:val="Heading2"/>
        <w:rPr>
          <w:rFonts w:ascii="Arial" w:hAnsi="Arial" w:cs="Arial"/>
          <w:color w:val="000000" w:themeColor="text1"/>
          <w:sz w:val="28"/>
          <w:szCs w:val="28"/>
        </w:rPr>
      </w:pPr>
      <w:r w:rsidRPr="00CD4029">
        <w:rPr>
          <w:rFonts w:ascii="Arial" w:hAnsi="Arial" w:cs="Arial"/>
          <w:color w:val="000000" w:themeColor="text1"/>
          <w:sz w:val="28"/>
          <w:szCs w:val="28"/>
        </w:rPr>
        <w:t xml:space="preserve">5.2.1 – Recommendation 1 </w:t>
      </w:r>
    </w:p>
    <w:p w14:paraId="4503DAD5" w14:textId="316B1289" w:rsidR="009D131E" w:rsidRPr="00B94720" w:rsidRDefault="009D131E" w:rsidP="0052701B">
      <w:pPr>
        <w:pStyle w:val="Heading3"/>
        <w:jc w:val="left"/>
        <w:rPr>
          <w:rFonts w:ascii="Arial" w:eastAsia="Times New Roman" w:hAnsi="Arial" w:cs="Arial"/>
          <w:b/>
          <w:bCs/>
          <w:color w:val="000000"/>
          <w:kern w:val="0"/>
          <w:lang w:eastAsia="en-GB"/>
          <w14:ligatures w14:val="none"/>
        </w:rPr>
      </w:pPr>
      <w:r w:rsidRPr="00B94720">
        <w:rPr>
          <w:rFonts w:ascii="Arial" w:eastAsia="Times New Roman" w:hAnsi="Arial" w:cs="Arial"/>
          <w:b/>
          <w:bCs/>
          <w:color w:val="000000"/>
          <w:kern w:val="0"/>
          <w:lang w:eastAsia="en-GB"/>
          <w14:ligatures w14:val="none"/>
        </w:rPr>
        <w:t>Strengthening workforce retention through career development and staff wellbeing</w:t>
      </w:r>
    </w:p>
    <w:p w14:paraId="4AF020D8" w14:textId="62D0FD85" w:rsidR="00554DCB" w:rsidRPr="00D770D9" w:rsidRDefault="00AC65E6" w:rsidP="002A7FAB">
      <w:pPr>
        <w:spacing w:before="100" w:beforeAutospacing="1" w:after="100" w:afterAutospacing="1"/>
        <w:rPr>
          <w:rFonts w:ascii="Arial" w:hAnsi="Arial" w:cs="Arial"/>
          <w:color w:val="000000" w:themeColor="text1"/>
        </w:rPr>
      </w:pPr>
      <w:r w:rsidRPr="00D770D9">
        <w:rPr>
          <w:rFonts w:ascii="Arial" w:hAnsi="Arial" w:cs="Arial"/>
          <w:color w:val="000000" w:themeColor="text1"/>
        </w:rPr>
        <w:t xml:space="preserve">The </w:t>
      </w:r>
      <w:r w:rsidR="007A75C1" w:rsidRPr="00D770D9">
        <w:rPr>
          <w:rFonts w:ascii="Arial" w:hAnsi="Arial" w:cs="Arial"/>
          <w:color w:val="000000" w:themeColor="text1"/>
        </w:rPr>
        <w:t>findings</w:t>
      </w:r>
      <w:r w:rsidRPr="00D770D9">
        <w:rPr>
          <w:rFonts w:ascii="Arial" w:hAnsi="Arial" w:cs="Arial"/>
          <w:color w:val="000000" w:themeColor="text1"/>
        </w:rPr>
        <w:t xml:space="preserve"> of this dissertation indicate that in order to ensure long-term workforce sustainability, policymakers and ASC providers should prioritise enhancing migrant worker </w:t>
      </w:r>
      <w:r w:rsidRPr="00D770D9">
        <w:rPr>
          <w:rFonts w:ascii="Arial" w:hAnsi="Arial" w:cs="Arial"/>
          <w:color w:val="000000" w:themeColor="text1"/>
        </w:rPr>
        <w:lastRenderedPageBreak/>
        <w:t>retention. International recruitment has contributed to a reduction in workforce shortages, but it is unlikely to</w:t>
      </w:r>
      <w:r w:rsidR="000107A6" w:rsidRPr="00D770D9">
        <w:rPr>
          <w:rFonts w:ascii="Arial" w:hAnsi="Arial" w:cs="Arial"/>
          <w:color w:val="000000" w:themeColor="text1"/>
        </w:rPr>
        <w:t xml:space="preserve"> </w:t>
      </w:r>
      <w:r w:rsidRPr="00D770D9">
        <w:rPr>
          <w:rFonts w:ascii="Arial" w:hAnsi="Arial" w:cs="Arial"/>
          <w:color w:val="000000" w:themeColor="text1"/>
        </w:rPr>
        <w:t>provide a sustainable long-term solution. The Organisation for Economic Co-operation and Development (OECD) (2020) suggests that enhancing working conditions, professional recognition, and career development opportunities are critical to increasing employee retention in the long-term care sector.</w:t>
      </w:r>
      <w:r w:rsidR="005F3A50" w:rsidRPr="00D770D9">
        <w:rPr>
          <w:rFonts w:ascii="Arial" w:hAnsi="Arial" w:cs="Arial"/>
          <w:color w:val="000000" w:themeColor="text1"/>
        </w:rPr>
        <w:t xml:space="preserve"> </w:t>
      </w:r>
      <w:r w:rsidR="00E8799C" w:rsidRPr="00D770D9">
        <w:rPr>
          <w:rFonts w:ascii="Arial" w:hAnsi="Arial" w:cs="Arial"/>
          <w:color w:val="000000" w:themeColor="text1"/>
        </w:rPr>
        <w:t>Therefore, greater emphasis should be placed on retaining experienced migrant workers through structured career progression, continuing professional development (CPD), staff wellbeing initiatives and supportive leadership.</w:t>
      </w:r>
      <w:r w:rsidR="00B56728" w:rsidRPr="00D770D9">
        <w:rPr>
          <w:rFonts w:ascii="Arial" w:hAnsi="Arial" w:cs="Arial"/>
          <w:color w:val="000000" w:themeColor="text1"/>
        </w:rPr>
        <w:t xml:space="preserve"> </w:t>
      </w:r>
      <w:r w:rsidR="00E8799C" w:rsidRPr="00D770D9">
        <w:rPr>
          <w:rFonts w:ascii="Arial" w:hAnsi="Arial" w:cs="Arial"/>
          <w:color w:val="000000" w:themeColor="text1"/>
        </w:rPr>
        <w:t>These strategies could boost worker satisfaction, increase workforce stability, and reduce staff turnover, all of which would improve the standard and continuity of care provided in the ASC industry.</w:t>
      </w:r>
    </w:p>
    <w:p w14:paraId="3DC87B45" w14:textId="052260B2" w:rsidR="00D02D19" w:rsidRPr="00D770D9" w:rsidRDefault="00034C52" w:rsidP="002A7FAB">
      <w:pPr>
        <w:spacing w:before="100" w:beforeAutospacing="1" w:after="100" w:afterAutospacing="1"/>
        <w:rPr>
          <w:rFonts w:ascii="Arial" w:hAnsi="Arial" w:cs="Arial"/>
          <w:color w:val="000000" w:themeColor="text1"/>
        </w:rPr>
      </w:pPr>
      <w:r w:rsidRPr="00D770D9">
        <w:rPr>
          <w:rFonts w:ascii="Arial" w:hAnsi="Arial" w:cs="Arial"/>
          <w:color w:val="000000" w:themeColor="text1"/>
        </w:rPr>
        <w:t>A major barrier to implementing this advice into practice is the financial strain that many ASC providers are under.</w:t>
      </w:r>
      <w:r w:rsidR="007E7E8B" w:rsidRPr="00D770D9">
        <w:rPr>
          <w:rFonts w:ascii="Arial" w:hAnsi="Arial" w:cs="Arial"/>
          <w:color w:val="000000" w:themeColor="text1"/>
        </w:rPr>
        <w:t xml:space="preserve"> Limited budgets, rising demand for care services and ongoing workforce shortages may reduce organisations' ability to invest in employee training, wellbeing programmes and career development </w:t>
      </w:r>
      <w:r w:rsidR="008A50AE" w:rsidRPr="00D770D9">
        <w:rPr>
          <w:rFonts w:ascii="Arial" w:hAnsi="Arial" w:cs="Arial"/>
          <w:color w:val="000000" w:themeColor="text1"/>
        </w:rPr>
        <w:t>opportunities</w:t>
      </w:r>
      <w:r w:rsidR="008A50AE" w:rsidRPr="00D770D9">
        <w:rPr>
          <w:rFonts w:ascii="-webkit-standard" w:hAnsi="-webkit-standard"/>
          <w:color w:val="000000" w:themeColor="text1"/>
          <w:sz w:val="27"/>
          <w:szCs w:val="27"/>
        </w:rPr>
        <w:t>.</w:t>
      </w:r>
      <w:r w:rsidR="008A50AE" w:rsidRPr="00D770D9">
        <w:rPr>
          <w:rFonts w:ascii="Arial" w:hAnsi="Arial" w:cs="Arial"/>
          <w:color w:val="000000" w:themeColor="text1"/>
        </w:rPr>
        <w:t xml:space="preserve"> Due</w:t>
      </w:r>
      <w:r w:rsidRPr="00D770D9">
        <w:rPr>
          <w:rFonts w:ascii="Arial" w:hAnsi="Arial" w:cs="Arial"/>
          <w:color w:val="000000" w:themeColor="text1"/>
        </w:rPr>
        <w:t xml:space="preserve"> to limited resources and workforce capacity, smaller care providers may experience particular challenges in implementing new retention initiatives or releasing staff for professional development. According to Alkan </w:t>
      </w:r>
      <w:r w:rsidRPr="00D770D9">
        <w:rPr>
          <w:rFonts w:ascii="Arial" w:hAnsi="Arial" w:cs="Arial"/>
          <w:i/>
          <w:iCs/>
          <w:color w:val="000000" w:themeColor="text1"/>
        </w:rPr>
        <w:t>et al</w:t>
      </w:r>
      <w:r w:rsidR="00844FD7" w:rsidRPr="00D770D9">
        <w:rPr>
          <w:rFonts w:ascii="Arial" w:hAnsi="Arial" w:cs="Arial"/>
          <w:i/>
          <w:iCs/>
          <w:color w:val="000000" w:themeColor="text1"/>
        </w:rPr>
        <w:t>.,</w:t>
      </w:r>
      <w:r w:rsidR="00844FD7" w:rsidRPr="00D770D9">
        <w:rPr>
          <w:rFonts w:ascii="Arial" w:hAnsi="Arial" w:cs="Arial"/>
          <w:color w:val="000000" w:themeColor="text1"/>
        </w:rPr>
        <w:t xml:space="preserve"> </w:t>
      </w:r>
      <w:r w:rsidRPr="00D770D9">
        <w:rPr>
          <w:rFonts w:ascii="Arial" w:hAnsi="Arial" w:cs="Arial"/>
          <w:color w:val="000000" w:themeColor="text1"/>
        </w:rPr>
        <w:t>(2024), the implementation of successful employee retention initiatives may be h</w:t>
      </w:r>
      <w:r w:rsidR="003720F2" w:rsidRPr="00D770D9">
        <w:rPr>
          <w:rFonts w:ascii="Arial" w:hAnsi="Arial" w:cs="Arial"/>
          <w:color w:val="000000" w:themeColor="text1"/>
        </w:rPr>
        <w:t xml:space="preserve">indered </w:t>
      </w:r>
      <w:r w:rsidRPr="00D770D9">
        <w:rPr>
          <w:rFonts w:ascii="Arial" w:hAnsi="Arial" w:cs="Arial"/>
          <w:color w:val="000000" w:themeColor="text1"/>
        </w:rPr>
        <w:t>by organisational capacity issues and financial limitations.</w:t>
      </w:r>
    </w:p>
    <w:p w14:paraId="48198BB9" w14:textId="2854257F" w:rsidR="00FB10DC" w:rsidRPr="00D770D9" w:rsidRDefault="00EC7BF9" w:rsidP="002A7FAB">
      <w:pPr>
        <w:spacing w:before="100" w:beforeAutospacing="1" w:after="100" w:afterAutospacing="1"/>
        <w:rPr>
          <w:rFonts w:ascii="Arial" w:hAnsi="Arial" w:cs="Arial"/>
          <w:color w:val="000000" w:themeColor="text1"/>
        </w:rPr>
      </w:pPr>
      <w:r w:rsidRPr="00D770D9">
        <w:rPr>
          <w:rFonts w:ascii="Arial" w:hAnsi="Arial" w:cs="Arial"/>
          <w:color w:val="000000" w:themeColor="text1"/>
        </w:rPr>
        <w:t>These barriers could be overcome through a gradual investment in workforce development, aided by targeted government funding and coordinated workforce planning. Care providers should be encouraged to incorporate structured career paths, protected learning opportunities, and staff wellbeing</w:t>
      </w:r>
      <w:r w:rsidR="00862855" w:rsidRPr="00D770D9">
        <w:rPr>
          <w:rFonts w:ascii="Arial" w:hAnsi="Arial" w:cs="Arial"/>
          <w:color w:val="000000" w:themeColor="text1"/>
        </w:rPr>
        <w:t xml:space="preserve"> programmes</w:t>
      </w:r>
      <w:r w:rsidRPr="00D770D9">
        <w:rPr>
          <w:rFonts w:ascii="Arial" w:hAnsi="Arial" w:cs="Arial"/>
          <w:color w:val="000000" w:themeColor="text1"/>
        </w:rPr>
        <w:t xml:space="preserve"> within their organisational practices. Strengthening these retention strategies would increase job satisfaction, encourage experienced migrant workers to remain in the industry, and reduce long-term dependence on ongoing international recruitment.</w:t>
      </w:r>
      <w:r w:rsidR="008E5D8B" w:rsidRPr="00D770D9">
        <w:rPr>
          <w:rFonts w:ascii="Arial" w:hAnsi="Arial" w:cs="Arial"/>
          <w:color w:val="000000" w:themeColor="text1"/>
        </w:rPr>
        <w:t xml:space="preserve"> </w:t>
      </w:r>
      <w:r w:rsidR="00CD0A0B" w:rsidRPr="00D770D9">
        <w:rPr>
          <w:rFonts w:ascii="Arial" w:hAnsi="Arial" w:cs="Arial"/>
          <w:color w:val="000000" w:themeColor="text1"/>
        </w:rPr>
        <w:t xml:space="preserve">Ultimately, implementing these measures would contribute to a more resilient and sustainable ASC workforce that is better equipped to meet future demand (Endalamaw </w:t>
      </w:r>
      <w:r w:rsidR="00CD0A0B" w:rsidRPr="00D770D9">
        <w:rPr>
          <w:rFonts w:ascii="Arial" w:hAnsi="Arial" w:cs="Arial"/>
          <w:i/>
          <w:iCs/>
          <w:color w:val="000000" w:themeColor="text1"/>
        </w:rPr>
        <w:t>et al.,</w:t>
      </w:r>
      <w:r w:rsidR="00CD0A0B" w:rsidRPr="00D770D9">
        <w:rPr>
          <w:rFonts w:ascii="Arial" w:hAnsi="Arial" w:cs="Arial"/>
          <w:color w:val="000000" w:themeColor="text1"/>
        </w:rPr>
        <w:t xml:space="preserve"> 2024).</w:t>
      </w:r>
    </w:p>
    <w:p w14:paraId="2C8FF96B" w14:textId="77777777" w:rsidR="00FB10DC" w:rsidRPr="00CD4029" w:rsidRDefault="00FB10DC" w:rsidP="000416C5">
      <w:pPr>
        <w:pStyle w:val="Heading2"/>
        <w:rPr>
          <w:rFonts w:ascii="Arial" w:hAnsi="Arial" w:cs="Arial"/>
          <w:color w:val="000000" w:themeColor="text1"/>
          <w:sz w:val="28"/>
          <w:szCs w:val="28"/>
        </w:rPr>
      </w:pPr>
      <w:r w:rsidRPr="00CD4029">
        <w:rPr>
          <w:rFonts w:ascii="Arial" w:hAnsi="Arial" w:cs="Arial"/>
          <w:color w:val="000000" w:themeColor="text1"/>
          <w:sz w:val="28"/>
          <w:szCs w:val="28"/>
        </w:rPr>
        <w:t xml:space="preserve">5.2.2 – Recommendation 2 </w:t>
      </w:r>
    </w:p>
    <w:p w14:paraId="4D1901BA" w14:textId="77777777" w:rsidR="006E0B79" w:rsidRPr="00DD3563" w:rsidRDefault="006E0B79" w:rsidP="0052701B">
      <w:pPr>
        <w:pStyle w:val="Heading3"/>
        <w:jc w:val="left"/>
        <w:rPr>
          <w:rFonts w:ascii="Arial" w:eastAsia="Times New Roman" w:hAnsi="Arial" w:cs="Arial"/>
          <w:color w:val="000000"/>
          <w:lang w:eastAsia="en-GB"/>
        </w:rPr>
      </w:pPr>
      <w:r w:rsidRPr="00DD3563">
        <w:rPr>
          <w:rStyle w:val="Strong"/>
          <w:rFonts w:ascii="Arial" w:hAnsi="Arial" w:cs="Arial"/>
          <w:color w:val="000000"/>
        </w:rPr>
        <w:t>Strengthen ethical international recruitment and support for migrant workers</w:t>
      </w:r>
    </w:p>
    <w:p w14:paraId="1D369955" w14:textId="5ABE511D" w:rsidR="005E3EA7" w:rsidRPr="00D770D9" w:rsidRDefault="00B6753A" w:rsidP="002A7FAB">
      <w:pPr>
        <w:pStyle w:val="NormalWeb"/>
        <w:spacing w:line="360" w:lineRule="auto"/>
        <w:jc w:val="both"/>
        <w:rPr>
          <w:rFonts w:ascii="Arial" w:hAnsi="Arial" w:cs="Arial"/>
          <w:color w:val="000000" w:themeColor="text1"/>
          <w:sz w:val="22"/>
          <w:szCs w:val="22"/>
        </w:rPr>
      </w:pPr>
      <w:r w:rsidRPr="00D770D9">
        <w:rPr>
          <w:rFonts w:ascii="Arial" w:hAnsi="Arial" w:cs="Arial"/>
          <w:color w:val="000000" w:themeColor="text1"/>
          <w:sz w:val="22"/>
          <w:szCs w:val="22"/>
        </w:rPr>
        <w:t>The findings of this dissertation suggest that policymakers and</w:t>
      </w:r>
      <w:r w:rsidR="00C6237C" w:rsidRPr="00D770D9">
        <w:rPr>
          <w:rFonts w:ascii="Arial" w:hAnsi="Arial" w:cs="Arial"/>
          <w:color w:val="000000" w:themeColor="text1"/>
          <w:sz w:val="22"/>
          <w:szCs w:val="22"/>
        </w:rPr>
        <w:t xml:space="preserve"> </w:t>
      </w:r>
      <w:r w:rsidRPr="00D770D9">
        <w:rPr>
          <w:rFonts w:ascii="Arial" w:hAnsi="Arial" w:cs="Arial"/>
          <w:color w:val="000000" w:themeColor="text1"/>
          <w:sz w:val="22"/>
          <w:szCs w:val="22"/>
        </w:rPr>
        <w:t xml:space="preserve">ASC providers should continue to prioritise establishing ethical international recruitment practices and strengthening support </w:t>
      </w:r>
      <w:r w:rsidRPr="00D770D9">
        <w:rPr>
          <w:rFonts w:ascii="Arial" w:hAnsi="Arial" w:cs="Arial"/>
          <w:color w:val="000000" w:themeColor="text1"/>
          <w:sz w:val="22"/>
          <w:szCs w:val="22"/>
        </w:rPr>
        <w:lastRenderedPageBreak/>
        <w:t>for migrant workers. Although international recruitment has helped address workforce shortages, long-term workforce sustainability requires that migrant workers are recruited fairly and provided with adequate support throughout their employment.</w:t>
      </w:r>
      <w:r w:rsidRPr="00D770D9">
        <w:rPr>
          <w:rStyle w:val="apple-converted-space"/>
          <w:rFonts w:ascii="Arial" w:hAnsi="Arial" w:cs="Arial"/>
          <w:color w:val="000000" w:themeColor="text1"/>
          <w:sz w:val="22"/>
          <w:szCs w:val="22"/>
        </w:rPr>
        <w:t> </w:t>
      </w:r>
      <w:r w:rsidR="002850B1" w:rsidRPr="00D770D9">
        <w:rPr>
          <w:rFonts w:ascii="Arial" w:hAnsi="Arial" w:cs="Arial"/>
          <w:color w:val="000000" w:themeColor="text1"/>
          <w:sz w:val="22"/>
          <w:szCs w:val="22"/>
        </w:rPr>
        <w:t>Hanrieder</w:t>
      </w:r>
      <w:r w:rsidR="00A97F44" w:rsidRPr="00D770D9">
        <w:rPr>
          <w:rFonts w:ascii="Arial" w:hAnsi="Arial" w:cs="Arial"/>
          <w:color w:val="000000" w:themeColor="text1"/>
          <w:sz w:val="22"/>
          <w:szCs w:val="22"/>
        </w:rPr>
        <w:t xml:space="preserve"> and Janauschek</w:t>
      </w:r>
      <w:r w:rsidR="00F36689" w:rsidRPr="00D770D9">
        <w:rPr>
          <w:rFonts w:ascii="Arial" w:hAnsi="Arial" w:cs="Arial"/>
          <w:color w:val="000000" w:themeColor="text1"/>
          <w:sz w:val="22"/>
          <w:szCs w:val="22"/>
        </w:rPr>
        <w:t>,</w:t>
      </w:r>
      <w:r w:rsidR="00A97F44" w:rsidRPr="00D770D9">
        <w:rPr>
          <w:rFonts w:ascii="-webkit-standard" w:hAnsi="-webkit-standard"/>
          <w:color w:val="000000" w:themeColor="text1"/>
          <w:sz w:val="27"/>
          <w:szCs w:val="27"/>
        </w:rPr>
        <w:t xml:space="preserve"> </w:t>
      </w:r>
      <w:r w:rsidR="002850B1" w:rsidRPr="00D770D9">
        <w:rPr>
          <w:rFonts w:ascii="Arial" w:hAnsi="Arial" w:cs="Arial"/>
          <w:color w:val="000000" w:themeColor="text1"/>
          <w:sz w:val="22"/>
          <w:szCs w:val="22"/>
        </w:rPr>
        <w:t xml:space="preserve">(2025) state that ethical international </w:t>
      </w:r>
      <w:r w:rsidR="00C44936" w:rsidRPr="00D770D9">
        <w:rPr>
          <w:rFonts w:ascii="Arial" w:hAnsi="Arial" w:cs="Arial"/>
          <w:color w:val="000000" w:themeColor="text1"/>
          <w:sz w:val="22"/>
          <w:szCs w:val="22"/>
        </w:rPr>
        <w:t xml:space="preserve">recruitment </w:t>
      </w:r>
      <w:r w:rsidR="002850B1" w:rsidRPr="00D770D9">
        <w:rPr>
          <w:rFonts w:ascii="Arial" w:hAnsi="Arial" w:cs="Arial"/>
          <w:color w:val="000000" w:themeColor="text1"/>
          <w:sz w:val="22"/>
          <w:szCs w:val="22"/>
        </w:rPr>
        <w:t>should go beyond simply addressing workforce gaps to encourage fair working practices, professional support, and the long-term wellbeing of internationally recruited workers.</w:t>
      </w:r>
      <w:r w:rsidRPr="00D770D9">
        <w:rPr>
          <w:rStyle w:val="apple-converted-space"/>
          <w:rFonts w:ascii="Arial" w:hAnsi="Arial" w:cs="Arial"/>
          <w:color w:val="000000" w:themeColor="text1"/>
          <w:sz w:val="22"/>
          <w:szCs w:val="22"/>
        </w:rPr>
        <w:t> </w:t>
      </w:r>
      <w:r w:rsidRPr="00D770D9">
        <w:rPr>
          <w:rFonts w:ascii="Arial" w:hAnsi="Arial" w:cs="Arial"/>
          <w:color w:val="000000" w:themeColor="text1"/>
          <w:sz w:val="22"/>
          <w:szCs w:val="22"/>
        </w:rPr>
        <w:t>Therefore, to help internationally recruited workers effectively integrate into the UK ASC sector, care providers should implement transparent recruitment strategies, provide comprehensive induction programmes and offer continuous pastoral support. In addition, employers should ensure that migrant workers have equal access to training, career progression and organisational support, enabling them to contribute effectively to the workforce. These measures would not only improve migrant workers' experiences but would also help to stabilise the workforce and support the delivery of high-quality, person-centred care.</w:t>
      </w:r>
    </w:p>
    <w:p w14:paraId="7D35F25C" w14:textId="02A3EF5E" w:rsidR="009649E5" w:rsidRPr="00D770D9" w:rsidRDefault="009649E5" w:rsidP="002A7FAB">
      <w:pPr>
        <w:pStyle w:val="NormalWeb"/>
        <w:spacing w:line="360" w:lineRule="auto"/>
        <w:jc w:val="both"/>
        <w:rPr>
          <w:rFonts w:ascii="Arial" w:hAnsi="Arial" w:cs="Arial"/>
          <w:color w:val="000000" w:themeColor="text1"/>
          <w:sz w:val="22"/>
          <w:szCs w:val="22"/>
        </w:rPr>
      </w:pPr>
      <w:r w:rsidRPr="00D770D9">
        <w:rPr>
          <w:rFonts w:ascii="Arial" w:hAnsi="Arial" w:cs="Arial"/>
          <w:color w:val="000000" w:themeColor="text1"/>
          <w:sz w:val="22"/>
          <w:szCs w:val="22"/>
        </w:rPr>
        <w:t>A major barrier to implementing this recommendation is the complexity of immigration policies, sponsorship requirements and recruitment regulations, which can place additional financial and administrative pressures on ASC providers. Smaller organisations may lack the resources or expertise needed to recruit internationally while ensuring that migrant workers receive adequate support during their transition into employment. Furthermore, frequent changes to immigration policies may create uncertainty for both employers and migrant workers, making long-term workforce planning more challenging.</w:t>
      </w:r>
      <w:r w:rsidR="00EA1882" w:rsidRPr="00D770D9">
        <w:rPr>
          <w:rFonts w:ascii="Arial" w:hAnsi="Arial" w:cs="Arial"/>
          <w:color w:val="000000" w:themeColor="text1"/>
          <w:sz w:val="22"/>
          <w:szCs w:val="22"/>
        </w:rPr>
        <w:t xml:space="preserve"> According to the Local Government Association (2024), recruiting internationally requires extensive preparation, resources, and continuous organisational support, which might cause particular challenges for smaller care providers.</w:t>
      </w:r>
    </w:p>
    <w:p w14:paraId="426892F8" w14:textId="03F25ED1" w:rsidR="00D818C4" w:rsidRPr="00D770D9" w:rsidRDefault="006100DA" w:rsidP="002A7FAB">
      <w:pPr>
        <w:pStyle w:val="pdq2pgselectionanchorcontainer"/>
        <w:spacing w:line="360" w:lineRule="auto"/>
        <w:jc w:val="both"/>
        <w:rPr>
          <w:rFonts w:ascii="Arial" w:hAnsi="Arial" w:cs="Arial"/>
          <w:b/>
          <w:bCs/>
          <w:color w:val="000000" w:themeColor="text1"/>
          <w:sz w:val="22"/>
          <w:szCs w:val="22"/>
        </w:rPr>
      </w:pPr>
      <w:r w:rsidRPr="00D770D9">
        <w:rPr>
          <w:rStyle w:val="Strong"/>
          <w:rFonts w:ascii="Arial" w:hAnsi="Arial" w:cs="Arial"/>
          <w:b w:val="0"/>
          <w:bCs w:val="0"/>
          <w:color w:val="000000" w:themeColor="text1"/>
          <w:sz w:val="22"/>
          <w:szCs w:val="22"/>
        </w:rPr>
        <w:t xml:space="preserve">These barriers could be overcome through increased collaboration between the government, regulatory </w:t>
      </w:r>
      <w:r w:rsidR="008D4745" w:rsidRPr="00D770D9">
        <w:rPr>
          <w:rStyle w:val="Strong"/>
          <w:rFonts w:ascii="Arial" w:hAnsi="Arial" w:cs="Arial"/>
          <w:b w:val="0"/>
          <w:bCs w:val="0"/>
          <w:color w:val="000000" w:themeColor="text1"/>
          <w:sz w:val="22"/>
          <w:szCs w:val="22"/>
        </w:rPr>
        <w:t>organisations</w:t>
      </w:r>
      <w:r w:rsidRPr="00D770D9">
        <w:rPr>
          <w:rStyle w:val="Strong"/>
          <w:rFonts w:ascii="Arial" w:hAnsi="Arial" w:cs="Arial"/>
          <w:b w:val="0"/>
          <w:bCs w:val="0"/>
          <w:color w:val="000000" w:themeColor="text1"/>
          <w:sz w:val="22"/>
          <w:szCs w:val="22"/>
        </w:rPr>
        <w:t xml:space="preserve"> and ASC providers to establish clear and consistent guidance on ethical recruitment and workforce integration. Care providers should also be encouraged to implement mentoring schemes, structured induction programmes and regular wellbeing reviews to support migrant workers throughout their employment. Strengthening these support measures would increase workforce stability, promote positive employment experiences and encourage migrant workers to remain within the sector. </w:t>
      </w:r>
      <w:r w:rsidR="00DF2A66" w:rsidRPr="00D770D9">
        <w:rPr>
          <w:rFonts w:ascii="Arial" w:hAnsi="Arial" w:cs="Arial"/>
          <w:color w:val="000000" w:themeColor="text1"/>
          <w:sz w:val="22"/>
          <w:szCs w:val="22"/>
        </w:rPr>
        <w:t xml:space="preserve">Finally, this would promote efficient organisational planning, continuous workforce development, and a more resilient and sustainable ASC </w:t>
      </w:r>
      <w:r w:rsidR="00C426C6" w:rsidRPr="00D770D9">
        <w:rPr>
          <w:rFonts w:ascii="Arial" w:hAnsi="Arial" w:cs="Arial"/>
          <w:color w:val="000000" w:themeColor="text1"/>
          <w:sz w:val="22"/>
          <w:szCs w:val="22"/>
        </w:rPr>
        <w:t xml:space="preserve">workforce </w:t>
      </w:r>
      <w:r w:rsidR="00DF2A66" w:rsidRPr="00D770D9">
        <w:rPr>
          <w:rFonts w:ascii="Arial" w:hAnsi="Arial" w:cs="Arial"/>
          <w:color w:val="000000" w:themeColor="text1"/>
          <w:sz w:val="22"/>
          <w:szCs w:val="22"/>
        </w:rPr>
        <w:t>while upholding high standards of person-centred care for service users (Department of Health and Social Care, 2024</w:t>
      </w:r>
      <w:r w:rsidR="00DF2A66" w:rsidRPr="00D770D9">
        <w:rPr>
          <w:rFonts w:ascii="Arial" w:hAnsi="Arial" w:cs="Arial"/>
          <w:b/>
          <w:bCs/>
          <w:color w:val="000000" w:themeColor="text1"/>
          <w:sz w:val="22"/>
          <w:szCs w:val="22"/>
        </w:rPr>
        <w:t>).</w:t>
      </w:r>
    </w:p>
    <w:p w14:paraId="41E61251" w14:textId="77777777" w:rsidR="00525AEA" w:rsidRPr="007F7B53" w:rsidRDefault="00FB10DC" w:rsidP="007011EA">
      <w:pPr>
        <w:pStyle w:val="Heading2"/>
        <w:rPr>
          <w:rFonts w:ascii="Arial" w:hAnsi="Arial" w:cs="Arial"/>
          <w:color w:val="000000" w:themeColor="text1"/>
          <w:sz w:val="28"/>
          <w:szCs w:val="28"/>
        </w:rPr>
      </w:pPr>
      <w:r w:rsidRPr="007F7B53">
        <w:rPr>
          <w:rFonts w:ascii="Arial" w:hAnsi="Arial" w:cs="Arial"/>
          <w:color w:val="000000" w:themeColor="text1"/>
          <w:sz w:val="28"/>
          <w:szCs w:val="28"/>
        </w:rPr>
        <w:lastRenderedPageBreak/>
        <w:t xml:space="preserve">5.2.3 – Recommendation 3 </w:t>
      </w:r>
    </w:p>
    <w:p w14:paraId="64288262" w14:textId="2DB989BE" w:rsidR="00525AEA" w:rsidRPr="00DD3563" w:rsidRDefault="00525AEA" w:rsidP="002A7F8D">
      <w:pPr>
        <w:pStyle w:val="Heading3"/>
        <w:jc w:val="left"/>
        <w:rPr>
          <w:rFonts w:ascii="Arial" w:eastAsia="Times New Roman" w:hAnsi="Arial" w:cs="Arial"/>
          <w:color w:val="000000"/>
          <w:sz w:val="27"/>
          <w:szCs w:val="27"/>
          <w:lang w:eastAsia="en-GB"/>
        </w:rPr>
      </w:pPr>
      <w:r w:rsidRPr="00DD3563">
        <w:rPr>
          <w:rStyle w:val="Strong"/>
          <w:rFonts w:ascii="Arial" w:hAnsi="Arial" w:cs="Arial"/>
          <w:color w:val="000000"/>
        </w:rPr>
        <w:t>Develop a long-term workforce strategy to strengthen domestic recruitment and workforce sustainability</w:t>
      </w:r>
    </w:p>
    <w:p w14:paraId="1B5E724E" w14:textId="67AFF3E2" w:rsidR="00E22FA2" w:rsidRPr="00D770D9" w:rsidRDefault="00E22FA2" w:rsidP="002A7FAB">
      <w:pPr>
        <w:pStyle w:val="NormalWeb"/>
        <w:spacing w:line="360" w:lineRule="auto"/>
        <w:jc w:val="both"/>
        <w:rPr>
          <w:rFonts w:ascii="Arial" w:hAnsi="Arial" w:cs="Arial"/>
          <w:color w:val="000000" w:themeColor="text1"/>
          <w:sz w:val="22"/>
          <w:szCs w:val="22"/>
        </w:rPr>
      </w:pPr>
      <w:r w:rsidRPr="00D770D9">
        <w:rPr>
          <w:rFonts w:ascii="Arial" w:hAnsi="Arial" w:cs="Arial"/>
          <w:color w:val="000000" w:themeColor="text1"/>
          <w:sz w:val="22"/>
          <w:szCs w:val="22"/>
        </w:rPr>
        <w:t xml:space="preserve">The findings of this dissertation suggest that greater investment in long-term workforce planning is essential to reduce the ASC sector's continued reliance on international recruitment. While migrant workers make an important contribution to addressing workforce shortages, maintaining a sustainable workforce requires greater emphasis on attracting, developing and retaining the domestic workforce. Policymakers should collaborate with education providers, local authorities and ASC organisations to strengthen domestic recruitment pathways, expand training opportunities and promote </w:t>
      </w:r>
      <w:r w:rsidR="0010609F" w:rsidRPr="00D770D9">
        <w:rPr>
          <w:rFonts w:ascii="Arial" w:hAnsi="Arial" w:cs="Arial"/>
          <w:color w:val="000000" w:themeColor="text1"/>
          <w:sz w:val="22"/>
          <w:szCs w:val="22"/>
        </w:rPr>
        <w:t xml:space="preserve">ASC </w:t>
      </w:r>
      <w:r w:rsidRPr="00D770D9">
        <w:rPr>
          <w:rFonts w:ascii="Arial" w:hAnsi="Arial" w:cs="Arial"/>
          <w:color w:val="000000" w:themeColor="text1"/>
          <w:sz w:val="22"/>
          <w:szCs w:val="22"/>
        </w:rPr>
        <w:t>as a rewarding and fulfilling long-term career. Investing in the domestic workforce would strengthen workforce resilience while reducing the sector's vulnerability to future changes in immigration policy and international labour market trends.</w:t>
      </w:r>
      <w:r w:rsidR="006A058A" w:rsidRPr="00D770D9">
        <w:rPr>
          <w:rFonts w:ascii="Arial" w:hAnsi="Arial" w:cs="Arial"/>
          <w:color w:val="000000" w:themeColor="text1"/>
          <w:sz w:val="22"/>
          <w:szCs w:val="22"/>
        </w:rPr>
        <w:t xml:space="preserve"> </w:t>
      </w:r>
      <w:r w:rsidR="003A3AD3" w:rsidRPr="00D770D9">
        <w:rPr>
          <w:rFonts w:ascii="Arial" w:hAnsi="Arial" w:cs="Arial"/>
          <w:color w:val="000000" w:themeColor="text1"/>
          <w:sz w:val="22"/>
          <w:szCs w:val="22"/>
        </w:rPr>
        <w:t>Skills for Care (2025)</w:t>
      </w:r>
      <w:r w:rsidR="006A058A" w:rsidRPr="00D770D9">
        <w:rPr>
          <w:rFonts w:ascii="Arial" w:hAnsi="Arial" w:cs="Arial"/>
          <w:color w:val="000000" w:themeColor="text1"/>
          <w:sz w:val="22"/>
          <w:szCs w:val="22"/>
        </w:rPr>
        <w:t xml:space="preserve"> </w:t>
      </w:r>
      <w:r w:rsidRPr="00D770D9">
        <w:rPr>
          <w:rFonts w:ascii="Arial" w:hAnsi="Arial" w:cs="Arial"/>
          <w:color w:val="000000" w:themeColor="text1"/>
          <w:sz w:val="22"/>
          <w:szCs w:val="22"/>
        </w:rPr>
        <w:t>highlights the importance of strengthening domestic recruitment and developing a long-term workforce strategy to reduce reliance on international recruitment.</w:t>
      </w:r>
    </w:p>
    <w:p w14:paraId="1847692B" w14:textId="5E4A6F6A" w:rsidR="00525AEA" w:rsidRPr="00D770D9" w:rsidRDefault="00525AEA" w:rsidP="002A7FAB">
      <w:pPr>
        <w:pStyle w:val="NormalWeb"/>
        <w:spacing w:line="360" w:lineRule="auto"/>
        <w:jc w:val="both"/>
        <w:rPr>
          <w:rFonts w:ascii="Arial" w:hAnsi="Arial" w:cs="Arial"/>
          <w:color w:val="000000" w:themeColor="text1"/>
          <w:sz w:val="22"/>
          <w:szCs w:val="22"/>
        </w:rPr>
      </w:pPr>
      <w:r w:rsidRPr="00D770D9">
        <w:rPr>
          <w:rFonts w:ascii="Arial" w:hAnsi="Arial" w:cs="Arial"/>
          <w:color w:val="000000" w:themeColor="text1"/>
          <w:sz w:val="22"/>
          <w:szCs w:val="22"/>
        </w:rPr>
        <w:t xml:space="preserve">A major barrier to implementing this recommendation is the long-standing underinvestment in the ASC workforce, together with ongoing recruitment difficulties and increasing demand for care services. Negative perceptions of careers in </w:t>
      </w:r>
      <w:r w:rsidR="005B194C" w:rsidRPr="00D770D9">
        <w:rPr>
          <w:rFonts w:ascii="Arial" w:hAnsi="Arial" w:cs="Arial"/>
          <w:color w:val="000000" w:themeColor="text1"/>
          <w:sz w:val="22"/>
          <w:szCs w:val="22"/>
        </w:rPr>
        <w:t>ASC</w:t>
      </w:r>
      <w:r w:rsidRPr="00D770D9">
        <w:rPr>
          <w:rFonts w:ascii="Arial" w:hAnsi="Arial" w:cs="Arial"/>
          <w:color w:val="000000" w:themeColor="text1"/>
          <w:sz w:val="22"/>
          <w:szCs w:val="22"/>
        </w:rPr>
        <w:t>, limited opportunities for career progression and comparatively low pay continue to reduce the attractiveness of the sector, making it difficult to recruit and retain domestic workers. These challenges may limit the effectiveness of long-term workforce planning if they are not addressed alongside broader workforce reforms.</w:t>
      </w:r>
      <w:r w:rsidR="00E048E0" w:rsidRPr="00D770D9">
        <w:rPr>
          <w:rFonts w:ascii="Arial" w:hAnsi="Arial" w:cs="Arial"/>
          <w:color w:val="000000" w:themeColor="text1"/>
          <w:sz w:val="22"/>
          <w:szCs w:val="22"/>
        </w:rPr>
        <w:t xml:space="preserve"> According to Fisher and Foster (2025), persistently low pay, insecure working conditions, and workforce fragmentation continue to affect recruitment, retention, and long-term sustainability in the ASC sector.</w:t>
      </w:r>
    </w:p>
    <w:p w14:paraId="092A4E8A" w14:textId="77777777" w:rsidR="00895B10" w:rsidRPr="00D770D9" w:rsidRDefault="00C173A2" w:rsidP="00895B10">
      <w:pPr>
        <w:rPr>
          <w:rFonts w:ascii="Arial" w:hAnsi="Arial" w:cs="Arial"/>
          <w:color w:val="000000" w:themeColor="text1"/>
        </w:rPr>
      </w:pPr>
      <w:r w:rsidRPr="00D770D9">
        <w:rPr>
          <w:rFonts w:ascii="Arial" w:hAnsi="Arial" w:cs="Arial"/>
          <w:color w:val="000000" w:themeColor="text1"/>
        </w:rPr>
        <w:t xml:space="preserve">These barriers could be addressed through increased government investment, improved workforce planning and greater collaboration between policymakers, education providers and ASC organisations. Expanding apprenticeships, strengthening partnerships with further and higher education institutions, and improving career progression opportunities may encourage more individuals to enter and remain within the sector. </w:t>
      </w:r>
      <w:r w:rsidR="003A4B0B" w:rsidRPr="00D770D9">
        <w:rPr>
          <w:rFonts w:ascii="Arial" w:hAnsi="Arial" w:cs="Arial"/>
          <w:color w:val="000000" w:themeColor="text1"/>
        </w:rPr>
        <w:t>Skills for Care (2025) highlights the importance of improving education pathways, workforce planning, and career development in order to establish a sustainable ASC workforce.</w:t>
      </w:r>
      <w:r w:rsidR="002A40F8" w:rsidRPr="00D770D9">
        <w:rPr>
          <w:rFonts w:ascii="Arial" w:hAnsi="Arial" w:cs="Arial"/>
          <w:color w:val="000000" w:themeColor="text1"/>
        </w:rPr>
        <w:t xml:space="preserve"> </w:t>
      </w:r>
      <w:r w:rsidRPr="00D770D9">
        <w:rPr>
          <w:rFonts w:ascii="Arial" w:hAnsi="Arial" w:cs="Arial"/>
          <w:color w:val="000000" w:themeColor="text1"/>
        </w:rPr>
        <w:t>Collectively, these initiatives would help to build a more resilient, skilled and sustainable ASC workforce that is better equipped to meet future demand</w:t>
      </w:r>
      <w:r w:rsidR="003702EB" w:rsidRPr="00D770D9">
        <w:rPr>
          <w:rFonts w:ascii="Arial" w:hAnsi="Arial" w:cs="Arial"/>
          <w:color w:val="000000" w:themeColor="text1"/>
        </w:rPr>
        <w:t>.</w:t>
      </w:r>
    </w:p>
    <w:p w14:paraId="7FA8FE41" w14:textId="1677B368" w:rsidR="00C70E6C" w:rsidRPr="008D171C" w:rsidRDefault="00C70E6C" w:rsidP="00895B10">
      <w:pPr>
        <w:jc w:val="center"/>
        <w:rPr>
          <w:rFonts w:ascii="Arial" w:hAnsi="Arial" w:cs="Arial"/>
        </w:rPr>
      </w:pPr>
      <w:r w:rsidRPr="00CB660B">
        <w:rPr>
          <w:rFonts w:ascii="Arial" w:hAnsi="Arial" w:cs="Arial"/>
          <w:b/>
          <w:bCs/>
          <w:sz w:val="28"/>
          <w:szCs w:val="28"/>
        </w:rPr>
        <w:lastRenderedPageBreak/>
        <w:t>References</w:t>
      </w:r>
    </w:p>
    <w:p w14:paraId="55A1B476" w14:textId="77777777" w:rsidR="009500B9" w:rsidRPr="000A6E5F" w:rsidRDefault="009500B9" w:rsidP="000A6E5F">
      <w:pPr>
        <w:spacing w:after="0"/>
        <w:jc w:val="left"/>
        <w:rPr>
          <w:rFonts w:ascii="Arial" w:eastAsia="Times New Roman" w:hAnsi="Arial" w:cs="Arial"/>
          <w:color w:val="141413"/>
          <w:kern w:val="0"/>
          <w:lang w:eastAsia="en-GB"/>
          <w14:ligatures w14:val="none"/>
        </w:rPr>
      </w:pPr>
      <w:r w:rsidRPr="000A6E5F">
        <w:rPr>
          <w:rFonts w:ascii="Arial" w:eastAsia="Times New Roman" w:hAnsi="Arial" w:cs="Arial"/>
          <w:color w:val="141413"/>
          <w:kern w:val="0"/>
          <w:lang w:eastAsia="en-GB"/>
          <w14:ligatures w14:val="none"/>
        </w:rPr>
        <w:t>Arfeen Z, Nash E, Rashid MA (2025) Reliance on migrant healthcare workers in the</w:t>
      </w:r>
    </w:p>
    <w:p w14:paraId="3794F373" w14:textId="0C7FB5C0" w:rsidR="009500B9" w:rsidRPr="000A6E5F" w:rsidRDefault="009500B9" w:rsidP="000A6E5F">
      <w:pPr>
        <w:spacing w:after="0"/>
        <w:jc w:val="left"/>
        <w:rPr>
          <w:rFonts w:ascii="Arial" w:eastAsia="Times New Roman" w:hAnsi="Arial" w:cs="Arial"/>
          <w:color w:val="141413"/>
          <w:kern w:val="0"/>
          <w:lang w:eastAsia="en-GB"/>
          <w14:ligatures w14:val="none"/>
        </w:rPr>
      </w:pPr>
      <w:r w:rsidRPr="000A6E5F">
        <w:rPr>
          <w:rFonts w:ascii="Arial" w:eastAsia="Times New Roman" w:hAnsi="Arial" w:cs="Arial"/>
          <w:color w:val="141413"/>
          <w:kern w:val="0"/>
          <w:lang w:eastAsia="en-GB"/>
          <w14:ligatures w14:val="none"/>
        </w:rPr>
        <w:t xml:space="preserve">United Kingdom: A critical discourse analysis. </w:t>
      </w:r>
      <w:r w:rsidRPr="000A6E5F">
        <w:rPr>
          <w:rFonts w:ascii="Arial" w:eastAsia="Times New Roman" w:hAnsi="Arial" w:cs="Arial"/>
          <w:i/>
          <w:iCs/>
          <w:color w:val="141413"/>
          <w:kern w:val="0"/>
          <w:lang w:eastAsia="en-GB"/>
          <w14:ligatures w14:val="none"/>
        </w:rPr>
        <w:t>PLOS Glob Public Health</w:t>
      </w:r>
      <w:r w:rsidRPr="000A6E5F">
        <w:rPr>
          <w:rFonts w:ascii="Arial" w:eastAsia="Times New Roman" w:hAnsi="Arial" w:cs="Arial"/>
          <w:color w:val="141413"/>
          <w:kern w:val="0"/>
          <w:lang w:eastAsia="en-GB"/>
          <w14:ligatures w14:val="none"/>
        </w:rPr>
        <w:t xml:space="preserve"> 5(9): e0005141.</w:t>
      </w:r>
      <w:r w:rsidR="00955075" w:rsidRPr="000A6E5F">
        <w:rPr>
          <w:rFonts w:ascii="Arial" w:hAnsi="Arial" w:cs="Arial"/>
          <w:color w:val="000000"/>
        </w:rPr>
        <w:t xml:space="preserve"> Available at:</w:t>
      </w:r>
    </w:p>
    <w:p w14:paraId="684C61C9" w14:textId="1A6C4F6F" w:rsidR="009500B9" w:rsidRPr="000A6E5F" w:rsidRDefault="009500B9" w:rsidP="000A6E5F">
      <w:pPr>
        <w:spacing w:after="0"/>
        <w:jc w:val="left"/>
        <w:rPr>
          <w:rFonts w:ascii="Arial" w:eastAsia="Times New Roman" w:hAnsi="Arial" w:cs="Arial"/>
          <w:color w:val="EE0000"/>
          <w:kern w:val="0"/>
          <w:lang w:eastAsia="en-GB"/>
          <w14:ligatures w14:val="none"/>
        </w:rPr>
      </w:pPr>
      <w:hyperlink r:id="rId9" w:history="1">
        <w:r w:rsidRPr="000A6E5F">
          <w:rPr>
            <w:rStyle w:val="Hyperlink"/>
            <w:rFonts w:ascii="Arial" w:eastAsia="Times New Roman" w:hAnsi="Arial" w:cs="Arial"/>
            <w:kern w:val="0"/>
            <w:lang w:eastAsia="en-GB"/>
            <w14:ligatures w14:val="none"/>
          </w:rPr>
          <w:t>https://doi.org/10.1371/journal.pgph.0005141</w:t>
        </w:r>
      </w:hyperlink>
      <w:r w:rsidRPr="000A6E5F">
        <w:rPr>
          <w:rFonts w:ascii="Arial" w:eastAsia="Times New Roman" w:hAnsi="Arial" w:cs="Arial"/>
          <w:color w:val="2F4785"/>
          <w:kern w:val="0"/>
          <w:lang w:eastAsia="en-GB"/>
          <w14:ligatures w14:val="none"/>
        </w:rPr>
        <w:t xml:space="preserve"> </w:t>
      </w:r>
      <w:r w:rsidR="00320C40" w:rsidRPr="000A6E5F">
        <w:rPr>
          <w:rFonts w:ascii="Arial" w:hAnsi="Arial" w:cs="Arial"/>
          <w:color w:val="000000"/>
        </w:rPr>
        <w:t xml:space="preserve">(Accessed: </w:t>
      </w:r>
      <w:r w:rsidR="00FD6636" w:rsidRPr="000A6E5F">
        <w:rPr>
          <w:rFonts w:ascii="Arial" w:hAnsi="Arial" w:cs="Arial"/>
          <w:color w:val="000000"/>
        </w:rPr>
        <w:t xml:space="preserve">9 May </w:t>
      </w:r>
      <w:r w:rsidR="00320C40" w:rsidRPr="000A6E5F">
        <w:rPr>
          <w:rFonts w:ascii="Arial" w:hAnsi="Arial" w:cs="Arial"/>
          <w:color w:val="000000"/>
        </w:rPr>
        <w:t>2026).</w:t>
      </w:r>
    </w:p>
    <w:p w14:paraId="64389406" w14:textId="77777777" w:rsidR="009500B9" w:rsidRPr="000A6E5F" w:rsidRDefault="009500B9" w:rsidP="000A6E5F">
      <w:pPr>
        <w:spacing w:after="0"/>
        <w:jc w:val="left"/>
        <w:rPr>
          <w:rFonts w:ascii="Arial" w:eastAsia="Times New Roman" w:hAnsi="Arial" w:cs="Arial"/>
          <w:color w:val="2F4785"/>
          <w:kern w:val="0"/>
          <w:lang w:eastAsia="en-GB"/>
          <w14:ligatures w14:val="none"/>
        </w:rPr>
      </w:pPr>
    </w:p>
    <w:p w14:paraId="112EEE2A" w14:textId="48301025" w:rsidR="00C70E6C" w:rsidRPr="000A6E5F" w:rsidRDefault="00C70E6C" w:rsidP="000A6E5F">
      <w:pPr>
        <w:jc w:val="left"/>
        <w:rPr>
          <w:rStyle w:val="eop"/>
          <w:rFonts w:ascii="Arial" w:eastAsiaTheme="majorEastAsia" w:hAnsi="Arial" w:cs="Arial"/>
        </w:rPr>
      </w:pPr>
      <w:r w:rsidRPr="000A6E5F">
        <w:rPr>
          <w:rStyle w:val="normaltextrun"/>
          <w:rFonts w:ascii="Arial" w:eastAsiaTheme="majorEastAsia" w:hAnsi="Arial" w:cs="Arial"/>
        </w:rPr>
        <w:t>Al-Btoush, A. and El-Bcheraoui, C. (2024) ‘Challenges affecting migrant healthcare workers while adjusting to new healthcare environments: a scoping review’,</w:t>
      </w:r>
      <w:r w:rsidRPr="000A6E5F">
        <w:rPr>
          <w:rStyle w:val="apple-converted-space"/>
          <w:rFonts w:ascii="Arial" w:eastAsiaTheme="majorEastAsia" w:hAnsi="Arial" w:cs="Arial"/>
        </w:rPr>
        <w:t> </w:t>
      </w:r>
      <w:r w:rsidRPr="000A6E5F">
        <w:rPr>
          <w:rStyle w:val="normaltextrun"/>
          <w:rFonts w:ascii="Arial" w:eastAsiaTheme="majorEastAsia" w:hAnsi="Arial" w:cs="Arial"/>
          <w:i/>
          <w:iCs/>
        </w:rPr>
        <w:t>Human Resources for Health</w:t>
      </w:r>
      <w:r w:rsidRPr="000A6E5F">
        <w:rPr>
          <w:rStyle w:val="normaltextrun"/>
          <w:rFonts w:ascii="Arial" w:eastAsiaTheme="majorEastAsia" w:hAnsi="Arial" w:cs="Arial"/>
        </w:rPr>
        <w:t>, 22(1), p. 56.</w:t>
      </w:r>
    </w:p>
    <w:p w14:paraId="479A6191" w14:textId="76E82578" w:rsidR="00AC7F00" w:rsidRPr="000A6E5F" w:rsidRDefault="00AC7F00" w:rsidP="000A6E5F">
      <w:pPr>
        <w:jc w:val="left"/>
        <w:rPr>
          <w:rFonts w:ascii="Arial" w:hAnsi="Arial" w:cs="Arial"/>
          <w:b/>
          <w:bCs/>
          <w:color w:val="EE0000"/>
        </w:rPr>
      </w:pPr>
      <w:r w:rsidRPr="000A6E5F">
        <w:rPr>
          <w:rFonts w:ascii="Arial" w:hAnsi="Arial" w:cs="Arial"/>
          <w:color w:val="000000"/>
        </w:rPr>
        <w:t>Agbonmwandolor, J.O., Chaloner, J., Gogoi, M., Qureshi, I., Al-Oraibi, A., Ekezie, W., Reilly, H., Wobi, F., Nellums, L.B. and Pareek, M. (2024) ‘Coping strategies used by migrant healthcare workers to support their mental health during COVID-19 in the United Kingdom: a qualitative analysis’,</w:t>
      </w:r>
      <w:r w:rsidRPr="000A6E5F">
        <w:rPr>
          <w:rStyle w:val="apple-converted-space"/>
          <w:rFonts w:ascii="Arial" w:hAnsi="Arial" w:cs="Arial"/>
          <w:color w:val="000000"/>
        </w:rPr>
        <w:t> </w:t>
      </w:r>
      <w:r w:rsidRPr="000A6E5F">
        <w:rPr>
          <w:rStyle w:val="Emphasis"/>
          <w:rFonts w:ascii="Arial" w:hAnsi="Arial" w:cs="Arial"/>
          <w:color w:val="000000"/>
        </w:rPr>
        <w:t>European Journal of Psychotraumatology</w:t>
      </w:r>
      <w:r w:rsidRPr="000A6E5F">
        <w:rPr>
          <w:rFonts w:ascii="Arial" w:hAnsi="Arial" w:cs="Arial"/>
          <w:color w:val="000000"/>
        </w:rPr>
        <w:t>, 15(1), p. 2415747.</w:t>
      </w:r>
      <w:r w:rsidR="00072933" w:rsidRPr="000A6E5F">
        <w:rPr>
          <w:rFonts w:ascii="Arial" w:hAnsi="Arial" w:cs="Arial"/>
          <w:color w:val="000000"/>
        </w:rPr>
        <w:t xml:space="preserve"> Available at:</w:t>
      </w:r>
      <w:r w:rsidRPr="000A6E5F">
        <w:rPr>
          <w:rStyle w:val="apple-converted-space"/>
          <w:rFonts w:ascii="Arial" w:hAnsi="Arial" w:cs="Arial"/>
          <w:color w:val="000000"/>
        </w:rPr>
        <w:t> </w:t>
      </w:r>
      <w:hyperlink r:id="rId10" w:tgtFrame="_new" w:history="1">
        <w:r w:rsidRPr="000A6E5F">
          <w:rPr>
            <w:rStyle w:val="Hyperlink"/>
            <w:rFonts w:ascii="Arial" w:hAnsi="Arial" w:cs="Arial"/>
          </w:rPr>
          <w:t>https://doi.org/10.1080/20008066.2024.2415747</w:t>
        </w:r>
      </w:hyperlink>
      <w:r w:rsidRPr="000A6E5F">
        <w:rPr>
          <w:rFonts w:ascii="Arial" w:hAnsi="Arial" w:cs="Arial"/>
        </w:rPr>
        <w:t xml:space="preserve"> </w:t>
      </w:r>
      <w:r w:rsidR="00E97590" w:rsidRPr="000A6E5F">
        <w:rPr>
          <w:rFonts w:ascii="Arial" w:hAnsi="Arial" w:cs="Arial"/>
          <w:color w:val="000000"/>
        </w:rPr>
        <w:t>(Accessed: 7 May 2026).</w:t>
      </w:r>
    </w:p>
    <w:p w14:paraId="1BCCB3BA" w14:textId="45D7231B" w:rsidR="00E55222" w:rsidRPr="000A6E5F" w:rsidRDefault="00E55222" w:rsidP="000A6E5F">
      <w:pPr>
        <w:pStyle w:val="NormalWeb"/>
        <w:spacing w:line="360" w:lineRule="auto"/>
        <w:rPr>
          <w:rFonts w:ascii="Arial" w:hAnsi="Arial" w:cs="Arial"/>
          <w:color w:val="000000"/>
          <w:sz w:val="22"/>
          <w:szCs w:val="22"/>
        </w:rPr>
      </w:pPr>
      <w:r w:rsidRPr="000A6E5F">
        <w:rPr>
          <w:rFonts w:ascii="Arial" w:hAnsi="Arial" w:cs="Arial"/>
          <w:color w:val="000000"/>
          <w:sz w:val="22"/>
          <w:szCs w:val="22"/>
        </w:rPr>
        <w:t>Aveyard, H., Greenway, K. and Parsons, L. (2023)</w:t>
      </w:r>
      <w:r w:rsidRPr="000A6E5F">
        <w:rPr>
          <w:rStyle w:val="apple-converted-space"/>
          <w:rFonts w:ascii="Arial" w:hAnsi="Arial" w:cs="Arial"/>
          <w:color w:val="000000"/>
          <w:sz w:val="22"/>
          <w:szCs w:val="22"/>
        </w:rPr>
        <w:t> </w:t>
      </w:r>
      <w:r w:rsidRPr="000A6E5F">
        <w:rPr>
          <w:rStyle w:val="Emphasis"/>
          <w:rFonts w:ascii="Arial" w:hAnsi="Arial" w:cs="Arial"/>
          <w:color w:val="000000"/>
          <w:sz w:val="22"/>
          <w:szCs w:val="22"/>
        </w:rPr>
        <w:t>A beginner's guide to evidence-based practice in health and social care</w:t>
      </w:r>
      <w:r w:rsidRPr="000A6E5F">
        <w:rPr>
          <w:rFonts w:ascii="Arial" w:hAnsi="Arial" w:cs="Arial"/>
          <w:color w:val="000000"/>
          <w:sz w:val="22"/>
          <w:szCs w:val="22"/>
        </w:rPr>
        <w:t>. 4th edn. London: Open University Press</w:t>
      </w:r>
      <w:r w:rsidR="00DE48F3" w:rsidRPr="000A6E5F">
        <w:rPr>
          <w:rFonts w:ascii="Arial" w:hAnsi="Arial" w:cs="Arial"/>
          <w:color w:val="000000"/>
          <w:sz w:val="22"/>
          <w:szCs w:val="22"/>
        </w:rPr>
        <w:t>.</w:t>
      </w:r>
    </w:p>
    <w:p w14:paraId="42FECF44" w14:textId="42F2581E" w:rsidR="00921C06" w:rsidRPr="000A6E5F" w:rsidRDefault="0026497E" w:rsidP="000A6E5F">
      <w:pPr>
        <w:jc w:val="left"/>
        <w:rPr>
          <w:rStyle w:val="apple-converted-space"/>
          <w:rFonts w:ascii="Arial" w:hAnsi="Arial" w:cs="Arial"/>
          <w:color w:val="000000"/>
        </w:rPr>
      </w:pPr>
      <w:r w:rsidRPr="000A6E5F">
        <w:rPr>
          <w:rStyle w:val="Strong"/>
          <w:rFonts w:ascii="Arial" w:hAnsi="Arial" w:cs="Arial"/>
          <w:b w:val="0"/>
          <w:bCs w:val="0"/>
          <w:color w:val="000000"/>
        </w:rPr>
        <w:t>Alkhateeb, M., Althabaiti, K., Ahmed, S., Lövestad, S. and Khan, J. (2025)</w:t>
      </w:r>
      <w:r w:rsidRPr="000A6E5F">
        <w:rPr>
          <w:rStyle w:val="apple-converted-space"/>
          <w:rFonts w:ascii="Arial" w:hAnsi="Arial" w:cs="Arial"/>
          <w:b/>
          <w:bCs/>
          <w:color w:val="000000"/>
        </w:rPr>
        <w:t> </w:t>
      </w:r>
      <w:r w:rsidRPr="000A6E5F">
        <w:rPr>
          <w:rFonts w:ascii="Arial" w:hAnsi="Arial" w:cs="Arial"/>
          <w:color w:val="000000"/>
        </w:rPr>
        <w:t>‘A systematic review of the determinants of job satisfaction in healthcare workers in health facilities in Gulf Cooperation Council countries’,</w:t>
      </w:r>
      <w:r w:rsidRPr="000A6E5F">
        <w:rPr>
          <w:rStyle w:val="apple-converted-space"/>
          <w:rFonts w:ascii="Arial" w:hAnsi="Arial" w:cs="Arial"/>
          <w:color w:val="000000"/>
        </w:rPr>
        <w:t> </w:t>
      </w:r>
      <w:r w:rsidRPr="000A6E5F">
        <w:rPr>
          <w:rStyle w:val="Emphasis"/>
          <w:rFonts w:ascii="Arial" w:hAnsi="Arial" w:cs="Arial"/>
          <w:color w:val="000000"/>
        </w:rPr>
        <w:t>Global Health Action</w:t>
      </w:r>
      <w:r w:rsidRPr="000A6E5F">
        <w:rPr>
          <w:rFonts w:ascii="Arial" w:hAnsi="Arial" w:cs="Arial"/>
          <w:color w:val="000000"/>
        </w:rPr>
        <w:t>,</w:t>
      </w:r>
      <w:r w:rsidRPr="000A6E5F">
        <w:rPr>
          <w:rStyle w:val="apple-converted-space"/>
          <w:rFonts w:ascii="Arial" w:hAnsi="Arial" w:cs="Arial"/>
          <w:color w:val="000000"/>
        </w:rPr>
        <w:t> </w:t>
      </w:r>
      <w:r w:rsidRPr="000A6E5F">
        <w:rPr>
          <w:rStyle w:val="Strong"/>
          <w:rFonts w:ascii="Arial" w:hAnsi="Arial" w:cs="Arial"/>
          <w:b w:val="0"/>
          <w:bCs w:val="0"/>
          <w:color w:val="000000"/>
        </w:rPr>
        <w:t>18</w:t>
      </w:r>
      <w:r w:rsidRPr="000A6E5F">
        <w:rPr>
          <w:rFonts w:ascii="Arial" w:hAnsi="Arial" w:cs="Arial"/>
          <w:color w:val="000000"/>
        </w:rPr>
        <w:t>(1), Article 2479910. Available at:</w:t>
      </w:r>
      <w:r w:rsidRPr="000A6E5F">
        <w:rPr>
          <w:rStyle w:val="apple-converted-space"/>
          <w:rFonts w:ascii="Arial" w:hAnsi="Arial" w:cs="Arial"/>
          <w:color w:val="000000"/>
        </w:rPr>
        <w:t> </w:t>
      </w:r>
      <w:hyperlink r:id="rId11" w:history="1">
        <w:r w:rsidRPr="000A6E5F">
          <w:rPr>
            <w:rStyle w:val="Hyperlink"/>
            <w:rFonts w:ascii="Arial" w:hAnsi="Arial" w:cs="Arial"/>
          </w:rPr>
          <w:t>https://doi.org/10.1080/16549716.2025.2479910</w:t>
        </w:r>
      </w:hyperlink>
      <w:r w:rsidR="00921C06" w:rsidRPr="000A6E5F">
        <w:rPr>
          <w:rFonts w:ascii="Arial" w:hAnsi="Arial" w:cs="Arial"/>
          <w:color w:val="000000"/>
        </w:rPr>
        <w:t xml:space="preserve"> </w:t>
      </w:r>
      <w:r w:rsidR="00640901" w:rsidRPr="000A6E5F">
        <w:rPr>
          <w:rFonts w:ascii="Arial" w:hAnsi="Arial" w:cs="Arial"/>
          <w:color w:val="000000"/>
        </w:rPr>
        <w:t xml:space="preserve"> </w:t>
      </w:r>
      <w:r w:rsidR="00921C06" w:rsidRPr="000A6E5F">
        <w:rPr>
          <w:rFonts w:ascii="Arial" w:hAnsi="Arial" w:cs="Arial"/>
          <w:color w:val="000000"/>
        </w:rPr>
        <w:t>(Accessed: 18 June 2026).</w:t>
      </w:r>
    </w:p>
    <w:p w14:paraId="3CD43E83" w14:textId="5E54ECF9" w:rsidR="00290F1C" w:rsidRPr="000A6E5F" w:rsidRDefault="00290F1C" w:rsidP="000A6E5F">
      <w:pPr>
        <w:pStyle w:val="NormalWeb"/>
        <w:spacing w:line="360" w:lineRule="auto"/>
        <w:rPr>
          <w:rFonts w:ascii="Arial" w:hAnsi="Arial" w:cs="Arial"/>
          <w:color w:val="000000"/>
          <w:sz w:val="22"/>
          <w:szCs w:val="22"/>
        </w:rPr>
      </w:pPr>
      <w:r w:rsidRPr="000A6E5F">
        <w:rPr>
          <w:rFonts w:ascii="Arial" w:hAnsi="Arial" w:cs="Arial"/>
          <w:color w:val="000000"/>
          <w:sz w:val="22"/>
          <w:szCs w:val="22"/>
        </w:rPr>
        <w:t>Alkan, E., Cushen-Brewster, N. and Anyanwu, P. (2024) ‘Organisational factors associated with healthcare workforce development, recruitment, and retention in the United Kingdom: a systematic review’,</w:t>
      </w:r>
      <w:r w:rsidRPr="000A6E5F">
        <w:rPr>
          <w:rStyle w:val="apple-converted-space"/>
          <w:rFonts w:ascii="Arial" w:hAnsi="Arial" w:cs="Arial"/>
          <w:color w:val="000000"/>
          <w:sz w:val="22"/>
          <w:szCs w:val="22"/>
        </w:rPr>
        <w:t> </w:t>
      </w:r>
      <w:r w:rsidRPr="000A6E5F">
        <w:rPr>
          <w:rStyle w:val="Emphasis"/>
          <w:rFonts w:ascii="Arial" w:hAnsi="Arial" w:cs="Arial"/>
          <w:color w:val="000000"/>
          <w:sz w:val="22"/>
          <w:szCs w:val="22"/>
        </w:rPr>
        <w:t>BMC Nursing</w:t>
      </w:r>
      <w:r w:rsidRPr="000A6E5F">
        <w:rPr>
          <w:rFonts w:ascii="Arial" w:hAnsi="Arial" w:cs="Arial"/>
          <w:color w:val="000000"/>
          <w:sz w:val="22"/>
          <w:szCs w:val="22"/>
        </w:rPr>
        <w:t>,</w:t>
      </w:r>
      <w:r w:rsidRPr="000A6E5F">
        <w:rPr>
          <w:rStyle w:val="apple-converted-space"/>
          <w:rFonts w:ascii="Arial" w:hAnsi="Arial" w:cs="Arial"/>
          <w:color w:val="000000"/>
          <w:sz w:val="22"/>
          <w:szCs w:val="22"/>
        </w:rPr>
        <w:t> </w:t>
      </w:r>
      <w:r w:rsidRPr="000A6E5F">
        <w:rPr>
          <w:rStyle w:val="Strong"/>
          <w:rFonts w:ascii="Arial" w:hAnsi="Arial" w:cs="Arial"/>
          <w:b w:val="0"/>
          <w:bCs w:val="0"/>
          <w:color w:val="000000"/>
          <w:sz w:val="22"/>
          <w:szCs w:val="22"/>
        </w:rPr>
        <w:t>23</w:t>
      </w:r>
      <w:r w:rsidRPr="000A6E5F">
        <w:rPr>
          <w:rFonts w:ascii="Arial" w:hAnsi="Arial" w:cs="Arial"/>
          <w:color w:val="000000"/>
          <w:sz w:val="22"/>
          <w:szCs w:val="22"/>
        </w:rPr>
        <w:t>(1), p. 604.</w:t>
      </w:r>
    </w:p>
    <w:p w14:paraId="5B82694C" w14:textId="75B08EB5" w:rsidR="00A77401" w:rsidRPr="000A6E5F" w:rsidRDefault="00A77401" w:rsidP="000A6E5F">
      <w:pPr>
        <w:pStyle w:val="NormalWeb"/>
        <w:spacing w:line="360" w:lineRule="auto"/>
        <w:rPr>
          <w:rFonts w:ascii="Arial" w:hAnsi="Arial" w:cs="Arial"/>
          <w:color w:val="000000"/>
          <w:sz w:val="22"/>
          <w:szCs w:val="22"/>
        </w:rPr>
      </w:pPr>
      <w:r w:rsidRPr="000A6E5F">
        <w:rPr>
          <w:rFonts w:ascii="Arial" w:hAnsi="Arial" w:cs="Arial"/>
          <w:color w:val="000000"/>
          <w:sz w:val="22"/>
          <w:szCs w:val="22"/>
        </w:rPr>
        <w:t>Averens, T., Van den Broeck, K. and Franck, E. (2022)</w:t>
      </w:r>
      <w:r w:rsidRPr="000A6E5F">
        <w:rPr>
          <w:rStyle w:val="apple-converted-space"/>
          <w:rFonts w:ascii="Arial" w:hAnsi="Arial" w:cs="Arial"/>
          <w:color w:val="000000"/>
          <w:sz w:val="22"/>
          <w:szCs w:val="22"/>
        </w:rPr>
        <w:t> </w:t>
      </w:r>
      <w:r w:rsidRPr="000A6E5F">
        <w:rPr>
          <w:rStyle w:val="Emphasis"/>
          <w:rFonts w:ascii="Arial" w:hAnsi="Arial" w:cs="Arial"/>
          <w:color w:val="000000"/>
          <w:sz w:val="22"/>
          <w:szCs w:val="22"/>
        </w:rPr>
        <w:t>Interventions that increase job satisfaction of healthcare workers: A scoping review</w:t>
      </w:r>
      <w:r w:rsidRPr="000A6E5F">
        <w:rPr>
          <w:rFonts w:ascii="Arial" w:hAnsi="Arial" w:cs="Arial"/>
          <w:color w:val="000000"/>
          <w:sz w:val="22"/>
          <w:szCs w:val="22"/>
        </w:rPr>
        <w:t>. University of Antwerp.</w:t>
      </w:r>
    </w:p>
    <w:p w14:paraId="50737FF9" w14:textId="26366F94" w:rsidR="00C70E6C" w:rsidRPr="000A6E5F" w:rsidRDefault="00C70E6C" w:rsidP="000A6E5F">
      <w:pPr>
        <w:jc w:val="left"/>
        <w:rPr>
          <w:rFonts w:ascii="Arial" w:hAnsi="Arial" w:cs="Arial"/>
        </w:rPr>
      </w:pPr>
      <w:r w:rsidRPr="000A6E5F">
        <w:rPr>
          <w:rFonts w:ascii="Arial" w:hAnsi="Arial" w:cs="Arial"/>
        </w:rPr>
        <w:t xml:space="preserve">Barton, C., Sturge, G. and Harker, R. (2024) </w:t>
      </w:r>
      <w:r w:rsidRPr="000A6E5F">
        <w:rPr>
          <w:rFonts w:ascii="Arial" w:hAnsi="Arial" w:cs="Arial"/>
          <w:i/>
          <w:iCs/>
        </w:rPr>
        <w:t>The UK’s changing population</w:t>
      </w:r>
      <w:r w:rsidRPr="000A6E5F">
        <w:rPr>
          <w:rFonts w:ascii="Arial" w:hAnsi="Arial" w:cs="Arial"/>
        </w:rPr>
        <w:t xml:space="preserve">. House of Commons Library. Available at: </w:t>
      </w:r>
      <w:hyperlink r:id="rId12" w:history="1">
        <w:r w:rsidRPr="000A6E5F">
          <w:rPr>
            <w:rStyle w:val="Hyperlink"/>
            <w:rFonts w:ascii="Arial" w:hAnsi="Arial" w:cs="Arial"/>
          </w:rPr>
          <w:t>https://commonslibrary.parliament.uk/the-uks-changing-population/</w:t>
        </w:r>
      </w:hyperlink>
      <w:r w:rsidRPr="000A6E5F">
        <w:rPr>
          <w:rFonts w:ascii="Arial" w:hAnsi="Arial" w:cs="Arial"/>
        </w:rPr>
        <w:t xml:space="preserve">  (Accessed: 10 March 2026).</w:t>
      </w:r>
    </w:p>
    <w:p w14:paraId="5B4470A5" w14:textId="662B438C" w:rsidR="00FE5A87" w:rsidRPr="000A6E5F" w:rsidRDefault="00FE5A87" w:rsidP="000A6E5F">
      <w:pPr>
        <w:jc w:val="left"/>
        <w:rPr>
          <w:rFonts w:ascii="Arial" w:hAnsi="Arial" w:cs="Arial"/>
        </w:rPr>
      </w:pPr>
      <w:r w:rsidRPr="000A6E5F">
        <w:rPr>
          <w:rFonts w:ascii="Arial" w:hAnsi="Arial" w:cs="Arial"/>
          <w:color w:val="000000"/>
        </w:rPr>
        <w:t>Bramer, W.M., de Jonge, G.B., Rethlefsen, M.L., Mast, F. and Kleijnen, J. (2018) ‘</w:t>
      </w:r>
      <w:r w:rsidRPr="000A6E5F">
        <w:rPr>
          <w:rFonts w:ascii="Arial" w:hAnsi="Arial" w:cs="Arial"/>
          <w:i/>
          <w:iCs/>
          <w:color w:val="000000"/>
        </w:rPr>
        <w:t>A systematic approach to searching: an efficient and complete method to develop literature searches’,</w:t>
      </w:r>
      <w:r w:rsidRPr="000A6E5F">
        <w:rPr>
          <w:rStyle w:val="apple-converted-space"/>
          <w:rFonts w:ascii="Arial" w:hAnsi="Arial" w:cs="Arial"/>
          <w:i/>
          <w:iCs/>
          <w:color w:val="000000"/>
        </w:rPr>
        <w:t> </w:t>
      </w:r>
      <w:r w:rsidRPr="000A6E5F">
        <w:rPr>
          <w:rFonts w:ascii="Arial" w:hAnsi="Arial" w:cs="Arial"/>
          <w:color w:val="000000"/>
        </w:rPr>
        <w:t>106(4), pp. 531–541.</w:t>
      </w:r>
    </w:p>
    <w:p w14:paraId="549FEB84" w14:textId="0F9D05D3" w:rsidR="00985AB7" w:rsidRPr="000A6E5F" w:rsidRDefault="00985AB7" w:rsidP="000A6E5F">
      <w:pPr>
        <w:jc w:val="left"/>
        <w:rPr>
          <w:rFonts w:ascii="Arial" w:hAnsi="Arial" w:cs="Arial"/>
        </w:rPr>
      </w:pPr>
      <w:r w:rsidRPr="000A6E5F">
        <w:rPr>
          <w:rFonts w:ascii="Arial" w:hAnsi="Arial" w:cs="Arial"/>
          <w:color w:val="000000"/>
        </w:rPr>
        <w:lastRenderedPageBreak/>
        <w:t>Birmingham City University (202</w:t>
      </w:r>
      <w:r w:rsidR="00904660" w:rsidRPr="000A6E5F">
        <w:rPr>
          <w:rFonts w:ascii="Arial" w:hAnsi="Arial" w:cs="Arial"/>
          <w:color w:val="000000"/>
        </w:rPr>
        <w:t>5</w:t>
      </w:r>
      <w:r w:rsidRPr="000A6E5F">
        <w:rPr>
          <w:rFonts w:ascii="Arial" w:hAnsi="Arial" w:cs="Arial"/>
          <w:color w:val="000000"/>
        </w:rPr>
        <w:t>)</w:t>
      </w:r>
      <w:r w:rsidRPr="000A6E5F">
        <w:rPr>
          <w:rStyle w:val="apple-converted-space"/>
          <w:rFonts w:ascii="Arial" w:hAnsi="Arial" w:cs="Arial"/>
          <w:color w:val="000000"/>
        </w:rPr>
        <w:t> </w:t>
      </w:r>
      <w:r w:rsidRPr="000A6E5F">
        <w:rPr>
          <w:rStyle w:val="Emphasis"/>
          <w:rFonts w:ascii="Arial" w:hAnsi="Arial" w:cs="Arial"/>
          <w:color w:val="000000"/>
        </w:rPr>
        <w:t>AND, OR and NOT</w:t>
      </w:r>
      <w:r w:rsidRPr="000A6E5F">
        <w:rPr>
          <w:rFonts w:ascii="Arial" w:hAnsi="Arial" w:cs="Arial"/>
          <w:color w:val="000000"/>
        </w:rPr>
        <w:t>. Available at:</w:t>
      </w:r>
      <w:r w:rsidRPr="000A6E5F">
        <w:rPr>
          <w:rStyle w:val="apple-converted-space"/>
          <w:rFonts w:ascii="Arial" w:hAnsi="Arial" w:cs="Arial"/>
          <w:color w:val="000000"/>
        </w:rPr>
        <w:t> </w:t>
      </w:r>
      <w:hyperlink r:id="rId13" w:tgtFrame="_new" w:history="1">
        <w:r w:rsidRPr="000A6E5F">
          <w:rPr>
            <w:rStyle w:val="Hyperlink"/>
            <w:rFonts w:ascii="Arial" w:hAnsi="Arial" w:cs="Arial"/>
          </w:rPr>
          <w:t>https://libguides.bcu.ac.uk/searching/boolean-operators</w:t>
        </w:r>
      </w:hyperlink>
      <w:r w:rsidRPr="000A6E5F">
        <w:rPr>
          <w:rStyle w:val="apple-converted-space"/>
          <w:rFonts w:ascii="Arial" w:hAnsi="Arial" w:cs="Arial"/>
          <w:color w:val="000000"/>
        </w:rPr>
        <w:t> </w:t>
      </w:r>
      <w:r w:rsidRPr="000A6E5F">
        <w:rPr>
          <w:rFonts w:ascii="Arial" w:hAnsi="Arial" w:cs="Arial"/>
          <w:color w:val="000000"/>
        </w:rPr>
        <w:t>(Accessed: 1 June 2026).</w:t>
      </w:r>
    </w:p>
    <w:p w14:paraId="7A014E91" w14:textId="24CB4B18" w:rsidR="00C70E6C" w:rsidRPr="000A6E5F" w:rsidRDefault="00C70E6C" w:rsidP="000A6E5F">
      <w:pPr>
        <w:jc w:val="left"/>
        <w:rPr>
          <w:rStyle w:val="apple-converted-space"/>
          <w:rFonts w:ascii="Arial" w:hAnsi="Arial" w:cs="Arial"/>
          <w:color w:val="000000"/>
        </w:rPr>
      </w:pPr>
      <w:r w:rsidRPr="000A6E5F">
        <w:rPr>
          <w:rFonts w:ascii="Arial" w:hAnsi="Arial" w:cs="Arial"/>
        </w:rPr>
        <w:t>Birmingham City University (2025)</w:t>
      </w:r>
      <w:r w:rsidRPr="000A6E5F">
        <w:rPr>
          <w:rStyle w:val="apple-converted-space"/>
          <w:rFonts w:ascii="Arial" w:hAnsi="Arial" w:cs="Arial"/>
          <w:color w:val="000000"/>
        </w:rPr>
        <w:t> </w:t>
      </w:r>
      <w:r w:rsidRPr="000A6E5F">
        <w:rPr>
          <w:rStyle w:val="Emphasis"/>
          <w:rFonts w:ascii="Arial" w:hAnsi="Arial" w:cs="Arial"/>
          <w:color w:val="000000"/>
        </w:rPr>
        <w:t>Checklist approach to critical evaluation</w:t>
      </w:r>
      <w:r w:rsidRPr="000A6E5F">
        <w:rPr>
          <w:rFonts w:ascii="Arial" w:hAnsi="Arial" w:cs="Arial"/>
        </w:rPr>
        <w:t>. Available at:</w:t>
      </w:r>
      <w:r w:rsidRPr="000A6E5F">
        <w:rPr>
          <w:rStyle w:val="apple-converted-space"/>
          <w:rFonts w:ascii="Arial" w:hAnsi="Arial" w:cs="Arial"/>
          <w:color w:val="000000"/>
        </w:rPr>
        <w:t> </w:t>
      </w:r>
      <w:hyperlink r:id="rId14" w:tgtFrame="_new" w:history="1">
        <w:r w:rsidRPr="000A6E5F">
          <w:rPr>
            <w:rStyle w:val="Hyperlink"/>
            <w:rFonts w:ascii="Arial" w:hAnsi="Arial" w:cs="Arial"/>
          </w:rPr>
          <w:t>https://libguides.bcu.ac.uk/critical-evaluation/checklist-approach</w:t>
        </w:r>
      </w:hyperlink>
      <w:r w:rsidRPr="000A6E5F">
        <w:rPr>
          <w:rStyle w:val="apple-converted-space"/>
          <w:rFonts w:ascii="Arial" w:hAnsi="Arial" w:cs="Arial"/>
          <w:color w:val="000000"/>
        </w:rPr>
        <w:t> </w:t>
      </w:r>
      <w:r w:rsidRPr="000A6E5F">
        <w:rPr>
          <w:rFonts w:ascii="Arial" w:hAnsi="Arial" w:cs="Arial"/>
        </w:rPr>
        <w:t>(Accessed: 30 May 2026).</w:t>
      </w:r>
    </w:p>
    <w:p w14:paraId="71459419" w14:textId="3DAEF87B" w:rsidR="009F0D4F" w:rsidRPr="000A6E5F" w:rsidRDefault="009F0D4F" w:rsidP="000A6E5F">
      <w:pPr>
        <w:jc w:val="left"/>
        <w:rPr>
          <w:rFonts w:ascii="Arial" w:hAnsi="Arial" w:cs="Arial"/>
          <w:color w:val="000000"/>
        </w:rPr>
      </w:pPr>
      <w:r w:rsidRPr="000A6E5F">
        <w:rPr>
          <w:rFonts w:ascii="Arial" w:hAnsi="Arial" w:cs="Arial"/>
          <w:color w:val="000000"/>
        </w:rPr>
        <w:t>Braun, V. and Clarke, V. (2006) ‘Using thematic analysis in psychology’,</w:t>
      </w:r>
      <w:r w:rsidRPr="000A6E5F">
        <w:rPr>
          <w:rStyle w:val="apple-converted-space"/>
          <w:rFonts w:ascii="Arial" w:hAnsi="Arial" w:cs="Arial"/>
          <w:color w:val="000000"/>
        </w:rPr>
        <w:t> </w:t>
      </w:r>
      <w:r w:rsidRPr="000A6E5F">
        <w:rPr>
          <w:rStyle w:val="Emphasis"/>
          <w:rFonts w:ascii="Arial" w:hAnsi="Arial" w:cs="Arial"/>
          <w:color w:val="000000"/>
        </w:rPr>
        <w:t>Qualitative Research in Psychology</w:t>
      </w:r>
      <w:r w:rsidRPr="000A6E5F">
        <w:rPr>
          <w:rFonts w:ascii="Arial" w:hAnsi="Arial" w:cs="Arial"/>
          <w:color w:val="000000"/>
        </w:rPr>
        <w:t>, 3(2), pp. 77–101. Available at:</w:t>
      </w:r>
      <w:r w:rsidRPr="000A6E5F">
        <w:rPr>
          <w:rStyle w:val="apple-converted-space"/>
          <w:rFonts w:ascii="Arial" w:hAnsi="Arial" w:cs="Arial"/>
          <w:color w:val="000000"/>
        </w:rPr>
        <w:t> </w:t>
      </w:r>
      <w:hyperlink r:id="rId15" w:tgtFrame="_new" w:history="1">
        <w:r w:rsidRPr="000A6E5F">
          <w:rPr>
            <w:rStyle w:val="Hyperlink"/>
            <w:rFonts w:ascii="Arial" w:hAnsi="Arial" w:cs="Arial"/>
          </w:rPr>
          <w:t>https://doi.org/10.1191/1478088706qp063oa</w:t>
        </w:r>
      </w:hyperlink>
      <w:r w:rsidRPr="000A6E5F">
        <w:rPr>
          <w:rStyle w:val="apple-converted-space"/>
          <w:rFonts w:ascii="Arial" w:hAnsi="Arial" w:cs="Arial"/>
          <w:color w:val="000000"/>
        </w:rPr>
        <w:t> </w:t>
      </w:r>
      <w:r w:rsidRPr="000A6E5F">
        <w:rPr>
          <w:rFonts w:ascii="Arial" w:hAnsi="Arial" w:cs="Arial"/>
          <w:color w:val="000000"/>
        </w:rPr>
        <w:t>(Accessed: 1 June 2026).</w:t>
      </w:r>
    </w:p>
    <w:p w14:paraId="0A802503" w14:textId="5180F8AA" w:rsidR="00344D64" w:rsidRPr="000A6E5F" w:rsidRDefault="00344D64" w:rsidP="000A6E5F">
      <w:pPr>
        <w:jc w:val="left"/>
        <w:rPr>
          <w:rFonts w:ascii="Arial" w:hAnsi="Arial" w:cs="Arial"/>
          <w:color w:val="000000"/>
        </w:rPr>
      </w:pPr>
      <w:r w:rsidRPr="000A6E5F">
        <w:rPr>
          <w:rStyle w:val="Strong"/>
          <w:rFonts w:ascii="Arial" w:hAnsi="Arial" w:cs="Arial"/>
          <w:b w:val="0"/>
          <w:bCs w:val="0"/>
          <w:color w:val="000000"/>
        </w:rPr>
        <w:t>Buchan, J., Gershlick, B., Charlesworth, A. and Seccombe, I. (2019)</w:t>
      </w:r>
      <w:r w:rsidRPr="000A6E5F">
        <w:rPr>
          <w:rStyle w:val="apple-converted-space"/>
          <w:rFonts w:ascii="Arial" w:hAnsi="Arial" w:cs="Arial"/>
          <w:color w:val="000000"/>
        </w:rPr>
        <w:t> </w:t>
      </w:r>
      <w:r w:rsidRPr="000A6E5F">
        <w:rPr>
          <w:rStyle w:val="Emphasis"/>
          <w:rFonts w:ascii="Arial" w:hAnsi="Arial" w:cs="Arial"/>
          <w:color w:val="000000"/>
        </w:rPr>
        <w:t>Falling short: The NHS workforce challenge</w:t>
      </w:r>
      <w:r w:rsidRPr="000A6E5F">
        <w:rPr>
          <w:rFonts w:ascii="Arial" w:hAnsi="Arial" w:cs="Arial"/>
          <w:color w:val="000000"/>
        </w:rPr>
        <w:t>. London: The Health Foundation.</w:t>
      </w:r>
    </w:p>
    <w:p w14:paraId="1F300C16" w14:textId="371FF5ED" w:rsidR="00C70E6C" w:rsidRPr="000A6E5F" w:rsidRDefault="00C70E6C" w:rsidP="000A6E5F">
      <w:pPr>
        <w:jc w:val="left"/>
        <w:rPr>
          <w:rFonts w:ascii="Arial" w:hAnsi="Arial" w:cs="Arial"/>
        </w:rPr>
      </w:pPr>
      <w:r w:rsidRPr="000A6E5F">
        <w:rPr>
          <w:rFonts w:ascii="Arial" w:hAnsi="Arial" w:cs="Arial"/>
        </w:rPr>
        <w:t>Care Quality Commission. (202</w:t>
      </w:r>
      <w:r w:rsidR="00162A86" w:rsidRPr="000A6E5F">
        <w:rPr>
          <w:rFonts w:ascii="Arial" w:hAnsi="Arial" w:cs="Arial"/>
        </w:rPr>
        <w:t>6</w:t>
      </w:r>
      <w:r w:rsidRPr="000A6E5F">
        <w:rPr>
          <w:rFonts w:ascii="Arial" w:hAnsi="Arial" w:cs="Arial"/>
        </w:rPr>
        <w:t xml:space="preserve">) </w:t>
      </w:r>
      <w:r w:rsidRPr="000A6E5F">
        <w:rPr>
          <w:rFonts w:ascii="Arial" w:hAnsi="Arial" w:cs="Arial"/>
          <w:i/>
          <w:iCs/>
        </w:rPr>
        <w:t>Adult social care: information for providers</w:t>
      </w:r>
      <w:r w:rsidRPr="000A6E5F">
        <w:rPr>
          <w:rFonts w:ascii="Arial" w:hAnsi="Arial" w:cs="Arial"/>
        </w:rPr>
        <w:t xml:space="preserve">. Available at: </w:t>
      </w:r>
      <w:hyperlink r:id="rId16" w:history="1">
        <w:r w:rsidRPr="000A6E5F">
          <w:rPr>
            <w:rStyle w:val="Hyperlink"/>
            <w:rFonts w:ascii="Arial" w:hAnsi="Arial" w:cs="Arial"/>
          </w:rPr>
          <w:t>https://www.cqc.org.uk/guidance-regulation/providers/adult-social-care</w:t>
        </w:r>
      </w:hyperlink>
      <w:r w:rsidRPr="000A6E5F">
        <w:rPr>
          <w:rFonts w:ascii="Arial" w:hAnsi="Arial" w:cs="Arial"/>
        </w:rPr>
        <w:t xml:space="preserve"> (Accessed: 27 February 2026).</w:t>
      </w:r>
    </w:p>
    <w:p w14:paraId="1E38AE87" w14:textId="269E768B" w:rsidR="00640297" w:rsidRPr="000A6E5F" w:rsidRDefault="00640297" w:rsidP="000A6E5F">
      <w:pPr>
        <w:jc w:val="left"/>
        <w:rPr>
          <w:rFonts w:ascii="Arial" w:hAnsi="Arial" w:cs="Arial"/>
          <w:color w:val="000000"/>
        </w:rPr>
      </w:pPr>
      <w:r w:rsidRPr="000A6E5F">
        <w:rPr>
          <w:rFonts w:ascii="Arial" w:hAnsi="Arial" w:cs="Arial"/>
          <w:color w:val="000000"/>
        </w:rPr>
        <w:t>Care Quality Commission (2025)</w:t>
      </w:r>
      <w:r w:rsidRPr="000A6E5F">
        <w:rPr>
          <w:rStyle w:val="apple-converted-space"/>
          <w:rFonts w:ascii="Arial" w:hAnsi="Arial" w:cs="Arial"/>
          <w:color w:val="000000"/>
        </w:rPr>
        <w:t> </w:t>
      </w:r>
      <w:r w:rsidRPr="000A6E5F">
        <w:rPr>
          <w:rStyle w:val="Emphasis"/>
          <w:rFonts w:ascii="Arial" w:hAnsi="Arial" w:cs="Arial"/>
          <w:color w:val="000000"/>
        </w:rPr>
        <w:t>The state of health care and adult social care in England 2024/25: Adult social care</w:t>
      </w:r>
      <w:r w:rsidRPr="000A6E5F">
        <w:rPr>
          <w:rFonts w:ascii="Arial" w:hAnsi="Arial" w:cs="Arial"/>
          <w:color w:val="000000"/>
        </w:rPr>
        <w:t>. Available at:</w:t>
      </w:r>
      <w:r w:rsidRPr="000A6E5F">
        <w:rPr>
          <w:rStyle w:val="apple-converted-space"/>
          <w:rFonts w:ascii="Arial" w:hAnsi="Arial" w:cs="Arial"/>
          <w:color w:val="000000"/>
        </w:rPr>
        <w:t> </w:t>
      </w:r>
      <w:hyperlink r:id="rId17" w:tgtFrame="_new" w:history="1">
        <w:r w:rsidRPr="000A6E5F">
          <w:rPr>
            <w:rStyle w:val="Hyperlink"/>
            <w:rFonts w:ascii="Arial" w:hAnsi="Arial" w:cs="Arial"/>
          </w:rPr>
          <w:t>https://www.cqc.org.uk/publications/major-report/state-care/2024-2025/access/asc</w:t>
        </w:r>
      </w:hyperlink>
      <w:r w:rsidRPr="000A6E5F">
        <w:rPr>
          <w:rStyle w:val="apple-converted-space"/>
          <w:rFonts w:ascii="Arial" w:hAnsi="Arial" w:cs="Arial"/>
          <w:color w:val="000000"/>
        </w:rPr>
        <w:t> </w:t>
      </w:r>
      <w:r w:rsidRPr="000A6E5F">
        <w:rPr>
          <w:rFonts w:ascii="Arial" w:hAnsi="Arial" w:cs="Arial"/>
          <w:color w:val="000000"/>
        </w:rPr>
        <w:t>(Accessed: 18 June 2026).</w:t>
      </w:r>
    </w:p>
    <w:p w14:paraId="461F0F94" w14:textId="2EA431D1" w:rsidR="00996D60" w:rsidRPr="000A6E5F" w:rsidRDefault="00996D60" w:rsidP="000A6E5F">
      <w:pPr>
        <w:jc w:val="left"/>
        <w:rPr>
          <w:rFonts w:ascii="Arial" w:hAnsi="Arial" w:cs="Arial"/>
          <w:color w:val="000000"/>
        </w:rPr>
      </w:pPr>
      <w:r w:rsidRPr="000A6E5F">
        <w:rPr>
          <w:rStyle w:val="Strong"/>
          <w:rFonts w:ascii="Arial" w:hAnsi="Arial" w:cs="Arial"/>
          <w:b w:val="0"/>
          <w:bCs w:val="0"/>
          <w:color w:val="000000"/>
        </w:rPr>
        <w:t>Care Quality Commission</w:t>
      </w:r>
      <w:r w:rsidR="00690112" w:rsidRPr="000A6E5F">
        <w:rPr>
          <w:rStyle w:val="Strong"/>
          <w:rFonts w:ascii="Arial" w:hAnsi="Arial" w:cs="Arial"/>
          <w:b w:val="0"/>
          <w:bCs w:val="0"/>
          <w:color w:val="000000"/>
        </w:rPr>
        <w:t>.</w:t>
      </w:r>
      <w:r w:rsidRPr="000A6E5F">
        <w:rPr>
          <w:rStyle w:val="Strong"/>
          <w:rFonts w:ascii="Arial" w:hAnsi="Arial" w:cs="Arial"/>
          <w:b w:val="0"/>
          <w:bCs w:val="0"/>
          <w:color w:val="000000"/>
        </w:rPr>
        <w:t xml:space="preserve"> (2024)</w:t>
      </w:r>
      <w:r w:rsidRPr="000A6E5F">
        <w:rPr>
          <w:rStyle w:val="apple-converted-space"/>
          <w:rFonts w:ascii="Arial" w:hAnsi="Arial" w:cs="Arial"/>
          <w:color w:val="000000"/>
        </w:rPr>
        <w:t> </w:t>
      </w:r>
      <w:r w:rsidRPr="000A6E5F">
        <w:rPr>
          <w:rStyle w:val="Emphasis"/>
          <w:rFonts w:ascii="Arial" w:hAnsi="Arial" w:cs="Arial"/>
          <w:color w:val="000000"/>
        </w:rPr>
        <w:t>The state of health care and adult social care in England 2023/24: Adult social care and integrated care</w:t>
      </w:r>
      <w:r w:rsidRPr="000A6E5F">
        <w:rPr>
          <w:rFonts w:ascii="Arial" w:hAnsi="Arial" w:cs="Arial"/>
          <w:color w:val="000000"/>
        </w:rPr>
        <w:t>. Available at:</w:t>
      </w:r>
      <w:r w:rsidR="007317A4" w:rsidRPr="000A6E5F">
        <w:rPr>
          <w:rStyle w:val="apple-converted-space"/>
          <w:rFonts w:ascii="Arial" w:hAnsi="Arial" w:cs="Arial"/>
          <w:color w:val="000000"/>
        </w:rPr>
        <w:t xml:space="preserve"> </w:t>
      </w:r>
      <w:hyperlink r:id="rId18" w:history="1">
        <w:r w:rsidR="007317A4" w:rsidRPr="000A6E5F">
          <w:rPr>
            <w:rStyle w:val="Hyperlink"/>
            <w:rFonts w:ascii="Arial" w:hAnsi="Arial" w:cs="Arial"/>
          </w:rPr>
          <w:t>https://www.cqc.org.uk/publications/major-report/state-care/2023-2024/access/asc</w:t>
        </w:r>
      </w:hyperlink>
      <w:r w:rsidR="00690112" w:rsidRPr="000A6E5F">
        <w:rPr>
          <w:rStyle w:val="apple-converted-space"/>
          <w:rFonts w:ascii="Arial" w:hAnsi="Arial" w:cs="Arial"/>
          <w:color w:val="000000"/>
        </w:rPr>
        <w:t xml:space="preserve"> </w:t>
      </w:r>
      <w:r w:rsidRPr="000A6E5F">
        <w:rPr>
          <w:rFonts w:ascii="Arial" w:hAnsi="Arial" w:cs="Arial"/>
          <w:color w:val="000000"/>
        </w:rPr>
        <w:t>(Accessed: 24 June 2026).</w:t>
      </w:r>
    </w:p>
    <w:p w14:paraId="09B730E1" w14:textId="260CAD83" w:rsidR="00310125" w:rsidRPr="000A6E5F" w:rsidRDefault="00310125" w:rsidP="000A6E5F">
      <w:pPr>
        <w:jc w:val="left"/>
        <w:rPr>
          <w:rFonts w:ascii="Arial" w:hAnsi="Arial" w:cs="Arial"/>
        </w:rPr>
      </w:pPr>
      <w:r w:rsidRPr="000A6E5F">
        <w:rPr>
          <w:rStyle w:val="Strong"/>
          <w:rFonts w:ascii="Arial" w:hAnsi="Arial" w:cs="Arial"/>
          <w:b w:val="0"/>
          <w:bCs w:val="0"/>
          <w:color w:val="000000"/>
        </w:rPr>
        <w:t>Carroll, Á., Collins, C. and McKenzie, J. (2025)</w:t>
      </w:r>
      <w:r w:rsidRPr="000A6E5F">
        <w:rPr>
          <w:rStyle w:val="apple-converted-space"/>
          <w:rFonts w:ascii="Arial" w:hAnsi="Arial" w:cs="Arial"/>
          <w:color w:val="000000"/>
        </w:rPr>
        <w:t> </w:t>
      </w:r>
      <w:r w:rsidRPr="000A6E5F">
        <w:rPr>
          <w:rFonts w:ascii="Arial" w:hAnsi="Arial" w:cs="Arial"/>
          <w:color w:val="000000"/>
        </w:rPr>
        <w:t>‘Physician wellbeing in a national rehabilitation hospital: A qualitative study utilising Maslow’s hierarchy of needs as a framework for analysis’,</w:t>
      </w:r>
      <w:r w:rsidRPr="000A6E5F">
        <w:rPr>
          <w:rStyle w:val="apple-converted-space"/>
          <w:rFonts w:ascii="Arial" w:hAnsi="Arial" w:cs="Arial"/>
          <w:color w:val="000000"/>
        </w:rPr>
        <w:t> </w:t>
      </w:r>
      <w:r w:rsidRPr="000A6E5F">
        <w:rPr>
          <w:rStyle w:val="Emphasis"/>
          <w:rFonts w:ascii="Arial" w:hAnsi="Arial" w:cs="Arial"/>
          <w:color w:val="000000"/>
        </w:rPr>
        <w:t>BMC Health Services Research</w:t>
      </w:r>
      <w:r w:rsidRPr="000A6E5F">
        <w:rPr>
          <w:rFonts w:ascii="Arial" w:hAnsi="Arial" w:cs="Arial"/>
          <w:color w:val="000000"/>
        </w:rPr>
        <w:t>,</w:t>
      </w:r>
      <w:r w:rsidRPr="000A6E5F">
        <w:rPr>
          <w:rStyle w:val="apple-converted-space"/>
          <w:rFonts w:ascii="Arial" w:hAnsi="Arial" w:cs="Arial"/>
          <w:color w:val="000000"/>
        </w:rPr>
        <w:t> </w:t>
      </w:r>
      <w:r w:rsidRPr="000A6E5F">
        <w:rPr>
          <w:rStyle w:val="Strong"/>
          <w:rFonts w:ascii="Arial" w:hAnsi="Arial" w:cs="Arial"/>
          <w:b w:val="0"/>
          <w:bCs w:val="0"/>
          <w:color w:val="000000"/>
        </w:rPr>
        <w:t>25</w:t>
      </w:r>
      <w:r w:rsidRPr="000A6E5F">
        <w:rPr>
          <w:rFonts w:ascii="Arial" w:hAnsi="Arial" w:cs="Arial"/>
          <w:b/>
          <w:bCs/>
          <w:color w:val="000000"/>
        </w:rPr>
        <w:t>,</w:t>
      </w:r>
      <w:r w:rsidRPr="000A6E5F">
        <w:rPr>
          <w:rFonts w:ascii="Arial" w:hAnsi="Arial" w:cs="Arial"/>
          <w:color w:val="000000"/>
        </w:rPr>
        <w:t xml:space="preserve"> Article 175.</w:t>
      </w:r>
    </w:p>
    <w:p w14:paraId="114C61C4" w14:textId="77777777" w:rsidR="00C70E6C" w:rsidRPr="000A6E5F" w:rsidRDefault="00C70E6C" w:rsidP="000A6E5F">
      <w:pPr>
        <w:jc w:val="left"/>
        <w:rPr>
          <w:rFonts w:ascii="Arial" w:hAnsi="Arial" w:cs="Arial"/>
        </w:rPr>
      </w:pPr>
      <w:r w:rsidRPr="000A6E5F">
        <w:rPr>
          <w:rFonts w:ascii="Arial" w:hAnsi="Arial" w:cs="Arial"/>
        </w:rPr>
        <w:t xml:space="preserve">CORE Econ (2023) </w:t>
      </w:r>
      <w:r w:rsidRPr="000A6E5F">
        <w:rPr>
          <w:rFonts w:ascii="Arial" w:hAnsi="Arial" w:cs="Arial"/>
          <w:i/>
          <w:iCs/>
        </w:rPr>
        <w:t>Segmented labour markets</w:t>
      </w:r>
      <w:r w:rsidRPr="000A6E5F">
        <w:rPr>
          <w:rFonts w:ascii="Arial" w:hAnsi="Arial" w:cs="Arial"/>
        </w:rPr>
        <w:t xml:space="preserve">. Available at: </w:t>
      </w:r>
      <w:hyperlink r:id="rId19" w:history="1">
        <w:r w:rsidRPr="000A6E5F">
          <w:rPr>
            <w:rStyle w:val="Hyperlink"/>
            <w:rFonts w:ascii="Arial" w:hAnsi="Arial" w:cs="Arial"/>
          </w:rPr>
          <w:t>https://books.core-econ.org/the-economy/macroeconomics/02-unemployment-wages-inequality-06-segmented-labour-markets.html</w:t>
        </w:r>
      </w:hyperlink>
      <w:r w:rsidRPr="000A6E5F">
        <w:rPr>
          <w:rFonts w:ascii="Arial" w:hAnsi="Arial" w:cs="Arial"/>
        </w:rPr>
        <w:t xml:space="preserve">  (Accessed: 15 March 2026).</w:t>
      </w:r>
    </w:p>
    <w:p w14:paraId="4E7E21E4" w14:textId="77777777" w:rsidR="00131ED8" w:rsidRPr="000A6E5F" w:rsidRDefault="00C70E6C" w:rsidP="000A6E5F">
      <w:pPr>
        <w:jc w:val="left"/>
        <w:rPr>
          <w:rFonts w:ascii="Arial" w:hAnsi="Arial" w:cs="Arial"/>
        </w:rPr>
      </w:pPr>
      <w:r w:rsidRPr="000A6E5F">
        <w:rPr>
          <w:rFonts w:ascii="Arial" w:hAnsi="Arial" w:cs="Arial"/>
        </w:rPr>
        <w:t xml:space="preserve">Dayan, M., Hervey, T., McCarey, M., Fahy, N., Flear, M., Greer, S. and Jarman, H. (2024) </w:t>
      </w:r>
      <w:r w:rsidRPr="000A6E5F">
        <w:rPr>
          <w:rFonts w:ascii="Arial" w:hAnsi="Arial" w:cs="Arial"/>
          <w:i/>
          <w:iCs/>
        </w:rPr>
        <w:t>The future for health after Brexit</w:t>
      </w:r>
      <w:r w:rsidRPr="000A6E5F">
        <w:rPr>
          <w:rFonts w:ascii="Arial" w:hAnsi="Arial" w:cs="Arial"/>
        </w:rPr>
        <w:t xml:space="preserve">. Available at: </w:t>
      </w:r>
      <w:hyperlink r:id="rId20" w:history="1">
        <w:r w:rsidRPr="000A6E5F">
          <w:rPr>
            <w:rStyle w:val="Hyperlink"/>
            <w:rFonts w:ascii="Arial" w:hAnsi="Arial" w:cs="Arial"/>
          </w:rPr>
          <w:t>https://www.nuffieldtrust.org.uk/research/the-future-for-health-after-brexit</w:t>
        </w:r>
      </w:hyperlink>
      <w:r w:rsidRPr="000A6E5F">
        <w:rPr>
          <w:rFonts w:ascii="Arial" w:hAnsi="Arial" w:cs="Arial"/>
        </w:rPr>
        <w:t xml:space="preserve">  (Accessed: 12 March 2026).</w:t>
      </w:r>
    </w:p>
    <w:p w14:paraId="038E6C8F" w14:textId="77777777" w:rsidR="00A17290" w:rsidRPr="000A6E5F" w:rsidRDefault="00A17290" w:rsidP="000A6E5F">
      <w:pPr>
        <w:jc w:val="left"/>
        <w:rPr>
          <w:rFonts w:ascii="Arial" w:hAnsi="Arial" w:cs="Arial"/>
        </w:rPr>
      </w:pPr>
    </w:p>
    <w:p w14:paraId="0AD59D56" w14:textId="77777777" w:rsidR="00A17290" w:rsidRPr="000A6E5F" w:rsidRDefault="00A17290" w:rsidP="000A6E5F">
      <w:pPr>
        <w:jc w:val="left"/>
        <w:rPr>
          <w:rFonts w:ascii="Arial" w:hAnsi="Arial" w:cs="Arial"/>
        </w:rPr>
      </w:pPr>
    </w:p>
    <w:p w14:paraId="25588DDD" w14:textId="09E755DC" w:rsidR="00BF0FFD" w:rsidRPr="000A6E5F" w:rsidRDefault="00C70E6C" w:rsidP="000A6E5F">
      <w:pPr>
        <w:jc w:val="left"/>
        <w:rPr>
          <w:rFonts w:ascii="Arial" w:hAnsi="Arial" w:cs="Arial"/>
        </w:rPr>
      </w:pPr>
      <w:r w:rsidRPr="000A6E5F">
        <w:rPr>
          <w:rFonts w:ascii="Arial" w:hAnsi="Arial" w:cs="Arial"/>
        </w:rPr>
        <w:lastRenderedPageBreak/>
        <w:t xml:space="preserve">Department of Health and Social Care (2022) </w:t>
      </w:r>
      <w:r w:rsidRPr="000A6E5F">
        <w:rPr>
          <w:rFonts w:ascii="Arial" w:hAnsi="Arial" w:cs="Arial"/>
          <w:i/>
          <w:iCs/>
        </w:rPr>
        <w:t>People at the heart of care: adult social care reform</w:t>
      </w:r>
      <w:r w:rsidRPr="000A6E5F">
        <w:rPr>
          <w:rFonts w:ascii="Arial" w:hAnsi="Arial" w:cs="Arial"/>
        </w:rPr>
        <w:t xml:space="preserve">. Available at: </w:t>
      </w:r>
      <w:hyperlink r:id="rId21" w:history="1">
        <w:r w:rsidRPr="000A6E5F">
          <w:rPr>
            <w:rStyle w:val="Hyperlink"/>
            <w:rFonts w:ascii="Arial" w:hAnsi="Arial" w:cs="Arial"/>
          </w:rPr>
          <w:t>https://www.gov.uk/government/publications/people-at-the-heart-of-care-adult-social-care-reform-white-paper/people-at-the-heart-of-care-adult-social-care-reform</w:t>
        </w:r>
      </w:hyperlink>
      <w:r w:rsidRPr="000A6E5F">
        <w:rPr>
          <w:rFonts w:ascii="Arial" w:hAnsi="Arial" w:cs="Arial"/>
        </w:rPr>
        <w:t xml:space="preserve"> (Accessed: 1 March 2026).</w:t>
      </w:r>
    </w:p>
    <w:p w14:paraId="18460D1A" w14:textId="47F3F9F8" w:rsidR="006E6686" w:rsidRPr="000A6E5F" w:rsidRDefault="006E6686" w:rsidP="000A6E5F">
      <w:pPr>
        <w:jc w:val="left"/>
        <w:rPr>
          <w:rFonts w:ascii="Arial" w:hAnsi="Arial" w:cs="Arial"/>
        </w:rPr>
      </w:pPr>
      <w:r w:rsidRPr="000A6E5F">
        <w:rPr>
          <w:rStyle w:val="Strong"/>
          <w:rFonts w:ascii="Arial" w:hAnsi="Arial" w:cs="Arial"/>
          <w:b w:val="0"/>
          <w:bCs w:val="0"/>
          <w:color w:val="000000"/>
        </w:rPr>
        <w:t>Department of Health and Social Care</w:t>
      </w:r>
      <w:r w:rsidR="00B1432E" w:rsidRPr="000A6E5F">
        <w:rPr>
          <w:rStyle w:val="Strong"/>
          <w:rFonts w:ascii="Arial" w:hAnsi="Arial" w:cs="Arial"/>
          <w:b w:val="0"/>
          <w:bCs w:val="0"/>
          <w:color w:val="000000"/>
        </w:rPr>
        <w:t xml:space="preserve">. </w:t>
      </w:r>
      <w:r w:rsidRPr="000A6E5F">
        <w:rPr>
          <w:rStyle w:val="Strong"/>
          <w:rFonts w:ascii="Arial" w:hAnsi="Arial" w:cs="Arial"/>
          <w:b w:val="0"/>
          <w:bCs w:val="0"/>
          <w:color w:val="000000"/>
        </w:rPr>
        <w:t>(2024)</w:t>
      </w:r>
      <w:r w:rsidRPr="000A6E5F">
        <w:rPr>
          <w:rStyle w:val="apple-converted-space"/>
          <w:rFonts w:ascii="Arial" w:hAnsi="Arial" w:cs="Arial"/>
          <w:color w:val="000000"/>
        </w:rPr>
        <w:t> </w:t>
      </w:r>
      <w:r w:rsidRPr="000A6E5F">
        <w:rPr>
          <w:rStyle w:val="Emphasis"/>
          <w:rFonts w:ascii="Arial" w:hAnsi="Arial" w:cs="Arial"/>
          <w:color w:val="000000"/>
        </w:rPr>
        <w:t>International recruitment toolkit for adult social care providers</w:t>
      </w:r>
      <w:r w:rsidRPr="000A6E5F">
        <w:rPr>
          <w:rFonts w:ascii="Arial" w:hAnsi="Arial" w:cs="Arial"/>
          <w:color w:val="000000"/>
        </w:rPr>
        <w:t>. Available at:</w:t>
      </w:r>
      <w:r w:rsidRPr="000A6E5F">
        <w:rPr>
          <w:rStyle w:val="apple-converted-space"/>
          <w:rFonts w:ascii="Arial" w:hAnsi="Arial" w:cs="Arial"/>
          <w:color w:val="000000"/>
        </w:rPr>
        <w:t> </w:t>
      </w:r>
      <w:hyperlink r:id="rId22" w:tgtFrame="_new" w:history="1">
        <w:r w:rsidRPr="000A6E5F">
          <w:rPr>
            <w:rStyle w:val="Hyperlink"/>
            <w:rFonts w:ascii="Arial" w:hAnsi="Arial" w:cs="Arial"/>
          </w:rPr>
          <w:t>https://www.gov.uk/government/publications/international-recruitment-toolkit-for-adult-social-care-providers</w:t>
        </w:r>
      </w:hyperlink>
      <w:r w:rsidRPr="000A6E5F">
        <w:rPr>
          <w:rStyle w:val="apple-converted-space"/>
          <w:rFonts w:ascii="Arial" w:hAnsi="Arial" w:cs="Arial"/>
          <w:color w:val="000000"/>
        </w:rPr>
        <w:t> </w:t>
      </w:r>
      <w:r w:rsidRPr="000A6E5F">
        <w:rPr>
          <w:rFonts w:ascii="Arial" w:hAnsi="Arial" w:cs="Arial"/>
          <w:color w:val="000000"/>
        </w:rPr>
        <w:t>(Accessed: 24 June 2026).</w:t>
      </w:r>
    </w:p>
    <w:p w14:paraId="3C3DCD60" w14:textId="4F69539B" w:rsidR="00BF0FFD" w:rsidRPr="000A6E5F" w:rsidRDefault="00015C4D" w:rsidP="000A6E5F">
      <w:pPr>
        <w:jc w:val="left"/>
        <w:rPr>
          <w:rStyle w:val="apple-converted-space"/>
          <w:rFonts w:ascii="Arial" w:hAnsi="Arial" w:cs="Arial"/>
          <w:color w:val="000000"/>
        </w:rPr>
      </w:pPr>
      <w:r w:rsidRPr="000A6E5F">
        <w:rPr>
          <w:rStyle w:val="Strong"/>
          <w:rFonts w:ascii="Arial" w:hAnsi="Arial" w:cs="Arial"/>
          <w:b w:val="0"/>
          <w:bCs w:val="0"/>
          <w:color w:val="000000" w:themeColor="text1"/>
        </w:rPr>
        <w:t>D</w:t>
      </w:r>
      <w:r w:rsidR="00BF0FFD" w:rsidRPr="000A6E5F">
        <w:rPr>
          <w:rStyle w:val="Strong"/>
          <w:rFonts w:ascii="Arial" w:hAnsi="Arial" w:cs="Arial"/>
          <w:b w:val="0"/>
          <w:bCs w:val="0"/>
          <w:color w:val="000000" w:themeColor="text1"/>
        </w:rPr>
        <w:t xml:space="preserve">e Vries, N., </w:t>
      </w:r>
      <w:r w:rsidR="00BF0FFD" w:rsidRPr="000A6E5F">
        <w:rPr>
          <w:rStyle w:val="Strong"/>
          <w:rFonts w:ascii="Arial" w:hAnsi="Arial" w:cs="Arial"/>
          <w:b w:val="0"/>
          <w:bCs w:val="0"/>
          <w:color w:val="000000"/>
        </w:rPr>
        <w:t>Boone, A., Godderis, L., Bouman, J., Szemik, S., Matranga, D. and de Winter, P. (2023)</w:t>
      </w:r>
      <w:r w:rsidR="00BF0FFD" w:rsidRPr="000A6E5F">
        <w:rPr>
          <w:rStyle w:val="apple-converted-space"/>
          <w:rFonts w:ascii="Arial" w:hAnsi="Arial" w:cs="Arial"/>
          <w:color w:val="000000"/>
        </w:rPr>
        <w:t> </w:t>
      </w:r>
      <w:r w:rsidR="00BF0FFD" w:rsidRPr="000A6E5F">
        <w:rPr>
          <w:rFonts w:ascii="Arial" w:hAnsi="Arial" w:cs="Arial"/>
          <w:color w:val="000000"/>
        </w:rPr>
        <w:t>‘The race to retain healthcare workers: A systematic review on factors that impact retention of nurses and physicians in hospitals’,</w:t>
      </w:r>
      <w:r w:rsidR="00BF0FFD" w:rsidRPr="000A6E5F">
        <w:rPr>
          <w:rStyle w:val="apple-converted-space"/>
          <w:rFonts w:ascii="Arial" w:hAnsi="Arial" w:cs="Arial"/>
          <w:color w:val="000000"/>
        </w:rPr>
        <w:t> </w:t>
      </w:r>
      <w:r w:rsidR="00BF0FFD" w:rsidRPr="000A6E5F">
        <w:rPr>
          <w:rStyle w:val="Emphasis"/>
          <w:rFonts w:ascii="Arial" w:hAnsi="Arial" w:cs="Arial"/>
          <w:color w:val="000000"/>
        </w:rPr>
        <w:t>INQUIRY: The Journal of Health Care Organization, Provision, and Financing</w:t>
      </w:r>
      <w:r w:rsidR="00BF0FFD" w:rsidRPr="000A6E5F">
        <w:rPr>
          <w:rFonts w:ascii="Arial" w:hAnsi="Arial" w:cs="Arial"/>
          <w:color w:val="000000"/>
        </w:rPr>
        <w:t>, 60, pp. 1–14.</w:t>
      </w:r>
    </w:p>
    <w:p w14:paraId="6D1315F9" w14:textId="6729736B" w:rsidR="00C70E6C" w:rsidRPr="000A6E5F" w:rsidRDefault="00C70E6C" w:rsidP="000A6E5F">
      <w:pPr>
        <w:jc w:val="left"/>
        <w:rPr>
          <w:rFonts w:ascii="Arial" w:hAnsi="Arial" w:cs="Arial"/>
        </w:rPr>
      </w:pPr>
      <w:r w:rsidRPr="000A6E5F">
        <w:rPr>
          <w:rFonts w:ascii="Arial" w:hAnsi="Arial" w:cs="Arial"/>
        </w:rPr>
        <w:t xml:space="preserve">Dias-Abey, M. (2021) ‘Determining the impact of migration on labour markets’, </w:t>
      </w:r>
      <w:r w:rsidRPr="000A6E5F">
        <w:rPr>
          <w:rFonts w:ascii="Arial" w:hAnsi="Arial" w:cs="Arial"/>
          <w:i/>
          <w:iCs/>
        </w:rPr>
        <w:t>Industrial Law Journal</w:t>
      </w:r>
      <w:r w:rsidRPr="000A6E5F">
        <w:rPr>
          <w:rFonts w:ascii="Arial" w:hAnsi="Arial" w:cs="Arial"/>
        </w:rPr>
        <w:t>, 50(4), pp. 532–566.</w:t>
      </w:r>
    </w:p>
    <w:p w14:paraId="702D83A9" w14:textId="1B00FB14" w:rsidR="008249F6" w:rsidRPr="000A6E5F" w:rsidRDefault="008249F6" w:rsidP="000A6E5F">
      <w:pPr>
        <w:jc w:val="left"/>
        <w:rPr>
          <w:rFonts w:ascii="Arial" w:hAnsi="Arial" w:cs="Arial"/>
          <w:color w:val="000000"/>
        </w:rPr>
      </w:pPr>
      <w:r w:rsidRPr="000A6E5F">
        <w:rPr>
          <w:rFonts w:ascii="Arial" w:hAnsi="Arial" w:cs="Arial"/>
          <w:color w:val="000000"/>
        </w:rPr>
        <w:t>Eriksson, E., Jordal, M., Hjelm, K. and Engström, M. (2023) ‘Job satisfaction and wellbeing among migrant care workers in nursing homes: an integrative review’,</w:t>
      </w:r>
      <w:r w:rsidRPr="000A6E5F">
        <w:rPr>
          <w:rStyle w:val="apple-converted-space"/>
          <w:rFonts w:ascii="Arial" w:hAnsi="Arial" w:cs="Arial"/>
          <w:color w:val="000000"/>
        </w:rPr>
        <w:t> </w:t>
      </w:r>
      <w:r w:rsidRPr="000A6E5F">
        <w:rPr>
          <w:rStyle w:val="Emphasis"/>
          <w:rFonts w:ascii="Arial" w:hAnsi="Arial" w:cs="Arial"/>
          <w:color w:val="000000"/>
        </w:rPr>
        <w:t>Nursing Open</w:t>
      </w:r>
      <w:r w:rsidRPr="000A6E5F">
        <w:rPr>
          <w:rFonts w:ascii="Arial" w:hAnsi="Arial" w:cs="Arial"/>
          <w:color w:val="000000"/>
        </w:rPr>
        <w:t>, 10(6), pp. 3486–3505.</w:t>
      </w:r>
    </w:p>
    <w:p w14:paraId="786AEF61" w14:textId="689DA4D3" w:rsidR="000547A6" w:rsidRPr="000A6E5F" w:rsidRDefault="000547A6" w:rsidP="000A6E5F">
      <w:pPr>
        <w:jc w:val="left"/>
        <w:rPr>
          <w:rFonts w:ascii="Arial" w:hAnsi="Arial" w:cs="Arial"/>
          <w:color w:val="000000"/>
        </w:rPr>
      </w:pPr>
      <w:r w:rsidRPr="000A6E5F">
        <w:rPr>
          <w:rFonts w:ascii="Arial" w:hAnsi="Arial" w:cs="Arial"/>
          <w:color w:val="000000"/>
        </w:rPr>
        <w:t>Endalamaw, A., Khatri, R.B., Erku, D., Zewdie, A., Wolka, E., Nigatu, F. and Assefa, Y. (2024) ‘Barriers and strategies for primary health care workforce development: synthesis of evidence’,</w:t>
      </w:r>
      <w:r w:rsidRPr="000A6E5F">
        <w:rPr>
          <w:rStyle w:val="apple-converted-space"/>
          <w:rFonts w:ascii="Arial" w:hAnsi="Arial" w:cs="Arial"/>
          <w:color w:val="000000"/>
        </w:rPr>
        <w:t> </w:t>
      </w:r>
      <w:r w:rsidRPr="000A6E5F">
        <w:rPr>
          <w:rStyle w:val="Emphasis"/>
          <w:rFonts w:ascii="Arial" w:hAnsi="Arial" w:cs="Arial"/>
          <w:color w:val="000000"/>
        </w:rPr>
        <w:t>BMC Primary Care</w:t>
      </w:r>
      <w:r w:rsidRPr="000A6E5F">
        <w:rPr>
          <w:rFonts w:ascii="Arial" w:hAnsi="Arial" w:cs="Arial"/>
          <w:color w:val="000000"/>
        </w:rPr>
        <w:t>,</w:t>
      </w:r>
      <w:r w:rsidRPr="000A6E5F">
        <w:rPr>
          <w:rStyle w:val="apple-converted-space"/>
          <w:rFonts w:ascii="Arial" w:hAnsi="Arial" w:cs="Arial"/>
          <w:color w:val="000000"/>
        </w:rPr>
        <w:t> </w:t>
      </w:r>
      <w:r w:rsidRPr="000A6E5F">
        <w:rPr>
          <w:rStyle w:val="Strong"/>
          <w:rFonts w:ascii="Arial" w:hAnsi="Arial" w:cs="Arial"/>
          <w:color w:val="000000"/>
        </w:rPr>
        <w:t>25</w:t>
      </w:r>
      <w:r w:rsidRPr="000A6E5F">
        <w:rPr>
          <w:rFonts w:ascii="Arial" w:hAnsi="Arial" w:cs="Arial"/>
          <w:color w:val="000000"/>
        </w:rPr>
        <w:t>(1), p. 99.</w:t>
      </w:r>
    </w:p>
    <w:p w14:paraId="3FC838F3" w14:textId="77777777" w:rsidR="0067140B" w:rsidRDefault="00463CFF" w:rsidP="000A6E5F">
      <w:pPr>
        <w:jc w:val="left"/>
        <w:rPr>
          <w:rFonts w:ascii="Arial" w:hAnsi="Arial" w:cs="Arial"/>
        </w:rPr>
      </w:pPr>
      <w:r w:rsidRPr="000A6E5F">
        <w:rPr>
          <w:rFonts w:ascii="Arial" w:hAnsi="Arial" w:cs="Arial"/>
          <w:color w:val="000000"/>
        </w:rPr>
        <w:t>Edwards, D., Trigg, L., Carrier, J., Cooper, A., Snoswell, J., Day, J., Gillan, E., Lewis, R. and Edwards, A. (2022) ‘A rapid review of innovations for attraction, recruitment and retention of social care workers: An exploration of factors influencing turnover within the UK context’,</w:t>
      </w:r>
      <w:r w:rsidRPr="000A6E5F">
        <w:rPr>
          <w:rStyle w:val="apple-converted-space"/>
          <w:rFonts w:ascii="Arial" w:hAnsi="Arial" w:cs="Arial"/>
          <w:color w:val="000000"/>
        </w:rPr>
        <w:t> </w:t>
      </w:r>
      <w:r w:rsidRPr="000A6E5F">
        <w:rPr>
          <w:rStyle w:val="Emphasis"/>
          <w:rFonts w:ascii="Arial" w:hAnsi="Arial" w:cs="Arial"/>
          <w:color w:val="000000"/>
        </w:rPr>
        <w:t>Journal of Long-Term Care</w:t>
      </w:r>
      <w:r w:rsidRPr="000A6E5F">
        <w:rPr>
          <w:rFonts w:ascii="Arial" w:hAnsi="Arial" w:cs="Arial"/>
          <w:color w:val="000000"/>
        </w:rPr>
        <w:t>, pp. 116–134.</w:t>
      </w:r>
      <w:r w:rsidR="00200E56" w:rsidRPr="000A6E5F">
        <w:rPr>
          <w:rFonts w:ascii="Arial" w:hAnsi="Arial" w:cs="Arial"/>
          <w:color w:val="000000"/>
        </w:rPr>
        <w:t xml:space="preserve"> </w:t>
      </w:r>
      <w:r w:rsidR="00200E56" w:rsidRPr="000A6E5F">
        <w:rPr>
          <w:rFonts w:ascii="Arial" w:hAnsi="Arial" w:cs="Arial"/>
        </w:rPr>
        <w:t xml:space="preserve">Available at: </w:t>
      </w:r>
      <w:r w:rsidRPr="000A6E5F">
        <w:rPr>
          <w:rFonts w:ascii="Arial" w:hAnsi="Arial" w:cs="Arial"/>
          <w:color w:val="000000"/>
        </w:rPr>
        <w:t xml:space="preserve"> </w:t>
      </w:r>
      <w:hyperlink r:id="rId23" w:history="1">
        <w:r w:rsidRPr="000A6E5F">
          <w:rPr>
            <w:rStyle w:val="Hyperlink"/>
            <w:rFonts w:ascii="Arial" w:hAnsi="Arial" w:cs="Arial"/>
          </w:rPr>
          <w:t>https://journal.ilpnetwork.org/articles/10.31389/jltc.130</w:t>
        </w:r>
      </w:hyperlink>
      <w:r w:rsidRPr="000A6E5F">
        <w:rPr>
          <w:rFonts w:ascii="Arial" w:hAnsi="Arial" w:cs="Arial"/>
        </w:rPr>
        <w:t xml:space="preserve"> </w:t>
      </w:r>
      <w:r w:rsidR="0067140B" w:rsidRPr="000A6E5F">
        <w:rPr>
          <w:rFonts w:ascii="Arial" w:hAnsi="Arial" w:cs="Arial"/>
        </w:rPr>
        <w:t>(Accessed: 12 March 2026).</w:t>
      </w:r>
    </w:p>
    <w:p w14:paraId="7FBE8F82" w14:textId="77777777" w:rsidR="00871841" w:rsidRPr="000A6E5F" w:rsidRDefault="00871841" w:rsidP="000A6E5F">
      <w:pPr>
        <w:jc w:val="left"/>
        <w:rPr>
          <w:rFonts w:ascii="Arial" w:hAnsi="Arial" w:cs="Arial"/>
        </w:rPr>
      </w:pPr>
    </w:p>
    <w:p w14:paraId="39A60407" w14:textId="77777777" w:rsidR="00495DCC" w:rsidRPr="000A6E5F" w:rsidRDefault="00C70E6C" w:rsidP="000A6E5F">
      <w:pPr>
        <w:jc w:val="left"/>
        <w:rPr>
          <w:rFonts w:ascii="Arial" w:hAnsi="Arial" w:cs="Arial"/>
        </w:rPr>
      </w:pPr>
      <w:r w:rsidRPr="000A6E5F">
        <w:rPr>
          <w:rFonts w:ascii="Arial" w:hAnsi="Arial" w:cs="Arial"/>
        </w:rPr>
        <w:t xml:space="preserve">Foster, D. (2024) </w:t>
      </w:r>
      <w:r w:rsidRPr="000A6E5F">
        <w:rPr>
          <w:rFonts w:ascii="Arial" w:hAnsi="Arial" w:cs="Arial"/>
          <w:i/>
          <w:iCs/>
        </w:rPr>
        <w:t>Adult social care workforce in England</w:t>
      </w:r>
      <w:r w:rsidRPr="000A6E5F">
        <w:rPr>
          <w:rFonts w:ascii="Arial" w:hAnsi="Arial" w:cs="Arial"/>
        </w:rPr>
        <w:t xml:space="preserve">. Available at: </w:t>
      </w:r>
      <w:hyperlink r:id="rId24" w:history="1">
        <w:r w:rsidRPr="000A6E5F">
          <w:rPr>
            <w:rStyle w:val="Hyperlink"/>
            <w:rFonts w:ascii="Arial" w:hAnsi="Arial" w:cs="Arial"/>
          </w:rPr>
          <w:t>https://commonslibrary.parliament.uk/research-briefings/cbp-9615/</w:t>
        </w:r>
      </w:hyperlink>
      <w:r w:rsidRPr="000A6E5F">
        <w:rPr>
          <w:rFonts w:ascii="Arial" w:hAnsi="Arial" w:cs="Arial"/>
        </w:rPr>
        <w:t xml:space="preserve">  (Accessed: 12 March 2026).</w:t>
      </w:r>
    </w:p>
    <w:p w14:paraId="3746D42A" w14:textId="6063153E" w:rsidR="00C618EA" w:rsidRPr="000A6E5F" w:rsidRDefault="00C618EA" w:rsidP="000A6E5F">
      <w:pPr>
        <w:jc w:val="left"/>
        <w:rPr>
          <w:rFonts w:ascii="Arial" w:hAnsi="Arial" w:cs="Arial"/>
        </w:rPr>
      </w:pPr>
      <w:r w:rsidRPr="000A6E5F">
        <w:rPr>
          <w:rFonts w:ascii="Arial" w:hAnsi="Arial" w:cs="Arial"/>
          <w:color w:val="000000"/>
        </w:rPr>
        <w:t>Fisher, D.U. and Foster, L. (2025) 'Paid care worker organizing in England: priorities and progress?',</w:t>
      </w:r>
      <w:r w:rsidRPr="000A6E5F">
        <w:rPr>
          <w:rStyle w:val="apple-converted-space"/>
          <w:rFonts w:ascii="Arial" w:hAnsi="Arial" w:cs="Arial"/>
          <w:color w:val="000000"/>
        </w:rPr>
        <w:t> </w:t>
      </w:r>
      <w:r w:rsidRPr="000A6E5F">
        <w:rPr>
          <w:rStyle w:val="Emphasis"/>
          <w:rFonts w:ascii="Arial" w:hAnsi="Arial" w:cs="Arial"/>
          <w:color w:val="000000"/>
        </w:rPr>
        <w:t>Frontiers in Sociology</w:t>
      </w:r>
      <w:r w:rsidRPr="000A6E5F">
        <w:rPr>
          <w:rFonts w:ascii="Arial" w:hAnsi="Arial" w:cs="Arial"/>
          <w:color w:val="000000"/>
        </w:rPr>
        <w:t>,</w:t>
      </w:r>
      <w:r w:rsidRPr="000A6E5F">
        <w:rPr>
          <w:rStyle w:val="apple-converted-space"/>
          <w:rFonts w:ascii="Arial" w:hAnsi="Arial" w:cs="Arial"/>
          <w:color w:val="000000"/>
        </w:rPr>
        <w:t> </w:t>
      </w:r>
      <w:r w:rsidRPr="000A6E5F">
        <w:rPr>
          <w:rStyle w:val="Strong"/>
          <w:rFonts w:ascii="Arial" w:hAnsi="Arial" w:cs="Arial"/>
          <w:b w:val="0"/>
          <w:bCs w:val="0"/>
          <w:color w:val="000000"/>
        </w:rPr>
        <w:t>10</w:t>
      </w:r>
      <w:r w:rsidRPr="000A6E5F">
        <w:rPr>
          <w:rFonts w:ascii="Arial" w:hAnsi="Arial" w:cs="Arial"/>
          <w:color w:val="000000"/>
        </w:rPr>
        <w:t>, 1548473. Available at:</w:t>
      </w:r>
      <w:r w:rsidRPr="000A6E5F">
        <w:rPr>
          <w:rStyle w:val="apple-converted-space"/>
          <w:rFonts w:ascii="Arial" w:hAnsi="Arial" w:cs="Arial"/>
          <w:color w:val="000000"/>
        </w:rPr>
        <w:t> </w:t>
      </w:r>
      <w:hyperlink r:id="rId25" w:tgtFrame="_new" w:history="1">
        <w:r w:rsidRPr="000A6E5F">
          <w:rPr>
            <w:rStyle w:val="Hyperlink"/>
            <w:rFonts w:ascii="Arial" w:hAnsi="Arial" w:cs="Arial"/>
          </w:rPr>
          <w:t>https://doi.org/10.3389/fsoc.2025.1548473</w:t>
        </w:r>
      </w:hyperlink>
      <w:r w:rsidRPr="000A6E5F">
        <w:rPr>
          <w:rStyle w:val="apple-converted-space"/>
          <w:rFonts w:ascii="Arial" w:hAnsi="Arial" w:cs="Arial"/>
          <w:color w:val="000000"/>
        </w:rPr>
        <w:t> </w:t>
      </w:r>
      <w:r w:rsidRPr="000A6E5F">
        <w:rPr>
          <w:rFonts w:ascii="Arial" w:hAnsi="Arial" w:cs="Arial"/>
          <w:color w:val="000000"/>
        </w:rPr>
        <w:t>(Accessed: 8 July 2026).</w:t>
      </w:r>
    </w:p>
    <w:p w14:paraId="3EA6A8C2" w14:textId="77777777" w:rsidR="00495DCC" w:rsidRPr="000A6E5F" w:rsidRDefault="00495DCC" w:rsidP="000A6E5F">
      <w:pPr>
        <w:jc w:val="left"/>
        <w:rPr>
          <w:rFonts w:ascii="Arial" w:hAnsi="Arial" w:cs="Arial"/>
          <w:color w:val="000000"/>
        </w:rPr>
      </w:pPr>
      <w:r w:rsidRPr="000A6E5F">
        <w:rPr>
          <w:rFonts w:ascii="Arial" w:hAnsi="Arial" w:cs="Arial"/>
          <w:color w:val="000000"/>
        </w:rPr>
        <w:lastRenderedPageBreak/>
        <w:t>Gershlick, B. and Charlesworth, A. (2019)</w:t>
      </w:r>
      <w:r w:rsidRPr="000A6E5F">
        <w:rPr>
          <w:rStyle w:val="apple-converted-space"/>
          <w:rFonts w:ascii="Arial" w:hAnsi="Arial" w:cs="Arial"/>
          <w:color w:val="000000"/>
        </w:rPr>
        <w:t> </w:t>
      </w:r>
      <w:r w:rsidRPr="000A6E5F">
        <w:rPr>
          <w:rStyle w:val="Emphasis"/>
          <w:rFonts w:ascii="Arial" w:hAnsi="Arial" w:cs="Arial"/>
          <w:color w:val="000000"/>
        </w:rPr>
        <w:t>The health and social care workforce</w:t>
      </w:r>
      <w:r w:rsidRPr="000A6E5F">
        <w:rPr>
          <w:rFonts w:ascii="Arial" w:hAnsi="Arial" w:cs="Arial"/>
          <w:color w:val="000000"/>
        </w:rPr>
        <w:t>. London: Health Foundation. Available at:</w:t>
      </w:r>
      <w:r w:rsidRPr="000A6E5F">
        <w:rPr>
          <w:rStyle w:val="apple-converted-space"/>
          <w:rFonts w:ascii="Arial" w:hAnsi="Arial" w:cs="Arial"/>
          <w:color w:val="000000"/>
        </w:rPr>
        <w:t> </w:t>
      </w:r>
      <w:hyperlink r:id="rId26" w:history="1">
        <w:r w:rsidRPr="000A6E5F">
          <w:rPr>
            <w:rStyle w:val="Hyperlink"/>
            <w:rFonts w:ascii="Arial" w:hAnsi="Arial" w:cs="Arial"/>
          </w:rPr>
          <w:t>https://www.health.org.uk/reports-and-analysis/briefings/health-and-social-care-workforce</w:t>
        </w:r>
      </w:hyperlink>
      <w:r w:rsidRPr="000A6E5F">
        <w:rPr>
          <w:rStyle w:val="apple-converted-space"/>
          <w:rFonts w:ascii="Arial" w:hAnsi="Arial" w:cs="Arial"/>
          <w:color w:val="000000"/>
        </w:rPr>
        <w:t> </w:t>
      </w:r>
      <w:r w:rsidRPr="000A6E5F">
        <w:rPr>
          <w:rFonts w:ascii="Arial" w:hAnsi="Arial" w:cs="Arial"/>
          <w:color w:val="000000"/>
        </w:rPr>
        <w:t>(Accessed: 18 June 2026).</w:t>
      </w:r>
    </w:p>
    <w:p w14:paraId="0BEA7A7E" w14:textId="5EB0C5F1" w:rsidR="009462B0" w:rsidRPr="000A6E5F" w:rsidRDefault="009462B0" w:rsidP="000A6E5F">
      <w:pPr>
        <w:jc w:val="left"/>
        <w:rPr>
          <w:rFonts w:ascii="Arial" w:hAnsi="Arial" w:cs="Arial"/>
        </w:rPr>
      </w:pPr>
      <w:r w:rsidRPr="000A6E5F">
        <w:rPr>
          <w:rFonts w:ascii="Arial" w:hAnsi="Arial" w:cs="Arial"/>
          <w:color w:val="000000"/>
        </w:rPr>
        <w:t>Garg, R. (2016) ‘Methodology for research I’,</w:t>
      </w:r>
      <w:r w:rsidRPr="000A6E5F">
        <w:rPr>
          <w:rStyle w:val="apple-converted-space"/>
          <w:rFonts w:ascii="Arial" w:hAnsi="Arial" w:cs="Arial"/>
          <w:color w:val="000000"/>
        </w:rPr>
        <w:t> </w:t>
      </w:r>
      <w:r w:rsidRPr="000A6E5F">
        <w:rPr>
          <w:rStyle w:val="Emphasis"/>
          <w:rFonts w:ascii="Arial" w:hAnsi="Arial" w:cs="Arial"/>
          <w:color w:val="000000"/>
        </w:rPr>
        <w:t>Indian Journal of Anaesthesia</w:t>
      </w:r>
      <w:r w:rsidRPr="000A6E5F">
        <w:rPr>
          <w:rFonts w:ascii="Arial" w:hAnsi="Arial" w:cs="Arial"/>
          <w:color w:val="000000"/>
        </w:rPr>
        <w:t>, 60(9), pp. 640–645. Available at:</w:t>
      </w:r>
      <w:r w:rsidRPr="000A6E5F">
        <w:rPr>
          <w:rStyle w:val="apple-converted-space"/>
          <w:rFonts w:ascii="Arial" w:hAnsi="Arial" w:cs="Arial"/>
          <w:color w:val="000000"/>
        </w:rPr>
        <w:t> </w:t>
      </w:r>
      <w:hyperlink r:id="rId27" w:tgtFrame="_new" w:history="1">
        <w:r w:rsidRPr="000A6E5F">
          <w:rPr>
            <w:rStyle w:val="Hyperlink"/>
            <w:rFonts w:ascii="Arial" w:hAnsi="Arial" w:cs="Arial"/>
          </w:rPr>
          <w:t>https://pmc.ncbi.nlm.nih.gov/articles/PMC5037944/</w:t>
        </w:r>
      </w:hyperlink>
      <w:r w:rsidRPr="000A6E5F">
        <w:rPr>
          <w:rStyle w:val="apple-converted-space"/>
          <w:rFonts w:ascii="Arial" w:hAnsi="Arial" w:cs="Arial"/>
          <w:color w:val="000000"/>
        </w:rPr>
        <w:t> </w:t>
      </w:r>
      <w:r w:rsidRPr="000A6E5F">
        <w:rPr>
          <w:rFonts w:ascii="Arial" w:hAnsi="Arial" w:cs="Arial"/>
          <w:color w:val="000000"/>
        </w:rPr>
        <w:t>(Accessed: 1 June 2026).</w:t>
      </w:r>
    </w:p>
    <w:p w14:paraId="5956B750" w14:textId="77777777" w:rsidR="00C70E6C" w:rsidRPr="000A6E5F" w:rsidRDefault="00C70E6C" w:rsidP="000A6E5F">
      <w:pPr>
        <w:jc w:val="left"/>
        <w:rPr>
          <w:rFonts w:ascii="Arial" w:hAnsi="Arial" w:cs="Arial"/>
          <w:color w:val="EE0000"/>
        </w:rPr>
      </w:pPr>
      <w:r w:rsidRPr="000A6E5F">
        <w:rPr>
          <w:rFonts w:ascii="Arial" w:hAnsi="Arial" w:cs="Arial"/>
          <w:color w:val="000000" w:themeColor="text1"/>
        </w:rPr>
        <w:t xml:space="preserve">GOV.UK (2021) </w:t>
      </w:r>
      <w:r w:rsidRPr="000A6E5F">
        <w:rPr>
          <w:rFonts w:ascii="Arial" w:hAnsi="Arial" w:cs="Arial"/>
          <w:i/>
          <w:iCs/>
          <w:color w:val="000000" w:themeColor="text1"/>
        </w:rPr>
        <w:t>Health and Care Worker visa</w:t>
      </w:r>
      <w:r w:rsidRPr="000A6E5F">
        <w:rPr>
          <w:rFonts w:ascii="Arial" w:hAnsi="Arial" w:cs="Arial"/>
          <w:color w:val="000000" w:themeColor="text1"/>
        </w:rPr>
        <w:t xml:space="preserve">. Available at: </w:t>
      </w:r>
      <w:hyperlink r:id="rId28" w:history="1">
        <w:r w:rsidRPr="000A6E5F">
          <w:rPr>
            <w:rStyle w:val="Hyperlink"/>
            <w:rFonts w:ascii="Arial" w:hAnsi="Arial" w:cs="Arial"/>
            <w:color w:val="156082" w:themeColor="accent1"/>
          </w:rPr>
          <w:t>https://www.gov.uk/health-care-worker-visa</w:t>
        </w:r>
      </w:hyperlink>
      <w:r w:rsidRPr="000A6E5F">
        <w:rPr>
          <w:rFonts w:ascii="Arial" w:hAnsi="Arial" w:cs="Arial"/>
          <w:color w:val="EE0000"/>
        </w:rPr>
        <w:t xml:space="preserve">  </w:t>
      </w:r>
      <w:r w:rsidRPr="000A6E5F">
        <w:rPr>
          <w:rFonts w:ascii="Arial" w:hAnsi="Arial" w:cs="Arial"/>
          <w:color w:val="000000" w:themeColor="text1"/>
        </w:rPr>
        <w:t>(Accessed: 12 March 2026).</w:t>
      </w:r>
    </w:p>
    <w:p w14:paraId="58D8DDAE" w14:textId="77777777" w:rsidR="00C70E6C" w:rsidRPr="000A6E5F" w:rsidRDefault="00C70E6C" w:rsidP="000A6E5F">
      <w:pPr>
        <w:jc w:val="left"/>
        <w:rPr>
          <w:rFonts w:ascii="Arial" w:hAnsi="Arial" w:cs="Arial"/>
        </w:rPr>
      </w:pPr>
      <w:r w:rsidRPr="000A6E5F">
        <w:rPr>
          <w:rFonts w:ascii="Arial" w:hAnsi="Arial" w:cs="Arial"/>
        </w:rPr>
        <w:t xml:space="preserve">Glasby, J. (2021) </w:t>
      </w:r>
      <w:r w:rsidRPr="000A6E5F">
        <w:rPr>
          <w:rFonts w:ascii="Arial" w:hAnsi="Arial" w:cs="Arial"/>
          <w:i/>
          <w:iCs/>
        </w:rPr>
        <w:t>Understanding health and social care</w:t>
      </w:r>
      <w:r w:rsidRPr="000A6E5F">
        <w:rPr>
          <w:rFonts w:ascii="Arial" w:hAnsi="Arial" w:cs="Arial"/>
        </w:rPr>
        <w:t>. 4th ed. Bristol: Policy Press.</w:t>
      </w:r>
    </w:p>
    <w:p w14:paraId="12BD4231" w14:textId="16B9330F" w:rsidR="00C70E6C" w:rsidRPr="000A6E5F" w:rsidRDefault="00C70E6C" w:rsidP="000A6E5F">
      <w:pPr>
        <w:jc w:val="left"/>
        <w:rPr>
          <w:rStyle w:val="apple-converted-space"/>
          <w:rFonts w:ascii="Arial" w:eastAsiaTheme="majorEastAsia" w:hAnsi="Arial" w:cs="Arial"/>
        </w:rPr>
      </w:pPr>
      <w:r w:rsidRPr="000A6E5F">
        <w:rPr>
          <w:rFonts w:ascii="Arial" w:hAnsi="Arial" w:cs="Arial"/>
        </w:rPr>
        <w:t xml:space="preserve">Harker, R., Francis-Devine, B. and Foley, N. (2025) </w:t>
      </w:r>
      <w:r w:rsidRPr="000A6E5F">
        <w:rPr>
          <w:rFonts w:ascii="Arial" w:hAnsi="Arial" w:cs="Arial"/>
          <w:i/>
          <w:iCs/>
        </w:rPr>
        <w:t>Who provides informal care?</w:t>
      </w:r>
      <w:r w:rsidRPr="000A6E5F">
        <w:rPr>
          <w:rFonts w:ascii="Arial" w:hAnsi="Arial" w:cs="Arial"/>
        </w:rPr>
        <w:t xml:space="preserve">. Available at: </w:t>
      </w:r>
      <w:hyperlink r:id="rId29" w:history="1">
        <w:r w:rsidRPr="000A6E5F">
          <w:rPr>
            <w:rStyle w:val="Hyperlink"/>
            <w:rFonts w:ascii="Arial" w:hAnsi="Arial" w:cs="Arial"/>
          </w:rPr>
          <w:t>https://researchbriefings.files.parliament.uk/documents/CBP-10017/CBP-10017.pdf</w:t>
        </w:r>
      </w:hyperlink>
      <w:r w:rsidRPr="000A6E5F">
        <w:rPr>
          <w:rFonts w:ascii="Arial" w:hAnsi="Arial" w:cs="Arial"/>
        </w:rPr>
        <w:t xml:space="preserve"> (Accessed: 8 March 2026).</w:t>
      </w:r>
    </w:p>
    <w:p w14:paraId="01A10D73" w14:textId="77777777" w:rsidR="00C70E6C" w:rsidRPr="000A6E5F" w:rsidRDefault="00C70E6C" w:rsidP="000A6E5F">
      <w:pPr>
        <w:jc w:val="left"/>
        <w:rPr>
          <w:rFonts w:ascii="Arial" w:hAnsi="Arial" w:cs="Arial"/>
        </w:rPr>
      </w:pPr>
      <w:r w:rsidRPr="000A6E5F">
        <w:rPr>
          <w:rFonts w:ascii="Arial" w:hAnsi="Arial" w:cs="Arial"/>
        </w:rPr>
        <w:t xml:space="preserve">Hussein, S. (2017) ‘We don’t do it for the money: The scale and reasons of poverty-pay among frontline long-term care workers in England’, </w:t>
      </w:r>
      <w:r w:rsidRPr="000A6E5F">
        <w:rPr>
          <w:rFonts w:ascii="Arial" w:hAnsi="Arial" w:cs="Arial"/>
          <w:i/>
          <w:iCs/>
        </w:rPr>
        <w:t>Health &amp; Social Care in the Community</w:t>
      </w:r>
      <w:r w:rsidRPr="000A6E5F">
        <w:rPr>
          <w:rFonts w:ascii="Arial" w:hAnsi="Arial" w:cs="Arial"/>
        </w:rPr>
        <w:t xml:space="preserve">, 25(6), pp. 1817–1826. Available at: </w:t>
      </w:r>
      <w:hyperlink r:id="rId30" w:history="1">
        <w:r w:rsidRPr="000A6E5F">
          <w:rPr>
            <w:rStyle w:val="Hyperlink"/>
            <w:rFonts w:ascii="Arial" w:hAnsi="Arial" w:cs="Arial"/>
          </w:rPr>
          <w:t>https://onlinelibrary.wiley.com/doi/10.1111/hsc.12455</w:t>
        </w:r>
      </w:hyperlink>
      <w:r w:rsidRPr="000A6E5F">
        <w:rPr>
          <w:rFonts w:ascii="Arial" w:hAnsi="Arial" w:cs="Arial"/>
        </w:rPr>
        <w:t xml:space="preserve">  (Accessed: 12 March 2026).</w:t>
      </w:r>
    </w:p>
    <w:p w14:paraId="38BBA6D8" w14:textId="0EEE5931" w:rsidR="00640993" w:rsidRPr="000A6E5F" w:rsidRDefault="00640993" w:rsidP="000A6E5F">
      <w:pPr>
        <w:jc w:val="left"/>
        <w:rPr>
          <w:rFonts w:ascii="Arial" w:hAnsi="Arial" w:cs="Arial"/>
          <w:color w:val="EE0000"/>
        </w:rPr>
      </w:pPr>
      <w:r w:rsidRPr="000A6E5F">
        <w:rPr>
          <w:rFonts w:ascii="Arial" w:hAnsi="Arial" w:cs="Arial"/>
          <w:color w:val="000000" w:themeColor="text1"/>
        </w:rPr>
        <w:t>Hussein, S. (2022) ‘The Global Demand for Migrant Care Workers: Drivers and Implications on Migrants’ Wellbeing’,</w:t>
      </w:r>
      <w:r w:rsidRPr="000A6E5F">
        <w:rPr>
          <w:rStyle w:val="apple-converted-space"/>
          <w:rFonts w:ascii="Arial" w:hAnsi="Arial" w:cs="Arial"/>
          <w:color w:val="000000" w:themeColor="text1"/>
        </w:rPr>
        <w:t> </w:t>
      </w:r>
      <w:r w:rsidRPr="000A6E5F">
        <w:rPr>
          <w:rStyle w:val="Emphasis"/>
          <w:rFonts w:ascii="Arial" w:hAnsi="Arial" w:cs="Arial"/>
          <w:color w:val="000000" w:themeColor="text1"/>
        </w:rPr>
        <w:t>Sustainability</w:t>
      </w:r>
      <w:r w:rsidRPr="000A6E5F">
        <w:rPr>
          <w:rFonts w:ascii="Arial" w:hAnsi="Arial" w:cs="Arial"/>
          <w:color w:val="000000" w:themeColor="text1"/>
        </w:rPr>
        <w:t>, 14(17), 10612. Available at:</w:t>
      </w:r>
      <w:r w:rsidRPr="000A6E5F">
        <w:rPr>
          <w:rStyle w:val="apple-converted-space"/>
          <w:rFonts w:ascii="Arial" w:hAnsi="Arial" w:cs="Arial"/>
          <w:color w:val="000000" w:themeColor="text1"/>
        </w:rPr>
        <w:t> </w:t>
      </w:r>
      <w:hyperlink r:id="rId31" w:history="1">
        <w:r w:rsidR="00246140" w:rsidRPr="000A6E5F">
          <w:rPr>
            <w:rStyle w:val="Hyperlink"/>
            <w:rFonts w:ascii="Arial" w:hAnsi="Arial" w:cs="Arial"/>
          </w:rPr>
          <w:t>https://www.mdpi.com/2071-1050/14/17/10612</w:t>
        </w:r>
      </w:hyperlink>
      <w:r w:rsidR="00246140" w:rsidRPr="000A6E5F">
        <w:rPr>
          <w:rStyle w:val="apple-converted-space"/>
          <w:rFonts w:ascii="Arial" w:hAnsi="Arial" w:cs="Arial"/>
          <w:color w:val="000000" w:themeColor="text1"/>
        </w:rPr>
        <w:t xml:space="preserve"> </w:t>
      </w:r>
      <w:r w:rsidR="000121B6" w:rsidRPr="000A6E5F">
        <w:rPr>
          <w:rFonts w:ascii="Arial" w:hAnsi="Arial" w:cs="Arial"/>
        </w:rPr>
        <w:t xml:space="preserve"> </w:t>
      </w:r>
      <w:r w:rsidR="00DF31D6" w:rsidRPr="000A6E5F">
        <w:rPr>
          <w:rFonts w:ascii="Arial" w:hAnsi="Arial" w:cs="Arial"/>
        </w:rPr>
        <w:t>Accessed: 14 March 2026).</w:t>
      </w:r>
    </w:p>
    <w:p w14:paraId="27BE63DA" w14:textId="77777777" w:rsidR="00183965" w:rsidRPr="000A6E5F" w:rsidRDefault="00183965" w:rsidP="000A6E5F">
      <w:pPr>
        <w:spacing w:before="100" w:beforeAutospacing="1" w:after="100" w:afterAutospacing="1"/>
        <w:jc w:val="left"/>
        <w:rPr>
          <w:rFonts w:ascii="Arial" w:eastAsia="Times New Roman" w:hAnsi="Arial" w:cs="Arial"/>
          <w:color w:val="000000"/>
          <w:lang w:eastAsia="en-GB"/>
        </w:rPr>
      </w:pPr>
      <w:r w:rsidRPr="000A6E5F">
        <w:rPr>
          <w:rFonts w:ascii="Arial" w:hAnsi="Arial" w:cs="Arial"/>
          <w:color w:val="000000"/>
        </w:rPr>
        <w:t>Hanrieder, T. and Janauschek, L. (2025) 'The “ethical recruitment” of international nurses: Germany's liberal health worker extractivism',</w:t>
      </w:r>
      <w:r w:rsidRPr="000A6E5F">
        <w:rPr>
          <w:rStyle w:val="apple-converted-space"/>
          <w:rFonts w:ascii="Arial" w:hAnsi="Arial" w:cs="Arial"/>
          <w:color w:val="000000"/>
        </w:rPr>
        <w:t> </w:t>
      </w:r>
      <w:r w:rsidRPr="000A6E5F">
        <w:rPr>
          <w:rStyle w:val="Emphasis"/>
          <w:rFonts w:ascii="Arial" w:hAnsi="Arial" w:cs="Arial"/>
          <w:color w:val="000000"/>
        </w:rPr>
        <w:t>Review of International Political Economy</w:t>
      </w:r>
      <w:r w:rsidRPr="000A6E5F">
        <w:rPr>
          <w:rFonts w:ascii="Arial" w:hAnsi="Arial" w:cs="Arial"/>
          <w:color w:val="000000"/>
        </w:rPr>
        <w:t>,</w:t>
      </w:r>
      <w:r w:rsidRPr="000A6E5F">
        <w:rPr>
          <w:rStyle w:val="apple-converted-space"/>
          <w:rFonts w:ascii="Arial" w:hAnsi="Arial" w:cs="Arial"/>
          <w:color w:val="000000"/>
        </w:rPr>
        <w:t> </w:t>
      </w:r>
      <w:r w:rsidRPr="000A6E5F">
        <w:rPr>
          <w:rStyle w:val="Strong"/>
          <w:rFonts w:ascii="Arial" w:hAnsi="Arial" w:cs="Arial"/>
          <w:color w:val="000000"/>
        </w:rPr>
        <w:t>32</w:t>
      </w:r>
      <w:r w:rsidRPr="000A6E5F">
        <w:rPr>
          <w:rFonts w:ascii="Arial" w:hAnsi="Arial" w:cs="Arial"/>
          <w:color w:val="000000"/>
        </w:rPr>
        <w:t>(4), pp. 1164–1188. Available at:</w:t>
      </w:r>
      <w:r w:rsidRPr="000A6E5F">
        <w:rPr>
          <w:rStyle w:val="apple-converted-space"/>
          <w:rFonts w:ascii="Arial" w:hAnsi="Arial" w:cs="Arial"/>
          <w:color w:val="000000"/>
        </w:rPr>
        <w:t> </w:t>
      </w:r>
      <w:hyperlink r:id="rId32" w:tgtFrame="_new" w:history="1">
        <w:r w:rsidRPr="000A6E5F">
          <w:rPr>
            <w:rStyle w:val="Hyperlink"/>
            <w:rFonts w:ascii="Arial" w:hAnsi="Arial" w:cs="Arial"/>
          </w:rPr>
          <w:t>https://doi.org/10.1080/09692290.2025.2450399</w:t>
        </w:r>
      </w:hyperlink>
      <w:r w:rsidRPr="000A6E5F">
        <w:rPr>
          <w:rStyle w:val="apple-converted-space"/>
          <w:rFonts w:ascii="Arial" w:hAnsi="Arial" w:cs="Arial"/>
          <w:color w:val="000000"/>
        </w:rPr>
        <w:t> </w:t>
      </w:r>
      <w:r w:rsidRPr="000A6E5F">
        <w:rPr>
          <w:rFonts w:ascii="Arial" w:hAnsi="Arial" w:cs="Arial"/>
          <w:color w:val="000000"/>
        </w:rPr>
        <w:t>(Accessed: 8 July 2026).</w:t>
      </w:r>
    </w:p>
    <w:p w14:paraId="1A8D985F" w14:textId="562968D6" w:rsidR="00C70E6C" w:rsidRPr="000A6E5F" w:rsidRDefault="00C70E6C" w:rsidP="000A6E5F">
      <w:pPr>
        <w:jc w:val="left"/>
        <w:rPr>
          <w:rFonts w:ascii="Arial" w:hAnsi="Arial" w:cs="Arial"/>
          <w:color w:val="000000" w:themeColor="text1"/>
        </w:rPr>
      </w:pPr>
      <w:r w:rsidRPr="000A6E5F">
        <w:rPr>
          <w:rFonts w:ascii="Arial" w:hAnsi="Arial" w:cs="Arial"/>
          <w:color w:val="000000" w:themeColor="text1"/>
        </w:rPr>
        <w:t xml:space="preserve">House of Commons (2022) </w:t>
      </w:r>
      <w:r w:rsidRPr="000A6E5F">
        <w:rPr>
          <w:rFonts w:ascii="Arial" w:hAnsi="Arial" w:cs="Arial"/>
          <w:i/>
          <w:iCs/>
          <w:color w:val="000000" w:themeColor="text1"/>
        </w:rPr>
        <w:t>Workforce: recruitment, training and retention in health and social care</w:t>
      </w:r>
      <w:r w:rsidRPr="000A6E5F">
        <w:rPr>
          <w:rFonts w:ascii="Arial" w:hAnsi="Arial" w:cs="Arial"/>
          <w:color w:val="000000" w:themeColor="text1"/>
        </w:rPr>
        <w:t xml:space="preserve">. Available at: </w:t>
      </w:r>
      <w:hyperlink r:id="rId33" w:history="1">
        <w:r w:rsidRPr="000A6E5F">
          <w:rPr>
            <w:rStyle w:val="Hyperlink"/>
            <w:rFonts w:ascii="Arial" w:hAnsi="Arial" w:cs="Arial"/>
          </w:rPr>
          <w:t>https://committees.parliament.uk/publications/23246/documents/171671/default/</w:t>
        </w:r>
      </w:hyperlink>
      <w:r w:rsidRPr="000A6E5F">
        <w:rPr>
          <w:rFonts w:ascii="Arial" w:hAnsi="Arial" w:cs="Arial"/>
          <w:color w:val="000000" w:themeColor="text1"/>
        </w:rPr>
        <w:t xml:space="preserve">  (Accessed: 17 March 2026).</w:t>
      </w:r>
    </w:p>
    <w:p w14:paraId="3F74FF97" w14:textId="77777777" w:rsidR="00C70E6C" w:rsidRPr="000A6E5F" w:rsidRDefault="00C70E6C" w:rsidP="000A6E5F">
      <w:pPr>
        <w:jc w:val="left"/>
        <w:rPr>
          <w:rFonts w:ascii="Arial" w:hAnsi="Arial" w:cs="Arial"/>
          <w:color w:val="000000" w:themeColor="text1"/>
        </w:rPr>
      </w:pPr>
      <w:r w:rsidRPr="000A6E5F">
        <w:rPr>
          <w:rFonts w:ascii="Arial" w:hAnsi="Arial" w:cs="Arial"/>
          <w:color w:val="000000" w:themeColor="text1"/>
        </w:rPr>
        <w:t xml:space="preserve">Health Foundation (2023) </w:t>
      </w:r>
      <w:r w:rsidRPr="000A6E5F">
        <w:rPr>
          <w:rFonts w:ascii="Arial" w:hAnsi="Arial" w:cs="Arial"/>
          <w:i/>
          <w:iCs/>
          <w:color w:val="000000" w:themeColor="text1"/>
        </w:rPr>
        <w:t>Adult social care workforce pressures</w:t>
      </w:r>
      <w:r w:rsidRPr="000A6E5F">
        <w:rPr>
          <w:rFonts w:ascii="Arial" w:hAnsi="Arial" w:cs="Arial"/>
          <w:color w:val="000000" w:themeColor="text1"/>
        </w:rPr>
        <w:t>. London: The Health Foundation.</w:t>
      </w:r>
    </w:p>
    <w:p w14:paraId="282123A4" w14:textId="2CDBD35F" w:rsidR="00FF44D0" w:rsidRPr="000A6E5F" w:rsidRDefault="00FF44D0" w:rsidP="000A6E5F">
      <w:pPr>
        <w:jc w:val="left"/>
        <w:rPr>
          <w:rFonts w:ascii="Arial" w:hAnsi="Arial" w:cs="Arial"/>
          <w:color w:val="000000"/>
        </w:rPr>
      </w:pPr>
      <w:r w:rsidRPr="000A6E5F">
        <w:rPr>
          <w:rFonts w:ascii="Arial" w:hAnsi="Arial" w:cs="Arial"/>
          <w:color w:val="000000"/>
        </w:rPr>
        <w:t>Institute for Government (2025)</w:t>
      </w:r>
      <w:r w:rsidRPr="000A6E5F">
        <w:rPr>
          <w:rStyle w:val="apple-converted-space"/>
          <w:rFonts w:ascii="Arial" w:hAnsi="Arial" w:cs="Arial"/>
          <w:color w:val="000000"/>
        </w:rPr>
        <w:t> </w:t>
      </w:r>
      <w:r w:rsidRPr="000A6E5F">
        <w:rPr>
          <w:rStyle w:val="Emphasis"/>
          <w:rFonts w:ascii="Arial" w:hAnsi="Arial" w:cs="Arial"/>
          <w:color w:val="000000"/>
        </w:rPr>
        <w:t>Performance Tracker 2025: Adult social care</w:t>
      </w:r>
      <w:r w:rsidRPr="000A6E5F">
        <w:rPr>
          <w:rFonts w:ascii="Arial" w:hAnsi="Arial" w:cs="Arial"/>
          <w:color w:val="000000"/>
        </w:rPr>
        <w:t>. Available at:</w:t>
      </w:r>
      <w:r w:rsidRPr="000A6E5F">
        <w:rPr>
          <w:rStyle w:val="apple-converted-space"/>
          <w:rFonts w:ascii="Arial" w:hAnsi="Arial" w:cs="Arial"/>
          <w:color w:val="000000"/>
        </w:rPr>
        <w:t> </w:t>
      </w:r>
      <w:hyperlink r:id="rId34" w:history="1">
        <w:r w:rsidR="00785FD4" w:rsidRPr="000A6E5F">
          <w:rPr>
            <w:rStyle w:val="Hyperlink"/>
            <w:rFonts w:ascii="Arial" w:hAnsi="Arial" w:cs="Arial"/>
          </w:rPr>
          <w:t>https://www.instituteforgovernment.org.uk/publication/performance-tracker-2025/local-services/adult-social-care</w:t>
        </w:r>
      </w:hyperlink>
      <w:r w:rsidR="00785FD4" w:rsidRPr="000A6E5F">
        <w:rPr>
          <w:rStyle w:val="apple-converted-space"/>
          <w:rFonts w:ascii="Arial" w:hAnsi="Arial" w:cs="Arial"/>
          <w:color w:val="000000"/>
        </w:rPr>
        <w:t xml:space="preserve"> </w:t>
      </w:r>
      <w:r w:rsidRPr="000A6E5F">
        <w:rPr>
          <w:rFonts w:ascii="Arial" w:hAnsi="Arial" w:cs="Arial"/>
          <w:color w:val="000000"/>
        </w:rPr>
        <w:t>(Accessed: 24 June 2026).</w:t>
      </w:r>
    </w:p>
    <w:p w14:paraId="067E1E13" w14:textId="59E88071" w:rsidR="00C70E6C" w:rsidRPr="000A6E5F" w:rsidRDefault="00C70E6C" w:rsidP="000A6E5F">
      <w:pPr>
        <w:jc w:val="left"/>
        <w:rPr>
          <w:rStyle w:val="apple-converted-space"/>
          <w:rFonts w:ascii="Arial" w:hAnsi="Arial" w:cs="Arial"/>
        </w:rPr>
      </w:pPr>
      <w:r w:rsidRPr="000A6E5F">
        <w:rPr>
          <w:rFonts w:ascii="Arial" w:hAnsi="Arial" w:cs="Arial"/>
        </w:rPr>
        <w:lastRenderedPageBreak/>
        <w:t xml:space="preserve">International Labour Organization (2023) </w:t>
      </w:r>
      <w:r w:rsidRPr="000A6E5F">
        <w:rPr>
          <w:rFonts w:ascii="Arial" w:hAnsi="Arial" w:cs="Arial"/>
          <w:i/>
          <w:iCs/>
        </w:rPr>
        <w:t>Labour market segmentation</w:t>
      </w:r>
      <w:r w:rsidRPr="000A6E5F">
        <w:rPr>
          <w:rFonts w:ascii="Arial" w:hAnsi="Arial" w:cs="Arial"/>
        </w:rPr>
        <w:t xml:space="preserve">. Available at: </w:t>
      </w:r>
      <w:hyperlink r:id="rId35" w:history="1">
        <w:r w:rsidRPr="000A6E5F">
          <w:rPr>
            <w:rStyle w:val="Hyperlink"/>
            <w:rFonts w:ascii="Arial" w:hAnsi="Arial" w:cs="Arial"/>
          </w:rPr>
          <w:t>https://www.ilo.org/topics/employment-security/labour-market-segmentation</w:t>
        </w:r>
      </w:hyperlink>
      <w:r w:rsidRPr="000A6E5F">
        <w:rPr>
          <w:rFonts w:ascii="Arial" w:hAnsi="Arial" w:cs="Arial"/>
        </w:rPr>
        <w:t xml:space="preserve"> (Accessed: 12 March 2026).</w:t>
      </w:r>
    </w:p>
    <w:p w14:paraId="2F5466B1" w14:textId="47945F85" w:rsidR="00C70E6C" w:rsidRPr="000A6E5F" w:rsidRDefault="00C70E6C" w:rsidP="000A6E5F">
      <w:pPr>
        <w:jc w:val="left"/>
        <w:rPr>
          <w:rStyle w:val="apple-converted-space"/>
          <w:rFonts w:ascii="Arial" w:hAnsi="Arial" w:cs="Arial"/>
        </w:rPr>
      </w:pPr>
      <w:r w:rsidRPr="000A6E5F">
        <w:rPr>
          <w:rFonts w:ascii="Arial" w:hAnsi="Arial" w:cs="Arial"/>
        </w:rPr>
        <w:t xml:space="preserve">International Labour Organization (ILO) (2024) </w:t>
      </w:r>
      <w:r w:rsidRPr="000A6E5F">
        <w:rPr>
          <w:rFonts w:ascii="Arial" w:hAnsi="Arial" w:cs="Arial"/>
          <w:i/>
          <w:iCs/>
        </w:rPr>
        <w:t>Migrant workers in the care economy</w:t>
      </w:r>
      <w:r w:rsidRPr="000A6E5F">
        <w:rPr>
          <w:rFonts w:ascii="Arial" w:hAnsi="Arial" w:cs="Arial"/>
        </w:rPr>
        <w:t>. Available at:</w:t>
      </w:r>
      <w:r w:rsidRPr="000A6E5F">
        <w:rPr>
          <w:rStyle w:val="apple-converted-space"/>
          <w:rFonts w:ascii="Arial" w:hAnsi="Arial" w:cs="Arial"/>
        </w:rPr>
        <w:t> </w:t>
      </w:r>
      <w:hyperlink r:id="rId36" w:history="1">
        <w:r w:rsidRPr="000A6E5F">
          <w:rPr>
            <w:rStyle w:val="Hyperlink"/>
            <w:rFonts w:ascii="Arial" w:hAnsi="Arial" w:cs="Arial"/>
          </w:rPr>
          <w:t>https://www.ilo.org/sites/default/files/2024-10/Migrant%20Workers%20in%20the%20Care%20Economy_Note_2024_Final.pdf</w:t>
        </w:r>
      </w:hyperlink>
      <w:r w:rsidRPr="000A6E5F">
        <w:rPr>
          <w:rFonts w:ascii="Arial" w:hAnsi="Arial" w:cs="Arial"/>
        </w:rPr>
        <w:t xml:space="preserve"> (Accessed: 16 March 2026).</w:t>
      </w:r>
    </w:p>
    <w:p w14:paraId="6CAD6652" w14:textId="57F03C69" w:rsidR="00584BEA" w:rsidRPr="000A6E5F" w:rsidRDefault="00584BEA" w:rsidP="000A6E5F">
      <w:pPr>
        <w:jc w:val="left"/>
        <w:rPr>
          <w:rStyle w:val="apple-converted-space"/>
          <w:rFonts w:ascii="Arial" w:hAnsi="Arial" w:cs="Arial"/>
          <w:color w:val="000000"/>
        </w:rPr>
      </w:pPr>
      <w:r w:rsidRPr="000A6E5F">
        <w:rPr>
          <w:rFonts w:ascii="Arial" w:hAnsi="Arial" w:cs="Arial"/>
          <w:color w:val="000000"/>
        </w:rPr>
        <w:t>Institute for Government (2025) </w:t>
      </w:r>
      <w:r w:rsidRPr="000A6E5F">
        <w:rPr>
          <w:rFonts w:ascii="Arial" w:hAnsi="Arial" w:cs="Arial"/>
          <w:i/>
          <w:iCs/>
          <w:color w:val="000000"/>
        </w:rPr>
        <w:t>Performance Tracker 2025: Adult social care</w:t>
      </w:r>
      <w:r w:rsidRPr="000A6E5F">
        <w:rPr>
          <w:rFonts w:ascii="Arial" w:hAnsi="Arial" w:cs="Arial"/>
          <w:color w:val="000000"/>
        </w:rPr>
        <w:t>. Available at: </w:t>
      </w:r>
      <w:hyperlink r:id="rId37" w:history="1">
        <w:r w:rsidR="002D1B61" w:rsidRPr="000A6E5F">
          <w:rPr>
            <w:rStyle w:val="Hyperlink"/>
            <w:rFonts w:ascii="Arial" w:hAnsi="Arial" w:cs="Arial"/>
          </w:rPr>
          <w:t>https://www.instituteforgovernment.org.uk/publication/performance-tracker-2025/local-services/adult-social-care</w:t>
        </w:r>
      </w:hyperlink>
      <w:r w:rsidR="00CA5C1F" w:rsidRPr="000A6E5F">
        <w:rPr>
          <w:rFonts w:ascii="Arial" w:hAnsi="Arial" w:cs="Arial"/>
          <w:color w:val="000000"/>
        </w:rPr>
        <w:t xml:space="preserve"> </w:t>
      </w:r>
      <w:r w:rsidRPr="000A6E5F">
        <w:rPr>
          <w:rFonts w:ascii="Arial" w:hAnsi="Arial" w:cs="Arial"/>
          <w:color w:val="000000"/>
        </w:rPr>
        <w:t>(Accessed: 18 June 2026).</w:t>
      </w:r>
    </w:p>
    <w:p w14:paraId="0F322B25" w14:textId="36643CDF" w:rsidR="00185C8C" w:rsidRPr="000A6E5F" w:rsidRDefault="00185C8C" w:rsidP="000A6E5F">
      <w:pPr>
        <w:jc w:val="left"/>
        <w:rPr>
          <w:rFonts w:ascii="Arial" w:hAnsi="Arial" w:cs="Arial"/>
          <w:color w:val="000000"/>
        </w:rPr>
      </w:pPr>
      <w:r w:rsidRPr="000A6E5F">
        <w:rPr>
          <w:rFonts w:ascii="Arial" w:hAnsi="Arial" w:cs="Arial"/>
          <w:color w:val="000000"/>
        </w:rPr>
        <w:t>Kenrick, D.T., Griskevicius, V., Neuberg, S.L. and Schaller, M. (2010) ‘Renovating the pyramid of needs: contemporary extensions built upon ancient foundations’,</w:t>
      </w:r>
      <w:r w:rsidRPr="000A6E5F">
        <w:rPr>
          <w:rStyle w:val="apple-converted-space"/>
          <w:rFonts w:ascii="Arial" w:hAnsi="Arial" w:cs="Arial"/>
          <w:color w:val="000000"/>
        </w:rPr>
        <w:t> </w:t>
      </w:r>
      <w:r w:rsidRPr="000A6E5F">
        <w:rPr>
          <w:rStyle w:val="Emphasis"/>
          <w:rFonts w:ascii="Arial" w:hAnsi="Arial" w:cs="Arial"/>
          <w:color w:val="000000"/>
        </w:rPr>
        <w:t>Perspectives on Psychological Science</w:t>
      </w:r>
      <w:r w:rsidRPr="000A6E5F">
        <w:rPr>
          <w:rFonts w:ascii="Arial" w:hAnsi="Arial" w:cs="Arial"/>
          <w:color w:val="000000"/>
        </w:rPr>
        <w:t>, 5(3), pp. 292–314.</w:t>
      </w:r>
    </w:p>
    <w:p w14:paraId="65FAAE7A" w14:textId="22213D72" w:rsidR="00880A94" w:rsidRPr="000A6E5F" w:rsidRDefault="00880A94" w:rsidP="000A6E5F">
      <w:pPr>
        <w:jc w:val="left"/>
        <w:rPr>
          <w:rFonts w:ascii="Arial" w:hAnsi="Arial" w:cs="Arial"/>
          <w:color w:val="000000"/>
        </w:rPr>
      </w:pPr>
      <w:r w:rsidRPr="000A6E5F">
        <w:rPr>
          <w:rFonts w:ascii="Arial" w:hAnsi="Arial" w:cs="Arial"/>
          <w:color w:val="000000"/>
        </w:rPr>
        <w:t>King-Hill, S. (2015) ‘Critical analysis of Maslow’s hierarchy of need’,</w:t>
      </w:r>
      <w:r w:rsidRPr="000A6E5F">
        <w:rPr>
          <w:rStyle w:val="apple-converted-space"/>
          <w:rFonts w:ascii="Arial" w:hAnsi="Arial" w:cs="Arial"/>
          <w:color w:val="000000"/>
        </w:rPr>
        <w:t> </w:t>
      </w:r>
      <w:r w:rsidRPr="000A6E5F">
        <w:rPr>
          <w:rStyle w:val="Emphasis"/>
          <w:rFonts w:ascii="Arial" w:hAnsi="Arial" w:cs="Arial"/>
          <w:color w:val="000000"/>
        </w:rPr>
        <w:t>The STeP Journal: Student Teacher Perspectives</w:t>
      </w:r>
      <w:r w:rsidRPr="000A6E5F">
        <w:rPr>
          <w:rFonts w:ascii="Arial" w:hAnsi="Arial" w:cs="Arial"/>
          <w:color w:val="000000"/>
        </w:rPr>
        <w:t>, 2(4), pp. 54–57.</w:t>
      </w:r>
    </w:p>
    <w:p w14:paraId="25BADBAF" w14:textId="68518DC7" w:rsidR="00D74053" w:rsidRPr="000A6E5F" w:rsidRDefault="00D74053" w:rsidP="000A6E5F">
      <w:pPr>
        <w:spacing w:before="100" w:beforeAutospacing="1" w:after="100" w:afterAutospacing="1"/>
        <w:jc w:val="left"/>
        <w:rPr>
          <w:rFonts w:ascii="Arial" w:hAnsi="Arial" w:cs="Arial"/>
          <w:color w:val="000000"/>
        </w:rPr>
      </w:pPr>
      <w:r w:rsidRPr="000A6E5F">
        <w:rPr>
          <w:rStyle w:val="Strong"/>
          <w:rFonts w:ascii="Arial" w:hAnsi="Arial" w:cs="Arial"/>
          <w:b w:val="0"/>
          <w:bCs w:val="0"/>
          <w:color w:val="000000"/>
        </w:rPr>
        <w:t>Local Government Association</w:t>
      </w:r>
      <w:r w:rsidR="00657922" w:rsidRPr="000A6E5F">
        <w:rPr>
          <w:rStyle w:val="Strong"/>
          <w:rFonts w:ascii="Arial" w:hAnsi="Arial" w:cs="Arial"/>
          <w:b w:val="0"/>
          <w:bCs w:val="0"/>
          <w:color w:val="000000"/>
        </w:rPr>
        <w:t xml:space="preserve">. </w:t>
      </w:r>
      <w:r w:rsidRPr="000A6E5F">
        <w:rPr>
          <w:rStyle w:val="Strong"/>
          <w:rFonts w:ascii="Arial" w:hAnsi="Arial" w:cs="Arial"/>
          <w:b w:val="0"/>
          <w:bCs w:val="0"/>
          <w:color w:val="000000"/>
        </w:rPr>
        <w:t>(2024)</w:t>
      </w:r>
      <w:r w:rsidRPr="000A6E5F">
        <w:rPr>
          <w:rStyle w:val="apple-converted-space"/>
          <w:rFonts w:ascii="Arial" w:hAnsi="Arial" w:cs="Arial"/>
          <w:color w:val="000000"/>
        </w:rPr>
        <w:t> </w:t>
      </w:r>
      <w:r w:rsidRPr="000A6E5F">
        <w:rPr>
          <w:rStyle w:val="Emphasis"/>
          <w:rFonts w:ascii="Arial" w:hAnsi="Arial" w:cs="Arial"/>
          <w:color w:val="000000"/>
        </w:rPr>
        <w:t>International recruitment in adult social care: A guide for councils</w:t>
      </w:r>
      <w:r w:rsidRPr="000A6E5F">
        <w:rPr>
          <w:rFonts w:ascii="Arial" w:hAnsi="Arial" w:cs="Arial"/>
          <w:color w:val="000000"/>
        </w:rPr>
        <w:t>. Available at:</w:t>
      </w:r>
      <w:r w:rsidRPr="000A6E5F">
        <w:rPr>
          <w:rStyle w:val="apple-converted-space"/>
          <w:rFonts w:ascii="Arial" w:hAnsi="Arial" w:cs="Arial"/>
          <w:color w:val="000000"/>
        </w:rPr>
        <w:t> </w:t>
      </w:r>
      <w:hyperlink r:id="rId38" w:tgtFrame="_new" w:history="1">
        <w:r w:rsidRPr="000A6E5F">
          <w:rPr>
            <w:rStyle w:val="Hyperlink"/>
            <w:rFonts w:ascii="Arial" w:hAnsi="Arial" w:cs="Arial"/>
          </w:rPr>
          <w:t>https://www.local.gov.uk/publications/international-recruitment-adult-social-care-guide-councils</w:t>
        </w:r>
      </w:hyperlink>
      <w:r w:rsidRPr="000A6E5F">
        <w:rPr>
          <w:rStyle w:val="apple-converted-space"/>
          <w:rFonts w:ascii="Arial" w:hAnsi="Arial" w:cs="Arial"/>
          <w:color w:val="000000"/>
        </w:rPr>
        <w:t> </w:t>
      </w:r>
      <w:r w:rsidRPr="000A6E5F">
        <w:rPr>
          <w:rFonts w:ascii="Arial" w:hAnsi="Arial" w:cs="Arial"/>
          <w:color w:val="000000"/>
        </w:rPr>
        <w:t>(Accessed: 24 June 2026).</w:t>
      </w:r>
    </w:p>
    <w:p w14:paraId="66790D6C" w14:textId="57E70CE8" w:rsidR="00C37B7F" w:rsidRPr="000A6E5F" w:rsidRDefault="00C37B7F" w:rsidP="000A6E5F">
      <w:pPr>
        <w:spacing w:before="100" w:beforeAutospacing="1" w:after="100" w:afterAutospacing="1"/>
        <w:jc w:val="left"/>
        <w:rPr>
          <w:rFonts w:ascii="Arial" w:eastAsia="Times New Roman" w:hAnsi="Arial" w:cs="Arial"/>
          <w:color w:val="000000"/>
          <w:lang w:eastAsia="en-GB"/>
        </w:rPr>
      </w:pPr>
      <w:r w:rsidRPr="000A6E5F">
        <w:rPr>
          <w:rFonts w:ascii="Arial" w:hAnsi="Arial" w:cs="Arial"/>
          <w:color w:val="000000"/>
        </w:rPr>
        <w:t>Legislation.gov.uk (2014) </w:t>
      </w:r>
      <w:r w:rsidRPr="000A6E5F">
        <w:rPr>
          <w:rFonts w:ascii="Arial" w:hAnsi="Arial" w:cs="Arial"/>
          <w:i/>
          <w:iCs/>
          <w:color w:val="000000"/>
        </w:rPr>
        <w:t>Care Act 2014</w:t>
      </w:r>
      <w:r w:rsidRPr="000A6E5F">
        <w:rPr>
          <w:rFonts w:ascii="Arial" w:hAnsi="Arial" w:cs="Arial"/>
          <w:color w:val="000000"/>
        </w:rPr>
        <w:t>. Available at: </w:t>
      </w:r>
      <w:hyperlink r:id="rId39" w:tgtFrame="_new" w:history="1">
        <w:r w:rsidRPr="000A6E5F">
          <w:rPr>
            <w:rFonts w:ascii="Arial" w:hAnsi="Arial" w:cs="Arial"/>
            <w:color w:val="0000FF"/>
            <w:u w:val="single"/>
          </w:rPr>
          <w:t>https://www.legislation.gov.uk/ukpga/2014/23/contents/enacted</w:t>
        </w:r>
      </w:hyperlink>
      <w:r w:rsidR="00131ED8" w:rsidRPr="000A6E5F">
        <w:rPr>
          <w:rFonts w:ascii="Arial" w:hAnsi="Arial" w:cs="Arial"/>
        </w:rPr>
        <w:t xml:space="preserve"> </w:t>
      </w:r>
      <w:r w:rsidRPr="000A6E5F">
        <w:rPr>
          <w:rFonts w:ascii="Arial" w:hAnsi="Arial" w:cs="Arial"/>
          <w:color w:val="000000"/>
        </w:rPr>
        <w:t>(Accessed: 6 July 2026).</w:t>
      </w:r>
    </w:p>
    <w:p w14:paraId="5609AF21" w14:textId="703F06DE" w:rsidR="004E11F2" w:rsidRPr="000A6E5F" w:rsidRDefault="004E11F2" w:rsidP="000A6E5F">
      <w:pPr>
        <w:jc w:val="left"/>
        <w:rPr>
          <w:rFonts w:ascii="Arial" w:hAnsi="Arial" w:cs="Arial"/>
          <w:color w:val="EE0000"/>
        </w:rPr>
      </w:pPr>
      <w:r w:rsidRPr="000A6E5F">
        <w:rPr>
          <w:rFonts w:ascii="Arial" w:hAnsi="Arial" w:cs="Arial"/>
          <w:color w:val="000000"/>
        </w:rPr>
        <w:t>Marino, S. and Keizer, A. (2023) ‘Labour market regulation and the demand for migrant labour: A comparison of the adult social care sector in England and the Netherlands’, </w:t>
      </w:r>
      <w:r w:rsidRPr="000A6E5F">
        <w:rPr>
          <w:rFonts w:ascii="Arial" w:hAnsi="Arial" w:cs="Arial"/>
          <w:i/>
          <w:iCs/>
          <w:color w:val="000000"/>
        </w:rPr>
        <w:t>European Journal of Industrial Relations</w:t>
      </w:r>
      <w:r w:rsidRPr="000A6E5F">
        <w:rPr>
          <w:rFonts w:ascii="Arial" w:hAnsi="Arial" w:cs="Arial"/>
          <w:color w:val="000000"/>
        </w:rPr>
        <w:t>, 29(2), pp. 159–176. Available at: </w:t>
      </w:r>
      <w:hyperlink r:id="rId40" w:tgtFrame="_new" w:history="1">
        <w:r w:rsidRPr="000A6E5F">
          <w:rPr>
            <w:rFonts w:ascii="Arial" w:hAnsi="Arial" w:cs="Arial"/>
            <w:color w:val="0000FF"/>
            <w:u w:val="single"/>
          </w:rPr>
          <w:t>https://doi.org/10.1177/09596801221127810</w:t>
        </w:r>
      </w:hyperlink>
      <w:r w:rsidR="00AC63D7" w:rsidRPr="000A6E5F">
        <w:rPr>
          <w:rFonts w:ascii="Arial" w:hAnsi="Arial" w:cs="Arial"/>
        </w:rPr>
        <w:t xml:space="preserve"> </w:t>
      </w:r>
      <w:r w:rsidR="00D86220" w:rsidRPr="000A6E5F">
        <w:rPr>
          <w:rFonts w:ascii="Arial" w:hAnsi="Arial" w:cs="Arial"/>
        </w:rPr>
        <w:t>(Accessed: 12 March 2026).</w:t>
      </w:r>
    </w:p>
    <w:p w14:paraId="0BA15FDE" w14:textId="77777777" w:rsidR="00C70E6C" w:rsidRPr="000A6E5F" w:rsidRDefault="00C70E6C" w:rsidP="000A6E5F">
      <w:pPr>
        <w:jc w:val="left"/>
        <w:rPr>
          <w:rFonts w:ascii="Arial" w:hAnsi="Arial" w:cs="Arial"/>
        </w:rPr>
      </w:pPr>
      <w:r w:rsidRPr="000A6E5F">
        <w:rPr>
          <w:rFonts w:ascii="Arial" w:hAnsi="Arial" w:cs="Arial"/>
        </w:rPr>
        <w:t xml:space="preserve">Migration Advisory Committee (2023) </w:t>
      </w:r>
      <w:r w:rsidRPr="000A6E5F">
        <w:rPr>
          <w:rFonts w:ascii="Arial" w:hAnsi="Arial" w:cs="Arial"/>
          <w:i/>
          <w:iCs/>
        </w:rPr>
        <w:t>Review of the Shortage Occupation List</w:t>
      </w:r>
      <w:r w:rsidRPr="000A6E5F">
        <w:rPr>
          <w:rFonts w:ascii="Arial" w:hAnsi="Arial" w:cs="Arial"/>
        </w:rPr>
        <w:t xml:space="preserve">. Available at: </w:t>
      </w:r>
      <w:hyperlink r:id="rId41" w:history="1">
        <w:r w:rsidRPr="000A6E5F">
          <w:rPr>
            <w:rStyle w:val="Hyperlink"/>
            <w:rFonts w:ascii="Arial" w:hAnsi="Arial" w:cs="Arial"/>
          </w:rPr>
          <w:t>https://assets.publishing.service.gov.uk/media/651557b86dfda600148e37ba/Review_of_the_Shortage_Occupation_List_2023.pdf</w:t>
        </w:r>
      </w:hyperlink>
      <w:r w:rsidRPr="000A6E5F">
        <w:rPr>
          <w:rFonts w:ascii="Arial" w:hAnsi="Arial" w:cs="Arial"/>
        </w:rPr>
        <w:t xml:space="preserve">  (Accessed: 12 March 2026).</w:t>
      </w:r>
    </w:p>
    <w:p w14:paraId="1286A7FC" w14:textId="2015E34F" w:rsidR="00680F68" w:rsidRPr="000A6E5F" w:rsidRDefault="00680F68" w:rsidP="000A6E5F">
      <w:pPr>
        <w:jc w:val="left"/>
        <w:rPr>
          <w:rFonts w:ascii="Arial" w:hAnsi="Arial" w:cs="Arial"/>
        </w:rPr>
      </w:pPr>
      <w:r w:rsidRPr="000A6E5F">
        <w:rPr>
          <w:rFonts w:ascii="Arial" w:hAnsi="Arial" w:cs="Arial"/>
          <w:color w:val="000000"/>
        </w:rPr>
        <w:t>Migration Advisory Committee</w:t>
      </w:r>
      <w:r w:rsidR="00B84FDF" w:rsidRPr="000A6E5F">
        <w:rPr>
          <w:rFonts w:ascii="Arial" w:hAnsi="Arial" w:cs="Arial"/>
          <w:color w:val="000000"/>
        </w:rPr>
        <w:t xml:space="preserve">. </w:t>
      </w:r>
      <w:r w:rsidRPr="000A6E5F">
        <w:rPr>
          <w:rFonts w:ascii="Arial" w:hAnsi="Arial" w:cs="Arial"/>
          <w:color w:val="000000"/>
        </w:rPr>
        <w:t>(2022)</w:t>
      </w:r>
      <w:r w:rsidRPr="000A6E5F">
        <w:rPr>
          <w:rStyle w:val="apple-converted-space"/>
          <w:rFonts w:ascii="Arial" w:hAnsi="Arial" w:cs="Arial"/>
          <w:color w:val="000000"/>
        </w:rPr>
        <w:t> </w:t>
      </w:r>
      <w:r w:rsidRPr="000A6E5F">
        <w:rPr>
          <w:rStyle w:val="Emphasis"/>
          <w:rFonts w:ascii="Arial" w:hAnsi="Arial" w:cs="Arial"/>
          <w:color w:val="000000"/>
        </w:rPr>
        <w:t>Recruitment and retention in adult social care: A qualitative study</w:t>
      </w:r>
      <w:r w:rsidRPr="000A6E5F">
        <w:rPr>
          <w:rFonts w:ascii="Arial" w:hAnsi="Arial" w:cs="Arial"/>
          <w:color w:val="000000"/>
        </w:rPr>
        <w:t>. Available at:</w:t>
      </w:r>
      <w:r w:rsidRPr="000A6E5F">
        <w:rPr>
          <w:rStyle w:val="apple-converted-space"/>
          <w:rFonts w:ascii="Arial" w:hAnsi="Arial" w:cs="Arial"/>
          <w:color w:val="000000"/>
        </w:rPr>
        <w:t> </w:t>
      </w:r>
      <w:hyperlink r:id="rId42" w:history="1">
        <w:r w:rsidR="00D03358" w:rsidRPr="000A6E5F">
          <w:rPr>
            <w:rStyle w:val="Hyperlink"/>
            <w:rFonts w:ascii="Arial" w:hAnsi="Arial" w:cs="Arial"/>
          </w:rPr>
          <w:t>https://www.gov.uk/government/publications/recruitment-and-retention-in-adult-social-care-a-qualitative-study</w:t>
        </w:r>
      </w:hyperlink>
      <w:r w:rsidR="00D03358" w:rsidRPr="000A6E5F">
        <w:rPr>
          <w:rStyle w:val="apple-converted-space"/>
          <w:rFonts w:ascii="Arial" w:hAnsi="Arial" w:cs="Arial"/>
          <w:color w:val="000000"/>
        </w:rPr>
        <w:t xml:space="preserve"> </w:t>
      </w:r>
      <w:r w:rsidR="00324218" w:rsidRPr="000A6E5F">
        <w:rPr>
          <w:rFonts w:ascii="Arial" w:hAnsi="Arial" w:cs="Arial"/>
          <w:color w:val="000000"/>
        </w:rPr>
        <w:t xml:space="preserve"> </w:t>
      </w:r>
      <w:r w:rsidRPr="000A6E5F">
        <w:rPr>
          <w:rFonts w:ascii="Arial" w:hAnsi="Arial" w:cs="Arial"/>
          <w:color w:val="000000"/>
        </w:rPr>
        <w:t>(Accessed: 24 June 2026).</w:t>
      </w:r>
    </w:p>
    <w:p w14:paraId="48E77953" w14:textId="77777777" w:rsidR="00C70E6C" w:rsidRPr="000A6E5F" w:rsidRDefault="00C70E6C" w:rsidP="000A6E5F">
      <w:pPr>
        <w:jc w:val="left"/>
        <w:rPr>
          <w:rFonts w:ascii="Arial" w:hAnsi="Arial" w:cs="Arial"/>
        </w:rPr>
      </w:pPr>
      <w:r w:rsidRPr="000A6E5F">
        <w:rPr>
          <w:rFonts w:ascii="Arial" w:hAnsi="Arial" w:cs="Arial"/>
        </w:rPr>
        <w:lastRenderedPageBreak/>
        <w:t xml:space="preserve">Migration Observatory (2023) </w:t>
      </w:r>
      <w:r w:rsidRPr="000A6E5F">
        <w:rPr>
          <w:rFonts w:ascii="Arial" w:hAnsi="Arial" w:cs="Arial"/>
          <w:i/>
          <w:iCs/>
        </w:rPr>
        <w:t>Migration and the health and care workforce</w:t>
      </w:r>
      <w:r w:rsidRPr="000A6E5F">
        <w:rPr>
          <w:rFonts w:ascii="Arial" w:hAnsi="Arial" w:cs="Arial"/>
        </w:rPr>
        <w:t xml:space="preserve">. University of Oxford. Available at: </w:t>
      </w:r>
      <w:hyperlink r:id="rId43" w:history="1">
        <w:r w:rsidRPr="000A6E5F">
          <w:rPr>
            <w:rStyle w:val="Hyperlink"/>
            <w:rFonts w:ascii="Arial" w:hAnsi="Arial" w:cs="Arial"/>
          </w:rPr>
          <w:t>https://migrationobservatory.ox.ac.uk/resources/briefings/migration-and-the-health-and-care-workforce</w:t>
        </w:r>
      </w:hyperlink>
      <w:r w:rsidRPr="000A6E5F">
        <w:rPr>
          <w:rFonts w:ascii="Arial" w:hAnsi="Arial" w:cs="Arial"/>
        </w:rPr>
        <w:t xml:space="preserve">  (Accessed: 12 March 2026).</w:t>
      </w:r>
    </w:p>
    <w:p w14:paraId="73264F66" w14:textId="77777777" w:rsidR="00C70E6C" w:rsidRPr="000A6E5F" w:rsidRDefault="00C70E6C" w:rsidP="000A6E5F">
      <w:pPr>
        <w:jc w:val="left"/>
        <w:rPr>
          <w:rFonts w:ascii="Arial" w:hAnsi="Arial" w:cs="Arial"/>
        </w:rPr>
      </w:pPr>
      <w:r w:rsidRPr="000A6E5F">
        <w:rPr>
          <w:rFonts w:ascii="Arial" w:hAnsi="Arial" w:cs="Arial"/>
        </w:rPr>
        <w:t xml:space="preserve">Moriarty, J., Manthorpe, J. &amp; Harris, J. (2018) ‘Recruitment and retention in adult social care services’, </w:t>
      </w:r>
      <w:r w:rsidRPr="000A6E5F">
        <w:rPr>
          <w:rFonts w:ascii="Arial" w:hAnsi="Arial" w:cs="Arial"/>
          <w:i/>
          <w:iCs/>
        </w:rPr>
        <w:t>International Journal of Care and Caring</w:t>
      </w:r>
      <w:r w:rsidRPr="000A6E5F">
        <w:rPr>
          <w:rFonts w:ascii="Arial" w:hAnsi="Arial" w:cs="Arial"/>
        </w:rPr>
        <w:t>, 2(2), pp. 181–197.</w:t>
      </w:r>
    </w:p>
    <w:p w14:paraId="53EAA88F" w14:textId="4BCFA23F" w:rsidR="008F7284" w:rsidRPr="000A6E5F" w:rsidRDefault="008F7284" w:rsidP="000A6E5F">
      <w:pPr>
        <w:jc w:val="left"/>
        <w:rPr>
          <w:rFonts w:ascii="Arial" w:hAnsi="Arial" w:cs="Arial"/>
          <w:color w:val="000000"/>
        </w:rPr>
      </w:pPr>
      <w:r w:rsidRPr="000A6E5F">
        <w:rPr>
          <w:rFonts w:ascii="Arial" w:hAnsi="Arial" w:cs="Arial"/>
          <w:color w:val="000000"/>
        </w:rPr>
        <w:t>McLeod, S. (2026)</w:t>
      </w:r>
      <w:r w:rsidRPr="000A6E5F">
        <w:rPr>
          <w:rStyle w:val="apple-converted-space"/>
          <w:rFonts w:ascii="Arial" w:hAnsi="Arial" w:cs="Arial"/>
          <w:color w:val="000000"/>
        </w:rPr>
        <w:t> </w:t>
      </w:r>
      <w:r w:rsidRPr="000A6E5F">
        <w:rPr>
          <w:rStyle w:val="Emphasis"/>
          <w:rFonts w:ascii="Arial" w:hAnsi="Arial" w:cs="Arial"/>
          <w:color w:val="000000"/>
        </w:rPr>
        <w:t>Maslow’s hierarchy of needs</w:t>
      </w:r>
      <w:r w:rsidRPr="000A6E5F">
        <w:rPr>
          <w:rFonts w:ascii="Arial" w:hAnsi="Arial" w:cs="Arial"/>
          <w:color w:val="000000"/>
        </w:rPr>
        <w:t>. Simply Psychology. Available at:</w:t>
      </w:r>
      <w:r w:rsidRPr="000A6E5F">
        <w:rPr>
          <w:rStyle w:val="apple-converted-space"/>
          <w:rFonts w:ascii="Arial" w:hAnsi="Arial" w:cs="Arial"/>
          <w:color w:val="000000"/>
        </w:rPr>
        <w:t> </w:t>
      </w:r>
      <w:hyperlink r:id="rId44" w:history="1">
        <w:r w:rsidR="00E425E3" w:rsidRPr="000A6E5F">
          <w:rPr>
            <w:rStyle w:val="Hyperlink"/>
            <w:rFonts w:ascii="Arial" w:hAnsi="Arial" w:cs="Arial"/>
          </w:rPr>
          <w:t>https://www.simplypsychology.org/maslow.html</w:t>
        </w:r>
      </w:hyperlink>
      <w:r w:rsidR="004C5111" w:rsidRPr="000A6E5F">
        <w:rPr>
          <w:rStyle w:val="apple-converted-space"/>
          <w:rFonts w:ascii="Arial" w:hAnsi="Arial" w:cs="Arial"/>
          <w:color w:val="000000"/>
        </w:rPr>
        <w:t xml:space="preserve"> </w:t>
      </w:r>
      <w:r w:rsidRPr="000A6E5F">
        <w:rPr>
          <w:rFonts w:ascii="Arial" w:hAnsi="Arial" w:cs="Arial"/>
          <w:color w:val="000000"/>
        </w:rPr>
        <w:t>(Accessed: 18 June 2026).</w:t>
      </w:r>
    </w:p>
    <w:p w14:paraId="108D0459" w14:textId="3E87B02E" w:rsidR="006F6056" w:rsidRPr="000A6E5F" w:rsidRDefault="006F6056" w:rsidP="000A6E5F">
      <w:pPr>
        <w:jc w:val="left"/>
        <w:rPr>
          <w:rFonts w:ascii="Arial" w:hAnsi="Arial" w:cs="Arial"/>
          <w:color w:val="000000" w:themeColor="text1"/>
        </w:rPr>
      </w:pPr>
      <w:r w:rsidRPr="000A6E5F">
        <w:rPr>
          <w:rStyle w:val="Strong"/>
          <w:rFonts w:ascii="Arial" w:hAnsi="Arial" w:cs="Arial"/>
          <w:b w:val="0"/>
          <w:bCs w:val="0"/>
          <w:color w:val="000000"/>
        </w:rPr>
        <w:t>NHS England (2023)</w:t>
      </w:r>
      <w:r w:rsidRPr="000A6E5F">
        <w:rPr>
          <w:rStyle w:val="apple-converted-space"/>
          <w:rFonts w:ascii="Arial" w:hAnsi="Arial" w:cs="Arial"/>
          <w:color w:val="000000"/>
        </w:rPr>
        <w:t> </w:t>
      </w:r>
      <w:r w:rsidRPr="000A6E5F">
        <w:rPr>
          <w:rStyle w:val="Emphasis"/>
          <w:rFonts w:ascii="Arial" w:hAnsi="Arial" w:cs="Arial"/>
          <w:color w:val="000000"/>
        </w:rPr>
        <w:t>NHS Long Term Workforce Plan</w:t>
      </w:r>
      <w:r w:rsidRPr="000A6E5F">
        <w:rPr>
          <w:rFonts w:ascii="Arial" w:hAnsi="Arial" w:cs="Arial"/>
          <w:color w:val="000000"/>
        </w:rPr>
        <w:t>. London: NHS England. Available at:</w:t>
      </w:r>
      <w:r w:rsidR="00052944" w:rsidRPr="000A6E5F">
        <w:rPr>
          <w:rFonts w:ascii="Arial" w:hAnsi="Arial" w:cs="Arial"/>
        </w:rPr>
        <w:t xml:space="preserve"> </w:t>
      </w:r>
      <w:hyperlink r:id="rId45" w:history="1">
        <w:r w:rsidR="00EA657F" w:rsidRPr="000A6E5F">
          <w:rPr>
            <w:rStyle w:val="Hyperlink"/>
            <w:rFonts w:ascii="Arial" w:hAnsi="Arial" w:cs="Arial"/>
          </w:rPr>
          <w:t>https://www.england.nhs.uk/publication/nhs-long-term-workforce-plan/</w:t>
        </w:r>
      </w:hyperlink>
      <w:r w:rsidR="00EA657F" w:rsidRPr="000A6E5F">
        <w:rPr>
          <w:rFonts w:ascii="Arial" w:hAnsi="Arial" w:cs="Arial"/>
          <w:color w:val="000000"/>
        </w:rPr>
        <w:t xml:space="preserve"> </w:t>
      </w:r>
      <w:r w:rsidRPr="000A6E5F">
        <w:rPr>
          <w:rFonts w:ascii="Arial" w:hAnsi="Arial" w:cs="Arial"/>
          <w:color w:val="000000"/>
        </w:rPr>
        <w:t>(Accessed: 6 July 2026).</w:t>
      </w:r>
    </w:p>
    <w:p w14:paraId="1FC0EBA0" w14:textId="77777777" w:rsidR="00C70E6C" w:rsidRPr="000A6E5F" w:rsidRDefault="00C70E6C" w:rsidP="000A6E5F">
      <w:pPr>
        <w:jc w:val="left"/>
        <w:rPr>
          <w:rFonts w:ascii="Arial" w:hAnsi="Arial" w:cs="Arial"/>
          <w:color w:val="000000" w:themeColor="text1"/>
        </w:rPr>
      </w:pPr>
      <w:r w:rsidRPr="000A6E5F">
        <w:rPr>
          <w:rFonts w:ascii="Arial" w:hAnsi="Arial" w:cs="Arial"/>
          <w:color w:val="000000" w:themeColor="text1"/>
        </w:rPr>
        <w:t xml:space="preserve">Office for National Statistics (2023) </w:t>
      </w:r>
      <w:r w:rsidRPr="000A6E5F">
        <w:rPr>
          <w:rFonts w:ascii="Arial" w:hAnsi="Arial" w:cs="Arial"/>
          <w:i/>
          <w:iCs/>
          <w:color w:val="000000" w:themeColor="text1"/>
        </w:rPr>
        <w:t>Population ageing and the health and social care workforce</w:t>
      </w:r>
      <w:r w:rsidRPr="000A6E5F">
        <w:rPr>
          <w:rFonts w:ascii="Arial" w:hAnsi="Arial" w:cs="Arial"/>
          <w:color w:val="000000" w:themeColor="text1"/>
        </w:rPr>
        <w:t xml:space="preserve">. Available at: </w:t>
      </w:r>
      <w:hyperlink r:id="rId46" w:history="1">
        <w:r w:rsidRPr="000A6E5F">
          <w:rPr>
            <w:rStyle w:val="Hyperlink"/>
            <w:rFonts w:ascii="Arial" w:hAnsi="Arial" w:cs="Arial"/>
            <w:color w:val="000000" w:themeColor="text1"/>
          </w:rPr>
          <w:t>https://www.ons.gov.uk</w:t>
        </w:r>
      </w:hyperlink>
      <w:r w:rsidRPr="000A6E5F">
        <w:rPr>
          <w:rFonts w:ascii="Arial" w:hAnsi="Arial" w:cs="Arial"/>
          <w:color w:val="000000" w:themeColor="text1"/>
        </w:rPr>
        <w:t xml:space="preserve">  (Accessed: 12 March 2026).</w:t>
      </w:r>
    </w:p>
    <w:p w14:paraId="17651B8E" w14:textId="2648B575" w:rsidR="00DF3AC1" w:rsidRPr="000A6E5F" w:rsidRDefault="00DF3AC1" w:rsidP="000A6E5F">
      <w:pPr>
        <w:jc w:val="left"/>
        <w:rPr>
          <w:rFonts w:ascii="Arial" w:hAnsi="Arial" w:cs="Arial"/>
          <w:color w:val="000000"/>
        </w:rPr>
      </w:pPr>
      <w:r w:rsidRPr="000A6E5F">
        <w:rPr>
          <w:rStyle w:val="Strong"/>
          <w:rFonts w:ascii="Arial" w:hAnsi="Arial" w:cs="Arial"/>
          <w:b w:val="0"/>
          <w:bCs w:val="0"/>
          <w:color w:val="000000"/>
        </w:rPr>
        <w:t>Omiyi, D., Wilkinson, E. and Snaith, B. (2024)</w:t>
      </w:r>
      <w:r w:rsidRPr="000A6E5F">
        <w:rPr>
          <w:rStyle w:val="apple-converted-space"/>
          <w:rFonts w:ascii="Arial" w:hAnsi="Arial" w:cs="Arial"/>
          <w:color w:val="000000"/>
        </w:rPr>
        <w:t> </w:t>
      </w:r>
      <w:r w:rsidRPr="000A6E5F">
        <w:rPr>
          <w:rFonts w:ascii="Arial" w:hAnsi="Arial" w:cs="Arial"/>
          <w:color w:val="000000"/>
        </w:rPr>
        <w:t>‘Exploring the motivations, challenges and integration of internationally educated healthcare workers in the UK: A scoping review’,</w:t>
      </w:r>
      <w:r w:rsidRPr="000A6E5F">
        <w:rPr>
          <w:rStyle w:val="apple-converted-space"/>
          <w:rFonts w:ascii="Arial" w:hAnsi="Arial" w:cs="Arial"/>
          <w:color w:val="000000"/>
        </w:rPr>
        <w:t> </w:t>
      </w:r>
      <w:r w:rsidRPr="000A6E5F">
        <w:rPr>
          <w:rStyle w:val="Emphasis"/>
          <w:rFonts w:ascii="Arial" w:hAnsi="Arial" w:cs="Arial"/>
          <w:color w:val="000000"/>
        </w:rPr>
        <w:t>Nursing Management</w:t>
      </w:r>
      <w:r w:rsidRPr="000A6E5F">
        <w:rPr>
          <w:rFonts w:ascii="Arial" w:hAnsi="Arial" w:cs="Arial"/>
          <w:color w:val="000000"/>
        </w:rPr>
        <w:t>. Available at:</w:t>
      </w:r>
      <w:r w:rsidRPr="000A6E5F">
        <w:rPr>
          <w:rStyle w:val="apple-converted-space"/>
          <w:rFonts w:ascii="Arial" w:hAnsi="Arial" w:cs="Arial"/>
          <w:color w:val="000000"/>
        </w:rPr>
        <w:t> </w:t>
      </w:r>
      <w:hyperlink r:id="rId47" w:tgtFrame="_new" w:history="1">
        <w:r w:rsidRPr="000A6E5F">
          <w:rPr>
            <w:rStyle w:val="Hyperlink"/>
            <w:rFonts w:ascii="Arial" w:hAnsi="Arial" w:cs="Arial"/>
          </w:rPr>
          <w:t>https://doi.org/10.1177/15271544241289605</w:t>
        </w:r>
      </w:hyperlink>
      <w:r w:rsidR="006E3AF7" w:rsidRPr="000A6E5F">
        <w:rPr>
          <w:rFonts w:ascii="Arial" w:hAnsi="Arial" w:cs="Arial"/>
          <w:color w:val="000000"/>
        </w:rPr>
        <w:t xml:space="preserve"> </w:t>
      </w:r>
      <w:r w:rsidR="006E3AF7" w:rsidRPr="000A6E5F">
        <w:rPr>
          <w:rFonts w:ascii="Arial" w:hAnsi="Arial" w:cs="Arial"/>
        </w:rPr>
        <w:t>(Accessed: 8 March 2026).</w:t>
      </w:r>
    </w:p>
    <w:p w14:paraId="09519562" w14:textId="01CF1BC7" w:rsidR="001E19C8" w:rsidRPr="000A6E5F" w:rsidRDefault="001E19C8" w:rsidP="000A6E5F">
      <w:pPr>
        <w:jc w:val="left"/>
        <w:rPr>
          <w:rFonts w:ascii="Arial" w:hAnsi="Arial" w:cs="Arial"/>
          <w:color w:val="EE0000"/>
        </w:rPr>
      </w:pPr>
      <w:r w:rsidRPr="000A6E5F">
        <w:rPr>
          <w:rFonts w:ascii="Arial" w:hAnsi="Arial" w:cs="Arial"/>
          <w:color w:val="000000"/>
        </w:rPr>
        <w:t>Organisation for Economic Co-operation and Development (OECD) (2020) </w:t>
      </w:r>
      <w:r w:rsidRPr="000A6E5F">
        <w:rPr>
          <w:rFonts w:ascii="Arial" w:hAnsi="Arial" w:cs="Arial"/>
          <w:i/>
          <w:iCs/>
          <w:color w:val="000000"/>
        </w:rPr>
        <w:t>Who Cares? Attracting and Retaining Care Workers for the Elderly</w:t>
      </w:r>
      <w:r w:rsidRPr="000A6E5F">
        <w:rPr>
          <w:rFonts w:ascii="Arial" w:hAnsi="Arial" w:cs="Arial"/>
          <w:color w:val="000000"/>
        </w:rPr>
        <w:t>. Paris: OECD Publishing. Available at: </w:t>
      </w:r>
      <w:hyperlink r:id="rId48" w:tgtFrame="_new" w:history="1">
        <w:r w:rsidRPr="000A6E5F">
          <w:rPr>
            <w:rFonts w:ascii="Arial" w:hAnsi="Arial" w:cs="Arial"/>
            <w:color w:val="0000FF"/>
            <w:u w:val="single"/>
          </w:rPr>
          <w:t>https://doi.org/10.1787/92c0ef68-en</w:t>
        </w:r>
      </w:hyperlink>
      <w:r w:rsidRPr="000A6E5F">
        <w:rPr>
          <w:rFonts w:ascii="Arial" w:hAnsi="Arial" w:cs="Arial"/>
          <w:color w:val="000000"/>
        </w:rPr>
        <w:t> (Accessed: 7 July 2026).</w:t>
      </w:r>
    </w:p>
    <w:p w14:paraId="471C1E6F" w14:textId="3CF7654A" w:rsidR="00C70E6C" w:rsidRPr="000A6E5F" w:rsidRDefault="00C70E6C" w:rsidP="000A6E5F">
      <w:pPr>
        <w:jc w:val="left"/>
        <w:rPr>
          <w:rStyle w:val="apple-converted-space"/>
          <w:rFonts w:ascii="Arial" w:eastAsiaTheme="majorEastAsia" w:hAnsi="Arial" w:cs="Arial"/>
        </w:rPr>
      </w:pPr>
      <w:r w:rsidRPr="000A6E5F">
        <w:rPr>
          <w:rFonts w:ascii="Arial" w:hAnsi="Arial" w:cs="Arial"/>
        </w:rPr>
        <w:t xml:space="preserve">Portes, J. and Springford, J. (2023) ‘The impact of the post-Brexit migration system on the UK labour market’, </w:t>
      </w:r>
      <w:r w:rsidRPr="000A6E5F">
        <w:rPr>
          <w:rFonts w:ascii="Arial" w:hAnsi="Arial" w:cs="Arial"/>
          <w:i/>
          <w:iCs/>
        </w:rPr>
        <w:t>Contemporary Social Science</w:t>
      </w:r>
      <w:r w:rsidRPr="000A6E5F">
        <w:rPr>
          <w:rFonts w:ascii="Arial" w:hAnsi="Arial" w:cs="Arial"/>
        </w:rPr>
        <w:t>, 18(2), pp. 132–149.</w:t>
      </w:r>
    </w:p>
    <w:p w14:paraId="1CC862D7" w14:textId="77777777" w:rsidR="00C70E6C" w:rsidRPr="000A6E5F" w:rsidRDefault="00C70E6C" w:rsidP="000A6E5F">
      <w:pPr>
        <w:jc w:val="left"/>
        <w:rPr>
          <w:rFonts w:ascii="Arial" w:hAnsi="Arial" w:cs="Arial"/>
        </w:rPr>
      </w:pPr>
      <w:r w:rsidRPr="000A6E5F">
        <w:rPr>
          <w:rFonts w:ascii="Arial" w:hAnsi="Arial" w:cs="Arial"/>
        </w:rPr>
        <w:t xml:space="preserve">UK Parliament POST (2025) </w:t>
      </w:r>
      <w:r w:rsidRPr="000A6E5F">
        <w:rPr>
          <w:rFonts w:ascii="Arial" w:hAnsi="Arial" w:cs="Arial"/>
          <w:i/>
          <w:iCs/>
        </w:rPr>
        <w:t>Sustaining the health and adult social care workforce</w:t>
      </w:r>
      <w:r w:rsidRPr="000A6E5F">
        <w:rPr>
          <w:rFonts w:ascii="Arial" w:hAnsi="Arial" w:cs="Arial"/>
        </w:rPr>
        <w:t xml:space="preserve">. Available at: </w:t>
      </w:r>
      <w:hyperlink r:id="rId49" w:history="1">
        <w:r w:rsidRPr="000A6E5F">
          <w:rPr>
            <w:rStyle w:val="Hyperlink"/>
            <w:rFonts w:ascii="Arial" w:hAnsi="Arial" w:cs="Arial"/>
          </w:rPr>
          <w:t>https://post.parliament.uk/sustaining-the-health-and-adult-social-care-workforce/</w:t>
        </w:r>
      </w:hyperlink>
      <w:r w:rsidRPr="000A6E5F">
        <w:rPr>
          <w:rFonts w:ascii="Arial" w:hAnsi="Arial" w:cs="Arial"/>
        </w:rPr>
        <w:t xml:space="preserve"> (Accessed: 8 March 2026).</w:t>
      </w:r>
    </w:p>
    <w:p w14:paraId="06F6DB19" w14:textId="1FD27BE2" w:rsidR="009B28E0" w:rsidRPr="000A6E5F" w:rsidRDefault="009B28E0" w:rsidP="000A6E5F">
      <w:pPr>
        <w:jc w:val="left"/>
        <w:rPr>
          <w:rFonts w:ascii="Arial" w:hAnsi="Arial" w:cs="Arial"/>
          <w:color w:val="000000"/>
        </w:rPr>
      </w:pPr>
      <w:r w:rsidRPr="000A6E5F">
        <w:rPr>
          <w:rFonts w:ascii="Arial" w:hAnsi="Arial" w:cs="Arial"/>
          <w:color w:val="000000"/>
        </w:rPr>
        <w:t>University of Leeds (2025)</w:t>
      </w:r>
      <w:r w:rsidRPr="000A6E5F">
        <w:rPr>
          <w:rStyle w:val="apple-converted-space"/>
          <w:rFonts w:ascii="Arial" w:hAnsi="Arial" w:cs="Arial"/>
          <w:color w:val="000000"/>
        </w:rPr>
        <w:t> </w:t>
      </w:r>
      <w:r w:rsidRPr="000A6E5F">
        <w:rPr>
          <w:rStyle w:val="Emphasis"/>
          <w:rFonts w:ascii="Arial" w:hAnsi="Arial" w:cs="Arial"/>
          <w:color w:val="000000"/>
        </w:rPr>
        <w:t>Develop a search strategy</w:t>
      </w:r>
      <w:r w:rsidRPr="000A6E5F">
        <w:rPr>
          <w:rFonts w:ascii="Arial" w:hAnsi="Arial" w:cs="Arial"/>
          <w:color w:val="000000"/>
        </w:rPr>
        <w:t>. Available at:</w:t>
      </w:r>
      <w:r w:rsidRPr="000A6E5F">
        <w:rPr>
          <w:rStyle w:val="apple-converted-space"/>
          <w:rFonts w:ascii="Arial" w:hAnsi="Arial" w:cs="Arial"/>
          <w:color w:val="000000"/>
        </w:rPr>
        <w:t> </w:t>
      </w:r>
      <w:hyperlink r:id="rId50" w:tgtFrame="_new" w:history="1">
        <w:r w:rsidRPr="000A6E5F">
          <w:rPr>
            <w:rStyle w:val="Hyperlink"/>
            <w:rFonts w:ascii="Arial" w:hAnsi="Arial" w:cs="Arial"/>
          </w:rPr>
          <w:t>https://library.leeds.ac.uk/info/1404/literature_searching/14/literature_searching_explained/4</w:t>
        </w:r>
      </w:hyperlink>
      <w:r w:rsidRPr="000A6E5F">
        <w:rPr>
          <w:rStyle w:val="apple-converted-space"/>
          <w:rFonts w:ascii="Arial" w:hAnsi="Arial" w:cs="Arial"/>
          <w:color w:val="000000"/>
        </w:rPr>
        <w:t> </w:t>
      </w:r>
      <w:r w:rsidRPr="000A6E5F">
        <w:rPr>
          <w:rFonts w:ascii="Arial" w:hAnsi="Arial" w:cs="Arial"/>
          <w:color w:val="000000"/>
        </w:rPr>
        <w:t>(Accessed: 1 June 2026).</w:t>
      </w:r>
    </w:p>
    <w:p w14:paraId="35474421" w14:textId="79F59E46" w:rsidR="00C575B7" w:rsidRPr="000A6E5F" w:rsidRDefault="00F02B6D" w:rsidP="000A6E5F">
      <w:pPr>
        <w:jc w:val="left"/>
        <w:rPr>
          <w:rStyle w:val="apple-converted-space"/>
          <w:rFonts w:ascii="Arial" w:eastAsiaTheme="majorEastAsia" w:hAnsi="Arial" w:cs="Arial"/>
        </w:rPr>
      </w:pPr>
      <w:r w:rsidRPr="000A6E5F">
        <w:rPr>
          <w:rStyle w:val="Strong"/>
          <w:rFonts w:ascii="Arial" w:hAnsi="Arial" w:cs="Arial"/>
          <w:b w:val="0"/>
          <w:bCs w:val="0"/>
          <w:color w:val="000000"/>
        </w:rPr>
        <w:t>Rojas, M., Méndez, A. and Watkins-Fassler, K. (2023)</w:t>
      </w:r>
      <w:r w:rsidRPr="000A6E5F">
        <w:rPr>
          <w:rStyle w:val="apple-converted-space"/>
          <w:rFonts w:ascii="Arial" w:hAnsi="Arial" w:cs="Arial"/>
          <w:b/>
          <w:bCs/>
          <w:color w:val="000000"/>
        </w:rPr>
        <w:t> </w:t>
      </w:r>
      <w:r w:rsidRPr="000A6E5F">
        <w:rPr>
          <w:rFonts w:ascii="Arial" w:hAnsi="Arial" w:cs="Arial"/>
          <w:color w:val="000000"/>
        </w:rPr>
        <w:t>‘The hierarchy of needs: Empirical examination of Maslow’s theory and lessons for development’,</w:t>
      </w:r>
      <w:r w:rsidRPr="000A6E5F">
        <w:rPr>
          <w:rStyle w:val="apple-converted-space"/>
          <w:rFonts w:ascii="Arial" w:hAnsi="Arial" w:cs="Arial"/>
          <w:color w:val="000000"/>
        </w:rPr>
        <w:t> </w:t>
      </w:r>
      <w:r w:rsidRPr="000A6E5F">
        <w:rPr>
          <w:rStyle w:val="Emphasis"/>
          <w:rFonts w:ascii="Arial" w:hAnsi="Arial" w:cs="Arial"/>
          <w:color w:val="000000"/>
        </w:rPr>
        <w:t>World Development</w:t>
      </w:r>
      <w:r w:rsidRPr="000A6E5F">
        <w:rPr>
          <w:rFonts w:ascii="Arial" w:hAnsi="Arial" w:cs="Arial"/>
          <w:color w:val="000000"/>
        </w:rPr>
        <w:t>,</w:t>
      </w:r>
      <w:r w:rsidRPr="000A6E5F">
        <w:rPr>
          <w:rStyle w:val="apple-converted-space"/>
          <w:rFonts w:ascii="Arial" w:hAnsi="Arial" w:cs="Arial"/>
          <w:color w:val="000000"/>
        </w:rPr>
        <w:t> </w:t>
      </w:r>
      <w:r w:rsidRPr="000A6E5F">
        <w:rPr>
          <w:rStyle w:val="Strong"/>
          <w:rFonts w:ascii="Arial" w:hAnsi="Arial" w:cs="Arial"/>
          <w:b w:val="0"/>
          <w:bCs w:val="0"/>
          <w:color w:val="000000"/>
        </w:rPr>
        <w:t>165</w:t>
      </w:r>
      <w:r w:rsidRPr="000A6E5F">
        <w:rPr>
          <w:rFonts w:ascii="Arial" w:hAnsi="Arial" w:cs="Arial"/>
          <w:b/>
          <w:bCs/>
          <w:color w:val="000000"/>
        </w:rPr>
        <w:t>,</w:t>
      </w:r>
      <w:r w:rsidRPr="000A6E5F">
        <w:rPr>
          <w:rFonts w:ascii="Arial" w:hAnsi="Arial" w:cs="Arial"/>
          <w:color w:val="000000"/>
        </w:rPr>
        <w:t xml:space="preserve"> Article 106185. Available at:</w:t>
      </w:r>
      <w:r w:rsidRPr="000A6E5F">
        <w:rPr>
          <w:rStyle w:val="apple-converted-space"/>
          <w:rFonts w:ascii="Arial" w:hAnsi="Arial" w:cs="Arial"/>
          <w:color w:val="000000"/>
        </w:rPr>
        <w:t> </w:t>
      </w:r>
      <w:hyperlink r:id="rId51" w:tgtFrame="_new" w:history="1">
        <w:r w:rsidRPr="000A6E5F">
          <w:rPr>
            <w:rStyle w:val="Hyperlink"/>
            <w:rFonts w:ascii="Arial" w:hAnsi="Arial" w:cs="Arial"/>
          </w:rPr>
          <w:t>https://doi.org/10.1016/j.worlddev.2023.106185</w:t>
        </w:r>
      </w:hyperlink>
      <w:r w:rsidR="00C575B7" w:rsidRPr="000A6E5F">
        <w:rPr>
          <w:rFonts w:ascii="Arial" w:hAnsi="Arial" w:cs="Arial"/>
          <w:color w:val="000000"/>
        </w:rPr>
        <w:t xml:space="preserve"> </w:t>
      </w:r>
      <w:r w:rsidR="00C575B7" w:rsidRPr="000A6E5F">
        <w:rPr>
          <w:rFonts w:ascii="Arial" w:hAnsi="Arial" w:cs="Arial"/>
        </w:rPr>
        <w:t>(Accessed: 8 March 2026).</w:t>
      </w:r>
    </w:p>
    <w:p w14:paraId="4E8495C4" w14:textId="5EC5CDD4" w:rsidR="00C70E6C" w:rsidRPr="000A6E5F" w:rsidRDefault="00C70E6C" w:rsidP="000A6E5F">
      <w:pPr>
        <w:jc w:val="left"/>
        <w:rPr>
          <w:rStyle w:val="apple-converted-space"/>
          <w:rFonts w:ascii="Arial" w:eastAsiaTheme="majorEastAsia" w:hAnsi="Arial" w:cs="Arial"/>
        </w:rPr>
      </w:pPr>
      <w:r w:rsidRPr="000A6E5F">
        <w:rPr>
          <w:rFonts w:ascii="Arial" w:hAnsi="Arial" w:cs="Arial"/>
        </w:rPr>
        <w:lastRenderedPageBreak/>
        <w:t xml:space="preserve">Skills for Care. (2025) </w:t>
      </w:r>
      <w:r w:rsidRPr="000A6E5F">
        <w:rPr>
          <w:rFonts w:ascii="Arial" w:hAnsi="Arial" w:cs="Arial"/>
          <w:i/>
          <w:iCs/>
        </w:rPr>
        <w:t>The state of the adult social care sector and workforce in England</w:t>
      </w:r>
      <w:r w:rsidRPr="000A6E5F">
        <w:rPr>
          <w:rFonts w:ascii="Arial" w:hAnsi="Arial" w:cs="Arial"/>
        </w:rPr>
        <w:t xml:space="preserve">. Available at: </w:t>
      </w:r>
      <w:hyperlink r:id="rId52" w:history="1">
        <w:r w:rsidRPr="000A6E5F">
          <w:rPr>
            <w:rStyle w:val="Hyperlink"/>
            <w:rFonts w:ascii="Arial" w:hAnsi="Arial" w:cs="Arial"/>
          </w:rPr>
          <w:t>https://www.skillsforcare.org.uk/Adult-Social-Care-Workforce-Data/workforceintelligence/resources/Reports/National/The-state-of-the-adult-social-care-sector-and-workforce-in-England-2025.pdf</w:t>
        </w:r>
      </w:hyperlink>
      <w:r w:rsidRPr="000A6E5F">
        <w:rPr>
          <w:rFonts w:ascii="Arial" w:hAnsi="Arial" w:cs="Arial"/>
        </w:rPr>
        <w:t xml:space="preserve"> (Accessed: 8 March 2026).</w:t>
      </w:r>
    </w:p>
    <w:p w14:paraId="4E24F8AF" w14:textId="59940000" w:rsidR="00654D42" w:rsidRPr="000A6E5F" w:rsidRDefault="00EB7C61" w:rsidP="000A6E5F">
      <w:pPr>
        <w:jc w:val="left"/>
        <w:rPr>
          <w:rFonts w:ascii="Arial" w:hAnsi="Arial" w:cs="Arial"/>
        </w:rPr>
      </w:pPr>
      <w:r w:rsidRPr="000A6E5F">
        <w:rPr>
          <w:rFonts w:ascii="Arial" w:hAnsi="Arial" w:cs="Arial"/>
          <w:color w:val="000000"/>
        </w:rPr>
        <w:t>Skills for Care (2025) </w:t>
      </w:r>
      <w:r w:rsidRPr="000A6E5F">
        <w:rPr>
          <w:rFonts w:ascii="Arial" w:hAnsi="Arial" w:cs="Arial"/>
          <w:i/>
          <w:iCs/>
          <w:color w:val="000000"/>
        </w:rPr>
        <w:t>A Workforce Strategy for Adult Social Care in England</w:t>
      </w:r>
      <w:r w:rsidRPr="000A6E5F">
        <w:rPr>
          <w:rFonts w:ascii="Arial" w:hAnsi="Arial" w:cs="Arial"/>
          <w:color w:val="000000"/>
        </w:rPr>
        <w:t>. Leeds: Skills for Care. Available at: </w:t>
      </w:r>
      <w:hyperlink r:id="rId53" w:tgtFrame="_new" w:history="1">
        <w:r w:rsidRPr="000A6E5F">
          <w:rPr>
            <w:rFonts w:ascii="Arial" w:hAnsi="Arial" w:cs="Arial"/>
            <w:color w:val="0000FF"/>
            <w:u w:val="single"/>
          </w:rPr>
          <w:t>https://www.skillsforcare.org.uk/Workforce-Strategy/resources/Supporting-resources/A-Workforce-Strategy-for-Adult-Social-Care-in-England.pdf</w:t>
        </w:r>
      </w:hyperlink>
      <w:r w:rsidRPr="000A6E5F">
        <w:rPr>
          <w:rFonts w:ascii="Arial" w:hAnsi="Arial" w:cs="Arial"/>
          <w:color w:val="000000"/>
        </w:rPr>
        <w:t> (Accessed: 8 July 2026).</w:t>
      </w:r>
    </w:p>
    <w:p w14:paraId="699C1A76" w14:textId="65761528" w:rsidR="00C358A1" w:rsidRPr="000A6E5F" w:rsidRDefault="00C358A1" w:rsidP="000A6E5F">
      <w:pPr>
        <w:jc w:val="left"/>
        <w:rPr>
          <w:rFonts w:ascii="Arial" w:hAnsi="Arial" w:cs="Arial"/>
          <w:color w:val="EE0000"/>
        </w:rPr>
      </w:pPr>
      <w:r w:rsidRPr="000A6E5F">
        <w:rPr>
          <w:rFonts w:ascii="Arial" w:hAnsi="Arial" w:cs="Arial"/>
          <w:color w:val="000000"/>
        </w:rPr>
        <w:t>Turnpenny, A. and Hussein, S. (2022) ‘Migrant Home Care Workers in the UK: a Scoping Review of Outcomes and Sustainability and Implications in the Context of Brexit’,</w:t>
      </w:r>
      <w:r w:rsidRPr="000A6E5F">
        <w:rPr>
          <w:rStyle w:val="apple-converted-space"/>
          <w:rFonts w:ascii="Arial" w:hAnsi="Arial" w:cs="Arial"/>
          <w:color w:val="000000"/>
        </w:rPr>
        <w:t> </w:t>
      </w:r>
      <w:r w:rsidRPr="000A6E5F">
        <w:rPr>
          <w:rStyle w:val="Emphasis"/>
          <w:rFonts w:ascii="Arial" w:hAnsi="Arial" w:cs="Arial"/>
          <w:color w:val="000000"/>
        </w:rPr>
        <w:t>Journal of International Migration and Integration</w:t>
      </w:r>
      <w:r w:rsidRPr="000A6E5F">
        <w:rPr>
          <w:rFonts w:ascii="Arial" w:hAnsi="Arial" w:cs="Arial"/>
          <w:color w:val="000000"/>
        </w:rPr>
        <w:t>, 23(1), pp. 23–42. Available at:</w:t>
      </w:r>
      <w:r w:rsidRPr="000A6E5F">
        <w:rPr>
          <w:rStyle w:val="apple-converted-space"/>
          <w:rFonts w:ascii="Arial" w:hAnsi="Arial" w:cs="Arial"/>
          <w:color w:val="000000"/>
        </w:rPr>
        <w:t> </w:t>
      </w:r>
      <w:hyperlink r:id="rId54" w:history="1">
        <w:r w:rsidR="00C903FC" w:rsidRPr="000A6E5F">
          <w:rPr>
            <w:rStyle w:val="Hyperlink"/>
            <w:rFonts w:ascii="Arial" w:hAnsi="Arial" w:cs="Arial"/>
          </w:rPr>
          <w:t xml:space="preserve">https://doi.org/10.1007/s12134-021-00807-3  </w:t>
        </w:r>
      </w:hyperlink>
      <w:r w:rsidR="006E1C8B" w:rsidRPr="000A6E5F">
        <w:rPr>
          <w:rFonts w:ascii="Arial" w:hAnsi="Arial" w:cs="Arial"/>
        </w:rPr>
        <w:t xml:space="preserve"> </w:t>
      </w:r>
      <w:r w:rsidR="00EF35A2" w:rsidRPr="000A6E5F">
        <w:rPr>
          <w:rFonts w:ascii="Arial" w:hAnsi="Arial" w:cs="Arial"/>
        </w:rPr>
        <w:t>(Accessed: 17 March 2026).</w:t>
      </w:r>
    </w:p>
    <w:p w14:paraId="576B2C7D" w14:textId="7E1682E2" w:rsidR="00BD7EB1" w:rsidRPr="000A6E5F" w:rsidRDefault="00BD7EB1" w:rsidP="000A6E5F">
      <w:pPr>
        <w:jc w:val="left"/>
        <w:rPr>
          <w:rFonts w:ascii="Arial" w:hAnsi="Arial" w:cs="Arial"/>
          <w:color w:val="EE0000"/>
        </w:rPr>
      </w:pPr>
      <w:r w:rsidRPr="000A6E5F">
        <w:rPr>
          <w:rFonts w:ascii="Arial" w:hAnsi="Arial" w:cs="Arial"/>
          <w:color w:val="000000"/>
        </w:rPr>
        <w:t>Tawodzera, O. (2024) ‘Unravelling the tensions: exploring the interplay of paid care work, family obligations, and transnational care among Zimbabwean migrant care workers in the UK’,</w:t>
      </w:r>
      <w:r w:rsidRPr="000A6E5F">
        <w:rPr>
          <w:rStyle w:val="apple-converted-space"/>
          <w:rFonts w:ascii="Arial" w:hAnsi="Arial" w:cs="Arial"/>
          <w:color w:val="000000"/>
        </w:rPr>
        <w:t> </w:t>
      </w:r>
      <w:r w:rsidRPr="000A6E5F">
        <w:rPr>
          <w:rStyle w:val="Emphasis"/>
          <w:rFonts w:ascii="Arial" w:hAnsi="Arial" w:cs="Arial"/>
          <w:color w:val="000000"/>
        </w:rPr>
        <w:t>Journal of Family Studies</w:t>
      </w:r>
      <w:r w:rsidRPr="000A6E5F">
        <w:rPr>
          <w:rFonts w:ascii="Arial" w:hAnsi="Arial" w:cs="Arial"/>
          <w:color w:val="000000"/>
        </w:rPr>
        <w:t>, 30(5), pp. 739–758. Available at:</w:t>
      </w:r>
      <w:r w:rsidRPr="000A6E5F">
        <w:rPr>
          <w:rStyle w:val="apple-converted-space"/>
          <w:rFonts w:ascii="Arial" w:hAnsi="Arial" w:cs="Arial"/>
          <w:color w:val="000000"/>
        </w:rPr>
        <w:t> </w:t>
      </w:r>
      <w:hyperlink r:id="rId55" w:tgtFrame="_new" w:history="1">
        <w:r w:rsidRPr="000A6E5F">
          <w:rPr>
            <w:rStyle w:val="Hyperlink"/>
            <w:rFonts w:ascii="Arial" w:hAnsi="Arial" w:cs="Arial"/>
          </w:rPr>
          <w:t>https://doi.org/10.1080/13229400.2024.2318335</w:t>
        </w:r>
      </w:hyperlink>
      <w:r w:rsidR="006E1C8B" w:rsidRPr="000A6E5F">
        <w:rPr>
          <w:rFonts w:ascii="Arial" w:hAnsi="Arial" w:cs="Arial"/>
          <w:color w:val="000000"/>
        </w:rPr>
        <w:t xml:space="preserve"> </w:t>
      </w:r>
      <w:r w:rsidR="006E1C8B" w:rsidRPr="000A6E5F">
        <w:rPr>
          <w:rFonts w:ascii="Arial" w:hAnsi="Arial" w:cs="Arial"/>
        </w:rPr>
        <w:t xml:space="preserve"> (Accessed: 17 March 2026).</w:t>
      </w:r>
    </w:p>
    <w:p w14:paraId="74D703F3" w14:textId="18CE7EDA" w:rsidR="0010203C" w:rsidRPr="000A6E5F" w:rsidRDefault="0010203C" w:rsidP="000A6E5F">
      <w:pPr>
        <w:jc w:val="left"/>
        <w:rPr>
          <w:rFonts w:ascii="Arial" w:hAnsi="Arial" w:cs="Arial"/>
        </w:rPr>
      </w:pPr>
      <w:r w:rsidRPr="000A6E5F">
        <w:rPr>
          <w:rFonts w:ascii="Arial" w:hAnsi="Arial" w:cs="Arial"/>
        </w:rPr>
        <w:t xml:space="preserve">The King’s Fund (2024) </w:t>
      </w:r>
      <w:r w:rsidRPr="000A6E5F">
        <w:rPr>
          <w:rFonts w:ascii="Arial" w:hAnsi="Arial" w:cs="Arial"/>
          <w:i/>
          <w:iCs/>
        </w:rPr>
        <w:t>The adult social care workforce in a nutshell</w:t>
      </w:r>
      <w:r w:rsidRPr="000A6E5F">
        <w:rPr>
          <w:rFonts w:ascii="Arial" w:hAnsi="Arial" w:cs="Arial"/>
        </w:rPr>
        <w:t xml:space="preserve">. Available at: </w:t>
      </w:r>
      <w:hyperlink r:id="rId56" w:history="1">
        <w:r w:rsidRPr="000A6E5F">
          <w:rPr>
            <w:rStyle w:val="Hyperlink"/>
            <w:rFonts w:ascii="Arial" w:hAnsi="Arial" w:cs="Arial"/>
          </w:rPr>
          <w:t>https://www.kingsfund.org.uk/insight-and-analysis/data-and-charts/social-care-workforce-nutshell</w:t>
        </w:r>
      </w:hyperlink>
      <w:r w:rsidRPr="000A6E5F">
        <w:rPr>
          <w:rFonts w:ascii="Arial" w:hAnsi="Arial" w:cs="Arial"/>
        </w:rPr>
        <w:t xml:space="preserve">  (Accessed: 17 March 2026).</w:t>
      </w:r>
    </w:p>
    <w:p w14:paraId="77BF6634" w14:textId="40A812C2" w:rsidR="0010203C" w:rsidRPr="000A6E5F" w:rsidRDefault="0010203C" w:rsidP="000A6E5F">
      <w:pPr>
        <w:jc w:val="left"/>
        <w:rPr>
          <w:rFonts w:ascii="Arial" w:hAnsi="Arial" w:cs="Arial"/>
          <w:color w:val="EE0000"/>
        </w:rPr>
      </w:pPr>
      <w:r w:rsidRPr="000A6E5F">
        <w:rPr>
          <w:rFonts w:ascii="Arial" w:hAnsi="Arial" w:cs="Arial"/>
          <w:color w:val="000000"/>
        </w:rPr>
        <w:t>UK Data Service (2026) </w:t>
      </w:r>
      <w:r w:rsidRPr="000A6E5F">
        <w:rPr>
          <w:rFonts w:ascii="Arial" w:hAnsi="Arial" w:cs="Arial"/>
          <w:i/>
          <w:iCs/>
          <w:color w:val="000000"/>
        </w:rPr>
        <w:t>Ethical obligations</w:t>
      </w:r>
      <w:r w:rsidRPr="000A6E5F">
        <w:rPr>
          <w:rFonts w:ascii="Arial" w:hAnsi="Arial" w:cs="Arial"/>
          <w:color w:val="000000"/>
        </w:rPr>
        <w:t>. Available at: </w:t>
      </w:r>
      <w:hyperlink r:id="rId57" w:tgtFrame="_new" w:history="1">
        <w:r w:rsidRPr="000A6E5F">
          <w:rPr>
            <w:rFonts w:ascii="Arial" w:hAnsi="Arial" w:cs="Arial"/>
            <w:color w:val="0000FF"/>
            <w:u w:val="single"/>
          </w:rPr>
          <w:t>https://ukdataservice.ac.uk/learning-hub/research-data-management/ethical-issues/ethical-obligations/</w:t>
        </w:r>
      </w:hyperlink>
      <w:r w:rsidRPr="000A6E5F">
        <w:rPr>
          <w:rFonts w:ascii="Arial" w:hAnsi="Arial" w:cs="Arial"/>
          <w:color w:val="000000"/>
        </w:rPr>
        <w:t> (Accessed: 1 June 2026).</w:t>
      </w:r>
    </w:p>
    <w:p w14:paraId="29E8C7C9" w14:textId="14134484" w:rsidR="00D04C3C" w:rsidRPr="000A6E5F" w:rsidRDefault="00A22865" w:rsidP="000A6E5F">
      <w:pPr>
        <w:jc w:val="left"/>
        <w:rPr>
          <w:rFonts w:ascii="Arial" w:hAnsi="Arial" w:cs="Arial"/>
        </w:rPr>
      </w:pPr>
      <w:r w:rsidRPr="000A6E5F">
        <w:rPr>
          <w:rStyle w:val="Strong"/>
          <w:rFonts w:ascii="Arial" w:hAnsi="Arial" w:cs="Arial"/>
          <w:b w:val="0"/>
          <w:bCs w:val="0"/>
          <w:color w:val="000000"/>
        </w:rPr>
        <w:t>Villamin, P., Lopez, V., Thapa, D.K. and Cleary, M. (2023)</w:t>
      </w:r>
      <w:r w:rsidRPr="000A6E5F">
        <w:rPr>
          <w:rStyle w:val="apple-converted-space"/>
          <w:rFonts w:ascii="Arial" w:hAnsi="Arial" w:cs="Arial"/>
          <w:b/>
          <w:bCs/>
          <w:color w:val="000000"/>
        </w:rPr>
        <w:t> </w:t>
      </w:r>
      <w:r w:rsidRPr="000A6E5F">
        <w:rPr>
          <w:rFonts w:ascii="Arial" w:hAnsi="Arial" w:cs="Arial"/>
          <w:b/>
          <w:bCs/>
          <w:color w:val="000000"/>
        </w:rPr>
        <w:t>‘</w:t>
      </w:r>
      <w:r w:rsidRPr="000A6E5F">
        <w:rPr>
          <w:rFonts w:ascii="Arial" w:hAnsi="Arial" w:cs="Arial"/>
          <w:color w:val="000000"/>
        </w:rPr>
        <w:t>Retention and turnover among migrant nurses: A scoping review’,</w:t>
      </w:r>
      <w:r w:rsidRPr="000A6E5F">
        <w:rPr>
          <w:rStyle w:val="apple-converted-space"/>
          <w:rFonts w:ascii="Arial" w:hAnsi="Arial" w:cs="Arial"/>
          <w:color w:val="000000"/>
        </w:rPr>
        <w:t> </w:t>
      </w:r>
      <w:r w:rsidRPr="000A6E5F">
        <w:rPr>
          <w:rStyle w:val="Emphasis"/>
          <w:rFonts w:ascii="Arial" w:hAnsi="Arial" w:cs="Arial"/>
          <w:color w:val="000000"/>
        </w:rPr>
        <w:t>International Nursing Review</w:t>
      </w:r>
      <w:r w:rsidRPr="000A6E5F">
        <w:rPr>
          <w:rFonts w:ascii="Arial" w:hAnsi="Arial" w:cs="Arial"/>
          <w:color w:val="000000"/>
        </w:rPr>
        <w:t>,</w:t>
      </w:r>
      <w:r w:rsidRPr="000A6E5F">
        <w:rPr>
          <w:rStyle w:val="apple-converted-space"/>
          <w:rFonts w:ascii="Arial" w:hAnsi="Arial" w:cs="Arial"/>
          <w:color w:val="000000"/>
        </w:rPr>
        <w:t> </w:t>
      </w:r>
      <w:r w:rsidRPr="000A6E5F">
        <w:rPr>
          <w:rStyle w:val="Strong"/>
          <w:rFonts w:ascii="Arial" w:hAnsi="Arial" w:cs="Arial"/>
          <w:b w:val="0"/>
          <w:bCs w:val="0"/>
          <w:color w:val="000000"/>
        </w:rPr>
        <w:t>71</w:t>
      </w:r>
      <w:r w:rsidRPr="000A6E5F">
        <w:rPr>
          <w:rFonts w:ascii="Arial" w:hAnsi="Arial" w:cs="Arial"/>
          <w:color w:val="000000"/>
        </w:rPr>
        <w:t>(3), pp. 541–555. Available at:</w:t>
      </w:r>
      <w:r w:rsidRPr="000A6E5F">
        <w:rPr>
          <w:rStyle w:val="apple-converted-space"/>
          <w:rFonts w:ascii="Arial" w:hAnsi="Arial" w:cs="Arial"/>
          <w:color w:val="000000"/>
        </w:rPr>
        <w:t> </w:t>
      </w:r>
      <w:hyperlink r:id="rId58" w:tgtFrame="_new" w:history="1">
        <w:r w:rsidRPr="000A6E5F">
          <w:rPr>
            <w:rStyle w:val="Hyperlink"/>
            <w:rFonts w:ascii="Arial" w:hAnsi="Arial" w:cs="Arial"/>
          </w:rPr>
          <w:t>https://doi.org/10.1111/inr.12861</w:t>
        </w:r>
      </w:hyperlink>
      <w:r w:rsidR="00671605" w:rsidRPr="000A6E5F">
        <w:rPr>
          <w:rFonts w:ascii="Arial" w:hAnsi="Arial" w:cs="Arial"/>
          <w:color w:val="000000"/>
        </w:rPr>
        <w:t xml:space="preserve"> </w:t>
      </w:r>
      <w:r w:rsidR="00D04C3C" w:rsidRPr="000A6E5F">
        <w:rPr>
          <w:rFonts w:ascii="Arial" w:hAnsi="Arial" w:cs="Arial"/>
        </w:rPr>
        <w:t>(Accessed: 5 July 2026).</w:t>
      </w:r>
    </w:p>
    <w:p w14:paraId="2DFA9E5C" w14:textId="77777777" w:rsidR="008D6C5D" w:rsidRPr="000A6E5F" w:rsidRDefault="00F82F48" w:rsidP="000A6E5F">
      <w:pPr>
        <w:jc w:val="left"/>
        <w:rPr>
          <w:rFonts w:ascii="Arial" w:hAnsi="Arial" w:cs="Arial"/>
        </w:rPr>
      </w:pPr>
      <w:r w:rsidRPr="000A6E5F">
        <w:rPr>
          <w:rFonts w:ascii="Arial" w:hAnsi="Arial" w:cs="Arial"/>
          <w:color w:val="000000"/>
        </w:rPr>
        <w:t>Vadean, F., Allan, S. and Malisauskaite, G. (2025) </w:t>
      </w:r>
      <w:r w:rsidRPr="000A6E5F">
        <w:rPr>
          <w:rFonts w:ascii="Arial" w:hAnsi="Arial" w:cs="Arial"/>
          <w:i/>
          <w:iCs/>
          <w:color w:val="000000"/>
        </w:rPr>
        <w:t>International migration of health and social care workforce</w:t>
      </w:r>
      <w:r w:rsidRPr="000A6E5F">
        <w:rPr>
          <w:rFonts w:ascii="Arial" w:hAnsi="Arial" w:cs="Arial"/>
          <w:color w:val="000000"/>
        </w:rPr>
        <w:t>. Project report. REAL Supply Research Unit, University of Kent. Available at: </w:t>
      </w:r>
      <w:hyperlink r:id="rId59" w:history="1">
        <w:r w:rsidR="00C536FC" w:rsidRPr="000A6E5F">
          <w:rPr>
            <w:rStyle w:val="Hyperlink"/>
            <w:rFonts w:ascii="Arial" w:hAnsi="Arial" w:cs="Arial"/>
          </w:rPr>
          <w:t>https://kar.kent.ac.uk/114925/1/Topic%203_%20International%20migration%20of%20the%20health%20and%20social%20care%20workforce.pdf</w:t>
        </w:r>
      </w:hyperlink>
      <w:r w:rsidR="00C536FC" w:rsidRPr="000A6E5F">
        <w:rPr>
          <w:rFonts w:ascii="Arial" w:hAnsi="Arial" w:cs="Arial"/>
          <w:color w:val="000000"/>
        </w:rPr>
        <w:t xml:space="preserve"> </w:t>
      </w:r>
      <w:r w:rsidRPr="000A6E5F">
        <w:rPr>
          <w:rFonts w:ascii="Arial" w:hAnsi="Arial" w:cs="Arial"/>
          <w:color w:val="000000"/>
        </w:rPr>
        <w:t> </w:t>
      </w:r>
      <w:r w:rsidR="008D6C5D" w:rsidRPr="000A6E5F">
        <w:rPr>
          <w:rFonts w:ascii="Arial" w:hAnsi="Arial" w:cs="Arial"/>
        </w:rPr>
        <w:t>(Accessed: 5 July 2026).</w:t>
      </w:r>
    </w:p>
    <w:p w14:paraId="345AE8F3" w14:textId="77777777" w:rsidR="00271C0A" w:rsidRPr="000A6E5F" w:rsidRDefault="0010203C" w:rsidP="000A6E5F">
      <w:pPr>
        <w:jc w:val="left"/>
        <w:rPr>
          <w:rFonts w:ascii="Arial" w:hAnsi="Arial" w:cs="Arial"/>
        </w:rPr>
      </w:pPr>
      <w:r w:rsidRPr="000A6E5F">
        <w:rPr>
          <w:rFonts w:ascii="Arial" w:hAnsi="Arial" w:cs="Arial"/>
        </w:rPr>
        <w:t xml:space="preserve">World Health Organization (WHO) (2023) </w:t>
      </w:r>
      <w:r w:rsidRPr="000A6E5F">
        <w:rPr>
          <w:rFonts w:ascii="Arial" w:hAnsi="Arial" w:cs="Arial"/>
          <w:i/>
          <w:iCs/>
        </w:rPr>
        <w:t>Health workforce support and safeguards list 2023</w:t>
      </w:r>
      <w:r w:rsidRPr="000A6E5F">
        <w:rPr>
          <w:rFonts w:ascii="Arial" w:hAnsi="Arial" w:cs="Arial"/>
        </w:rPr>
        <w:t xml:space="preserve">. Available at: </w:t>
      </w:r>
      <w:hyperlink r:id="rId60" w:history="1">
        <w:r w:rsidRPr="000A6E5F">
          <w:rPr>
            <w:rStyle w:val="Hyperlink"/>
            <w:rFonts w:ascii="Arial" w:hAnsi="Arial" w:cs="Arial"/>
          </w:rPr>
          <w:t>https://www.who.int/publications/i/item/9789240069787</w:t>
        </w:r>
      </w:hyperlink>
      <w:r w:rsidRPr="000A6E5F">
        <w:rPr>
          <w:rFonts w:ascii="Arial" w:hAnsi="Arial" w:cs="Arial"/>
        </w:rPr>
        <w:t xml:space="preserve">  (Accessed: 17 March 2026).</w:t>
      </w:r>
    </w:p>
    <w:p w14:paraId="32EBCF61" w14:textId="4FA8F179" w:rsidR="00175837" w:rsidRPr="000A6E5F" w:rsidRDefault="00175837" w:rsidP="000A6E5F">
      <w:pPr>
        <w:jc w:val="left"/>
        <w:rPr>
          <w:rFonts w:ascii="Arial" w:hAnsi="Arial" w:cs="Arial"/>
        </w:rPr>
      </w:pPr>
      <w:r w:rsidRPr="000A6E5F">
        <w:rPr>
          <w:rStyle w:val="Strong"/>
          <w:rFonts w:ascii="Arial" w:hAnsi="Arial" w:cs="Arial"/>
          <w:b w:val="0"/>
          <w:bCs w:val="0"/>
          <w:color w:val="000000"/>
        </w:rPr>
        <w:lastRenderedPageBreak/>
        <w:t>Wilkinson, E., Iweka, E., Snaith, B. and Omiyi, D. (2025)</w:t>
      </w:r>
      <w:r w:rsidRPr="000A6E5F">
        <w:rPr>
          <w:rStyle w:val="apple-converted-space"/>
          <w:rFonts w:ascii="Arial" w:hAnsi="Arial" w:cs="Arial"/>
          <w:b/>
          <w:bCs/>
          <w:color w:val="000000"/>
        </w:rPr>
        <w:t> </w:t>
      </w:r>
      <w:r w:rsidRPr="000A6E5F">
        <w:rPr>
          <w:rFonts w:ascii="Arial" w:hAnsi="Arial" w:cs="Arial"/>
          <w:b/>
          <w:bCs/>
          <w:color w:val="000000"/>
        </w:rPr>
        <w:t>‘</w:t>
      </w:r>
      <w:r w:rsidRPr="000A6E5F">
        <w:rPr>
          <w:rFonts w:ascii="Arial" w:hAnsi="Arial" w:cs="Arial"/>
          <w:color w:val="000000"/>
        </w:rPr>
        <w:t>Integration experiences of internationally educated diagnostic radiographers working in the UK’,</w:t>
      </w:r>
      <w:r w:rsidRPr="000A6E5F">
        <w:rPr>
          <w:rStyle w:val="apple-converted-space"/>
          <w:rFonts w:ascii="Arial" w:hAnsi="Arial" w:cs="Arial"/>
          <w:color w:val="000000"/>
        </w:rPr>
        <w:t> </w:t>
      </w:r>
      <w:r w:rsidRPr="000A6E5F">
        <w:rPr>
          <w:rStyle w:val="Emphasis"/>
          <w:rFonts w:ascii="Arial" w:hAnsi="Arial" w:cs="Arial"/>
          <w:color w:val="000000"/>
        </w:rPr>
        <w:t>PLOS ONE</w:t>
      </w:r>
      <w:r w:rsidRPr="000A6E5F">
        <w:rPr>
          <w:rFonts w:ascii="Arial" w:hAnsi="Arial" w:cs="Arial"/>
          <w:b/>
          <w:bCs/>
          <w:color w:val="000000"/>
        </w:rPr>
        <w:t>,</w:t>
      </w:r>
      <w:r w:rsidRPr="000A6E5F">
        <w:rPr>
          <w:rStyle w:val="apple-converted-space"/>
          <w:rFonts w:ascii="Arial" w:hAnsi="Arial" w:cs="Arial"/>
          <w:b/>
          <w:bCs/>
          <w:color w:val="000000"/>
        </w:rPr>
        <w:t> </w:t>
      </w:r>
      <w:r w:rsidRPr="000A6E5F">
        <w:rPr>
          <w:rStyle w:val="Strong"/>
          <w:rFonts w:ascii="Arial" w:hAnsi="Arial" w:cs="Arial"/>
          <w:b w:val="0"/>
          <w:bCs w:val="0"/>
          <w:color w:val="000000"/>
        </w:rPr>
        <w:t>20</w:t>
      </w:r>
      <w:r w:rsidRPr="000A6E5F">
        <w:rPr>
          <w:rFonts w:ascii="Arial" w:hAnsi="Arial" w:cs="Arial"/>
          <w:color w:val="000000"/>
        </w:rPr>
        <w:t>(6), e0325446. Available at:</w:t>
      </w:r>
      <w:r w:rsidRPr="000A6E5F">
        <w:rPr>
          <w:rStyle w:val="apple-converted-space"/>
          <w:rFonts w:ascii="Arial" w:hAnsi="Arial" w:cs="Arial"/>
          <w:color w:val="000000"/>
        </w:rPr>
        <w:t> </w:t>
      </w:r>
      <w:hyperlink r:id="rId61" w:tgtFrame="_new" w:history="1">
        <w:r w:rsidRPr="000A6E5F">
          <w:rPr>
            <w:rStyle w:val="Hyperlink"/>
            <w:rFonts w:ascii="Arial" w:hAnsi="Arial" w:cs="Arial"/>
          </w:rPr>
          <w:t>https://doi.org/10.1371/journal.pone.0325446</w:t>
        </w:r>
      </w:hyperlink>
      <w:r w:rsidRPr="000A6E5F">
        <w:rPr>
          <w:rFonts w:ascii="Arial" w:hAnsi="Arial" w:cs="Arial"/>
          <w:color w:val="000000" w:themeColor="text1"/>
        </w:rPr>
        <w:t xml:space="preserve"> </w:t>
      </w:r>
      <w:r w:rsidRPr="000A6E5F">
        <w:rPr>
          <w:rFonts w:ascii="Arial" w:hAnsi="Arial" w:cs="Arial"/>
        </w:rPr>
        <w:t xml:space="preserve">(Accessed: </w:t>
      </w:r>
      <w:r w:rsidR="00211AF8" w:rsidRPr="000A6E5F">
        <w:rPr>
          <w:rFonts w:ascii="Arial" w:hAnsi="Arial" w:cs="Arial"/>
        </w:rPr>
        <w:t xml:space="preserve">5 July </w:t>
      </w:r>
      <w:r w:rsidRPr="000A6E5F">
        <w:rPr>
          <w:rFonts w:ascii="Arial" w:hAnsi="Arial" w:cs="Arial"/>
        </w:rPr>
        <w:t>2026).</w:t>
      </w:r>
    </w:p>
    <w:p w14:paraId="535A68C0" w14:textId="6EAF260E" w:rsidR="00CB3140" w:rsidRPr="000A6E5F" w:rsidRDefault="00807740" w:rsidP="000A6E5F">
      <w:pPr>
        <w:jc w:val="left"/>
        <w:rPr>
          <w:rFonts w:ascii="Arial" w:hAnsi="Arial" w:cs="Arial"/>
        </w:rPr>
      </w:pPr>
      <w:r w:rsidRPr="000A6E5F">
        <w:rPr>
          <w:rFonts w:ascii="Arial" w:hAnsi="Arial" w:cs="Arial"/>
          <w:color w:val="000000"/>
        </w:rPr>
        <w:t>Work Rights Centre (2024)</w:t>
      </w:r>
      <w:r w:rsidRPr="000A6E5F">
        <w:rPr>
          <w:rStyle w:val="apple-converted-space"/>
          <w:rFonts w:ascii="Arial" w:hAnsi="Arial" w:cs="Arial"/>
          <w:color w:val="000000"/>
        </w:rPr>
        <w:t> </w:t>
      </w:r>
      <w:r w:rsidRPr="000A6E5F">
        <w:rPr>
          <w:rStyle w:val="Emphasis"/>
          <w:rFonts w:ascii="Arial" w:hAnsi="Arial" w:cs="Arial"/>
          <w:color w:val="000000"/>
        </w:rPr>
        <w:t>The Forgotten Third: Migrant Care Workers' Views on the Care Sector</w:t>
      </w:r>
      <w:r w:rsidRPr="000A6E5F">
        <w:rPr>
          <w:rFonts w:ascii="Arial" w:hAnsi="Arial" w:cs="Arial"/>
          <w:color w:val="000000"/>
        </w:rPr>
        <w:t>. London: Work Rights Centre. Available</w:t>
      </w:r>
      <w:r w:rsidR="0002124F" w:rsidRPr="000A6E5F">
        <w:rPr>
          <w:rFonts w:ascii="Arial" w:hAnsi="Arial" w:cs="Arial"/>
          <w:color w:val="000000"/>
        </w:rPr>
        <w:t xml:space="preserve"> </w:t>
      </w:r>
      <w:r w:rsidRPr="000A6E5F">
        <w:rPr>
          <w:rFonts w:ascii="Arial" w:hAnsi="Arial" w:cs="Arial"/>
          <w:color w:val="000000"/>
        </w:rPr>
        <w:t>at:</w:t>
      </w:r>
      <w:r w:rsidRPr="000A6E5F">
        <w:rPr>
          <w:rStyle w:val="apple-converted-space"/>
          <w:rFonts w:ascii="Arial" w:hAnsi="Arial" w:cs="Arial"/>
          <w:color w:val="000000"/>
        </w:rPr>
        <w:t> </w:t>
      </w:r>
      <w:hyperlink r:id="rId62" w:tgtFrame="_new" w:history="1">
        <w:r w:rsidRPr="000A6E5F">
          <w:rPr>
            <w:rStyle w:val="Hyperlink"/>
            <w:rFonts w:ascii="Arial" w:hAnsi="Arial" w:cs="Arial"/>
          </w:rPr>
          <w:t>https://www.workrightscentre.org/media/rr1hklek/the-forgotten-third-migrant-care-workers-views-on-the-care-sector.pdf</w:t>
        </w:r>
      </w:hyperlink>
      <w:r w:rsidR="00CB3140" w:rsidRPr="000A6E5F">
        <w:rPr>
          <w:rFonts w:ascii="Arial" w:hAnsi="Arial" w:cs="Arial"/>
        </w:rPr>
        <w:t xml:space="preserve"> (Accessed:</w:t>
      </w:r>
      <w:r w:rsidR="00027741" w:rsidRPr="000A6E5F">
        <w:rPr>
          <w:rFonts w:ascii="Arial" w:hAnsi="Arial" w:cs="Arial"/>
        </w:rPr>
        <w:t xml:space="preserve"> 4 June</w:t>
      </w:r>
      <w:r w:rsidR="00CB3140" w:rsidRPr="000A6E5F">
        <w:rPr>
          <w:rFonts w:ascii="Arial" w:hAnsi="Arial" w:cs="Arial"/>
        </w:rPr>
        <w:t xml:space="preserve"> 2026).</w:t>
      </w:r>
    </w:p>
    <w:p w14:paraId="62D28714" w14:textId="4E716963" w:rsidR="00807740" w:rsidRPr="000A6E5F" w:rsidRDefault="00807740" w:rsidP="000A6E5F">
      <w:pPr>
        <w:jc w:val="left"/>
        <w:rPr>
          <w:rFonts w:ascii="Arial" w:hAnsi="Arial" w:cs="Arial"/>
        </w:rPr>
      </w:pPr>
    </w:p>
    <w:p w14:paraId="0F1E642D" w14:textId="77777777" w:rsidR="00271C0A" w:rsidRPr="000A6E5F" w:rsidRDefault="00271C0A" w:rsidP="000A6E5F">
      <w:pPr>
        <w:jc w:val="left"/>
        <w:rPr>
          <w:rFonts w:ascii="Arial" w:hAnsi="Arial" w:cs="Arial"/>
        </w:rPr>
      </w:pPr>
    </w:p>
    <w:p w14:paraId="196FD256" w14:textId="77777777" w:rsidR="00271C0A" w:rsidRPr="00B73907" w:rsidRDefault="00271C0A" w:rsidP="0010203C">
      <w:pPr>
        <w:rPr>
          <w:rFonts w:ascii="Arial" w:hAnsi="Arial" w:cs="Arial"/>
        </w:rPr>
      </w:pPr>
    </w:p>
    <w:p w14:paraId="7698ECFA" w14:textId="77777777" w:rsidR="00271C0A" w:rsidRPr="00B73907" w:rsidRDefault="00271C0A" w:rsidP="0010203C">
      <w:pPr>
        <w:rPr>
          <w:rFonts w:ascii="Arial" w:hAnsi="Arial" w:cs="Arial"/>
        </w:rPr>
      </w:pPr>
    </w:p>
    <w:p w14:paraId="3072D43A" w14:textId="77777777" w:rsidR="009A4E65" w:rsidRPr="00B73907" w:rsidRDefault="009A4E65" w:rsidP="0010203C">
      <w:pPr>
        <w:rPr>
          <w:rFonts w:ascii="Arial" w:hAnsi="Arial" w:cs="Arial"/>
          <w:b/>
          <w:bCs/>
        </w:rPr>
      </w:pPr>
    </w:p>
    <w:p w14:paraId="1E59D2C8" w14:textId="77777777" w:rsidR="009A4E65" w:rsidRPr="00B73907" w:rsidRDefault="009A4E65" w:rsidP="0010203C">
      <w:pPr>
        <w:rPr>
          <w:rFonts w:ascii="Arial" w:hAnsi="Arial" w:cs="Arial"/>
          <w:b/>
          <w:bCs/>
        </w:rPr>
      </w:pPr>
    </w:p>
    <w:p w14:paraId="21626B42" w14:textId="77777777" w:rsidR="009A4E65" w:rsidRDefault="009A4E65" w:rsidP="0010203C">
      <w:pPr>
        <w:rPr>
          <w:b/>
          <w:bCs/>
          <w:sz w:val="20"/>
          <w:szCs w:val="20"/>
        </w:rPr>
      </w:pPr>
    </w:p>
    <w:p w14:paraId="04E4A512" w14:textId="77777777" w:rsidR="009A4E65" w:rsidRDefault="009A4E65" w:rsidP="0010203C">
      <w:pPr>
        <w:rPr>
          <w:b/>
          <w:bCs/>
          <w:sz w:val="20"/>
          <w:szCs w:val="20"/>
        </w:rPr>
      </w:pPr>
    </w:p>
    <w:p w14:paraId="78179205" w14:textId="77777777" w:rsidR="009A4E65" w:rsidRDefault="009A4E65" w:rsidP="0010203C">
      <w:pPr>
        <w:rPr>
          <w:b/>
          <w:bCs/>
          <w:sz w:val="20"/>
          <w:szCs w:val="20"/>
        </w:rPr>
      </w:pPr>
    </w:p>
    <w:p w14:paraId="181A3C1A" w14:textId="77777777" w:rsidR="009A4E65" w:rsidRDefault="009A4E65" w:rsidP="0010203C">
      <w:pPr>
        <w:rPr>
          <w:b/>
          <w:bCs/>
          <w:sz w:val="20"/>
          <w:szCs w:val="20"/>
        </w:rPr>
      </w:pPr>
    </w:p>
    <w:p w14:paraId="605055F3" w14:textId="77777777" w:rsidR="00EC3F25" w:rsidRDefault="00EC3F25" w:rsidP="00B97C38">
      <w:pPr>
        <w:rPr>
          <w:b/>
          <w:bCs/>
          <w:sz w:val="20"/>
          <w:szCs w:val="20"/>
        </w:rPr>
      </w:pPr>
    </w:p>
    <w:p w14:paraId="7D391732" w14:textId="77777777" w:rsidR="00C242DA" w:rsidRDefault="00C242DA" w:rsidP="00A273C8">
      <w:pPr>
        <w:jc w:val="center"/>
        <w:rPr>
          <w:rFonts w:ascii="Arial" w:hAnsi="Arial" w:cs="Arial"/>
          <w:b/>
          <w:bCs/>
          <w:sz w:val="32"/>
          <w:szCs w:val="32"/>
        </w:rPr>
      </w:pPr>
    </w:p>
    <w:p w14:paraId="1DF4B28D" w14:textId="77777777" w:rsidR="00C242DA" w:rsidRDefault="00C242DA" w:rsidP="00A273C8">
      <w:pPr>
        <w:jc w:val="center"/>
        <w:rPr>
          <w:rFonts w:ascii="Arial" w:hAnsi="Arial" w:cs="Arial"/>
          <w:b/>
          <w:bCs/>
          <w:sz w:val="32"/>
          <w:szCs w:val="32"/>
        </w:rPr>
      </w:pPr>
    </w:p>
    <w:p w14:paraId="79C3648B" w14:textId="77777777" w:rsidR="00C242DA" w:rsidRDefault="00C242DA" w:rsidP="00A273C8">
      <w:pPr>
        <w:jc w:val="center"/>
        <w:rPr>
          <w:rFonts w:ascii="Arial" w:hAnsi="Arial" w:cs="Arial"/>
          <w:b/>
          <w:bCs/>
          <w:sz w:val="32"/>
          <w:szCs w:val="32"/>
        </w:rPr>
      </w:pPr>
    </w:p>
    <w:p w14:paraId="74DEF8E9" w14:textId="77777777" w:rsidR="00C242DA" w:rsidRDefault="00C242DA" w:rsidP="00A273C8">
      <w:pPr>
        <w:jc w:val="center"/>
        <w:rPr>
          <w:rFonts w:ascii="Arial" w:hAnsi="Arial" w:cs="Arial"/>
          <w:b/>
          <w:bCs/>
          <w:sz w:val="32"/>
          <w:szCs w:val="32"/>
        </w:rPr>
      </w:pPr>
    </w:p>
    <w:p w14:paraId="7DE7CE1E" w14:textId="77777777" w:rsidR="00C242DA" w:rsidRDefault="00C242DA" w:rsidP="00A273C8">
      <w:pPr>
        <w:jc w:val="center"/>
        <w:rPr>
          <w:rFonts w:ascii="Arial" w:hAnsi="Arial" w:cs="Arial"/>
          <w:b/>
          <w:bCs/>
          <w:sz w:val="32"/>
          <w:szCs w:val="32"/>
        </w:rPr>
      </w:pPr>
    </w:p>
    <w:p w14:paraId="2C4BD3AE" w14:textId="77777777" w:rsidR="00F168AE" w:rsidRDefault="00F168AE" w:rsidP="00A273C8">
      <w:pPr>
        <w:jc w:val="center"/>
        <w:rPr>
          <w:rFonts w:ascii="Arial" w:hAnsi="Arial" w:cs="Arial"/>
          <w:b/>
          <w:bCs/>
          <w:sz w:val="32"/>
          <w:szCs w:val="32"/>
        </w:rPr>
      </w:pPr>
    </w:p>
    <w:p w14:paraId="6B9FCBB3" w14:textId="77777777" w:rsidR="00F168AE" w:rsidRDefault="00F168AE" w:rsidP="00A273C8">
      <w:pPr>
        <w:jc w:val="center"/>
        <w:rPr>
          <w:rFonts w:ascii="Arial" w:hAnsi="Arial" w:cs="Arial"/>
          <w:b/>
          <w:bCs/>
          <w:sz w:val="32"/>
          <w:szCs w:val="32"/>
        </w:rPr>
      </w:pPr>
    </w:p>
    <w:p w14:paraId="28BF9515" w14:textId="319F208B" w:rsidR="00EC3F25" w:rsidRPr="0035274A" w:rsidRDefault="00A273C8" w:rsidP="00DB16D5">
      <w:pPr>
        <w:jc w:val="center"/>
        <w:rPr>
          <w:rFonts w:ascii="Arial" w:hAnsi="Arial" w:cs="Arial"/>
          <w:b/>
          <w:bCs/>
          <w:sz w:val="32"/>
          <w:szCs w:val="32"/>
        </w:rPr>
      </w:pPr>
      <w:r w:rsidRPr="0035274A">
        <w:rPr>
          <w:rFonts w:ascii="Arial" w:hAnsi="Arial" w:cs="Arial"/>
          <w:b/>
          <w:bCs/>
          <w:sz w:val="32"/>
          <w:szCs w:val="32"/>
        </w:rPr>
        <w:lastRenderedPageBreak/>
        <w:t>Appendi</w:t>
      </w:r>
      <w:r w:rsidR="00DB16D5">
        <w:rPr>
          <w:rFonts w:ascii="Arial" w:hAnsi="Arial" w:cs="Arial"/>
          <w:b/>
          <w:bCs/>
          <w:sz w:val="32"/>
          <w:szCs w:val="32"/>
        </w:rPr>
        <w:t>x</w:t>
      </w:r>
    </w:p>
    <w:p w14:paraId="28B23AED" w14:textId="6F73AE1C" w:rsidR="0010203C" w:rsidRDefault="00F168AE" w:rsidP="00B97C38">
      <w:pPr>
        <w:rPr>
          <w:rFonts w:ascii="Arial" w:hAnsi="Arial" w:cs="Arial"/>
          <w:sz w:val="28"/>
          <w:szCs w:val="28"/>
        </w:rPr>
      </w:pPr>
      <w:r>
        <w:rPr>
          <w:rFonts w:ascii="Arial" w:hAnsi="Arial" w:cs="Arial"/>
          <w:b/>
          <w:bCs/>
          <w:sz w:val="28"/>
          <w:szCs w:val="28"/>
        </w:rPr>
        <w:t xml:space="preserve">               </w:t>
      </w:r>
      <w:r w:rsidR="0010203C" w:rsidRPr="00E40227">
        <w:rPr>
          <w:rFonts w:ascii="Arial" w:hAnsi="Arial" w:cs="Arial"/>
          <w:b/>
          <w:bCs/>
          <w:sz w:val="28"/>
          <w:szCs w:val="28"/>
        </w:rPr>
        <w:t xml:space="preserve">Independent Project Results Summary Table </w:t>
      </w:r>
    </w:p>
    <w:p w14:paraId="3CD950AD" w14:textId="77777777" w:rsidR="00334330" w:rsidRDefault="00334330" w:rsidP="00B97C38">
      <w:pPr>
        <w:rPr>
          <w:rFonts w:ascii="Arial" w:hAnsi="Arial" w:cs="Arial"/>
          <w:sz w:val="28"/>
          <w:szCs w:val="28"/>
        </w:rPr>
      </w:pPr>
    </w:p>
    <w:p w14:paraId="20E38904" w14:textId="77777777" w:rsidR="00334330" w:rsidRPr="00334330" w:rsidRDefault="00334330" w:rsidP="00334330">
      <w:pPr>
        <w:rPr>
          <w:rFonts w:ascii="Arial" w:hAnsi="Arial" w:cs="Arial"/>
          <w:sz w:val="28"/>
          <w:szCs w:val="28"/>
        </w:rPr>
      </w:pPr>
    </w:p>
    <w:p w14:paraId="7109C73F" w14:textId="77777777" w:rsidR="00334330" w:rsidRPr="00334330" w:rsidRDefault="00334330" w:rsidP="00334330">
      <w:pPr>
        <w:rPr>
          <w:rFonts w:ascii="Arial" w:hAnsi="Arial" w:cs="Arial"/>
          <w:sz w:val="28"/>
          <w:szCs w:val="28"/>
        </w:rPr>
      </w:pPr>
    </w:p>
    <w:p w14:paraId="37AF9A73" w14:textId="77777777" w:rsidR="00334330" w:rsidRPr="00334330" w:rsidRDefault="00334330" w:rsidP="00334330">
      <w:pPr>
        <w:rPr>
          <w:rFonts w:ascii="Arial" w:hAnsi="Arial" w:cs="Arial"/>
          <w:sz w:val="28"/>
          <w:szCs w:val="28"/>
        </w:rPr>
      </w:pPr>
    </w:p>
    <w:p w14:paraId="78A10682" w14:textId="77777777" w:rsidR="00334330" w:rsidRPr="00334330" w:rsidRDefault="00334330" w:rsidP="00AE7138">
      <w:pPr>
        <w:rPr>
          <w:rFonts w:ascii="Arial" w:hAnsi="Arial" w:cs="Arial"/>
          <w:sz w:val="28"/>
          <w:szCs w:val="28"/>
        </w:rPr>
      </w:pPr>
    </w:p>
    <w:tbl>
      <w:tblPr>
        <w:tblStyle w:val="TableGrid"/>
        <w:tblpPr w:leftFromText="180" w:rightFromText="180" w:vertAnchor="text" w:horzAnchor="page" w:tblpX="-1611" w:tblpY="-1445"/>
        <w:tblW w:w="11902" w:type="dxa"/>
        <w:tblLayout w:type="fixed"/>
        <w:tblLook w:val="04A0" w:firstRow="1" w:lastRow="0" w:firstColumn="1" w:lastColumn="0" w:noHBand="0" w:noVBand="1"/>
      </w:tblPr>
      <w:tblGrid>
        <w:gridCol w:w="1418"/>
        <w:gridCol w:w="1559"/>
        <w:gridCol w:w="1701"/>
        <w:gridCol w:w="1559"/>
        <w:gridCol w:w="1559"/>
        <w:gridCol w:w="1418"/>
        <w:gridCol w:w="1276"/>
        <w:gridCol w:w="1412"/>
      </w:tblGrid>
      <w:tr w:rsidR="001F1DC1" w:rsidRPr="00B01BC9" w14:paraId="5472AEBF" w14:textId="77777777" w:rsidTr="004D56CD">
        <w:trPr>
          <w:trHeight w:val="1509"/>
        </w:trPr>
        <w:tc>
          <w:tcPr>
            <w:tcW w:w="1418" w:type="dxa"/>
          </w:tcPr>
          <w:p w14:paraId="3151E76D" w14:textId="77777777" w:rsidR="001F1DC1" w:rsidRPr="000B66BC" w:rsidRDefault="001F1DC1" w:rsidP="000B66BC">
            <w:pPr>
              <w:jc w:val="center"/>
              <w:rPr>
                <w:b/>
                <w:bCs/>
                <w:sz w:val="20"/>
                <w:szCs w:val="20"/>
              </w:rPr>
            </w:pPr>
            <w:r w:rsidRPr="000B66BC">
              <w:rPr>
                <w:b/>
                <w:bCs/>
                <w:sz w:val="20"/>
                <w:szCs w:val="20"/>
              </w:rPr>
              <w:lastRenderedPageBreak/>
              <w:t>Author &amp; Year</w:t>
            </w:r>
          </w:p>
        </w:tc>
        <w:tc>
          <w:tcPr>
            <w:tcW w:w="1559" w:type="dxa"/>
          </w:tcPr>
          <w:p w14:paraId="2E281E2F" w14:textId="77777777" w:rsidR="001F1DC1" w:rsidRPr="000B66BC" w:rsidRDefault="001F1DC1" w:rsidP="000B66BC">
            <w:pPr>
              <w:jc w:val="center"/>
              <w:rPr>
                <w:rFonts w:ascii="Arial" w:hAnsi="Arial" w:cs="Arial"/>
                <w:b/>
                <w:bCs/>
                <w:sz w:val="20"/>
                <w:szCs w:val="20"/>
              </w:rPr>
            </w:pPr>
            <w:r w:rsidRPr="000B66BC">
              <w:rPr>
                <w:rFonts w:ascii="Arial" w:hAnsi="Arial" w:cs="Arial"/>
                <w:b/>
                <w:bCs/>
                <w:sz w:val="20"/>
                <w:szCs w:val="20"/>
              </w:rPr>
              <w:t>Article Title</w:t>
            </w:r>
          </w:p>
        </w:tc>
        <w:tc>
          <w:tcPr>
            <w:tcW w:w="1701" w:type="dxa"/>
          </w:tcPr>
          <w:p w14:paraId="541AC5E4" w14:textId="77777777" w:rsidR="001F1DC1" w:rsidRPr="000B66BC" w:rsidRDefault="001F1DC1" w:rsidP="000B66BC">
            <w:pPr>
              <w:jc w:val="center"/>
              <w:rPr>
                <w:rFonts w:ascii="Arial" w:hAnsi="Arial" w:cs="Arial"/>
                <w:b/>
                <w:bCs/>
                <w:sz w:val="20"/>
                <w:szCs w:val="20"/>
              </w:rPr>
            </w:pPr>
            <w:r w:rsidRPr="000B66BC">
              <w:rPr>
                <w:rFonts w:ascii="Arial" w:hAnsi="Arial" w:cs="Arial"/>
                <w:b/>
                <w:bCs/>
                <w:sz w:val="20"/>
                <w:szCs w:val="20"/>
              </w:rPr>
              <w:t>Type of Study</w:t>
            </w:r>
          </w:p>
        </w:tc>
        <w:tc>
          <w:tcPr>
            <w:tcW w:w="1559" w:type="dxa"/>
          </w:tcPr>
          <w:p w14:paraId="2226AD59" w14:textId="77777777" w:rsidR="001F1DC1" w:rsidRPr="000B66BC" w:rsidRDefault="001F1DC1" w:rsidP="000B66BC">
            <w:pPr>
              <w:jc w:val="center"/>
              <w:rPr>
                <w:rFonts w:ascii="Arial" w:hAnsi="Arial" w:cs="Arial"/>
                <w:b/>
                <w:bCs/>
                <w:sz w:val="20"/>
                <w:szCs w:val="20"/>
              </w:rPr>
            </w:pPr>
            <w:r w:rsidRPr="000B66BC">
              <w:rPr>
                <w:rFonts w:ascii="Arial" w:hAnsi="Arial" w:cs="Arial"/>
                <w:b/>
                <w:bCs/>
                <w:sz w:val="20"/>
                <w:szCs w:val="20"/>
              </w:rPr>
              <w:t>Research Method &amp; Sample Size</w:t>
            </w:r>
          </w:p>
        </w:tc>
        <w:tc>
          <w:tcPr>
            <w:tcW w:w="1559" w:type="dxa"/>
          </w:tcPr>
          <w:p w14:paraId="40D4E9ED" w14:textId="77777777" w:rsidR="001F1DC1" w:rsidRPr="000B66BC" w:rsidRDefault="001F1DC1" w:rsidP="000B66BC">
            <w:pPr>
              <w:jc w:val="center"/>
              <w:rPr>
                <w:rFonts w:ascii="Arial" w:hAnsi="Arial" w:cs="Arial"/>
                <w:b/>
                <w:bCs/>
                <w:sz w:val="20"/>
                <w:szCs w:val="20"/>
              </w:rPr>
            </w:pPr>
            <w:r w:rsidRPr="000B66BC">
              <w:rPr>
                <w:rFonts w:ascii="Arial" w:hAnsi="Arial" w:cs="Arial"/>
                <w:b/>
                <w:bCs/>
                <w:sz w:val="20"/>
                <w:szCs w:val="20"/>
              </w:rPr>
              <w:t>Strengths &amp; Limitations</w:t>
            </w:r>
          </w:p>
        </w:tc>
        <w:tc>
          <w:tcPr>
            <w:tcW w:w="1418" w:type="dxa"/>
          </w:tcPr>
          <w:p w14:paraId="431F0496" w14:textId="77777777" w:rsidR="001F1DC1" w:rsidRPr="000B66BC" w:rsidRDefault="001F1DC1" w:rsidP="000B66BC">
            <w:pPr>
              <w:jc w:val="center"/>
              <w:rPr>
                <w:rFonts w:ascii="Arial" w:hAnsi="Arial" w:cs="Arial"/>
                <w:b/>
                <w:bCs/>
                <w:sz w:val="20"/>
                <w:szCs w:val="20"/>
              </w:rPr>
            </w:pPr>
            <w:r w:rsidRPr="000B66BC">
              <w:rPr>
                <w:rFonts w:ascii="Arial" w:hAnsi="Arial" w:cs="Arial"/>
                <w:b/>
                <w:bCs/>
                <w:sz w:val="20"/>
                <w:szCs w:val="20"/>
              </w:rPr>
              <w:t>Main Findings</w:t>
            </w:r>
          </w:p>
        </w:tc>
        <w:tc>
          <w:tcPr>
            <w:tcW w:w="1276" w:type="dxa"/>
          </w:tcPr>
          <w:p w14:paraId="17FFC004" w14:textId="77777777" w:rsidR="001F1DC1" w:rsidRPr="000B66BC" w:rsidRDefault="001F1DC1" w:rsidP="000B66BC">
            <w:pPr>
              <w:jc w:val="center"/>
              <w:rPr>
                <w:rFonts w:ascii="Arial" w:hAnsi="Arial" w:cs="Arial"/>
                <w:b/>
                <w:bCs/>
                <w:sz w:val="20"/>
                <w:szCs w:val="20"/>
              </w:rPr>
            </w:pPr>
            <w:r w:rsidRPr="000B66BC">
              <w:rPr>
                <w:rFonts w:ascii="Arial" w:hAnsi="Arial" w:cs="Arial"/>
                <w:b/>
                <w:bCs/>
                <w:sz w:val="20"/>
                <w:szCs w:val="20"/>
              </w:rPr>
              <w:t>Keywords &amp; Codes</w:t>
            </w:r>
          </w:p>
        </w:tc>
        <w:tc>
          <w:tcPr>
            <w:tcW w:w="1412" w:type="dxa"/>
          </w:tcPr>
          <w:p w14:paraId="497624E8" w14:textId="6A77796E" w:rsidR="001F1DC1" w:rsidRPr="000B66BC" w:rsidRDefault="001F1DC1" w:rsidP="000B66BC">
            <w:pPr>
              <w:jc w:val="center"/>
              <w:rPr>
                <w:rFonts w:ascii="Arial" w:hAnsi="Arial" w:cs="Arial"/>
                <w:b/>
                <w:bCs/>
                <w:sz w:val="20"/>
                <w:szCs w:val="20"/>
              </w:rPr>
            </w:pPr>
            <w:r w:rsidRPr="000B66BC">
              <w:rPr>
                <w:rFonts w:ascii="Arial" w:hAnsi="Arial" w:cs="Arial"/>
                <w:b/>
                <w:bCs/>
                <w:sz w:val="20"/>
                <w:szCs w:val="20"/>
              </w:rPr>
              <w:t>Notes and Commen</w:t>
            </w:r>
            <w:r w:rsidR="003C6100" w:rsidRPr="000B66BC">
              <w:rPr>
                <w:rFonts w:ascii="Arial" w:hAnsi="Arial" w:cs="Arial"/>
                <w:b/>
                <w:bCs/>
                <w:sz w:val="20"/>
                <w:szCs w:val="20"/>
              </w:rPr>
              <w:t>ts</w:t>
            </w:r>
          </w:p>
        </w:tc>
      </w:tr>
      <w:tr w:rsidR="001F1DC1" w:rsidRPr="00B01BC9" w14:paraId="648431A1" w14:textId="77777777" w:rsidTr="004D56CD">
        <w:trPr>
          <w:trHeight w:val="647"/>
        </w:trPr>
        <w:tc>
          <w:tcPr>
            <w:tcW w:w="1418" w:type="dxa"/>
          </w:tcPr>
          <w:p w14:paraId="1ADF81A7" w14:textId="556D5CF8" w:rsidR="001F1DC1" w:rsidRPr="00B01BC9" w:rsidRDefault="001F1DC1" w:rsidP="00534669">
            <w:pPr>
              <w:jc w:val="left"/>
              <w:rPr>
                <w:rFonts w:ascii="Arial" w:hAnsi="Arial" w:cs="Arial"/>
                <w:color w:val="000000"/>
              </w:rPr>
            </w:pPr>
            <w:r w:rsidRPr="00B01BC9">
              <w:rPr>
                <w:rFonts w:ascii="Arial" w:hAnsi="Arial" w:cs="Arial"/>
                <w:color w:val="000000"/>
              </w:rPr>
              <w:t>Arfeen</w:t>
            </w:r>
            <w:r w:rsidR="00481333" w:rsidRPr="00B01BC9">
              <w:rPr>
                <w:rFonts w:ascii="Arial" w:hAnsi="Arial" w:cs="Arial"/>
                <w:color w:val="000000"/>
              </w:rPr>
              <w:t xml:space="preserve"> </w:t>
            </w:r>
            <w:r w:rsidR="00481333" w:rsidRPr="00B01BC9">
              <w:rPr>
                <w:rFonts w:ascii="Arial" w:hAnsi="Arial" w:cs="Arial"/>
                <w:i/>
                <w:iCs/>
                <w:color w:val="000000"/>
              </w:rPr>
              <w:t>et al</w:t>
            </w:r>
            <w:r w:rsidR="00AC58CB">
              <w:rPr>
                <w:rFonts w:ascii="Arial" w:hAnsi="Arial" w:cs="Arial"/>
                <w:i/>
                <w:iCs/>
                <w:color w:val="000000"/>
              </w:rPr>
              <w:t>.,</w:t>
            </w:r>
            <w:r w:rsidRPr="00B01BC9">
              <w:rPr>
                <w:rFonts w:ascii="Arial" w:hAnsi="Arial" w:cs="Arial"/>
                <w:color w:val="000000"/>
              </w:rPr>
              <w:t xml:space="preserve"> (2025)</w:t>
            </w:r>
          </w:p>
          <w:p w14:paraId="4EA6C6C1" w14:textId="0CA8A808" w:rsidR="006E2180" w:rsidRPr="00B01BC9" w:rsidRDefault="00FA199D" w:rsidP="00534669">
            <w:pPr>
              <w:jc w:val="left"/>
              <w:rPr>
                <w:rFonts w:ascii="Arial" w:hAnsi="Arial" w:cs="Arial"/>
              </w:rPr>
            </w:pPr>
            <w:r w:rsidRPr="00B01BC9">
              <w:rPr>
                <w:rFonts w:ascii="Arial" w:hAnsi="Arial" w:cs="Arial"/>
              </w:rPr>
              <w:t>Paper 1</w:t>
            </w:r>
          </w:p>
        </w:tc>
        <w:tc>
          <w:tcPr>
            <w:tcW w:w="1559" w:type="dxa"/>
          </w:tcPr>
          <w:p w14:paraId="6F23AD22" w14:textId="0674DA77" w:rsidR="001F1DC1" w:rsidRPr="00B01BC9" w:rsidRDefault="001F1DC1" w:rsidP="00C44F4E">
            <w:pPr>
              <w:jc w:val="left"/>
              <w:rPr>
                <w:rFonts w:ascii="Arial" w:hAnsi="Arial" w:cs="Arial"/>
              </w:rPr>
            </w:pPr>
            <w:r w:rsidRPr="00B01BC9">
              <w:rPr>
                <w:rFonts w:ascii="Arial" w:hAnsi="Arial" w:cs="Arial"/>
                <w:color w:val="000000"/>
              </w:rPr>
              <w:t>Reliance on Migrant Healthcare Workers in the United Kingdom</w:t>
            </w:r>
            <w:r w:rsidR="006F1A31">
              <w:rPr>
                <w:rFonts w:ascii="Arial" w:hAnsi="Arial" w:cs="Arial"/>
                <w:color w:val="000000"/>
              </w:rPr>
              <w:t>.</w:t>
            </w:r>
            <w:r w:rsidRPr="00B01BC9">
              <w:rPr>
                <w:rFonts w:ascii="Arial" w:hAnsi="Arial" w:cs="Arial"/>
                <w:color w:val="000000"/>
              </w:rPr>
              <w:t xml:space="preserve"> A Critical Discourse Analysis</w:t>
            </w:r>
          </w:p>
        </w:tc>
        <w:tc>
          <w:tcPr>
            <w:tcW w:w="1701" w:type="dxa"/>
          </w:tcPr>
          <w:p w14:paraId="46B5D515" w14:textId="77777777" w:rsidR="001F1DC1" w:rsidRPr="00B01BC9" w:rsidRDefault="001F1DC1" w:rsidP="00C44F4E">
            <w:pPr>
              <w:jc w:val="left"/>
              <w:rPr>
                <w:rFonts w:ascii="Arial" w:hAnsi="Arial" w:cs="Arial"/>
              </w:rPr>
            </w:pPr>
            <w:r w:rsidRPr="00B01BC9">
              <w:rPr>
                <w:rFonts w:ascii="Arial" w:hAnsi="Arial" w:cs="Arial"/>
                <w:color w:val="000000"/>
              </w:rPr>
              <w:t>Critical discourse analysis</w:t>
            </w:r>
          </w:p>
        </w:tc>
        <w:tc>
          <w:tcPr>
            <w:tcW w:w="1559" w:type="dxa"/>
          </w:tcPr>
          <w:p w14:paraId="48BC577A" w14:textId="77777777" w:rsidR="001F1DC1" w:rsidRPr="00B01BC9" w:rsidRDefault="001F1DC1" w:rsidP="00C44F4E">
            <w:pPr>
              <w:jc w:val="left"/>
              <w:rPr>
                <w:rFonts w:ascii="Arial" w:hAnsi="Arial" w:cs="Arial"/>
              </w:rPr>
            </w:pPr>
            <w:r w:rsidRPr="00B01BC9">
              <w:rPr>
                <w:rFonts w:ascii="Arial" w:hAnsi="Arial" w:cs="Arial"/>
                <w:color w:val="000000"/>
              </w:rPr>
              <w:t>Qualitative analysis of policy and workforce discourse relating to migrant healthcare workers in the UK</w:t>
            </w:r>
          </w:p>
        </w:tc>
        <w:tc>
          <w:tcPr>
            <w:tcW w:w="1559" w:type="dxa"/>
          </w:tcPr>
          <w:p w14:paraId="7C74BCC8" w14:textId="042BAD7E" w:rsidR="001F1DC1" w:rsidRPr="00B01BC9" w:rsidRDefault="001F1DC1" w:rsidP="00C44F4E">
            <w:pPr>
              <w:jc w:val="left"/>
              <w:rPr>
                <w:rFonts w:ascii="Arial" w:hAnsi="Arial" w:cs="Arial"/>
              </w:rPr>
            </w:pPr>
            <w:r w:rsidRPr="00B01BC9">
              <w:rPr>
                <w:rFonts w:ascii="Arial" w:hAnsi="Arial" w:cs="Arial"/>
                <w:color w:val="000000"/>
              </w:rPr>
              <w:t>Strengths</w:t>
            </w:r>
            <w:r w:rsidR="00875489">
              <w:rPr>
                <w:rFonts w:ascii="Arial" w:hAnsi="Arial" w:cs="Arial"/>
                <w:color w:val="000000"/>
              </w:rPr>
              <w:t>:</w:t>
            </w:r>
            <w:r w:rsidRPr="00B01BC9">
              <w:rPr>
                <w:rFonts w:ascii="Arial" w:hAnsi="Arial" w:cs="Arial"/>
                <w:color w:val="000000"/>
              </w:rPr>
              <w:t xml:space="preserve"> Recent, UK-focused, policy relevance. Limitations: Does not focus exclusively on ASC workforce.</w:t>
            </w:r>
          </w:p>
        </w:tc>
        <w:tc>
          <w:tcPr>
            <w:tcW w:w="1418" w:type="dxa"/>
          </w:tcPr>
          <w:p w14:paraId="257B4037" w14:textId="77777777" w:rsidR="001F1DC1" w:rsidRPr="00B01BC9" w:rsidRDefault="001F1DC1" w:rsidP="00C44F4E">
            <w:pPr>
              <w:jc w:val="left"/>
              <w:rPr>
                <w:rFonts w:ascii="Arial" w:hAnsi="Arial" w:cs="Arial"/>
              </w:rPr>
            </w:pPr>
            <w:r w:rsidRPr="00B01BC9">
              <w:rPr>
                <w:rFonts w:ascii="Arial" w:hAnsi="Arial" w:cs="Arial"/>
                <w:color w:val="000000"/>
              </w:rPr>
              <w:t>UK health and care services increasingly rely on migrant workers to address workforce shortages</w:t>
            </w:r>
          </w:p>
        </w:tc>
        <w:tc>
          <w:tcPr>
            <w:tcW w:w="1276" w:type="dxa"/>
          </w:tcPr>
          <w:p w14:paraId="045B45B1" w14:textId="1FCE6139" w:rsidR="001F1DC1" w:rsidRPr="00B01BC9" w:rsidRDefault="001F1DC1" w:rsidP="00C44F4E">
            <w:pPr>
              <w:jc w:val="left"/>
              <w:rPr>
                <w:rFonts w:ascii="Arial" w:hAnsi="Arial" w:cs="Arial"/>
              </w:rPr>
            </w:pPr>
            <w:r w:rsidRPr="00B01BC9">
              <w:rPr>
                <w:rFonts w:ascii="Arial" w:hAnsi="Arial" w:cs="Arial"/>
                <w:color w:val="000000"/>
              </w:rPr>
              <w:t>Workforce shortages</w:t>
            </w:r>
            <w:r w:rsidR="00F440D6">
              <w:rPr>
                <w:rFonts w:ascii="Arial" w:hAnsi="Arial" w:cs="Arial"/>
                <w:color w:val="000000"/>
              </w:rPr>
              <w:t>,</w:t>
            </w:r>
            <w:r w:rsidRPr="00B01BC9">
              <w:rPr>
                <w:rFonts w:ascii="Arial" w:hAnsi="Arial" w:cs="Arial"/>
                <w:color w:val="000000"/>
              </w:rPr>
              <w:t xml:space="preserve"> migrant labour</w:t>
            </w:r>
            <w:r w:rsidR="00F440D6">
              <w:rPr>
                <w:rFonts w:ascii="Arial" w:hAnsi="Arial" w:cs="Arial"/>
                <w:color w:val="000000"/>
              </w:rPr>
              <w:t xml:space="preserve">, </w:t>
            </w:r>
            <w:r w:rsidRPr="00B01BC9">
              <w:rPr>
                <w:rFonts w:ascii="Arial" w:hAnsi="Arial" w:cs="Arial"/>
                <w:color w:val="000000"/>
              </w:rPr>
              <w:t>recruitment</w:t>
            </w:r>
            <w:r w:rsidR="007D4336">
              <w:rPr>
                <w:rFonts w:ascii="Arial" w:hAnsi="Arial" w:cs="Arial"/>
                <w:color w:val="000000"/>
              </w:rPr>
              <w:t xml:space="preserve"> </w:t>
            </w:r>
            <w:r w:rsidRPr="00B01BC9">
              <w:rPr>
                <w:rFonts w:ascii="Arial" w:hAnsi="Arial" w:cs="Arial"/>
                <w:color w:val="000000"/>
              </w:rPr>
              <w:t>sustainability</w:t>
            </w:r>
          </w:p>
        </w:tc>
        <w:tc>
          <w:tcPr>
            <w:tcW w:w="1412" w:type="dxa"/>
          </w:tcPr>
          <w:p w14:paraId="12807138" w14:textId="77777777" w:rsidR="001F1DC1" w:rsidRPr="00B01BC9" w:rsidRDefault="001F1DC1" w:rsidP="00C44F4E">
            <w:pPr>
              <w:jc w:val="left"/>
              <w:rPr>
                <w:rFonts w:ascii="Arial" w:hAnsi="Arial" w:cs="Arial"/>
              </w:rPr>
            </w:pPr>
            <w:r w:rsidRPr="00B01BC9">
              <w:rPr>
                <w:rFonts w:ascii="Arial" w:hAnsi="Arial" w:cs="Arial"/>
                <w:color w:val="000000"/>
              </w:rPr>
              <w:t>Strong evidence for Theme 1 and Theme 2. Highlights growing dependence on migrant labour.</w:t>
            </w:r>
          </w:p>
        </w:tc>
      </w:tr>
      <w:tr w:rsidR="001F1DC1" w:rsidRPr="00B01BC9" w14:paraId="4300D226" w14:textId="77777777" w:rsidTr="004D56CD">
        <w:trPr>
          <w:trHeight w:val="616"/>
        </w:trPr>
        <w:tc>
          <w:tcPr>
            <w:tcW w:w="1418" w:type="dxa"/>
          </w:tcPr>
          <w:p w14:paraId="4EDC3373" w14:textId="77777777" w:rsidR="001F1DC1" w:rsidRPr="00B01BC9" w:rsidRDefault="001F1DC1" w:rsidP="00C44F4E">
            <w:pPr>
              <w:jc w:val="left"/>
              <w:rPr>
                <w:rFonts w:ascii="Arial" w:hAnsi="Arial" w:cs="Arial"/>
                <w:color w:val="000000"/>
              </w:rPr>
            </w:pPr>
            <w:r w:rsidRPr="00B01BC9">
              <w:rPr>
                <w:rFonts w:ascii="Arial" w:hAnsi="Arial" w:cs="Arial"/>
                <w:color w:val="000000"/>
              </w:rPr>
              <w:t>Turnpenny and Hussein (2022)</w:t>
            </w:r>
          </w:p>
          <w:p w14:paraId="3E70E7D9" w14:textId="01127765" w:rsidR="00FA199D" w:rsidRPr="00B01BC9" w:rsidRDefault="00FA199D" w:rsidP="00C44F4E">
            <w:pPr>
              <w:jc w:val="left"/>
              <w:rPr>
                <w:rFonts w:ascii="Arial" w:hAnsi="Arial" w:cs="Arial"/>
              </w:rPr>
            </w:pPr>
            <w:r w:rsidRPr="00B01BC9">
              <w:rPr>
                <w:rFonts w:ascii="Arial" w:hAnsi="Arial" w:cs="Arial"/>
              </w:rPr>
              <w:t>Paper 2</w:t>
            </w:r>
          </w:p>
        </w:tc>
        <w:tc>
          <w:tcPr>
            <w:tcW w:w="1559" w:type="dxa"/>
          </w:tcPr>
          <w:tbl>
            <w:tblPr>
              <w:tblW w:w="1073"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1073"/>
            </w:tblGrid>
            <w:tr w:rsidR="001F1DC1" w:rsidRPr="00B01BC9" w14:paraId="6E95965F" w14:textId="77777777" w:rsidTr="0032162D">
              <w:trPr>
                <w:trHeight w:val="145"/>
                <w:tblCellSpacing w:w="15" w:type="dxa"/>
              </w:trPr>
              <w:tc>
                <w:tcPr>
                  <w:tcW w:w="1327" w:type="dxa"/>
                  <w:vAlign w:val="center"/>
                  <w:hideMark/>
                </w:tcPr>
                <w:p w14:paraId="0C7B3B10" w14:textId="6D8630E2" w:rsidR="001F1DC1" w:rsidRPr="00B01BC9" w:rsidRDefault="001F1DC1" w:rsidP="00346081">
                  <w:pPr>
                    <w:framePr w:hSpace="180" w:wrap="around" w:vAnchor="text" w:hAnchor="page" w:x="-1611" w:y="-1445"/>
                    <w:jc w:val="left"/>
                    <w:rPr>
                      <w:rFonts w:ascii="Arial" w:eastAsia="Times New Roman" w:hAnsi="Arial" w:cs="Arial"/>
                      <w:color w:val="000000"/>
                      <w:lang w:eastAsia="en-GB"/>
                    </w:rPr>
                  </w:pPr>
                  <w:r w:rsidRPr="00B01BC9">
                    <w:rPr>
                      <w:rFonts w:ascii="Arial" w:hAnsi="Arial" w:cs="Arial"/>
                      <w:color w:val="000000"/>
                    </w:rPr>
                    <w:t>Migrant Home Care Workers in the UK a Scoping Review of Outcomes and Sustainability and Implications in the Context of Brexit</w:t>
                  </w:r>
                </w:p>
              </w:tc>
            </w:tr>
          </w:tbl>
          <w:p w14:paraId="7BB6B83D" w14:textId="77777777" w:rsidR="001F1DC1" w:rsidRPr="00B01BC9" w:rsidRDefault="001F1DC1" w:rsidP="00C44F4E">
            <w:pPr>
              <w:jc w:val="left"/>
              <w:rPr>
                <w:rFonts w:ascii="Arial" w:hAnsi="Arial" w:cs="Arial"/>
                <w:vanish/>
              </w:rPr>
            </w:pPr>
          </w:p>
          <w:tbl>
            <w:tblPr>
              <w:tblW w:w="74"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1F1DC1" w:rsidRPr="00B01BC9" w14:paraId="0A9B9B3E" w14:textId="77777777" w:rsidTr="0032162D">
              <w:trPr>
                <w:trHeight w:val="145"/>
                <w:tblCellSpacing w:w="15" w:type="dxa"/>
              </w:trPr>
              <w:tc>
                <w:tcPr>
                  <w:tcW w:w="36" w:type="dxa"/>
                  <w:vAlign w:val="center"/>
                  <w:hideMark/>
                </w:tcPr>
                <w:p w14:paraId="2BC6F46C" w14:textId="34ECE37C" w:rsidR="001F1DC1" w:rsidRPr="00B01BC9" w:rsidRDefault="001F1DC1" w:rsidP="00346081">
                  <w:pPr>
                    <w:framePr w:hSpace="180" w:wrap="around" w:vAnchor="text" w:hAnchor="page" w:x="-1611" w:y="-1445"/>
                    <w:jc w:val="left"/>
                    <w:rPr>
                      <w:rFonts w:ascii="Arial" w:hAnsi="Arial" w:cs="Arial"/>
                      <w:color w:val="000000"/>
                    </w:rPr>
                  </w:pPr>
                </w:p>
              </w:tc>
            </w:tr>
          </w:tbl>
          <w:p w14:paraId="0E9F625B" w14:textId="77777777" w:rsidR="001F1DC1" w:rsidRPr="00B01BC9" w:rsidRDefault="001F1DC1" w:rsidP="00C44F4E">
            <w:pPr>
              <w:jc w:val="left"/>
              <w:rPr>
                <w:rFonts w:ascii="Arial" w:hAnsi="Arial" w:cs="Arial"/>
              </w:rPr>
            </w:pPr>
          </w:p>
        </w:tc>
        <w:tc>
          <w:tcPr>
            <w:tcW w:w="1701" w:type="dxa"/>
          </w:tcPr>
          <w:tbl>
            <w:tblPr>
              <w:tblW w:w="724"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724"/>
            </w:tblGrid>
            <w:tr w:rsidR="001F1DC1" w:rsidRPr="00B01BC9" w14:paraId="2424E4B7" w14:textId="77777777" w:rsidTr="0032162D">
              <w:trPr>
                <w:trHeight w:val="145"/>
                <w:tblCellSpacing w:w="15" w:type="dxa"/>
              </w:trPr>
              <w:tc>
                <w:tcPr>
                  <w:tcW w:w="826" w:type="dxa"/>
                  <w:vAlign w:val="center"/>
                  <w:hideMark/>
                </w:tcPr>
                <w:p w14:paraId="138D05D1" w14:textId="0FB7397B" w:rsidR="001F1DC1" w:rsidRPr="00B01BC9" w:rsidRDefault="001F1DC1" w:rsidP="00346081">
                  <w:pPr>
                    <w:framePr w:hSpace="180" w:wrap="around" w:vAnchor="text" w:hAnchor="page" w:x="-1611" w:y="-1445"/>
                    <w:jc w:val="left"/>
                    <w:rPr>
                      <w:rFonts w:ascii="Arial" w:eastAsia="Times New Roman" w:hAnsi="Arial" w:cs="Arial"/>
                      <w:color w:val="000000"/>
                      <w:lang w:eastAsia="en-GB"/>
                    </w:rPr>
                  </w:pPr>
                  <w:r w:rsidRPr="00B01BC9">
                    <w:rPr>
                      <w:rFonts w:ascii="Arial" w:hAnsi="Arial" w:cs="Arial"/>
                      <w:color w:val="000000"/>
                    </w:rPr>
                    <w:t>Scoping revi</w:t>
                  </w:r>
                  <w:r w:rsidR="00F230B3">
                    <w:rPr>
                      <w:rFonts w:ascii="Arial" w:hAnsi="Arial" w:cs="Arial"/>
                      <w:color w:val="000000"/>
                    </w:rPr>
                    <w:t>e</w:t>
                  </w:r>
                  <w:r w:rsidRPr="00B01BC9">
                    <w:rPr>
                      <w:rFonts w:ascii="Arial" w:hAnsi="Arial" w:cs="Arial"/>
                      <w:color w:val="000000"/>
                    </w:rPr>
                    <w:t>w</w:t>
                  </w:r>
                </w:p>
              </w:tc>
            </w:tr>
          </w:tbl>
          <w:p w14:paraId="36670664" w14:textId="77777777" w:rsidR="001F1DC1" w:rsidRPr="00B01BC9" w:rsidRDefault="001F1DC1" w:rsidP="00C44F4E">
            <w:pPr>
              <w:jc w:val="left"/>
              <w:rPr>
                <w:rFonts w:ascii="Arial" w:hAnsi="Arial" w:cs="Arial"/>
                <w:vanish/>
              </w:rPr>
            </w:pPr>
          </w:p>
          <w:tbl>
            <w:tblPr>
              <w:tblW w:w="74"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1F1DC1" w:rsidRPr="00B01BC9" w14:paraId="533ABA57" w14:textId="77777777" w:rsidTr="0032162D">
              <w:trPr>
                <w:trHeight w:val="145"/>
                <w:tblCellSpacing w:w="15" w:type="dxa"/>
              </w:trPr>
              <w:tc>
                <w:tcPr>
                  <w:tcW w:w="36" w:type="dxa"/>
                  <w:vAlign w:val="center"/>
                  <w:hideMark/>
                </w:tcPr>
                <w:p w14:paraId="296CEFDD" w14:textId="77777777" w:rsidR="001F1DC1" w:rsidRPr="00B01BC9" w:rsidRDefault="001F1DC1" w:rsidP="00346081">
                  <w:pPr>
                    <w:framePr w:hSpace="180" w:wrap="around" w:vAnchor="text" w:hAnchor="page" w:x="-1611" w:y="-1445"/>
                    <w:jc w:val="left"/>
                    <w:rPr>
                      <w:rFonts w:ascii="Arial" w:hAnsi="Arial" w:cs="Arial"/>
                    </w:rPr>
                  </w:pPr>
                </w:p>
              </w:tc>
            </w:tr>
          </w:tbl>
          <w:p w14:paraId="0F0B7945" w14:textId="77777777" w:rsidR="001F1DC1" w:rsidRPr="00B01BC9" w:rsidRDefault="001F1DC1" w:rsidP="00C44F4E">
            <w:pPr>
              <w:jc w:val="left"/>
              <w:rPr>
                <w:rFonts w:ascii="Arial" w:hAnsi="Arial" w:cs="Arial"/>
              </w:rPr>
            </w:pPr>
          </w:p>
        </w:tc>
        <w:tc>
          <w:tcPr>
            <w:tcW w:w="1559" w:type="dxa"/>
          </w:tcPr>
          <w:p w14:paraId="4638017D" w14:textId="77777777" w:rsidR="001F1DC1" w:rsidRPr="00B01BC9" w:rsidRDefault="001F1DC1" w:rsidP="00C44F4E">
            <w:pPr>
              <w:jc w:val="left"/>
              <w:rPr>
                <w:rFonts w:ascii="Arial" w:hAnsi="Arial" w:cs="Arial"/>
              </w:rPr>
            </w:pPr>
            <w:r w:rsidRPr="00B01BC9">
              <w:rPr>
                <w:rFonts w:ascii="Arial" w:hAnsi="Arial" w:cs="Arial"/>
                <w:color w:val="000000"/>
              </w:rPr>
              <w:t>Review of literature relating to migrant home care workers in the UK</w:t>
            </w:r>
          </w:p>
        </w:tc>
        <w:tc>
          <w:tcPr>
            <w:tcW w:w="1559" w:type="dxa"/>
          </w:tcPr>
          <w:p w14:paraId="6D9E05CE" w14:textId="77777777" w:rsidR="001F1DC1" w:rsidRPr="00B01BC9" w:rsidRDefault="001F1DC1" w:rsidP="00C44F4E">
            <w:pPr>
              <w:jc w:val="left"/>
              <w:rPr>
                <w:rFonts w:ascii="Arial" w:hAnsi="Arial" w:cs="Arial"/>
              </w:rPr>
            </w:pPr>
            <w:r w:rsidRPr="00B01BC9">
              <w:rPr>
                <w:rFonts w:ascii="Arial" w:hAnsi="Arial" w:cs="Arial"/>
                <w:color w:val="000000"/>
              </w:rPr>
              <w:t>Strengths: UK-specific, comprehensive review. Limitations: Secondary data only.</w:t>
            </w:r>
          </w:p>
        </w:tc>
        <w:tc>
          <w:tcPr>
            <w:tcW w:w="1418" w:type="dxa"/>
          </w:tcPr>
          <w:p w14:paraId="6251912B" w14:textId="77777777" w:rsidR="001F1DC1" w:rsidRPr="00B01BC9" w:rsidRDefault="001F1DC1" w:rsidP="00C44F4E">
            <w:pPr>
              <w:jc w:val="left"/>
              <w:rPr>
                <w:rFonts w:ascii="Arial" w:hAnsi="Arial" w:cs="Arial"/>
              </w:rPr>
            </w:pPr>
            <w:r w:rsidRPr="00B01BC9">
              <w:rPr>
                <w:rFonts w:ascii="Arial" w:hAnsi="Arial" w:cs="Arial"/>
                <w:color w:val="000000"/>
              </w:rPr>
              <w:t>Migrant workers play a vital role in sustaining home care services but face challenges linked to Brexit and workforce instability.</w:t>
            </w:r>
          </w:p>
        </w:tc>
        <w:tc>
          <w:tcPr>
            <w:tcW w:w="1276" w:type="dxa"/>
          </w:tcPr>
          <w:p w14:paraId="6E3AF6A9" w14:textId="48A0A8B0" w:rsidR="001F1DC1" w:rsidRPr="00B01BC9" w:rsidRDefault="001F1DC1" w:rsidP="00C44F4E">
            <w:pPr>
              <w:jc w:val="left"/>
              <w:rPr>
                <w:rFonts w:ascii="Arial" w:hAnsi="Arial" w:cs="Arial"/>
              </w:rPr>
            </w:pPr>
            <w:r w:rsidRPr="00B01BC9">
              <w:rPr>
                <w:rFonts w:ascii="Arial" w:hAnsi="Arial" w:cs="Arial"/>
                <w:color w:val="000000"/>
              </w:rPr>
              <w:t>Workforce sustainability</w:t>
            </w:r>
            <w:r w:rsidR="00056F6F">
              <w:rPr>
                <w:rFonts w:ascii="Arial" w:hAnsi="Arial" w:cs="Arial"/>
                <w:color w:val="000000"/>
              </w:rPr>
              <w:t>,</w:t>
            </w:r>
            <w:r w:rsidRPr="00B01BC9">
              <w:rPr>
                <w:rFonts w:ascii="Arial" w:hAnsi="Arial" w:cs="Arial"/>
                <w:color w:val="000000"/>
              </w:rPr>
              <w:t xml:space="preserve"> </w:t>
            </w:r>
            <w:r w:rsidR="00856091" w:rsidRPr="00B01BC9">
              <w:rPr>
                <w:rFonts w:ascii="Arial" w:hAnsi="Arial" w:cs="Arial"/>
                <w:color w:val="000000"/>
              </w:rPr>
              <w:t>Brexit</w:t>
            </w:r>
            <w:r w:rsidR="00856091">
              <w:rPr>
                <w:rFonts w:ascii="Arial" w:hAnsi="Arial" w:cs="Arial"/>
                <w:color w:val="000000"/>
              </w:rPr>
              <w:t>,</w:t>
            </w:r>
            <w:r w:rsidR="00856091" w:rsidRPr="00B01BC9">
              <w:rPr>
                <w:rFonts w:ascii="Arial" w:hAnsi="Arial" w:cs="Arial"/>
                <w:color w:val="000000"/>
              </w:rPr>
              <w:t xml:space="preserve"> migrant</w:t>
            </w:r>
            <w:r w:rsidRPr="00B01BC9">
              <w:rPr>
                <w:rFonts w:ascii="Arial" w:hAnsi="Arial" w:cs="Arial"/>
                <w:color w:val="000000"/>
              </w:rPr>
              <w:t xml:space="preserve"> care workers</w:t>
            </w:r>
            <w:r w:rsidR="00377AD3">
              <w:rPr>
                <w:rFonts w:ascii="Arial" w:hAnsi="Arial" w:cs="Arial"/>
                <w:color w:val="000000"/>
              </w:rPr>
              <w:t xml:space="preserve">, </w:t>
            </w:r>
            <w:r w:rsidRPr="00B01BC9">
              <w:rPr>
                <w:rFonts w:ascii="Arial" w:hAnsi="Arial" w:cs="Arial"/>
                <w:color w:val="000000"/>
              </w:rPr>
              <w:t>retention</w:t>
            </w:r>
          </w:p>
        </w:tc>
        <w:tc>
          <w:tcPr>
            <w:tcW w:w="1412" w:type="dxa"/>
          </w:tcPr>
          <w:p w14:paraId="67159BA4" w14:textId="77777777" w:rsidR="001F1DC1" w:rsidRPr="00B01BC9" w:rsidRDefault="001F1DC1" w:rsidP="00C44F4E">
            <w:pPr>
              <w:jc w:val="left"/>
              <w:rPr>
                <w:rFonts w:ascii="Arial" w:hAnsi="Arial" w:cs="Arial"/>
              </w:rPr>
            </w:pPr>
            <w:r w:rsidRPr="00B01BC9">
              <w:rPr>
                <w:rFonts w:ascii="Arial" w:hAnsi="Arial" w:cs="Arial"/>
                <w:color w:val="000000"/>
              </w:rPr>
              <w:t>Relevant across all three themes. Strong link between migration and workforce sustainability.</w:t>
            </w:r>
          </w:p>
        </w:tc>
      </w:tr>
      <w:tr w:rsidR="001F1DC1" w:rsidRPr="00B01BC9" w14:paraId="30307EDE" w14:textId="77777777" w:rsidTr="004D56CD">
        <w:trPr>
          <w:trHeight w:val="616"/>
        </w:trPr>
        <w:tc>
          <w:tcPr>
            <w:tcW w:w="1418" w:type="dxa"/>
          </w:tcPr>
          <w:p w14:paraId="5585905E" w14:textId="50EF1E9D" w:rsidR="001F1DC1" w:rsidRPr="00B01BC9" w:rsidRDefault="001F1DC1" w:rsidP="00C44F4E">
            <w:pPr>
              <w:jc w:val="left"/>
              <w:rPr>
                <w:rFonts w:ascii="Arial" w:hAnsi="Arial" w:cs="Arial"/>
                <w:color w:val="000000"/>
              </w:rPr>
            </w:pPr>
            <w:r w:rsidRPr="00B01BC9">
              <w:rPr>
                <w:rFonts w:ascii="Arial" w:hAnsi="Arial" w:cs="Arial"/>
                <w:color w:val="000000"/>
              </w:rPr>
              <w:t>Marino and Keizer (2</w:t>
            </w:r>
            <w:r w:rsidR="009E7150" w:rsidRPr="00B01BC9">
              <w:rPr>
                <w:rFonts w:ascii="Arial" w:hAnsi="Arial" w:cs="Arial"/>
                <w:color w:val="000000"/>
              </w:rPr>
              <w:t>0</w:t>
            </w:r>
            <w:r w:rsidR="00340C39" w:rsidRPr="00B01BC9">
              <w:rPr>
                <w:rFonts w:ascii="Arial" w:hAnsi="Arial" w:cs="Arial"/>
                <w:color w:val="000000"/>
              </w:rPr>
              <w:t>23</w:t>
            </w:r>
            <w:r w:rsidR="009E7150" w:rsidRPr="00B01BC9">
              <w:rPr>
                <w:rFonts w:ascii="Arial" w:hAnsi="Arial" w:cs="Arial"/>
                <w:color w:val="000000"/>
              </w:rPr>
              <w:t>)</w:t>
            </w:r>
          </w:p>
          <w:p w14:paraId="118AC10B" w14:textId="0048612C" w:rsidR="00FA199D" w:rsidRPr="00B01BC9" w:rsidRDefault="00FA199D" w:rsidP="00C44F4E">
            <w:pPr>
              <w:jc w:val="left"/>
              <w:rPr>
                <w:rFonts w:ascii="Arial" w:hAnsi="Arial" w:cs="Arial"/>
              </w:rPr>
            </w:pPr>
            <w:r w:rsidRPr="00B01BC9">
              <w:rPr>
                <w:rFonts w:ascii="Arial" w:hAnsi="Arial" w:cs="Arial"/>
              </w:rPr>
              <w:t>Paper 3</w:t>
            </w:r>
          </w:p>
        </w:tc>
        <w:tc>
          <w:tcPr>
            <w:tcW w:w="1559" w:type="dxa"/>
          </w:tcPr>
          <w:tbl>
            <w:tblPr>
              <w:tblW w:w="988"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988"/>
            </w:tblGrid>
            <w:tr w:rsidR="00363318" w:rsidRPr="00B01BC9" w14:paraId="079A76C8" w14:textId="77777777" w:rsidTr="0032162D">
              <w:trPr>
                <w:trHeight w:val="145"/>
                <w:tblCellSpacing w:w="15" w:type="dxa"/>
              </w:trPr>
              <w:tc>
                <w:tcPr>
                  <w:tcW w:w="1217" w:type="dxa"/>
                  <w:vAlign w:val="center"/>
                  <w:hideMark/>
                </w:tcPr>
                <w:p w14:paraId="725024A3" w14:textId="77777777" w:rsidR="00363318" w:rsidRPr="00B01BC9" w:rsidRDefault="00363318" w:rsidP="00346081">
                  <w:pPr>
                    <w:framePr w:hSpace="180" w:wrap="around" w:vAnchor="text" w:hAnchor="page" w:x="-1611" w:y="-1445"/>
                    <w:jc w:val="left"/>
                    <w:rPr>
                      <w:rFonts w:ascii="Arial" w:eastAsia="Times New Roman" w:hAnsi="Arial" w:cs="Arial"/>
                      <w:color w:val="000000"/>
                      <w:lang w:eastAsia="en-GB"/>
                    </w:rPr>
                  </w:pPr>
                  <w:r w:rsidRPr="00B01BC9">
                    <w:rPr>
                      <w:rFonts w:ascii="Arial" w:hAnsi="Arial" w:cs="Arial"/>
                      <w:color w:val="000000"/>
                    </w:rPr>
                    <w:t xml:space="preserve">Labour Market Regulation and the Demand for </w:t>
                  </w:r>
                  <w:r w:rsidRPr="00B01BC9">
                    <w:rPr>
                      <w:rFonts w:ascii="Arial" w:hAnsi="Arial" w:cs="Arial"/>
                      <w:color w:val="000000"/>
                    </w:rPr>
                    <w:lastRenderedPageBreak/>
                    <w:t>Migrant Labour: A Comparison of the Adult Social Care Sector in England and the Netherlands</w:t>
                  </w:r>
                </w:p>
              </w:tc>
            </w:tr>
          </w:tbl>
          <w:p w14:paraId="4BCB89FB" w14:textId="77777777" w:rsidR="00363318" w:rsidRPr="00B01BC9" w:rsidRDefault="00363318" w:rsidP="00C44F4E">
            <w:pPr>
              <w:jc w:val="left"/>
              <w:rPr>
                <w:rFonts w:ascii="Arial" w:hAnsi="Arial" w:cs="Arial"/>
                <w:vanish/>
              </w:rPr>
            </w:pPr>
          </w:p>
          <w:tbl>
            <w:tblPr>
              <w:tblW w:w="74"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363318" w:rsidRPr="00B01BC9" w14:paraId="7A7047C9" w14:textId="77777777" w:rsidTr="0032162D">
              <w:trPr>
                <w:trHeight w:val="12"/>
                <w:tblCellSpacing w:w="15" w:type="dxa"/>
              </w:trPr>
              <w:tc>
                <w:tcPr>
                  <w:tcW w:w="36" w:type="dxa"/>
                  <w:vAlign w:val="center"/>
                  <w:hideMark/>
                </w:tcPr>
                <w:p w14:paraId="5A794C48" w14:textId="77777777" w:rsidR="00363318" w:rsidRPr="00B01BC9" w:rsidRDefault="00363318" w:rsidP="00346081">
                  <w:pPr>
                    <w:framePr w:hSpace="180" w:wrap="around" w:vAnchor="text" w:hAnchor="page" w:x="-1611" w:y="-1445"/>
                    <w:jc w:val="left"/>
                    <w:rPr>
                      <w:rFonts w:ascii="Arial" w:hAnsi="Arial" w:cs="Arial"/>
                    </w:rPr>
                  </w:pPr>
                </w:p>
              </w:tc>
            </w:tr>
          </w:tbl>
          <w:p w14:paraId="131C702E" w14:textId="77777777" w:rsidR="001F1DC1" w:rsidRPr="00B01BC9" w:rsidRDefault="001F1DC1" w:rsidP="00C44F4E">
            <w:pPr>
              <w:jc w:val="left"/>
              <w:rPr>
                <w:rFonts w:ascii="Arial" w:hAnsi="Arial" w:cs="Arial"/>
              </w:rPr>
            </w:pPr>
          </w:p>
        </w:tc>
        <w:tc>
          <w:tcPr>
            <w:tcW w:w="1701" w:type="dxa"/>
          </w:tcPr>
          <w:tbl>
            <w:tblPr>
              <w:tblW w:w="1035"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1035"/>
            </w:tblGrid>
            <w:tr w:rsidR="00363318" w:rsidRPr="00B01BC9" w14:paraId="7D1112F3" w14:textId="77777777" w:rsidTr="0032162D">
              <w:trPr>
                <w:trHeight w:val="145"/>
                <w:tblCellSpacing w:w="15" w:type="dxa"/>
              </w:trPr>
              <w:tc>
                <w:tcPr>
                  <w:tcW w:w="1278" w:type="dxa"/>
                  <w:vAlign w:val="center"/>
                  <w:hideMark/>
                </w:tcPr>
                <w:p w14:paraId="546D382E" w14:textId="77777777" w:rsidR="00363318" w:rsidRPr="00B01BC9" w:rsidRDefault="00363318" w:rsidP="00346081">
                  <w:pPr>
                    <w:framePr w:hSpace="180" w:wrap="around" w:vAnchor="text" w:hAnchor="page" w:x="-1611" w:y="-1445"/>
                    <w:jc w:val="left"/>
                    <w:rPr>
                      <w:rFonts w:ascii="Arial" w:eastAsia="Times New Roman" w:hAnsi="Arial" w:cs="Arial"/>
                      <w:color w:val="000000"/>
                      <w:lang w:eastAsia="en-GB"/>
                    </w:rPr>
                  </w:pPr>
                  <w:r w:rsidRPr="00B01BC9">
                    <w:rPr>
                      <w:rFonts w:ascii="Arial" w:hAnsi="Arial" w:cs="Arial"/>
                      <w:color w:val="000000"/>
                    </w:rPr>
                    <w:lastRenderedPageBreak/>
                    <w:t>Comparative study</w:t>
                  </w:r>
                </w:p>
              </w:tc>
            </w:tr>
          </w:tbl>
          <w:p w14:paraId="1310F71B" w14:textId="77777777" w:rsidR="00363318" w:rsidRPr="00B01BC9" w:rsidRDefault="00363318" w:rsidP="00C44F4E">
            <w:pPr>
              <w:jc w:val="left"/>
              <w:rPr>
                <w:rFonts w:ascii="Arial" w:hAnsi="Arial" w:cs="Arial"/>
                <w:vanish/>
              </w:rPr>
            </w:pPr>
          </w:p>
          <w:tbl>
            <w:tblPr>
              <w:tblW w:w="74"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363318" w:rsidRPr="00B01BC9" w14:paraId="3508CA9F" w14:textId="77777777" w:rsidTr="0032162D">
              <w:trPr>
                <w:trHeight w:val="145"/>
                <w:tblCellSpacing w:w="15" w:type="dxa"/>
              </w:trPr>
              <w:tc>
                <w:tcPr>
                  <w:tcW w:w="36" w:type="dxa"/>
                  <w:vAlign w:val="center"/>
                  <w:hideMark/>
                </w:tcPr>
                <w:p w14:paraId="0CE47FD5" w14:textId="77777777" w:rsidR="00363318" w:rsidRPr="00B01BC9" w:rsidRDefault="00363318" w:rsidP="00346081">
                  <w:pPr>
                    <w:framePr w:hSpace="180" w:wrap="around" w:vAnchor="text" w:hAnchor="page" w:x="-1611" w:y="-1445"/>
                    <w:jc w:val="left"/>
                    <w:rPr>
                      <w:rFonts w:ascii="Arial" w:hAnsi="Arial" w:cs="Arial"/>
                    </w:rPr>
                  </w:pPr>
                </w:p>
              </w:tc>
            </w:tr>
          </w:tbl>
          <w:p w14:paraId="45085C7E" w14:textId="77777777" w:rsidR="001F1DC1" w:rsidRPr="00B01BC9" w:rsidRDefault="001F1DC1" w:rsidP="00C44F4E">
            <w:pPr>
              <w:jc w:val="left"/>
              <w:rPr>
                <w:rFonts w:ascii="Arial" w:hAnsi="Arial" w:cs="Arial"/>
              </w:rPr>
            </w:pPr>
          </w:p>
        </w:tc>
        <w:tc>
          <w:tcPr>
            <w:tcW w:w="1559" w:type="dxa"/>
          </w:tcPr>
          <w:p w14:paraId="6CD1280F" w14:textId="0D6A80B4" w:rsidR="001F1DC1" w:rsidRPr="00B01BC9" w:rsidRDefault="00363318" w:rsidP="00C44F4E">
            <w:pPr>
              <w:jc w:val="left"/>
              <w:rPr>
                <w:rFonts w:ascii="Arial" w:hAnsi="Arial" w:cs="Arial"/>
              </w:rPr>
            </w:pPr>
            <w:r w:rsidRPr="00B01BC9">
              <w:rPr>
                <w:rFonts w:ascii="Arial" w:hAnsi="Arial" w:cs="Arial"/>
                <w:color w:val="000000"/>
              </w:rPr>
              <w:t xml:space="preserve">Comparative analysis of labour market regulation in England and </w:t>
            </w:r>
            <w:r w:rsidRPr="00B01BC9">
              <w:rPr>
                <w:rFonts w:ascii="Arial" w:hAnsi="Arial" w:cs="Arial"/>
                <w:color w:val="000000"/>
              </w:rPr>
              <w:lastRenderedPageBreak/>
              <w:t>the Netherlands</w:t>
            </w:r>
          </w:p>
        </w:tc>
        <w:tc>
          <w:tcPr>
            <w:tcW w:w="1559" w:type="dxa"/>
          </w:tcPr>
          <w:tbl>
            <w:tblPr>
              <w:tblW w:w="1006"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1006"/>
            </w:tblGrid>
            <w:tr w:rsidR="00363318" w:rsidRPr="00B01BC9" w14:paraId="4C34DCCE" w14:textId="77777777" w:rsidTr="0032162D">
              <w:trPr>
                <w:trHeight w:val="145"/>
                <w:tblCellSpacing w:w="15" w:type="dxa"/>
              </w:trPr>
              <w:tc>
                <w:tcPr>
                  <w:tcW w:w="1241" w:type="dxa"/>
                  <w:vAlign w:val="center"/>
                  <w:hideMark/>
                </w:tcPr>
                <w:p w14:paraId="633A3CA1" w14:textId="77777777" w:rsidR="00363318" w:rsidRPr="00B01BC9" w:rsidRDefault="00363318" w:rsidP="00346081">
                  <w:pPr>
                    <w:framePr w:hSpace="180" w:wrap="around" w:vAnchor="text" w:hAnchor="page" w:x="-1611" w:y="-1445"/>
                    <w:jc w:val="left"/>
                    <w:rPr>
                      <w:rFonts w:ascii="Arial" w:eastAsia="Times New Roman" w:hAnsi="Arial" w:cs="Arial"/>
                      <w:color w:val="000000"/>
                      <w:lang w:eastAsia="en-GB"/>
                    </w:rPr>
                  </w:pPr>
                  <w:r w:rsidRPr="00B01BC9">
                    <w:rPr>
                      <w:rFonts w:ascii="Arial" w:hAnsi="Arial" w:cs="Arial"/>
                      <w:color w:val="000000"/>
                    </w:rPr>
                    <w:lastRenderedPageBreak/>
                    <w:t xml:space="preserve">Strengths: International comparison, policy </w:t>
                  </w:r>
                  <w:r w:rsidRPr="00B01BC9">
                    <w:rPr>
                      <w:rFonts w:ascii="Arial" w:hAnsi="Arial" w:cs="Arial"/>
                      <w:color w:val="000000"/>
                    </w:rPr>
                    <w:lastRenderedPageBreak/>
                    <w:t>focus. Limitations: Findings may not be fully transferable to UK context.</w:t>
                  </w:r>
                </w:p>
              </w:tc>
            </w:tr>
          </w:tbl>
          <w:p w14:paraId="2307AF64" w14:textId="77777777" w:rsidR="00363318" w:rsidRPr="00B01BC9" w:rsidRDefault="00363318" w:rsidP="00C44F4E">
            <w:pPr>
              <w:jc w:val="left"/>
              <w:rPr>
                <w:rFonts w:ascii="Arial" w:hAnsi="Arial" w:cs="Arial"/>
                <w:vanish/>
              </w:rPr>
            </w:pPr>
          </w:p>
          <w:tbl>
            <w:tblPr>
              <w:tblW w:w="74"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363318" w:rsidRPr="00B01BC9" w14:paraId="52D0B812" w14:textId="77777777" w:rsidTr="0032162D">
              <w:trPr>
                <w:trHeight w:val="12"/>
                <w:tblCellSpacing w:w="15" w:type="dxa"/>
              </w:trPr>
              <w:tc>
                <w:tcPr>
                  <w:tcW w:w="36" w:type="dxa"/>
                  <w:vAlign w:val="center"/>
                  <w:hideMark/>
                </w:tcPr>
                <w:p w14:paraId="78E06006" w14:textId="77777777" w:rsidR="00363318" w:rsidRPr="00B01BC9" w:rsidRDefault="00363318" w:rsidP="00346081">
                  <w:pPr>
                    <w:framePr w:hSpace="180" w:wrap="around" w:vAnchor="text" w:hAnchor="page" w:x="-1611" w:y="-1445"/>
                    <w:jc w:val="left"/>
                    <w:rPr>
                      <w:rFonts w:ascii="Arial" w:hAnsi="Arial" w:cs="Arial"/>
                    </w:rPr>
                  </w:pPr>
                </w:p>
              </w:tc>
            </w:tr>
          </w:tbl>
          <w:p w14:paraId="2EFAC2EF" w14:textId="77777777" w:rsidR="001F1DC1" w:rsidRPr="00B01BC9" w:rsidRDefault="001F1DC1" w:rsidP="00C44F4E">
            <w:pPr>
              <w:jc w:val="left"/>
              <w:rPr>
                <w:rFonts w:ascii="Arial" w:hAnsi="Arial" w:cs="Arial"/>
              </w:rPr>
            </w:pPr>
          </w:p>
        </w:tc>
        <w:tc>
          <w:tcPr>
            <w:tcW w:w="1418" w:type="dxa"/>
          </w:tcPr>
          <w:tbl>
            <w:tblPr>
              <w:tblW w:w="836"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836"/>
            </w:tblGrid>
            <w:tr w:rsidR="00DD3A84" w:rsidRPr="00B01BC9" w14:paraId="10AC73F5" w14:textId="77777777" w:rsidTr="0032162D">
              <w:trPr>
                <w:trHeight w:val="145"/>
                <w:tblCellSpacing w:w="15" w:type="dxa"/>
              </w:trPr>
              <w:tc>
                <w:tcPr>
                  <w:tcW w:w="1021" w:type="dxa"/>
                  <w:vAlign w:val="center"/>
                  <w:hideMark/>
                </w:tcPr>
                <w:p w14:paraId="355B7536" w14:textId="77777777" w:rsidR="00DD3A84" w:rsidRPr="00B01BC9" w:rsidRDefault="00DD3A84" w:rsidP="00346081">
                  <w:pPr>
                    <w:framePr w:hSpace="180" w:wrap="around" w:vAnchor="text" w:hAnchor="page" w:x="-1611" w:y="-1445"/>
                    <w:jc w:val="left"/>
                    <w:rPr>
                      <w:rFonts w:ascii="Arial" w:eastAsia="Times New Roman" w:hAnsi="Arial" w:cs="Arial"/>
                      <w:color w:val="000000"/>
                      <w:lang w:eastAsia="en-GB"/>
                    </w:rPr>
                  </w:pPr>
                  <w:r w:rsidRPr="00B01BC9">
                    <w:rPr>
                      <w:rFonts w:ascii="Arial" w:hAnsi="Arial" w:cs="Arial"/>
                      <w:color w:val="000000"/>
                    </w:rPr>
                    <w:lastRenderedPageBreak/>
                    <w:t>Labour market regulation influences deman</w:t>
                  </w:r>
                  <w:r w:rsidRPr="00B01BC9">
                    <w:rPr>
                      <w:rFonts w:ascii="Arial" w:hAnsi="Arial" w:cs="Arial"/>
                      <w:color w:val="000000"/>
                    </w:rPr>
                    <w:lastRenderedPageBreak/>
                    <w:t>d for migrant workers within adult social care.</w:t>
                  </w:r>
                </w:p>
              </w:tc>
            </w:tr>
          </w:tbl>
          <w:p w14:paraId="42E94197" w14:textId="77777777" w:rsidR="00DD3A84" w:rsidRPr="00B01BC9" w:rsidRDefault="00DD3A84" w:rsidP="00C44F4E">
            <w:pPr>
              <w:jc w:val="left"/>
              <w:rPr>
                <w:rFonts w:ascii="Arial" w:hAnsi="Arial" w:cs="Arial"/>
                <w:vanish/>
              </w:rPr>
            </w:pPr>
          </w:p>
          <w:tbl>
            <w:tblPr>
              <w:tblW w:w="74"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DD3A84" w:rsidRPr="00B01BC9" w14:paraId="775C23F0" w14:textId="77777777" w:rsidTr="0032162D">
              <w:trPr>
                <w:trHeight w:val="12"/>
                <w:tblCellSpacing w:w="15" w:type="dxa"/>
              </w:trPr>
              <w:tc>
                <w:tcPr>
                  <w:tcW w:w="36" w:type="dxa"/>
                  <w:vAlign w:val="center"/>
                  <w:hideMark/>
                </w:tcPr>
                <w:p w14:paraId="0986118E" w14:textId="77777777" w:rsidR="00DD3A84" w:rsidRPr="00B01BC9" w:rsidRDefault="00DD3A84" w:rsidP="00346081">
                  <w:pPr>
                    <w:framePr w:hSpace="180" w:wrap="around" w:vAnchor="text" w:hAnchor="page" w:x="-1611" w:y="-1445"/>
                    <w:jc w:val="left"/>
                    <w:rPr>
                      <w:rFonts w:ascii="Arial" w:hAnsi="Arial" w:cs="Arial"/>
                    </w:rPr>
                  </w:pPr>
                </w:p>
              </w:tc>
            </w:tr>
          </w:tbl>
          <w:p w14:paraId="65150B7C" w14:textId="77777777" w:rsidR="001F1DC1" w:rsidRPr="00B01BC9" w:rsidRDefault="001F1DC1" w:rsidP="00C44F4E">
            <w:pPr>
              <w:jc w:val="left"/>
              <w:rPr>
                <w:rFonts w:ascii="Arial" w:hAnsi="Arial" w:cs="Arial"/>
              </w:rPr>
            </w:pPr>
          </w:p>
        </w:tc>
        <w:tc>
          <w:tcPr>
            <w:tcW w:w="1276" w:type="dxa"/>
          </w:tcPr>
          <w:p w14:paraId="73668AE1" w14:textId="58EEE2FF" w:rsidR="001F1DC1" w:rsidRPr="00B01BC9" w:rsidRDefault="00DD3A84" w:rsidP="00C44F4E">
            <w:pPr>
              <w:jc w:val="left"/>
              <w:rPr>
                <w:rFonts w:ascii="Arial" w:hAnsi="Arial" w:cs="Arial"/>
              </w:rPr>
            </w:pPr>
            <w:r w:rsidRPr="00B01BC9">
              <w:rPr>
                <w:rFonts w:ascii="Arial" w:hAnsi="Arial" w:cs="Arial"/>
                <w:color w:val="000000"/>
              </w:rPr>
              <w:lastRenderedPageBreak/>
              <w:t>Labour market regulation</w:t>
            </w:r>
            <w:r w:rsidR="00DD085A">
              <w:rPr>
                <w:rFonts w:ascii="Arial" w:hAnsi="Arial" w:cs="Arial"/>
                <w:color w:val="000000"/>
              </w:rPr>
              <w:t>,</w:t>
            </w:r>
            <w:r w:rsidRPr="00B01BC9">
              <w:rPr>
                <w:rFonts w:ascii="Arial" w:hAnsi="Arial" w:cs="Arial"/>
                <w:color w:val="000000"/>
              </w:rPr>
              <w:t>recruitment</w:t>
            </w:r>
            <w:r w:rsidR="00DD085A">
              <w:rPr>
                <w:rFonts w:ascii="Arial" w:hAnsi="Arial" w:cs="Arial"/>
                <w:color w:val="000000"/>
              </w:rPr>
              <w:t xml:space="preserve">, </w:t>
            </w:r>
            <w:r w:rsidRPr="00B01BC9">
              <w:rPr>
                <w:rFonts w:ascii="Arial" w:hAnsi="Arial" w:cs="Arial"/>
                <w:color w:val="000000"/>
              </w:rPr>
              <w:t>international labour</w:t>
            </w:r>
            <w:r w:rsidR="00DD085A">
              <w:rPr>
                <w:rFonts w:ascii="Arial" w:hAnsi="Arial" w:cs="Arial"/>
                <w:color w:val="000000"/>
              </w:rPr>
              <w:t xml:space="preserve">, </w:t>
            </w:r>
            <w:r w:rsidRPr="00B01BC9">
              <w:rPr>
                <w:rFonts w:ascii="Arial" w:hAnsi="Arial" w:cs="Arial"/>
                <w:color w:val="000000"/>
              </w:rPr>
              <w:lastRenderedPageBreak/>
              <w:t>workforce demand</w:t>
            </w:r>
          </w:p>
        </w:tc>
        <w:tc>
          <w:tcPr>
            <w:tcW w:w="1412" w:type="dxa"/>
          </w:tcPr>
          <w:p w14:paraId="3FEADD17" w14:textId="3AE0BF0B" w:rsidR="001F1DC1" w:rsidRPr="00B01BC9" w:rsidRDefault="00DD3A84" w:rsidP="00C44F4E">
            <w:pPr>
              <w:jc w:val="left"/>
              <w:rPr>
                <w:rFonts w:ascii="Arial" w:hAnsi="Arial" w:cs="Arial"/>
              </w:rPr>
            </w:pPr>
            <w:r w:rsidRPr="00B01BC9">
              <w:rPr>
                <w:rFonts w:ascii="Arial" w:hAnsi="Arial" w:cs="Arial"/>
                <w:color w:val="000000"/>
              </w:rPr>
              <w:lastRenderedPageBreak/>
              <w:t>Useful for analysing migration policy and recruitment practices.</w:t>
            </w:r>
          </w:p>
        </w:tc>
      </w:tr>
      <w:tr w:rsidR="001F1DC1" w:rsidRPr="00B01BC9" w14:paraId="2F80222E" w14:textId="77777777" w:rsidTr="004D56CD">
        <w:trPr>
          <w:trHeight w:val="616"/>
        </w:trPr>
        <w:tc>
          <w:tcPr>
            <w:tcW w:w="1418" w:type="dxa"/>
          </w:tcPr>
          <w:p w14:paraId="52D7C493" w14:textId="77777777" w:rsidR="001F1DC1" w:rsidRPr="00B01BC9" w:rsidRDefault="00FC15CE" w:rsidP="00C44F4E">
            <w:pPr>
              <w:jc w:val="left"/>
              <w:rPr>
                <w:rFonts w:ascii="Arial" w:hAnsi="Arial" w:cs="Arial"/>
                <w:color w:val="000000"/>
              </w:rPr>
            </w:pPr>
            <w:r w:rsidRPr="00B01BC9">
              <w:rPr>
                <w:rFonts w:ascii="Arial" w:hAnsi="Arial" w:cs="Arial"/>
                <w:color w:val="000000"/>
              </w:rPr>
              <w:t>Hussein (2022)</w:t>
            </w:r>
          </w:p>
          <w:p w14:paraId="4F7FD760" w14:textId="5F2A01A8" w:rsidR="00340C39" w:rsidRPr="00B01BC9" w:rsidRDefault="00340C39" w:rsidP="00C44F4E">
            <w:pPr>
              <w:jc w:val="left"/>
              <w:rPr>
                <w:rFonts w:ascii="Arial" w:hAnsi="Arial" w:cs="Arial"/>
              </w:rPr>
            </w:pPr>
            <w:r w:rsidRPr="00B01BC9">
              <w:rPr>
                <w:rFonts w:ascii="Arial" w:hAnsi="Arial" w:cs="Arial"/>
              </w:rPr>
              <w:t xml:space="preserve">Paper </w:t>
            </w:r>
            <w:r w:rsidR="00383355" w:rsidRPr="00B01BC9">
              <w:rPr>
                <w:rFonts w:ascii="Arial" w:hAnsi="Arial" w:cs="Arial"/>
              </w:rPr>
              <w:t>4</w:t>
            </w:r>
          </w:p>
        </w:tc>
        <w:tc>
          <w:tcPr>
            <w:tcW w:w="1559" w:type="dxa"/>
          </w:tcPr>
          <w:tbl>
            <w:tblPr>
              <w:tblW w:w="969"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969"/>
            </w:tblGrid>
            <w:tr w:rsidR="00FC15CE" w:rsidRPr="00B01BC9" w14:paraId="6645D3C0" w14:textId="77777777" w:rsidTr="0032162D">
              <w:trPr>
                <w:trHeight w:val="145"/>
                <w:tblCellSpacing w:w="15" w:type="dxa"/>
              </w:trPr>
              <w:tc>
                <w:tcPr>
                  <w:tcW w:w="1192" w:type="dxa"/>
                  <w:vAlign w:val="center"/>
                  <w:hideMark/>
                </w:tcPr>
                <w:p w14:paraId="4F68104A" w14:textId="0B06164C" w:rsidR="00FC15CE" w:rsidRPr="00B01BC9" w:rsidRDefault="00FC15CE" w:rsidP="00346081">
                  <w:pPr>
                    <w:framePr w:hSpace="180" w:wrap="around" w:vAnchor="text" w:hAnchor="page" w:x="-1611" w:y="-1445"/>
                    <w:jc w:val="left"/>
                    <w:rPr>
                      <w:rFonts w:ascii="Arial" w:eastAsia="Times New Roman" w:hAnsi="Arial" w:cs="Arial"/>
                      <w:color w:val="000000"/>
                      <w:lang w:eastAsia="en-GB"/>
                    </w:rPr>
                  </w:pPr>
                  <w:r w:rsidRPr="00B01BC9">
                    <w:rPr>
                      <w:rFonts w:ascii="Arial" w:hAnsi="Arial" w:cs="Arial"/>
                      <w:color w:val="000000"/>
                    </w:rPr>
                    <w:t>The Global Demand for Migrant Care Workers: Drivers and Implications on MigrantsWellbeing</w:t>
                  </w:r>
                </w:p>
              </w:tc>
            </w:tr>
          </w:tbl>
          <w:p w14:paraId="1FD96A08" w14:textId="77777777" w:rsidR="00FC15CE" w:rsidRPr="00B01BC9" w:rsidRDefault="00FC15CE" w:rsidP="00C44F4E">
            <w:pPr>
              <w:jc w:val="left"/>
              <w:rPr>
                <w:rFonts w:ascii="Arial" w:hAnsi="Arial" w:cs="Arial"/>
                <w:vanish/>
              </w:rPr>
            </w:pPr>
          </w:p>
          <w:tbl>
            <w:tblPr>
              <w:tblW w:w="74"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FC15CE" w:rsidRPr="00B01BC9" w14:paraId="1E4D1AB8" w14:textId="77777777" w:rsidTr="0032162D">
              <w:trPr>
                <w:trHeight w:val="145"/>
                <w:tblCellSpacing w:w="15" w:type="dxa"/>
              </w:trPr>
              <w:tc>
                <w:tcPr>
                  <w:tcW w:w="36" w:type="dxa"/>
                  <w:vAlign w:val="center"/>
                  <w:hideMark/>
                </w:tcPr>
                <w:p w14:paraId="72C5835A" w14:textId="77777777" w:rsidR="00FC15CE" w:rsidRPr="00B01BC9" w:rsidRDefault="00FC15CE" w:rsidP="00346081">
                  <w:pPr>
                    <w:framePr w:hSpace="180" w:wrap="around" w:vAnchor="text" w:hAnchor="page" w:x="-1611" w:y="-1445"/>
                    <w:jc w:val="left"/>
                    <w:rPr>
                      <w:rFonts w:ascii="Arial" w:hAnsi="Arial" w:cs="Arial"/>
                    </w:rPr>
                  </w:pPr>
                </w:p>
              </w:tc>
            </w:tr>
          </w:tbl>
          <w:p w14:paraId="767657B6" w14:textId="77777777" w:rsidR="001F1DC1" w:rsidRPr="00B01BC9" w:rsidRDefault="001F1DC1" w:rsidP="00C44F4E">
            <w:pPr>
              <w:jc w:val="left"/>
              <w:rPr>
                <w:rFonts w:ascii="Arial" w:hAnsi="Arial" w:cs="Arial"/>
              </w:rPr>
            </w:pPr>
          </w:p>
        </w:tc>
        <w:tc>
          <w:tcPr>
            <w:tcW w:w="1701" w:type="dxa"/>
          </w:tcPr>
          <w:p w14:paraId="350FD927" w14:textId="1A313938" w:rsidR="001F1DC1" w:rsidRPr="00B01BC9" w:rsidRDefault="00FC15CE" w:rsidP="00C44F4E">
            <w:pPr>
              <w:jc w:val="left"/>
              <w:rPr>
                <w:rFonts w:ascii="Arial" w:hAnsi="Arial" w:cs="Arial"/>
              </w:rPr>
            </w:pPr>
            <w:r w:rsidRPr="00B01BC9">
              <w:rPr>
                <w:rFonts w:ascii="Arial" w:hAnsi="Arial" w:cs="Arial"/>
                <w:color w:val="000000"/>
              </w:rPr>
              <w:t>Literature review</w:t>
            </w:r>
          </w:p>
        </w:tc>
        <w:tc>
          <w:tcPr>
            <w:tcW w:w="1559" w:type="dxa"/>
          </w:tcPr>
          <w:tbl>
            <w:tblPr>
              <w:tblW w:w="903"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903"/>
            </w:tblGrid>
            <w:tr w:rsidR="003518A1" w:rsidRPr="00B01BC9" w14:paraId="14A3C74E" w14:textId="77777777" w:rsidTr="0032162D">
              <w:trPr>
                <w:trHeight w:val="145"/>
                <w:tblCellSpacing w:w="15" w:type="dxa"/>
              </w:trPr>
              <w:tc>
                <w:tcPr>
                  <w:tcW w:w="1107" w:type="dxa"/>
                  <w:vAlign w:val="center"/>
                  <w:hideMark/>
                </w:tcPr>
                <w:p w14:paraId="7D572E9A" w14:textId="77777777" w:rsidR="003518A1" w:rsidRPr="00B01BC9" w:rsidRDefault="003518A1" w:rsidP="00346081">
                  <w:pPr>
                    <w:framePr w:hSpace="180" w:wrap="around" w:vAnchor="text" w:hAnchor="page" w:x="-1611" w:y="-1445"/>
                    <w:jc w:val="left"/>
                    <w:rPr>
                      <w:rFonts w:ascii="Arial" w:eastAsia="Times New Roman" w:hAnsi="Arial" w:cs="Arial"/>
                      <w:color w:val="000000"/>
                      <w:lang w:eastAsia="en-GB"/>
                    </w:rPr>
                  </w:pPr>
                  <w:r w:rsidRPr="00B01BC9">
                    <w:rPr>
                      <w:rFonts w:ascii="Arial" w:hAnsi="Arial" w:cs="Arial"/>
                      <w:color w:val="000000"/>
                    </w:rPr>
                    <w:t>Review of global evidence concerning migrant care workers</w:t>
                  </w:r>
                </w:p>
              </w:tc>
            </w:tr>
          </w:tbl>
          <w:p w14:paraId="6A21AA77" w14:textId="77777777" w:rsidR="003518A1" w:rsidRPr="00B01BC9" w:rsidRDefault="003518A1" w:rsidP="00C44F4E">
            <w:pPr>
              <w:jc w:val="left"/>
              <w:rPr>
                <w:rFonts w:ascii="Arial" w:hAnsi="Arial" w:cs="Arial"/>
                <w:vanish/>
              </w:rPr>
            </w:pPr>
          </w:p>
          <w:tbl>
            <w:tblPr>
              <w:tblW w:w="74"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3518A1" w:rsidRPr="00B01BC9" w14:paraId="09926088" w14:textId="77777777" w:rsidTr="0032162D">
              <w:trPr>
                <w:trHeight w:val="145"/>
                <w:tblCellSpacing w:w="15" w:type="dxa"/>
              </w:trPr>
              <w:tc>
                <w:tcPr>
                  <w:tcW w:w="36" w:type="dxa"/>
                  <w:vAlign w:val="center"/>
                  <w:hideMark/>
                </w:tcPr>
                <w:p w14:paraId="28957ABD" w14:textId="77777777" w:rsidR="003518A1" w:rsidRPr="00B01BC9" w:rsidRDefault="003518A1" w:rsidP="00346081">
                  <w:pPr>
                    <w:framePr w:hSpace="180" w:wrap="around" w:vAnchor="text" w:hAnchor="page" w:x="-1611" w:y="-1445"/>
                    <w:jc w:val="left"/>
                    <w:rPr>
                      <w:rFonts w:ascii="Arial" w:hAnsi="Arial" w:cs="Arial"/>
                    </w:rPr>
                  </w:pPr>
                </w:p>
              </w:tc>
            </w:tr>
          </w:tbl>
          <w:p w14:paraId="3C0A868F" w14:textId="77777777" w:rsidR="001F1DC1" w:rsidRPr="00B01BC9" w:rsidRDefault="001F1DC1" w:rsidP="00C44F4E">
            <w:pPr>
              <w:jc w:val="left"/>
              <w:rPr>
                <w:rFonts w:ascii="Arial" w:hAnsi="Arial" w:cs="Arial"/>
              </w:rPr>
            </w:pPr>
          </w:p>
        </w:tc>
        <w:tc>
          <w:tcPr>
            <w:tcW w:w="1559" w:type="dxa"/>
          </w:tcPr>
          <w:tbl>
            <w:tblPr>
              <w:tblW w:w="997"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997"/>
            </w:tblGrid>
            <w:tr w:rsidR="003518A1" w:rsidRPr="00B01BC9" w14:paraId="681F9CFB" w14:textId="77777777" w:rsidTr="0032162D">
              <w:trPr>
                <w:trHeight w:val="145"/>
                <w:tblCellSpacing w:w="15" w:type="dxa"/>
              </w:trPr>
              <w:tc>
                <w:tcPr>
                  <w:tcW w:w="1229" w:type="dxa"/>
                  <w:vAlign w:val="center"/>
                  <w:hideMark/>
                </w:tcPr>
                <w:p w14:paraId="4DD10E54" w14:textId="54A0FA8C" w:rsidR="003518A1" w:rsidRPr="00B01BC9" w:rsidRDefault="003518A1" w:rsidP="00346081">
                  <w:pPr>
                    <w:framePr w:hSpace="180" w:wrap="around" w:vAnchor="text" w:hAnchor="page" w:x="-1611" w:y="-1445"/>
                    <w:jc w:val="left"/>
                    <w:rPr>
                      <w:rFonts w:ascii="Arial" w:eastAsia="Times New Roman" w:hAnsi="Arial" w:cs="Arial"/>
                      <w:color w:val="000000"/>
                      <w:lang w:eastAsia="en-GB"/>
                    </w:rPr>
                  </w:pPr>
                  <w:r w:rsidRPr="00B01BC9">
                    <w:rPr>
                      <w:rFonts w:ascii="Arial" w:hAnsi="Arial" w:cs="Arial"/>
                      <w:color w:val="000000"/>
                    </w:rPr>
                    <w:t>Strengths</w:t>
                  </w:r>
                  <w:r w:rsidR="00D545EF">
                    <w:rPr>
                      <w:rFonts w:ascii="Arial" w:hAnsi="Arial" w:cs="Arial"/>
                      <w:color w:val="000000"/>
                    </w:rPr>
                    <w:t xml:space="preserve">: </w:t>
                  </w:r>
                  <w:r w:rsidRPr="00B01BC9">
                    <w:rPr>
                      <w:rFonts w:ascii="Arial" w:hAnsi="Arial" w:cs="Arial"/>
                      <w:color w:val="000000"/>
                    </w:rPr>
                    <w:t>Broad overview of international trends. Limitations: Not UK-specific.</w:t>
                  </w:r>
                </w:p>
              </w:tc>
            </w:tr>
          </w:tbl>
          <w:p w14:paraId="1FD63BAD" w14:textId="77777777" w:rsidR="003518A1" w:rsidRPr="00B01BC9" w:rsidRDefault="003518A1" w:rsidP="00C44F4E">
            <w:pPr>
              <w:jc w:val="left"/>
              <w:rPr>
                <w:rFonts w:ascii="Arial" w:hAnsi="Arial" w:cs="Arial"/>
                <w:vanish/>
              </w:rPr>
            </w:pPr>
          </w:p>
          <w:tbl>
            <w:tblPr>
              <w:tblW w:w="74"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3518A1" w:rsidRPr="00B01BC9" w14:paraId="64C9909C" w14:textId="77777777" w:rsidTr="0032162D">
              <w:trPr>
                <w:trHeight w:val="145"/>
                <w:tblCellSpacing w:w="15" w:type="dxa"/>
              </w:trPr>
              <w:tc>
                <w:tcPr>
                  <w:tcW w:w="36" w:type="dxa"/>
                  <w:vAlign w:val="center"/>
                  <w:hideMark/>
                </w:tcPr>
                <w:p w14:paraId="78BC244D" w14:textId="77777777" w:rsidR="003518A1" w:rsidRPr="00B01BC9" w:rsidRDefault="003518A1" w:rsidP="00346081">
                  <w:pPr>
                    <w:framePr w:hSpace="180" w:wrap="around" w:vAnchor="text" w:hAnchor="page" w:x="-1611" w:y="-1445"/>
                    <w:jc w:val="left"/>
                    <w:rPr>
                      <w:rFonts w:ascii="Arial" w:hAnsi="Arial" w:cs="Arial"/>
                    </w:rPr>
                  </w:pPr>
                </w:p>
              </w:tc>
            </w:tr>
          </w:tbl>
          <w:p w14:paraId="7AD8EA2C" w14:textId="77777777" w:rsidR="001F1DC1" w:rsidRPr="00B01BC9" w:rsidRDefault="001F1DC1" w:rsidP="00C44F4E">
            <w:pPr>
              <w:jc w:val="left"/>
              <w:rPr>
                <w:rFonts w:ascii="Arial" w:hAnsi="Arial" w:cs="Arial"/>
              </w:rPr>
            </w:pPr>
          </w:p>
        </w:tc>
        <w:tc>
          <w:tcPr>
            <w:tcW w:w="1418" w:type="dxa"/>
          </w:tcPr>
          <w:p w14:paraId="6E9C8C19" w14:textId="6DB73CD7" w:rsidR="001F1DC1" w:rsidRPr="00B01BC9" w:rsidRDefault="003518A1" w:rsidP="00C44F4E">
            <w:pPr>
              <w:jc w:val="left"/>
              <w:rPr>
                <w:rFonts w:ascii="Arial" w:hAnsi="Arial" w:cs="Arial"/>
              </w:rPr>
            </w:pPr>
            <w:r w:rsidRPr="00B01BC9">
              <w:rPr>
                <w:rFonts w:ascii="Arial" w:hAnsi="Arial" w:cs="Arial"/>
                <w:color w:val="000000"/>
              </w:rPr>
              <w:t>Growing global demand for migrant care workers has implications for wellbeing, recruitment, and workforce sustainability.</w:t>
            </w:r>
          </w:p>
        </w:tc>
        <w:tc>
          <w:tcPr>
            <w:tcW w:w="1276" w:type="dxa"/>
          </w:tcPr>
          <w:p w14:paraId="06B78D80" w14:textId="2247B8DA" w:rsidR="001F1DC1" w:rsidRPr="00B01BC9" w:rsidRDefault="00A6522B" w:rsidP="00C44F4E">
            <w:pPr>
              <w:jc w:val="left"/>
              <w:rPr>
                <w:rFonts w:ascii="Arial" w:hAnsi="Arial" w:cs="Arial"/>
              </w:rPr>
            </w:pPr>
            <w:r w:rsidRPr="00B01BC9">
              <w:rPr>
                <w:rFonts w:ascii="Arial" w:hAnsi="Arial" w:cs="Arial"/>
                <w:color w:val="000000"/>
              </w:rPr>
              <w:t>Global demand, wellbeing, recruitment, sustainability</w:t>
            </w:r>
          </w:p>
        </w:tc>
        <w:tc>
          <w:tcPr>
            <w:tcW w:w="1412" w:type="dxa"/>
          </w:tcPr>
          <w:p w14:paraId="4ABC2910" w14:textId="54D3074B" w:rsidR="001F1DC1" w:rsidRPr="00B01BC9" w:rsidRDefault="009E76E2" w:rsidP="00C44F4E">
            <w:pPr>
              <w:jc w:val="left"/>
              <w:rPr>
                <w:rFonts w:ascii="Arial" w:hAnsi="Arial" w:cs="Arial"/>
              </w:rPr>
            </w:pPr>
            <w:r w:rsidRPr="00B01BC9">
              <w:rPr>
                <w:rFonts w:ascii="Arial" w:hAnsi="Arial" w:cs="Arial"/>
                <w:color w:val="000000"/>
              </w:rPr>
              <w:t>Supports Themes 2 and 3. Useful comparative source.</w:t>
            </w:r>
          </w:p>
        </w:tc>
      </w:tr>
      <w:tr w:rsidR="001F1DC1" w:rsidRPr="00B01BC9" w14:paraId="158B0688" w14:textId="77777777" w:rsidTr="004D56CD">
        <w:trPr>
          <w:trHeight w:val="616"/>
        </w:trPr>
        <w:tc>
          <w:tcPr>
            <w:tcW w:w="1418" w:type="dxa"/>
          </w:tcPr>
          <w:p w14:paraId="47F44E51" w14:textId="77777777" w:rsidR="001F1DC1" w:rsidRPr="00B01BC9" w:rsidRDefault="009E76E2" w:rsidP="00C44F4E">
            <w:pPr>
              <w:jc w:val="left"/>
              <w:rPr>
                <w:rFonts w:ascii="Arial" w:hAnsi="Arial" w:cs="Arial"/>
                <w:color w:val="000000"/>
              </w:rPr>
            </w:pPr>
            <w:r w:rsidRPr="00B01BC9">
              <w:rPr>
                <w:rFonts w:ascii="Arial" w:hAnsi="Arial" w:cs="Arial"/>
                <w:color w:val="000000"/>
              </w:rPr>
              <w:t>Tawodzera (2024)</w:t>
            </w:r>
          </w:p>
          <w:p w14:paraId="61AC109B" w14:textId="1A714775" w:rsidR="00340C39" w:rsidRPr="00B01BC9" w:rsidRDefault="00340C39" w:rsidP="00C44F4E">
            <w:pPr>
              <w:jc w:val="left"/>
              <w:rPr>
                <w:rFonts w:ascii="Arial" w:hAnsi="Arial" w:cs="Arial"/>
              </w:rPr>
            </w:pPr>
            <w:r w:rsidRPr="00B01BC9">
              <w:rPr>
                <w:rFonts w:ascii="Arial" w:hAnsi="Arial" w:cs="Arial"/>
              </w:rPr>
              <w:t xml:space="preserve">Paper </w:t>
            </w:r>
            <w:r w:rsidR="00383355" w:rsidRPr="00B01BC9">
              <w:rPr>
                <w:rFonts w:ascii="Arial" w:hAnsi="Arial" w:cs="Arial"/>
              </w:rPr>
              <w:t>5</w:t>
            </w:r>
          </w:p>
        </w:tc>
        <w:tc>
          <w:tcPr>
            <w:tcW w:w="1559" w:type="dxa"/>
          </w:tcPr>
          <w:p w14:paraId="2105F89B" w14:textId="13B3C2E0" w:rsidR="001F1DC1" w:rsidRPr="00B01BC9" w:rsidRDefault="009E76E2" w:rsidP="00C44F4E">
            <w:pPr>
              <w:jc w:val="left"/>
              <w:rPr>
                <w:rFonts w:ascii="Arial" w:hAnsi="Arial" w:cs="Arial"/>
              </w:rPr>
            </w:pPr>
            <w:r w:rsidRPr="00B01BC9">
              <w:rPr>
                <w:rFonts w:ascii="Arial" w:hAnsi="Arial" w:cs="Arial"/>
                <w:color w:val="000000"/>
              </w:rPr>
              <w:t xml:space="preserve">Unravelling the Tensions: Exploring the Interplay of Paid Care </w:t>
            </w:r>
            <w:r w:rsidRPr="00B01BC9">
              <w:rPr>
                <w:rFonts w:ascii="Arial" w:hAnsi="Arial" w:cs="Arial"/>
                <w:color w:val="000000"/>
              </w:rPr>
              <w:lastRenderedPageBreak/>
              <w:t>Work, Family Obligations, and Transnational Care among Zimbabwean Migrant Care Workers in the UK</w:t>
            </w:r>
          </w:p>
        </w:tc>
        <w:tc>
          <w:tcPr>
            <w:tcW w:w="1701" w:type="dxa"/>
          </w:tcPr>
          <w:p w14:paraId="7D1F142B" w14:textId="189B6738" w:rsidR="001F1DC1" w:rsidRPr="00B01BC9" w:rsidRDefault="009E76E2" w:rsidP="00C44F4E">
            <w:pPr>
              <w:jc w:val="left"/>
              <w:rPr>
                <w:rFonts w:ascii="Arial" w:hAnsi="Arial" w:cs="Arial"/>
              </w:rPr>
            </w:pPr>
            <w:r w:rsidRPr="00B01BC9">
              <w:rPr>
                <w:rFonts w:ascii="Arial" w:hAnsi="Arial" w:cs="Arial"/>
                <w:color w:val="000000"/>
              </w:rPr>
              <w:lastRenderedPageBreak/>
              <w:t>Qualitative study</w:t>
            </w:r>
          </w:p>
        </w:tc>
        <w:tc>
          <w:tcPr>
            <w:tcW w:w="1559" w:type="dxa"/>
          </w:tcPr>
          <w:tbl>
            <w:tblPr>
              <w:tblW w:w="1044"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1044"/>
            </w:tblGrid>
            <w:tr w:rsidR="005744E8" w:rsidRPr="00B01BC9" w14:paraId="3BA682A0" w14:textId="77777777" w:rsidTr="0032162D">
              <w:trPr>
                <w:trHeight w:val="145"/>
                <w:tblCellSpacing w:w="15" w:type="dxa"/>
              </w:trPr>
              <w:tc>
                <w:tcPr>
                  <w:tcW w:w="1290" w:type="dxa"/>
                  <w:vAlign w:val="center"/>
                  <w:hideMark/>
                </w:tcPr>
                <w:p w14:paraId="227D4AAD" w14:textId="77777777" w:rsidR="005744E8" w:rsidRPr="00B01BC9" w:rsidRDefault="005744E8" w:rsidP="00346081">
                  <w:pPr>
                    <w:framePr w:hSpace="180" w:wrap="around" w:vAnchor="text" w:hAnchor="page" w:x="-1611" w:y="-1445"/>
                    <w:jc w:val="left"/>
                    <w:rPr>
                      <w:rFonts w:ascii="Arial" w:eastAsia="Times New Roman" w:hAnsi="Arial" w:cs="Arial"/>
                      <w:color w:val="000000"/>
                      <w:lang w:eastAsia="en-GB"/>
                    </w:rPr>
                  </w:pPr>
                  <w:r w:rsidRPr="00B01BC9">
                    <w:rPr>
                      <w:rFonts w:ascii="Arial" w:hAnsi="Arial" w:cs="Arial"/>
                      <w:color w:val="000000"/>
                    </w:rPr>
                    <w:t>Qualitative exploration of Zimbabw</w:t>
                  </w:r>
                  <w:r w:rsidRPr="00B01BC9">
                    <w:rPr>
                      <w:rFonts w:ascii="Arial" w:hAnsi="Arial" w:cs="Arial"/>
                      <w:color w:val="000000"/>
                    </w:rPr>
                    <w:lastRenderedPageBreak/>
                    <w:t>ean migrant care workers' experiences in the UK</w:t>
                  </w:r>
                </w:p>
              </w:tc>
            </w:tr>
          </w:tbl>
          <w:p w14:paraId="7DEDFB4E" w14:textId="77777777" w:rsidR="005744E8" w:rsidRPr="00B01BC9" w:rsidRDefault="005744E8" w:rsidP="00C44F4E">
            <w:pPr>
              <w:jc w:val="left"/>
              <w:rPr>
                <w:rFonts w:ascii="Arial" w:hAnsi="Arial" w:cs="Arial"/>
                <w:vanish/>
              </w:rPr>
            </w:pPr>
          </w:p>
          <w:tbl>
            <w:tblPr>
              <w:tblW w:w="74"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5744E8" w:rsidRPr="00B01BC9" w14:paraId="71D8E01B" w14:textId="77777777" w:rsidTr="0032162D">
              <w:trPr>
                <w:trHeight w:val="145"/>
                <w:tblCellSpacing w:w="15" w:type="dxa"/>
              </w:trPr>
              <w:tc>
                <w:tcPr>
                  <w:tcW w:w="36" w:type="dxa"/>
                  <w:vAlign w:val="center"/>
                  <w:hideMark/>
                </w:tcPr>
                <w:p w14:paraId="2DCECE9B" w14:textId="77777777" w:rsidR="005744E8" w:rsidRPr="00B01BC9" w:rsidRDefault="005744E8" w:rsidP="00346081">
                  <w:pPr>
                    <w:framePr w:hSpace="180" w:wrap="around" w:vAnchor="text" w:hAnchor="page" w:x="-1611" w:y="-1445"/>
                    <w:jc w:val="left"/>
                    <w:rPr>
                      <w:rFonts w:ascii="Arial" w:hAnsi="Arial" w:cs="Arial"/>
                    </w:rPr>
                  </w:pPr>
                </w:p>
              </w:tc>
            </w:tr>
          </w:tbl>
          <w:p w14:paraId="2C55A8DD" w14:textId="77777777" w:rsidR="001F1DC1" w:rsidRPr="00B01BC9" w:rsidRDefault="001F1DC1" w:rsidP="00C44F4E">
            <w:pPr>
              <w:jc w:val="left"/>
              <w:rPr>
                <w:rFonts w:ascii="Arial" w:hAnsi="Arial" w:cs="Arial"/>
              </w:rPr>
            </w:pPr>
          </w:p>
        </w:tc>
        <w:tc>
          <w:tcPr>
            <w:tcW w:w="1559" w:type="dxa"/>
          </w:tcPr>
          <w:p w14:paraId="6D3BE7B2" w14:textId="095E2E06" w:rsidR="001F1DC1" w:rsidRPr="00B01BC9" w:rsidRDefault="005744E8" w:rsidP="00C44F4E">
            <w:pPr>
              <w:jc w:val="left"/>
              <w:rPr>
                <w:rFonts w:ascii="Arial" w:hAnsi="Arial" w:cs="Arial"/>
              </w:rPr>
            </w:pPr>
            <w:r w:rsidRPr="00B01BC9">
              <w:rPr>
                <w:rFonts w:ascii="Arial" w:hAnsi="Arial" w:cs="Arial"/>
                <w:color w:val="000000"/>
              </w:rPr>
              <w:lastRenderedPageBreak/>
              <w:t xml:space="preserve">Strengths: Rich participant experiences, UK-focused. </w:t>
            </w:r>
            <w:r w:rsidRPr="00B01BC9">
              <w:rPr>
                <w:rFonts w:ascii="Arial" w:hAnsi="Arial" w:cs="Arial"/>
                <w:color w:val="000000"/>
              </w:rPr>
              <w:lastRenderedPageBreak/>
              <w:t>Limitations: Specific migrant group may limit wider generalisation.</w:t>
            </w:r>
          </w:p>
        </w:tc>
        <w:tc>
          <w:tcPr>
            <w:tcW w:w="1418" w:type="dxa"/>
          </w:tcPr>
          <w:p w14:paraId="2E348775" w14:textId="235F70D9" w:rsidR="001F1DC1" w:rsidRPr="00B01BC9" w:rsidRDefault="00256A1F" w:rsidP="00C44F4E">
            <w:pPr>
              <w:jc w:val="left"/>
              <w:rPr>
                <w:rFonts w:ascii="Arial" w:hAnsi="Arial" w:cs="Arial"/>
              </w:rPr>
            </w:pPr>
            <w:r w:rsidRPr="00B01BC9">
              <w:rPr>
                <w:rFonts w:ascii="Arial" w:hAnsi="Arial" w:cs="Arial"/>
                <w:color w:val="000000"/>
              </w:rPr>
              <w:lastRenderedPageBreak/>
              <w:t xml:space="preserve">Migrant care workers experience tensions </w:t>
            </w:r>
            <w:r w:rsidRPr="00B01BC9">
              <w:rPr>
                <w:rFonts w:ascii="Arial" w:hAnsi="Arial" w:cs="Arial"/>
                <w:color w:val="000000"/>
              </w:rPr>
              <w:lastRenderedPageBreak/>
              <w:t>between employment responsibilities and family obligations across national borders.</w:t>
            </w:r>
          </w:p>
        </w:tc>
        <w:tc>
          <w:tcPr>
            <w:tcW w:w="1276" w:type="dxa"/>
          </w:tcPr>
          <w:p w14:paraId="303D6DA5" w14:textId="00FCDCE9" w:rsidR="001F1DC1" w:rsidRPr="00B01BC9" w:rsidRDefault="00256A1F" w:rsidP="00C44F4E">
            <w:pPr>
              <w:jc w:val="left"/>
              <w:rPr>
                <w:rFonts w:ascii="Arial" w:hAnsi="Arial" w:cs="Arial"/>
              </w:rPr>
            </w:pPr>
            <w:r w:rsidRPr="00B01BC9">
              <w:rPr>
                <w:rFonts w:ascii="Arial" w:hAnsi="Arial" w:cs="Arial"/>
              </w:rPr>
              <w:lastRenderedPageBreak/>
              <w:t>Wellbeing</w:t>
            </w:r>
            <w:r w:rsidR="002C16E2">
              <w:rPr>
                <w:rFonts w:ascii="Arial" w:hAnsi="Arial" w:cs="Arial"/>
              </w:rPr>
              <w:t>,</w:t>
            </w:r>
            <w:r w:rsidRPr="00B01BC9">
              <w:rPr>
                <w:rFonts w:ascii="Arial" w:hAnsi="Arial" w:cs="Arial"/>
              </w:rPr>
              <w:t xml:space="preserve"> family obligation</w:t>
            </w:r>
            <w:r w:rsidR="00FF23CC">
              <w:rPr>
                <w:rFonts w:ascii="Arial" w:hAnsi="Arial" w:cs="Arial"/>
              </w:rPr>
              <w:t xml:space="preserve">, </w:t>
            </w:r>
            <w:r w:rsidRPr="00B01BC9">
              <w:rPr>
                <w:rFonts w:ascii="Arial" w:hAnsi="Arial" w:cs="Arial"/>
              </w:rPr>
              <w:t>transnational care</w:t>
            </w:r>
            <w:r w:rsidR="00FF23CC">
              <w:rPr>
                <w:rFonts w:ascii="Arial" w:hAnsi="Arial" w:cs="Arial"/>
              </w:rPr>
              <w:t xml:space="preserve">, </w:t>
            </w:r>
            <w:r w:rsidRPr="00B01BC9">
              <w:rPr>
                <w:rFonts w:ascii="Arial" w:hAnsi="Arial" w:cs="Arial"/>
              </w:rPr>
              <w:lastRenderedPageBreak/>
              <w:t>migrant experiences</w:t>
            </w:r>
          </w:p>
        </w:tc>
        <w:tc>
          <w:tcPr>
            <w:tcW w:w="1412" w:type="dxa"/>
          </w:tcPr>
          <w:p w14:paraId="3FA41A20" w14:textId="77777777" w:rsidR="001F1DC1" w:rsidRPr="00B01BC9" w:rsidRDefault="001F1DC1" w:rsidP="00C44F4E">
            <w:pPr>
              <w:jc w:val="left"/>
              <w:rPr>
                <w:rFonts w:ascii="Arial" w:hAnsi="Arial" w:cs="Arial"/>
              </w:rPr>
            </w:pPr>
          </w:p>
        </w:tc>
      </w:tr>
      <w:tr w:rsidR="001F1DC1" w:rsidRPr="00B01BC9" w14:paraId="41EAC5B5" w14:textId="77777777" w:rsidTr="004D56CD">
        <w:trPr>
          <w:trHeight w:val="647"/>
        </w:trPr>
        <w:tc>
          <w:tcPr>
            <w:tcW w:w="1418" w:type="dxa"/>
          </w:tcPr>
          <w:p w14:paraId="7301572D" w14:textId="54A85549" w:rsidR="001F1DC1" w:rsidRPr="00B01BC9" w:rsidRDefault="007C14DD" w:rsidP="00C44F4E">
            <w:pPr>
              <w:jc w:val="left"/>
              <w:rPr>
                <w:rFonts w:ascii="Arial" w:hAnsi="Arial" w:cs="Arial"/>
                <w:color w:val="000000"/>
              </w:rPr>
            </w:pPr>
            <w:r w:rsidRPr="00B01BC9">
              <w:rPr>
                <w:rFonts w:ascii="Arial" w:hAnsi="Arial" w:cs="Arial"/>
                <w:color w:val="000000"/>
              </w:rPr>
              <w:t xml:space="preserve">Agbonmwandolor </w:t>
            </w:r>
            <w:r w:rsidRPr="00B01BC9">
              <w:rPr>
                <w:rFonts w:ascii="Arial" w:hAnsi="Arial" w:cs="Arial"/>
                <w:i/>
                <w:iCs/>
                <w:color w:val="000000"/>
              </w:rPr>
              <w:t>et al</w:t>
            </w:r>
            <w:r w:rsidR="00EC27BC">
              <w:rPr>
                <w:rFonts w:ascii="Arial" w:hAnsi="Arial" w:cs="Arial"/>
                <w:i/>
                <w:iCs/>
                <w:color w:val="000000"/>
              </w:rPr>
              <w:t>.,</w:t>
            </w:r>
            <w:r w:rsidR="001105B6">
              <w:rPr>
                <w:rFonts w:ascii="Arial" w:hAnsi="Arial" w:cs="Arial"/>
                <w:i/>
                <w:iCs/>
                <w:color w:val="000000"/>
              </w:rPr>
              <w:t xml:space="preserve"> </w:t>
            </w:r>
            <w:r w:rsidRPr="00B01BC9">
              <w:rPr>
                <w:rFonts w:ascii="Arial" w:hAnsi="Arial" w:cs="Arial"/>
                <w:color w:val="000000"/>
              </w:rPr>
              <w:t>(2024)</w:t>
            </w:r>
          </w:p>
          <w:p w14:paraId="11865F22" w14:textId="50BB8C4D" w:rsidR="00340C39" w:rsidRPr="00B01BC9" w:rsidRDefault="00340C39" w:rsidP="00C44F4E">
            <w:pPr>
              <w:jc w:val="left"/>
              <w:rPr>
                <w:rFonts w:ascii="Arial" w:hAnsi="Arial" w:cs="Arial"/>
              </w:rPr>
            </w:pPr>
            <w:r w:rsidRPr="00B01BC9">
              <w:rPr>
                <w:rFonts w:ascii="Arial" w:hAnsi="Arial" w:cs="Arial"/>
              </w:rPr>
              <w:t xml:space="preserve">Paper </w:t>
            </w:r>
            <w:r w:rsidR="00383355" w:rsidRPr="00B01BC9">
              <w:rPr>
                <w:rFonts w:ascii="Arial" w:hAnsi="Arial" w:cs="Arial"/>
              </w:rPr>
              <w:t>6</w:t>
            </w:r>
          </w:p>
        </w:tc>
        <w:tc>
          <w:tcPr>
            <w:tcW w:w="1559" w:type="dxa"/>
          </w:tcPr>
          <w:p w14:paraId="6AFC5904" w14:textId="40FC8936" w:rsidR="001F1DC1" w:rsidRPr="00B01BC9" w:rsidRDefault="007C14DD" w:rsidP="00C44F4E">
            <w:pPr>
              <w:jc w:val="left"/>
              <w:rPr>
                <w:rFonts w:ascii="Arial" w:hAnsi="Arial" w:cs="Arial"/>
              </w:rPr>
            </w:pPr>
            <w:r w:rsidRPr="00B01BC9">
              <w:rPr>
                <w:rFonts w:ascii="Arial" w:hAnsi="Arial" w:cs="Arial"/>
                <w:color w:val="000000"/>
              </w:rPr>
              <w:t>Coping Strategies Used by Migrant Healthcare Workers to Support Their Mental Health During COVID-19 in the United Kingdom: A Qualitative Analysis</w:t>
            </w:r>
          </w:p>
        </w:tc>
        <w:tc>
          <w:tcPr>
            <w:tcW w:w="1701" w:type="dxa"/>
          </w:tcPr>
          <w:p w14:paraId="6DEFDB19" w14:textId="5339DA7F" w:rsidR="001F1DC1" w:rsidRPr="00B01BC9" w:rsidRDefault="007C14DD" w:rsidP="00C44F4E">
            <w:pPr>
              <w:jc w:val="left"/>
              <w:rPr>
                <w:rFonts w:ascii="Arial" w:hAnsi="Arial" w:cs="Arial"/>
              </w:rPr>
            </w:pPr>
            <w:r w:rsidRPr="00B01BC9">
              <w:rPr>
                <w:rFonts w:ascii="Arial" w:hAnsi="Arial" w:cs="Arial"/>
                <w:color w:val="000000"/>
              </w:rPr>
              <w:t>Qualitative study</w:t>
            </w:r>
          </w:p>
        </w:tc>
        <w:tc>
          <w:tcPr>
            <w:tcW w:w="1559" w:type="dxa"/>
          </w:tcPr>
          <w:p w14:paraId="25B53676" w14:textId="5BBD662A" w:rsidR="001F1DC1" w:rsidRPr="00B01BC9" w:rsidRDefault="007C14DD" w:rsidP="00C44F4E">
            <w:pPr>
              <w:jc w:val="left"/>
              <w:rPr>
                <w:rFonts w:ascii="Arial" w:hAnsi="Arial" w:cs="Arial"/>
              </w:rPr>
            </w:pPr>
            <w:r w:rsidRPr="00B01BC9">
              <w:rPr>
                <w:rFonts w:ascii="Arial" w:hAnsi="Arial" w:cs="Arial"/>
                <w:color w:val="000000"/>
              </w:rPr>
              <w:t>Qualitative analysis of migrant healthcare workers</w:t>
            </w:r>
            <w:r w:rsidR="0048656F">
              <w:rPr>
                <w:rFonts w:ascii="Arial" w:hAnsi="Arial" w:cs="Arial"/>
                <w:color w:val="000000"/>
              </w:rPr>
              <w:t xml:space="preserve"> </w:t>
            </w:r>
            <w:r w:rsidRPr="00B01BC9">
              <w:rPr>
                <w:rFonts w:ascii="Arial" w:hAnsi="Arial" w:cs="Arial"/>
                <w:color w:val="000000"/>
              </w:rPr>
              <w:t>mental health experiences during COVID-19</w:t>
            </w:r>
          </w:p>
        </w:tc>
        <w:tc>
          <w:tcPr>
            <w:tcW w:w="1559" w:type="dxa"/>
          </w:tcPr>
          <w:p w14:paraId="33F70165" w14:textId="7E7BEF57" w:rsidR="001F1DC1" w:rsidRPr="00B01BC9" w:rsidRDefault="007C14DD" w:rsidP="00C44F4E">
            <w:pPr>
              <w:jc w:val="left"/>
              <w:rPr>
                <w:rFonts w:ascii="Arial" w:hAnsi="Arial" w:cs="Arial"/>
              </w:rPr>
            </w:pPr>
            <w:r w:rsidRPr="00B01BC9">
              <w:rPr>
                <w:rFonts w:ascii="Arial" w:hAnsi="Arial" w:cs="Arial"/>
                <w:color w:val="000000"/>
              </w:rPr>
              <w:t>Strengths: Recent, UK-based, wellbeing focus. Limitations: Healthcare workforce rather than ASC exclusively.</w:t>
            </w:r>
          </w:p>
        </w:tc>
        <w:tc>
          <w:tcPr>
            <w:tcW w:w="1418" w:type="dxa"/>
          </w:tcPr>
          <w:p w14:paraId="25FD3FD5" w14:textId="4827E0BF" w:rsidR="001F1DC1" w:rsidRPr="00B01BC9" w:rsidRDefault="007A4DD1" w:rsidP="00C44F4E">
            <w:pPr>
              <w:jc w:val="left"/>
              <w:rPr>
                <w:rFonts w:ascii="Arial" w:hAnsi="Arial" w:cs="Arial"/>
              </w:rPr>
            </w:pPr>
            <w:r w:rsidRPr="00B01BC9">
              <w:rPr>
                <w:rFonts w:ascii="Arial" w:hAnsi="Arial" w:cs="Arial"/>
                <w:color w:val="000000"/>
              </w:rPr>
              <w:t>Migrant workers developed coping strategies to manage mental health pressures and workplace stress.</w:t>
            </w:r>
          </w:p>
        </w:tc>
        <w:tc>
          <w:tcPr>
            <w:tcW w:w="1276" w:type="dxa"/>
          </w:tcPr>
          <w:p w14:paraId="7F86946F" w14:textId="7BD7495C" w:rsidR="001F1DC1" w:rsidRPr="00B01BC9" w:rsidRDefault="007A4DD1" w:rsidP="00C44F4E">
            <w:pPr>
              <w:jc w:val="left"/>
              <w:rPr>
                <w:rFonts w:ascii="Arial" w:hAnsi="Arial" w:cs="Arial"/>
              </w:rPr>
            </w:pPr>
            <w:r w:rsidRPr="00B01BC9">
              <w:rPr>
                <w:rFonts w:ascii="Arial" w:hAnsi="Arial" w:cs="Arial"/>
                <w:color w:val="000000"/>
              </w:rPr>
              <w:t>Mental health</w:t>
            </w:r>
            <w:r w:rsidR="00D7565E">
              <w:rPr>
                <w:rFonts w:ascii="Arial" w:hAnsi="Arial" w:cs="Arial"/>
                <w:color w:val="000000"/>
              </w:rPr>
              <w:t xml:space="preserve">, </w:t>
            </w:r>
            <w:r w:rsidRPr="00B01BC9">
              <w:rPr>
                <w:rFonts w:ascii="Arial" w:hAnsi="Arial" w:cs="Arial"/>
                <w:color w:val="000000"/>
              </w:rPr>
              <w:t>resilience</w:t>
            </w:r>
            <w:r w:rsidR="00D7565E">
              <w:rPr>
                <w:rFonts w:ascii="Arial" w:hAnsi="Arial" w:cs="Arial"/>
                <w:color w:val="000000"/>
              </w:rPr>
              <w:t>,</w:t>
            </w:r>
            <w:r w:rsidRPr="00B01BC9">
              <w:rPr>
                <w:rFonts w:ascii="Arial" w:hAnsi="Arial" w:cs="Arial"/>
                <w:color w:val="000000"/>
              </w:rPr>
              <w:t>wellbeing</w:t>
            </w:r>
            <w:r w:rsidR="00D7565E">
              <w:rPr>
                <w:rFonts w:ascii="Arial" w:hAnsi="Arial" w:cs="Arial"/>
                <w:color w:val="000000"/>
              </w:rPr>
              <w:t>,</w:t>
            </w:r>
            <w:r w:rsidRPr="00B01BC9">
              <w:rPr>
                <w:rFonts w:ascii="Arial" w:hAnsi="Arial" w:cs="Arial"/>
                <w:color w:val="000000"/>
              </w:rPr>
              <w:t xml:space="preserve"> coping strategies</w:t>
            </w:r>
          </w:p>
        </w:tc>
        <w:tc>
          <w:tcPr>
            <w:tcW w:w="1412" w:type="dxa"/>
          </w:tcPr>
          <w:p w14:paraId="68F96028" w14:textId="77777777" w:rsidR="001F1DC1" w:rsidRPr="00B01BC9" w:rsidRDefault="001F1DC1" w:rsidP="00C44F4E">
            <w:pPr>
              <w:jc w:val="left"/>
              <w:rPr>
                <w:rFonts w:ascii="Arial" w:hAnsi="Arial" w:cs="Arial"/>
              </w:rPr>
            </w:pPr>
          </w:p>
        </w:tc>
      </w:tr>
      <w:tr w:rsidR="001F1DC1" w:rsidRPr="00B01BC9" w14:paraId="045BEFB1" w14:textId="77777777" w:rsidTr="004D56CD">
        <w:trPr>
          <w:trHeight w:val="2317"/>
        </w:trPr>
        <w:tc>
          <w:tcPr>
            <w:tcW w:w="1418" w:type="dxa"/>
          </w:tcPr>
          <w:p w14:paraId="3073ADD9" w14:textId="4DC87F85" w:rsidR="001F1DC1" w:rsidRPr="00B01BC9" w:rsidRDefault="00975815" w:rsidP="00C44F4E">
            <w:pPr>
              <w:jc w:val="left"/>
              <w:rPr>
                <w:rFonts w:ascii="Arial" w:hAnsi="Arial" w:cs="Arial"/>
                <w:color w:val="000000"/>
              </w:rPr>
            </w:pPr>
            <w:r w:rsidRPr="00B01BC9">
              <w:rPr>
                <w:rFonts w:ascii="Arial" w:hAnsi="Arial" w:cs="Arial"/>
                <w:color w:val="000000"/>
              </w:rPr>
              <w:t xml:space="preserve">Edwards </w:t>
            </w:r>
            <w:r w:rsidRPr="00B01BC9">
              <w:rPr>
                <w:rFonts w:ascii="Arial" w:hAnsi="Arial" w:cs="Arial"/>
                <w:i/>
                <w:iCs/>
                <w:color w:val="000000"/>
              </w:rPr>
              <w:t>et al</w:t>
            </w:r>
            <w:r w:rsidR="001142E1">
              <w:rPr>
                <w:rFonts w:ascii="Arial" w:hAnsi="Arial" w:cs="Arial"/>
                <w:i/>
                <w:iCs/>
                <w:color w:val="000000"/>
              </w:rPr>
              <w:t xml:space="preserve">., </w:t>
            </w:r>
            <w:r w:rsidRPr="00B01BC9">
              <w:rPr>
                <w:rFonts w:ascii="Arial" w:hAnsi="Arial" w:cs="Arial"/>
                <w:color w:val="000000"/>
              </w:rPr>
              <w:t>(2022)</w:t>
            </w:r>
            <w:r w:rsidR="00383355" w:rsidRPr="00B01BC9">
              <w:rPr>
                <w:rFonts w:ascii="Arial" w:hAnsi="Arial" w:cs="Arial"/>
                <w:color w:val="000000"/>
              </w:rPr>
              <w:t xml:space="preserve"> </w:t>
            </w:r>
          </w:p>
          <w:p w14:paraId="66AF8F29" w14:textId="33CA6F3D" w:rsidR="00383355" w:rsidRPr="00B01BC9" w:rsidRDefault="00383355" w:rsidP="00C44F4E">
            <w:pPr>
              <w:jc w:val="left"/>
              <w:rPr>
                <w:rFonts w:ascii="Arial" w:hAnsi="Arial" w:cs="Arial"/>
              </w:rPr>
            </w:pPr>
            <w:r w:rsidRPr="00B01BC9">
              <w:rPr>
                <w:rFonts w:ascii="Arial" w:hAnsi="Arial" w:cs="Arial"/>
                <w:color w:val="000000"/>
              </w:rPr>
              <w:t>Paper 7</w:t>
            </w:r>
          </w:p>
        </w:tc>
        <w:tc>
          <w:tcPr>
            <w:tcW w:w="1559" w:type="dxa"/>
          </w:tcPr>
          <w:p w14:paraId="78141300" w14:textId="503E2861" w:rsidR="001F1DC1" w:rsidRPr="00B01BC9" w:rsidRDefault="00CF0B79" w:rsidP="00C44F4E">
            <w:pPr>
              <w:jc w:val="left"/>
              <w:rPr>
                <w:rFonts w:ascii="Arial" w:hAnsi="Arial" w:cs="Arial"/>
              </w:rPr>
            </w:pPr>
            <w:r w:rsidRPr="00B01BC9">
              <w:rPr>
                <w:rFonts w:ascii="Arial" w:hAnsi="Arial" w:cs="Arial"/>
                <w:color w:val="000000"/>
              </w:rPr>
              <w:t xml:space="preserve">A Rapid Review of Innovations for Attraction, Recruitment and Retention of Social Care Workers: An Exploration of Factors Influencing </w:t>
            </w:r>
            <w:r w:rsidRPr="00B01BC9">
              <w:rPr>
                <w:rFonts w:ascii="Arial" w:hAnsi="Arial" w:cs="Arial"/>
                <w:color w:val="000000"/>
              </w:rPr>
              <w:lastRenderedPageBreak/>
              <w:t>Turnover within the UK Context</w:t>
            </w:r>
          </w:p>
        </w:tc>
        <w:tc>
          <w:tcPr>
            <w:tcW w:w="1701" w:type="dxa"/>
          </w:tcPr>
          <w:p w14:paraId="3529D18D" w14:textId="34895DC4" w:rsidR="001F1DC1" w:rsidRPr="00B01BC9" w:rsidRDefault="00CF0B79" w:rsidP="00C44F4E">
            <w:pPr>
              <w:jc w:val="left"/>
              <w:rPr>
                <w:rFonts w:ascii="Arial" w:hAnsi="Arial" w:cs="Arial"/>
              </w:rPr>
            </w:pPr>
            <w:r w:rsidRPr="00B01BC9">
              <w:rPr>
                <w:rFonts w:ascii="Arial" w:hAnsi="Arial" w:cs="Arial"/>
                <w:color w:val="000000"/>
              </w:rPr>
              <w:lastRenderedPageBreak/>
              <w:t>Rapid review</w:t>
            </w:r>
          </w:p>
        </w:tc>
        <w:tc>
          <w:tcPr>
            <w:tcW w:w="1559" w:type="dxa"/>
          </w:tcPr>
          <w:tbl>
            <w:tblPr>
              <w:tblW w:w="969"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969"/>
            </w:tblGrid>
            <w:tr w:rsidR="00CF0B79" w:rsidRPr="00B01BC9" w14:paraId="35D462B0" w14:textId="77777777" w:rsidTr="0032162D">
              <w:trPr>
                <w:trHeight w:val="3241"/>
                <w:tblCellSpacing w:w="15" w:type="dxa"/>
              </w:trPr>
              <w:tc>
                <w:tcPr>
                  <w:tcW w:w="1192" w:type="dxa"/>
                  <w:vAlign w:val="center"/>
                  <w:hideMark/>
                </w:tcPr>
                <w:p w14:paraId="1E7CD3C1" w14:textId="77777777" w:rsidR="00CF0B79" w:rsidRPr="00B01BC9" w:rsidRDefault="00CF0B79" w:rsidP="00346081">
                  <w:pPr>
                    <w:framePr w:hSpace="180" w:wrap="around" w:vAnchor="text" w:hAnchor="page" w:x="-1611" w:y="-1445"/>
                    <w:jc w:val="left"/>
                    <w:rPr>
                      <w:rFonts w:ascii="Arial" w:eastAsia="Times New Roman" w:hAnsi="Arial" w:cs="Arial"/>
                      <w:color w:val="000000"/>
                      <w:lang w:eastAsia="en-GB"/>
                    </w:rPr>
                  </w:pPr>
                  <w:r w:rsidRPr="00B01BC9">
                    <w:rPr>
                      <w:rFonts w:ascii="Arial" w:hAnsi="Arial" w:cs="Arial"/>
                      <w:color w:val="000000"/>
                    </w:rPr>
                    <w:t xml:space="preserve">Review of UK evidence relating to recruitment, retention, and turnover </w:t>
                  </w:r>
                  <w:r w:rsidRPr="00B01BC9">
                    <w:rPr>
                      <w:rFonts w:ascii="Arial" w:hAnsi="Arial" w:cs="Arial"/>
                      <w:color w:val="000000"/>
                    </w:rPr>
                    <w:lastRenderedPageBreak/>
                    <w:t>in social care</w:t>
                  </w:r>
                </w:p>
              </w:tc>
            </w:tr>
          </w:tbl>
          <w:p w14:paraId="2FDAD008" w14:textId="77777777" w:rsidR="00CF0B79" w:rsidRPr="00B01BC9" w:rsidRDefault="00CF0B79" w:rsidP="00C44F4E">
            <w:pPr>
              <w:jc w:val="left"/>
              <w:rPr>
                <w:rFonts w:ascii="Arial" w:hAnsi="Arial" w:cs="Arial"/>
                <w:vanish/>
              </w:rPr>
            </w:pPr>
          </w:p>
          <w:tbl>
            <w:tblPr>
              <w:tblW w:w="74"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CF0B79" w:rsidRPr="00B01BC9" w14:paraId="51B71096" w14:textId="77777777" w:rsidTr="0032162D">
              <w:trPr>
                <w:trHeight w:val="12"/>
                <w:tblCellSpacing w:w="15" w:type="dxa"/>
              </w:trPr>
              <w:tc>
                <w:tcPr>
                  <w:tcW w:w="36" w:type="dxa"/>
                  <w:vAlign w:val="center"/>
                  <w:hideMark/>
                </w:tcPr>
                <w:p w14:paraId="786B916E" w14:textId="77777777" w:rsidR="00CF0B79" w:rsidRPr="00B01BC9" w:rsidRDefault="00CF0B79" w:rsidP="00346081">
                  <w:pPr>
                    <w:framePr w:hSpace="180" w:wrap="around" w:vAnchor="text" w:hAnchor="page" w:x="-1611" w:y="-1445"/>
                    <w:jc w:val="left"/>
                    <w:rPr>
                      <w:rFonts w:ascii="Arial" w:hAnsi="Arial" w:cs="Arial"/>
                    </w:rPr>
                  </w:pPr>
                </w:p>
              </w:tc>
            </w:tr>
          </w:tbl>
          <w:p w14:paraId="2058CCF1" w14:textId="77777777" w:rsidR="001F1DC1" w:rsidRPr="00B01BC9" w:rsidRDefault="001F1DC1" w:rsidP="00C44F4E">
            <w:pPr>
              <w:jc w:val="left"/>
              <w:rPr>
                <w:rFonts w:ascii="Arial" w:hAnsi="Arial" w:cs="Arial"/>
              </w:rPr>
            </w:pPr>
          </w:p>
        </w:tc>
        <w:tc>
          <w:tcPr>
            <w:tcW w:w="1559" w:type="dxa"/>
          </w:tcPr>
          <w:p w14:paraId="09BAEE4E" w14:textId="4FD54708" w:rsidR="001F1DC1" w:rsidRPr="00B01BC9" w:rsidRDefault="00B3316B" w:rsidP="00C44F4E">
            <w:pPr>
              <w:jc w:val="left"/>
              <w:rPr>
                <w:rFonts w:ascii="Arial" w:hAnsi="Arial" w:cs="Arial"/>
              </w:rPr>
            </w:pPr>
            <w:r w:rsidRPr="00B01BC9">
              <w:rPr>
                <w:rFonts w:ascii="Arial" w:hAnsi="Arial" w:cs="Arial"/>
                <w:color w:val="000000"/>
              </w:rPr>
              <w:lastRenderedPageBreak/>
              <w:t>Strengths: Direct relevance to UK social care workforce. Limitations</w:t>
            </w:r>
            <w:r w:rsidR="00725A02">
              <w:rPr>
                <w:rFonts w:ascii="Arial" w:hAnsi="Arial" w:cs="Arial"/>
                <w:color w:val="000000"/>
              </w:rPr>
              <w:t>,</w:t>
            </w:r>
            <w:r w:rsidR="0091367E">
              <w:rPr>
                <w:rFonts w:ascii="Arial" w:hAnsi="Arial" w:cs="Arial"/>
                <w:color w:val="000000"/>
              </w:rPr>
              <w:t xml:space="preserve"> </w:t>
            </w:r>
            <w:r w:rsidRPr="00B01BC9">
              <w:rPr>
                <w:rFonts w:ascii="Arial" w:hAnsi="Arial" w:cs="Arial"/>
                <w:color w:val="000000"/>
              </w:rPr>
              <w:t>Broad focus not limited to migrant workers.</w:t>
            </w:r>
          </w:p>
        </w:tc>
        <w:tc>
          <w:tcPr>
            <w:tcW w:w="1418" w:type="dxa"/>
          </w:tcPr>
          <w:p w14:paraId="6354D504" w14:textId="49F7A859" w:rsidR="001F1DC1" w:rsidRPr="00B01BC9" w:rsidRDefault="00B3316B" w:rsidP="00C44F4E">
            <w:pPr>
              <w:jc w:val="left"/>
              <w:rPr>
                <w:rFonts w:ascii="Arial" w:hAnsi="Arial" w:cs="Arial"/>
              </w:rPr>
            </w:pPr>
            <w:r w:rsidRPr="00B01BC9">
              <w:rPr>
                <w:rFonts w:ascii="Arial" w:hAnsi="Arial" w:cs="Arial"/>
                <w:color w:val="000000"/>
              </w:rPr>
              <w:t>Recruitment and retention challenges continue to affect workforce sustainability within social care.</w:t>
            </w:r>
          </w:p>
        </w:tc>
        <w:tc>
          <w:tcPr>
            <w:tcW w:w="1276" w:type="dxa"/>
          </w:tcPr>
          <w:p w14:paraId="487CDA83" w14:textId="5687CBB6" w:rsidR="001F1DC1" w:rsidRPr="00B01BC9" w:rsidRDefault="00B3316B" w:rsidP="00C44F4E">
            <w:pPr>
              <w:jc w:val="left"/>
              <w:rPr>
                <w:rFonts w:ascii="Arial" w:hAnsi="Arial" w:cs="Arial"/>
              </w:rPr>
            </w:pPr>
            <w:r w:rsidRPr="00B01BC9">
              <w:rPr>
                <w:rFonts w:ascii="Arial" w:hAnsi="Arial" w:cs="Arial"/>
                <w:color w:val="000000"/>
              </w:rPr>
              <w:t>Recruitment</w:t>
            </w:r>
            <w:r w:rsidR="0091367E">
              <w:rPr>
                <w:rFonts w:ascii="Arial" w:hAnsi="Arial" w:cs="Arial"/>
                <w:color w:val="000000"/>
              </w:rPr>
              <w:t xml:space="preserve">, </w:t>
            </w:r>
            <w:r w:rsidRPr="00B01BC9">
              <w:rPr>
                <w:rFonts w:ascii="Arial" w:hAnsi="Arial" w:cs="Arial"/>
                <w:color w:val="000000"/>
              </w:rPr>
              <w:t>retention</w:t>
            </w:r>
            <w:r w:rsidR="0091367E">
              <w:rPr>
                <w:rFonts w:ascii="Arial" w:hAnsi="Arial" w:cs="Arial"/>
                <w:color w:val="000000"/>
              </w:rPr>
              <w:t xml:space="preserve">, </w:t>
            </w:r>
            <w:r w:rsidRPr="00B01BC9">
              <w:rPr>
                <w:rFonts w:ascii="Arial" w:hAnsi="Arial" w:cs="Arial"/>
                <w:color w:val="000000"/>
              </w:rPr>
              <w:t>turnover</w:t>
            </w:r>
            <w:r w:rsidR="0091367E">
              <w:rPr>
                <w:rFonts w:ascii="Arial" w:hAnsi="Arial" w:cs="Arial"/>
                <w:color w:val="000000"/>
              </w:rPr>
              <w:t xml:space="preserve">, </w:t>
            </w:r>
            <w:r w:rsidRPr="00B01BC9">
              <w:rPr>
                <w:rFonts w:ascii="Arial" w:hAnsi="Arial" w:cs="Arial"/>
                <w:color w:val="000000"/>
              </w:rPr>
              <w:t>workforce sustainability</w:t>
            </w:r>
          </w:p>
        </w:tc>
        <w:tc>
          <w:tcPr>
            <w:tcW w:w="1412" w:type="dxa"/>
          </w:tcPr>
          <w:p w14:paraId="78D7A82E" w14:textId="77777777" w:rsidR="001F1DC1" w:rsidRPr="00B01BC9" w:rsidRDefault="001F1DC1" w:rsidP="00C44F4E">
            <w:pPr>
              <w:jc w:val="left"/>
              <w:rPr>
                <w:rFonts w:ascii="Arial" w:hAnsi="Arial" w:cs="Arial"/>
              </w:rPr>
            </w:pPr>
          </w:p>
        </w:tc>
      </w:tr>
    </w:tbl>
    <w:p w14:paraId="4F96E570" w14:textId="77777777" w:rsidR="0010203C" w:rsidRPr="00B01BC9" w:rsidRDefault="0010203C" w:rsidP="0000376A">
      <w:pPr>
        <w:jc w:val="left"/>
        <w:rPr>
          <w:rFonts w:ascii="Arial" w:hAnsi="Arial" w:cs="Arial"/>
        </w:rPr>
      </w:pPr>
    </w:p>
    <w:p w14:paraId="794A63BF" w14:textId="77777777" w:rsidR="00177663" w:rsidRPr="00B01BC9" w:rsidRDefault="00177663" w:rsidP="0000376A">
      <w:pPr>
        <w:jc w:val="left"/>
        <w:rPr>
          <w:rFonts w:ascii="Arial" w:hAnsi="Arial" w:cs="Arial"/>
        </w:rPr>
      </w:pPr>
    </w:p>
    <w:p w14:paraId="796F763B" w14:textId="77777777" w:rsidR="00177663" w:rsidRPr="00B01BC9" w:rsidRDefault="00177663" w:rsidP="0000376A">
      <w:pPr>
        <w:jc w:val="left"/>
        <w:rPr>
          <w:rFonts w:ascii="Arial" w:hAnsi="Arial" w:cs="Arial"/>
        </w:rPr>
      </w:pPr>
    </w:p>
    <w:p w14:paraId="43F62A7B" w14:textId="77777777" w:rsidR="006B5511" w:rsidRPr="00B01BC9" w:rsidRDefault="006B5511" w:rsidP="0000376A">
      <w:pPr>
        <w:pStyle w:val="paragraph"/>
        <w:spacing w:before="0" w:beforeAutospacing="0" w:after="0" w:afterAutospacing="0" w:line="360" w:lineRule="auto"/>
        <w:textAlignment w:val="baseline"/>
        <w:rPr>
          <w:rFonts w:ascii="Arial" w:hAnsi="Arial" w:cs="Arial"/>
          <w:sz w:val="16"/>
          <w:szCs w:val="16"/>
        </w:rPr>
      </w:pPr>
    </w:p>
    <w:p w14:paraId="3EC256D8" w14:textId="77777777" w:rsidR="00052B11" w:rsidRPr="00B01BC9" w:rsidRDefault="00052B11" w:rsidP="0000376A">
      <w:pPr>
        <w:jc w:val="left"/>
        <w:rPr>
          <w:rFonts w:ascii="Arial" w:hAnsi="Arial" w:cs="Arial"/>
        </w:rPr>
      </w:pPr>
    </w:p>
    <w:p w14:paraId="046B6116" w14:textId="77777777" w:rsidR="00720E5F" w:rsidRPr="00B01BC9" w:rsidRDefault="00720E5F"/>
    <w:sectPr w:rsidR="00720E5F" w:rsidRPr="00B01BC9" w:rsidSect="002555E0">
      <w:footerReference w:type="even" r:id="rId63"/>
      <w:footerReference w:type="default" r:id="rId64"/>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E5D23E7" w14:textId="77777777" w:rsidR="003F3AEA" w:rsidRDefault="003F3AEA" w:rsidP="000C345D">
      <w:pPr>
        <w:spacing w:after="0" w:line="240" w:lineRule="auto"/>
      </w:pPr>
      <w:r>
        <w:separator/>
      </w:r>
    </w:p>
  </w:endnote>
  <w:endnote w:type="continuationSeparator" w:id="0">
    <w:p w14:paraId="6CA80A0E" w14:textId="77777777" w:rsidR="003F3AEA" w:rsidRDefault="003F3AEA" w:rsidP="000C3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ebkit-standard">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110888445"/>
      <w:docPartObj>
        <w:docPartGallery w:val="Page Numbers (Bottom of Page)"/>
        <w:docPartUnique/>
      </w:docPartObj>
    </w:sdtPr>
    <w:sdtContent>
      <w:p w14:paraId="4CC2FB6C" w14:textId="3F5299DA" w:rsidR="000C345D" w:rsidRDefault="000C345D" w:rsidP="00ED55C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736CF7F" w14:textId="77777777" w:rsidR="000C345D" w:rsidRDefault="000C345D" w:rsidP="000C345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287591190"/>
      <w:docPartObj>
        <w:docPartGallery w:val="Page Numbers (Bottom of Page)"/>
        <w:docPartUnique/>
      </w:docPartObj>
    </w:sdtPr>
    <w:sdtContent>
      <w:p w14:paraId="30C3D64D" w14:textId="721AFA10" w:rsidR="000C345D" w:rsidRDefault="000C345D" w:rsidP="00ED55C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sdtContent>
  </w:sdt>
  <w:p w14:paraId="31E4C770" w14:textId="77777777" w:rsidR="000C345D" w:rsidRDefault="000C345D" w:rsidP="000C345D">
    <w:pPr>
      <w:pStyle w:val="Footer"/>
      <w:ind w:right="360"/>
    </w:pPr>
  </w:p>
  <w:p w14:paraId="0670ACE8" w14:textId="77777777" w:rsidR="00C44F4E" w:rsidRDefault="00C44F4E" w:rsidP="000C345D">
    <w:pPr>
      <w:pStyle w:val="Footer"/>
      <w:ind w:right="360"/>
    </w:pPr>
  </w:p>
  <w:p w14:paraId="12840157" w14:textId="77777777" w:rsidR="00C44F4E" w:rsidRDefault="00C44F4E" w:rsidP="000C345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2B7B8D9" w14:textId="77777777" w:rsidR="003F3AEA" w:rsidRDefault="003F3AEA" w:rsidP="000C345D">
      <w:pPr>
        <w:spacing w:after="0" w:line="240" w:lineRule="auto"/>
      </w:pPr>
      <w:r>
        <w:separator/>
      </w:r>
    </w:p>
  </w:footnote>
  <w:footnote w:type="continuationSeparator" w:id="0">
    <w:p w14:paraId="37F18517" w14:textId="77777777" w:rsidR="003F3AEA" w:rsidRDefault="003F3AEA" w:rsidP="000C34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844B0E"/>
    <w:multiLevelType w:val="multilevel"/>
    <w:tmpl w:val="41E416D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CD2CBA"/>
    <w:multiLevelType w:val="hybridMultilevel"/>
    <w:tmpl w:val="D424EDC4"/>
    <w:lvl w:ilvl="0" w:tplc="FFFFFFFF">
      <w:start w:val="3"/>
      <w:numFmt w:val="decimal"/>
      <w:lvlText w:val="%1."/>
      <w:lvlJc w:val="left"/>
      <w:pPr>
        <w:ind w:left="720" w:hanging="360"/>
      </w:pPr>
      <w:rPr>
        <w:rFonts w:hint="default"/>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545610C"/>
    <w:multiLevelType w:val="multilevel"/>
    <w:tmpl w:val="90FEF11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E05AAD"/>
    <w:multiLevelType w:val="hybridMultilevel"/>
    <w:tmpl w:val="D424EDC4"/>
    <w:lvl w:ilvl="0" w:tplc="FFFFFFFF">
      <w:start w:val="3"/>
      <w:numFmt w:val="decimal"/>
      <w:lvlText w:val="%1."/>
      <w:lvlJc w:val="left"/>
      <w:pPr>
        <w:ind w:left="720" w:hanging="360"/>
      </w:pPr>
      <w:rPr>
        <w:rFonts w:hint="default"/>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EB67FDB"/>
    <w:multiLevelType w:val="hybridMultilevel"/>
    <w:tmpl w:val="BD062E5C"/>
    <w:lvl w:ilvl="0" w:tplc="FFFFFFFF">
      <w:start w:val="4"/>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16B9605C"/>
    <w:multiLevelType w:val="multilevel"/>
    <w:tmpl w:val="7FE025E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FF1597"/>
    <w:multiLevelType w:val="multilevel"/>
    <w:tmpl w:val="6C68499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9C5F1B"/>
    <w:multiLevelType w:val="hybridMultilevel"/>
    <w:tmpl w:val="94B087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1003E80"/>
    <w:multiLevelType w:val="multilevel"/>
    <w:tmpl w:val="3F366D9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4D0738"/>
    <w:multiLevelType w:val="hybridMultilevel"/>
    <w:tmpl w:val="21064BA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5317DF2"/>
    <w:multiLevelType w:val="multilevel"/>
    <w:tmpl w:val="F432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A0610A"/>
    <w:multiLevelType w:val="multilevel"/>
    <w:tmpl w:val="3208A85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0E7778"/>
    <w:multiLevelType w:val="multilevel"/>
    <w:tmpl w:val="032AB5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33655D32"/>
    <w:multiLevelType w:val="hybridMultilevel"/>
    <w:tmpl w:val="D424EDC4"/>
    <w:lvl w:ilvl="0" w:tplc="FFFFFFFF">
      <w:start w:val="3"/>
      <w:numFmt w:val="decimal"/>
      <w:lvlText w:val="%1."/>
      <w:lvlJc w:val="left"/>
      <w:pPr>
        <w:ind w:left="720" w:hanging="360"/>
      </w:pPr>
      <w:rPr>
        <w:rFonts w:hint="default"/>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61F14D1"/>
    <w:multiLevelType w:val="multilevel"/>
    <w:tmpl w:val="472CEB4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E974B4"/>
    <w:multiLevelType w:val="multilevel"/>
    <w:tmpl w:val="18D4F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F8321F"/>
    <w:multiLevelType w:val="multilevel"/>
    <w:tmpl w:val="01D6AD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 w15:restartNumberingAfterBreak="0">
    <w:nsid w:val="424D4F3A"/>
    <w:multiLevelType w:val="hybridMultilevel"/>
    <w:tmpl w:val="BD062E5C"/>
    <w:lvl w:ilvl="0" w:tplc="B87ABC14">
      <w:start w:val="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39150ED"/>
    <w:multiLevelType w:val="multilevel"/>
    <w:tmpl w:val="3F22662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7C2323A"/>
    <w:multiLevelType w:val="multilevel"/>
    <w:tmpl w:val="2B222C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5230C0"/>
    <w:multiLevelType w:val="multilevel"/>
    <w:tmpl w:val="AACE1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C818EF"/>
    <w:multiLevelType w:val="multilevel"/>
    <w:tmpl w:val="63F082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8167C51"/>
    <w:multiLevelType w:val="hybridMultilevel"/>
    <w:tmpl w:val="94B0877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E2D36E9"/>
    <w:multiLevelType w:val="hybridMultilevel"/>
    <w:tmpl w:val="D424EDC4"/>
    <w:lvl w:ilvl="0" w:tplc="F37474DE">
      <w:start w:val="3"/>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EAE028E"/>
    <w:multiLevelType w:val="hybridMultilevel"/>
    <w:tmpl w:val="D424EDC4"/>
    <w:lvl w:ilvl="0" w:tplc="FFFFFFFF">
      <w:start w:val="3"/>
      <w:numFmt w:val="decimal"/>
      <w:lvlText w:val="%1."/>
      <w:lvlJc w:val="left"/>
      <w:pPr>
        <w:ind w:left="720" w:hanging="360"/>
      </w:pPr>
      <w:rPr>
        <w:rFonts w:hint="default"/>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05F72AF"/>
    <w:multiLevelType w:val="multilevel"/>
    <w:tmpl w:val="E79039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22F6C69"/>
    <w:multiLevelType w:val="hybridMultilevel"/>
    <w:tmpl w:val="7C46E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35161FF"/>
    <w:multiLevelType w:val="multilevel"/>
    <w:tmpl w:val="E90885C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576206F"/>
    <w:multiLevelType w:val="multilevel"/>
    <w:tmpl w:val="08DADE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9" w15:restartNumberingAfterBreak="0">
    <w:nsid w:val="6CCC1F2D"/>
    <w:multiLevelType w:val="multilevel"/>
    <w:tmpl w:val="BB5C2E6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E1D255F"/>
    <w:multiLevelType w:val="multilevel"/>
    <w:tmpl w:val="DDD6F2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1" w15:restartNumberingAfterBreak="0">
    <w:nsid w:val="6F19662F"/>
    <w:multiLevelType w:val="multilevel"/>
    <w:tmpl w:val="BAFCF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2627D2F"/>
    <w:multiLevelType w:val="multilevel"/>
    <w:tmpl w:val="8DAEF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6782F72"/>
    <w:multiLevelType w:val="hybridMultilevel"/>
    <w:tmpl w:val="2F3EA558"/>
    <w:lvl w:ilvl="0" w:tplc="705E4AC0">
      <w:start w:val="3"/>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7C22FA2"/>
    <w:multiLevelType w:val="hybridMultilevel"/>
    <w:tmpl w:val="0B8C3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95E6223"/>
    <w:multiLevelType w:val="multilevel"/>
    <w:tmpl w:val="3CF4B0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6" w15:restartNumberingAfterBreak="0">
    <w:nsid w:val="797F5FB9"/>
    <w:multiLevelType w:val="multilevel"/>
    <w:tmpl w:val="337812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F2C1F71"/>
    <w:multiLevelType w:val="multilevel"/>
    <w:tmpl w:val="C9BA76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9749197">
    <w:abstractNumId w:val="15"/>
  </w:num>
  <w:num w:numId="2" w16cid:durableId="1726679607">
    <w:abstractNumId w:val="8"/>
  </w:num>
  <w:num w:numId="3" w16cid:durableId="1630209448">
    <w:abstractNumId w:val="18"/>
  </w:num>
  <w:num w:numId="4" w16cid:durableId="928663234">
    <w:abstractNumId w:val="21"/>
  </w:num>
  <w:num w:numId="5" w16cid:durableId="2017072952">
    <w:abstractNumId w:val="25"/>
  </w:num>
  <w:num w:numId="6" w16cid:durableId="58405484">
    <w:abstractNumId w:val="11"/>
  </w:num>
  <w:num w:numId="7" w16cid:durableId="1817530714">
    <w:abstractNumId w:val="5"/>
  </w:num>
  <w:num w:numId="8" w16cid:durableId="2141336387">
    <w:abstractNumId w:val="20"/>
  </w:num>
  <w:num w:numId="9" w16cid:durableId="1325282792">
    <w:abstractNumId w:val="2"/>
  </w:num>
  <w:num w:numId="10" w16cid:durableId="1319654748">
    <w:abstractNumId w:val="27"/>
  </w:num>
  <w:num w:numId="11" w16cid:durableId="556555801">
    <w:abstractNumId w:val="0"/>
  </w:num>
  <w:num w:numId="12" w16cid:durableId="1903828627">
    <w:abstractNumId w:val="6"/>
  </w:num>
  <w:num w:numId="13" w16cid:durableId="281425930">
    <w:abstractNumId w:val="19"/>
  </w:num>
  <w:num w:numId="14" w16cid:durableId="1491553762">
    <w:abstractNumId w:val="14"/>
  </w:num>
  <w:num w:numId="15" w16cid:durableId="965625632">
    <w:abstractNumId w:val="29"/>
  </w:num>
  <w:num w:numId="16" w16cid:durableId="424033359">
    <w:abstractNumId w:val="16"/>
  </w:num>
  <w:num w:numId="17" w16cid:durableId="1335066293">
    <w:abstractNumId w:val="30"/>
  </w:num>
  <w:num w:numId="18" w16cid:durableId="662587085">
    <w:abstractNumId w:val="12"/>
  </w:num>
  <w:num w:numId="19" w16cid:durableId="2071072074">
    <w:abstractNumId w:val="28"/>
  </w:num>
  <w:num w:numId="20" w16cid:durableId="1573662111">
    <w:abstractNumId w:val="35"/>
  </w:num>
  <w:num w:numId="21" w16cid:durableId="131678057">
    <w:abstractNumId w:val="32"/>
  </w:num>
  <w:num w:numId="22" w16cid:durableId="99565733">
    <w:abstractNumId w:val="10"/>
  </w:num>
  <w:num w:numId="23" w16cid:durableId="1481145624">
    <w:abstractNumId w:val="37"/>
  </w:num>
  <w:num w:numId="24" w16cid:durableId="29957555">
    <w:abstractNumId w:val="36"/>
  </w:num>
  <w:num w:numId="25" w16cid:durableId="633143735">
    <w:abstractNumId w:val="34"/>
  </w:num>
  <w:num w:numId="26" w16cid:durableId="1100951892">
    <w:abstractNumId w:val="9"/>
  </w:num>
  <w:num w:numId="27" w16cid:durableId="574709544">
    <w:abstractNumId w:val="7"/>
  </w:num>
  <w:num w:numId="28" w16cid:durableId="424109844">
    <w:abstractNumId w:val="33"/>
  </w:num>
  <w:num w:numId="29" w16cid:durableId="1793279413">
    <w:abstractNumId w:val="23"/>
  </w:num>
  <w:num w:numId="30" w16cid:durableId="350181803">
    <w:abstractNumId w:val="22"/>
  </w:num>
  <w:num w:numId="31" w16cid:durableId="749424382">
    <w:abstractNumId w:val="24"/>
  </w:num>
  <w:num w:numId="32" w16cid:durableId="1468358797">
    <w:abstractNumId w:val="17"/>
  </w:num>
  <w:num w:numId="33" w16cid:durableId="1372261529">
    <w:abstractNumId w:val="4"/>
  </w:num>
  <w:num w:numId="34" w16cid:durableId="2039815518">
    <w:abstractNumId w:val="3"/>
  </w:num>
  <w:num w:numId="35" w16cid:durableId="469176485">
    <w:abstractNumId w:val="13"/>
  </w:num>
  <w:num w:numId="36" w16cid:durableId="170417281">
    <w:abstractNumId w:val="1"/>
  </w:num>
  <w:num w:numId="37" w16cid:durableId="1042821728">
    <w:abstractNumId w:val="31"/>
  </w:num>
  <w:num w:numId="38" w16cid:durableId="936909390">
    <w:abstractNumId w:val="26"/>
  </w:num>
  <w:numIdMacAtCleanup w:val="15"/>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E5F"/>
    <w:rsid w:val="0000008D"/>
    <w:rsid w:val="00001BFD"/>
    <w:rsid w:val="00001E2E"/>
    <w:rsid w:val="0000376A"/>
    <w:rsid w:val="000040B1"/>
    <w:rsid w:val="000047D8"/>
    <w:rsid w:val="0000601E"/>
    <w:rsid w:val="0000673F"/>
    <w:rsid w:val="00006A5B"/>
    <w:rsid w:val="000107A6"/>
    <w:rsid w:val="00011033"/>
    <w:rsid w:val="00012166"/>
    <w:rsid w:val="000121B6"/>
    <w:rsid w:val="000122CF"/>
    <w:rsid w:val="000138EB"/>
    <w:rsid w:val="000141C3"/>
    <w:rsid w:val="00015C4D"/>
    <w:rsid w:val="000160F9"/>
    <w:rsid w:val="000173D0"/>
    <w:rsid w:val="0002124F"/>
    <w:rsid w:val="0002343E"/>
    <w:rsid w:val="000257C6"/>
    <w:rsid w:val="0002582A"/>
    <w:rsid w:val="00025CEA"/>
    <w:rsid w:val="00025F4F"/>
    <w:rsid w:val="000269D2"/>
    <w:rsid w:val="00027374"/>
    <w:rsid w:val="00027741"/>
    <w:rsid w:val="00030FC6"/>
    <w:rsid w:val="0003364F"/>
    <w:rsid w:val="00033E34"/>
    <w:rsid w:val="00033E6F"/>
    <w:rsid w:val="00034C52"/>
    <w:rsid w:val="00034D73"/>
    <w:rsid w:val="00036BC3"/>
    <w:rsid w:val="0003750C"/>
    <w:rsid w:val="00037B17"/>
    <w:rsid w:val="000416C5"/>
    <w:rsid w:val="00042DED"/>
    <w:rsid w:val="00043BB6"/>
    <w:rsid w:val="00046DE5"/>
    <w:rsid w:val="000473A3"/>
    <w:rsid w:val="00047BF4"/>
    <w:rsid w:val="00052055"/>
    <w:rsid w:val="00052944"/>
    <w:rsid w:val="00052B11"/>
    <w:rsid w:val="000547A6"/>
    <w:rsid w:val="00054D96"/>
    <w:rsid w:val="000552DB"/>
    <w:rsid w:val="00055AFE"/>
    <w:rsid w:val="00056C85"/>
    <w:rsid w:val="00056F6F"/>
    <w:rsid w:val="00060108"/>
    <w:rsid w:val="00060DF2"/>
    <w:rsid w:val="00061F21"/>
    <w:rsid w:val="00064B67"/>
    <w:rsid w:val="00065129"/>
    <w:rsid w:val="00065437"/>
    <w:rsid w:val="000659C8"/>
    <w:rsid w:val="00066398"/>
    <w:rsid w:val="000706AF"/>
    <w:rsid w:val="00071662"/>
    <w:rsid w:val="00071EFB"/>
    <w:rsid w:val="00072933"/>
    <w:rsid w:val="00075716"/>
    <w:rsid w:val="00076BC4"/>
    <w:rsid w:val="000803A8"/>
    <w:rsid w:val="00080ED7"/>
    <w:rsid w:val="000822D2"/>
    <w:rsid w:val="000826AB"/>
    <w:rsid w:val="00083129"/>
    <w:rsid w:val="000833A9"/>
    <w:rsid w:val="00083582"/>
    <w:rsid w:val="000839D9"/>
    <w:rsid w:val="00084767"/>
    <w:rsid w:val="000858F3"/>
    <w:rsid w:val="0008675E"/>
    <w:rsid w:val="00093291"/>
    <w:rsid w:val="00094DB1"/>
    <w:rsid w:val="00096EEB"/>
    <w:rsid w:val="000A13D4"/>
    <w:rsid w:val="000A1D4E"/>
    <w:rsid w:val="000A24F2"/>
    <w:rsid w:val="000A2A2B"/>
    <w:rsid w:val="000A2FE0"/>
    <w:rsid w:val="000A31A6"/>
    <w:rsid w:val="000A4E7D"/>
    <w:rsid w:val="000A50DA"/>
    <w:rsid w:val="000A5AAD"/>
    <w:rsid w:val="000A6E5F"/>
    <w:rsid w:val="000B0368"/>
    <w:rsid w:val="000B0665"/>
    <w:rsid w:val="000B1BCB"/>
    <w:rsid w:val="000B23E3"/>
    <w:rsid w:val="000B24C3"/>
    <w:rsid w:val="000B3699"/>
    <w:rsid w:val="000B3824"/>
    <w:rsid w:val="000B441D"/>
    <w:rsid w:val="000B5D9C"/>
    <w:rsid w:val="000B66BC"/>
    <w:rsid w:val="000B6E17"/>
    <w:rsid w:val="000B7094"/>
    <w:rsid w:val="000B787B"/>
    <w:rsid w:val="000B79D9"/>
    <w:rsid w:val="000C22BD"/>
    <w:rsid w:val="000C345D"/>
    <w:rsid w:val="000C36F7"/>
    <w:rsid w:val="000C3E79"/>
    <w:rsid w:val="000C4155"/>
    <w:rsid w:val="000C507F"/>
    <w:rsid w:val="000C50FB"/>
    <w:rsid w:val="000C5169"/>
    <w:rsid w:val="000C7540"/>
    <w:rsid w:val="000C7F3D"/>
    <w:rsid w:val="000D2349"/>
    <w:rsid w:val="000D3C88"/>
    <w:rsid w:val="000D3D8F"/>
    <w:rsid w:val="000D5878"/>
    <w:rsid w:val="000D73FD"/>
    <w:rsid w:val="000E0896"/>
    <w:rsid w:val="000E2CCB"/>
    <w:rsid w:val="000E42ED"/>
    <w:rsid w:val="000E4BA0"/>
    <w:rsid w:val="000E54BF"/>
    <w:rsid w:val="000E5A1C"/>
    <w:rsid w:val="000E6454"/>
    <w:rsid w:val="000E69B4"/>
    <w:rsid w:val="000E7BCA"/>
    <w:rsid w:val="000E7EBF"/>
    <w:rsid w:val="000E7F14"/>
    <w:rsid w:val="000F00B4"/>
    <w:rsid w:val="000F3B09"/>
    <w:rsid w:val="000F5F69"/>
    <w:rsid w:val="000F6E01"/>
    <w:rsid w:val="00100B89"/>
    <w:rsid w:val="00100CCA"/>
    <w:rsid w:val="0010203C"/>
    <w:rsid w:val="001021DA"/>
    <w:rsid w:val="0010547F"/>
    <w:rsid w:val="0010609F"/>
    <w:rsid w:val="00106200"/>
    <w:rsid w:val="0010674F"/>
    <w:rsid w:val="00110428"/>
    <w:rsid w:val="001105B6"/>
    <w:rsid w:val="00111927"/>
    <w:rsid w:val="00111F35"/>
    <w:rsid w:val="00112B55"/>
    <w:rsid w:val="00112EB7"/>
    <w:rsid w:val="001142E1"/>
    <w:rsid w:val="001153C5"/>
    <w:rsid w:val="00115D87"/>
    <w:rsid w:val="00117194"/>
    <w:rsid w:val="00117F3E"/>
    <w:rsid w:val="00121BF1"/>
    <w:rsid w:val="00121DEF"/>
    <w:rsid w:val="00122138"/>
    <w:rsid w:val="001229E7"/>
    <w:rsid w:val="00122B84"/>
    <w:rsid w:val="00122F7E"/>
    <w:rsid w:val="00124474"/>
    <w:rsid w:val="00124E89"/>
    <w:rsid w:val="00131ED8"/>
    <w:rsid w:val="0013210F"/>
    <w:rsid w:val="00133DE8"/>
    <w:rsid w:val="00133F60"/>
    <w:rsid w:val="00134960"/>
    <w:rsid w:val="00134E86"/>
    <w:rsid w:val="00135687"/>
    <w:rsid w:val="0013658F"/>
    <w:rsid w:val="0013665B"/>
    <w:rsid w:val="00136819"/>
    <w:rsid w:val="00136ED7"/>
    <w:rsid w:val="00137789"/>
    <w:rsid w:val="00137EED"/>
    <w:rsid w:val="001411E0"/>
    <w:rsid w:val="00141B16"/>
    <w:rsid w:val="001436D2"/>
    <w:rsid w:val="00145826"/>
    <w:rsid w:val="001459BB"/>
    <w:rsid w:val="00147AC3"/>
    <w:rsid w:val="0015502E"/>
    <w:rsid w:val="00156427"/>
    <w:rsid w:val="00157811"/>
    <w:rsid w:val="00160842"/>
    <w:rsid w:val="001609C4"/>
    <w:rsid w:val="00160F0A"/>
    <w:rsid w:val="00161B1E"/>
    <w:rsid w:val="00162A55"/>
    <w:rsid w:val="00162A86"/>
    <w:rsid w:val="00166F87"/>
    <w:rsid w:val="0016770C"/>
    <w:rsid w:val="00167C97"/>
    <w:rsid w:val="00170CED"/>
    <w:rsid w:val="00171DCD"/>
    <w:rsid w:val="00174EFF"/>
    <w:rsid w:val="00175837"/>
    <w:rsid w:val="00175E41"/>
    <w:rsid w:val="00177663"/>
    <w:rsid w:val="00177A25"/>
    <w:rsid w:val="00180DB3"/>
    <w:rsid w:val="0018111B"/>
    <w:rsid w:val="0018155F"/>
    <w:rsid w:val="00182678"/>
    <w:rsid w:val="00183965"/>
    <w:rsid w:val="00183D7B"/>
    <w:rsid w:val="00184C94"/>
    <w:rsid w:val="00184FAD"/>
    <w:rsid w:val="00185A03"/>
    <w:rsid w:val="00185C8C"/>
    <w:rsid w:val="00186313"/>
    <w:rsid w:val="00187363"/>
    <w:rsid w:val="00191781"/>
    <w:rsid w:val="00191E7D"/>
    <w:rsid w:val="0019348D"/>
    <w:rsid w:val="0019506C"/>
    <w:rsid w:val="00195BF2"/>
    <w:rsid w:val="00197143"/>
    <w:rsid w:val="001A17FB"/>
    <w:rsid w:val="001A25A0"/>
    <w:rsid w:val="001A38B1"/>
    <w:rsid w:val="001A67D4"/>
    <w:rsid w:val="001A723E"/>
    <w:rsid w:val="001A7BE5"/>
    <w:rsid w:val="001B19FA"/>
    <w:rsid w:val="001B1BC5"/>
    <w:rsid w:val="001B2038"/>
    <w:rsid w:val="001B2CD9"/>
    <w:rsid w:val="001B3740"/>
    <w:rsid w:val="001B4D33"/>
    <w:rsid w:val="001B5842"/>
    <w:rsid w:val="001B6B2D"/>
    <w:rsid w:val="001B74F8"/>
    <w:rsid w:val="001C0B4D"/>
    <w:rsid w:val="001C1730"/>
    <w:rsid w:val="001C3B30"/>
    <w:rsid w:val="001C3F06"/>
    <w:rsid w:val="001C43ED"/>
    <w:rsid w:val="001C4459"/>
    <w:rsid w:val="001C4E56"/>
    <w:rsid w:val="001C5465"/>
    <w:rsid w:val="001C5A9D"/>
    <w:rsid w:val="001C65A9"/>
    <w:rsid w:val="001C7F8D"/>
    <w:rsid w:val="001D0BCC"/>
    <w:rsid w:val="001D3B6F"/>
    <w:rsid w:val="001D421A"/>
    <w:rsid w:val="001D6BA0"/>
    <w:rsid w:val="001D723E"/>
    <w:rsid w:val="001E070D"/>
    <w:rsid w:val="001E0A2D"/>
    <w:rsid w:val="001E19C8"/>
    <w:rsid w:val="001E1F1D"/>
    <w:rsid w:val="001E2B12"/>
    <w:rsid w:val="001E354D"/>
    <w:rsid w:val="001E37C2"/>
    <w:rsid w:val="001E42F4"/>
    <w:rsid w:val="001E62ED"/>
    <w:rsid w:val="001F14AD"/>
    <w:rsid w:val="001F1DC1"/>
    <w:rsid w:val="001F24A5"/>
    <w:rsid w:val="001F34C1"/>
    <w:rsid w:val="001F5A7A"/>
    <w:rsid w:val="001F69D2"/>
    <w:rsid w:val="001F6F88"/>
    <w:rsid w:val="001F7006"/>
    <w:rsid w:val="001F7A30"/>
    <w:rsid w:val="00200C4F"/>
    <w:rsid w:val="00200E56"/>
    <w:rsid w:val="00201FAF"/>
    <w:rsid w:val="00205539"/>
    <w:rsid w:val="0020624B"/>
    <w:rsid w:val="002079F6"/>
    <w:rsid w:val="00211AF8"/>
    <w:rsid w:val="00212C36"/>
    <w:rsid w:val="00214209"/>
    <w:rsid w:val="00214341"/>
    <w:rsid w:val="00215007"/>
    <w:rsid w:val="0021767E"/>
    <w:rsid w:val="00217C0B"/>
    <w:rsid w:val="002212D4"/>
    <w:rsid w:val="00221B33"/>
    <w:rsid w:val="002229DD"/>
    <w:rsid w:val="00225223"/>
    <w:rsid w:val="0022641A"/>
    <w:rsid w:val="00226AF6"/>
    <w:rsid w:val="00226D63"/>
    <w:rsid w:val="0022701B"/>
    <w:rsid w:val="0022785D"/>
    <w:rsid w:val="002344D0"/>
    <w:rsid w:val="00236074"/>
    <w:rsid w:val="002360A9"/>
    <w:rsid w:val="002411E2"/>
    <w:rsid w:val="00241787"/>
    <w:rsid w:val="00241B85"/>
    <w:rsid w:val="00242166"/>
    <w:rsid w:val="002442D4"/>
    <w:rsid w:val="002448FA"/>
    <w:rsid w:val="00244E47"/>
    <w:rsid w:val="00245B38"/>
    <w:rsid w:val="00245E46"/>
    <w:rsid w:val="00246140"/>
    <w:rsid w:val="0024727A"/>
    <w:rsid w:val="00247CEC"/>
    <w:rsid w:val="002509FE"/>
    <w:rsid w:val="00251149"/>
    <w:rsid w:val="00251FF2"/>
    <w:rsid w:val="00252A06"/>
    <w:rsid w:val="00254362"/>
    <w:rsid w:val="00254774"/>
    <w:rsid w:val="002555E0"/>
    <w:rsid w:val="002565AA"/>
    <w:rsid w:val="00256A1F"/>
    <w:rsid w:val="00257EBA"/>
    <w:rsid w:val="00260742"/>
    <w:rsid w:val="00261080"/>
    <w:rsid w:val="00261718"/>
    <w:rsid w:val="002619FF"/>
    <w:rsid w:val="002622CC"/>
    <w:rsid w:val="0026233A"/>
    <w:rsid w:val="00263121"/>
    <w:rsid w:val="002635A8"/>
    <w:rsid w:val="0026370D"/>
    <w:rsid w:val="0026373A"/>
    <w:rsid w:val="0026497E"/>
    <w:rsid w:val="00266333"/>
    <w:rsid w:val="0026703D"/>
    <w:rsid w:val="00270B72"/>
    <w:rsid w:val="00271C0A"/>
    <w:rsid w:val="002729EA"/>
    <w:rsid w:val="002753B9"/>
    <w:rsid w:val="00276792"/>
    <w:rsid w:val="00276FC0"/>
    <w:rsid w:val="002777A7"/>
    <w:rsid w:val="00280774"/>
    <w:rsid w:val="0028080A"/>
    <w:rsid w:val="00280C12"/>
    <w:rsid w:val="00280ECC"/>
    <w:rsid w:val="00283C4B"/>
    <w:rsid w:val="002850B1"/>
    <w:rsid w:val="00290F1C"/>
    <w:rsid w:val="00291E7A"/>
    <w:rsid w:val="00295ED3"/>
    <w:rsid w:val="00297374"/>
    <w:rsid w:val="00297483"/>
    <w:rsid w:val="0029786E"/>
    <w:rsid w:val="00297E29"/>
    <w:rsid w:val="002A3114"/>
    <w:rsid w:val="002A35C9"/>
    <w:rsid w:val="002A3A40"/>
    <w:rsid w:val="002A3DB9"/>
    <w:rsid w:val="002A40F8"/>
    <w:rsid w:val="002A4F12"/>
    <w:rsid w:val="002A641A"/>
    <w:rsid w:val="002A7F8D"/>
    <w:rsid w:val="002A7FAB"/>
    <w:rsid w:val="002B0DEF"/>
    <w:rsid w:val="002B1F02"/>
    <w:rsid w:val="002B261A"/>
    <w:rsid w:val="002B2AE5"/>
    <w:rsid w:val="002B36F4"/>
    <w:rsid w:val="002B3E3B"/>
    <w:rsid w:val="002B47ED"/>
    <w:rsid w:val="002B4CBE"/>
    <w:rsid w:val="002B539B"/>
    <w:rsid w:val="002B563F"/>
    <w:rsid w:val="002B631E"/>
    <w:rsid w:val="002B6B04"/>
    <w:rsid w:val="002C107A"/>
    <w:rsid w:val="002C16E2"/>
    <w:rsid w:val="002C39FD"/>
    <w:rsid w:val="002C4852"/>
    <w:rsid w:val="002C54C7"/>
    <w:rsid w:val="002C5EAE"/>
    <w:rsid w:val="002C61DC"/>
    <w:rsid w:val="002C70EC"/>
    <w:rsid w:val="002C7677"/>
    <w:rsid w:val="002C7971"/>
    <w:rsid w:val="002D0696"/>
    <w:rsid w:val="002D0F58"/>
    <w:rsid w:val="002D187D"/>
    <w:rsid w:val="002D1B61"/>
    <w:rsid w:val="002D2C35"/>
    <w:rsid w:val="002D3D7C"/>
    <w:rsid w:val="002D41D4"/>
    <w:rsid w:val="002D43BE"/>
    <w:rsid w:val="002D5658"/>
    <w:rsid w:val="002D77E4"/>
    <w:rsid w:val="002E05AB"/>
    <w:rsid w:val="002E11B8"/>
    <w:rsid w:val="002E1DEC"/>
    <w:rsid w:val="002E255D"/>
    <w:rsid w:val="002E33F4"/>
    <w:rsid w:val="002E4BDD"/>
    <w:rsid w:val="002E4FE2"/>
    <w:rsid w:val="002E678A"/>
    <w:rsid w:val="002F07B2"/>
    <w:rsid w:val="002F2432"/>
    <w:rsid w:val="002F30EA"/>
    <w:rsid w:val="002F3CFC"/>
    <w:rsid w:val="002F3DCC"/>
    <w:rsid w:val="002F450A"/>
    <w:rsid w:val="002F4EE0"/>
    <w:rsid w:val="002F54B9"/>
    <w:rsid w:val="002F6459"/>
    <w:rsid w:val="00304ED7"/>
    <w:rsid w:val="00305838"/>
    <w:rsid w:val="00305C6D"/>
    <w:rsid w:val="00305CCE"/>
    <w:rsid w:val="003073F7"/>
    <w:rsid w:val="00310125"/>
    <w:rsid w:val="00311981"/>
    <w:rsid w:val="00311C4F"/>
    <w:rsid w:val="00315179"/>
    <w:rsid w:val="003158B3"/>
    <w:rsid w:val="00315F2B"/>
    <w:rsid w:val="00317ACF"/>
    <w:rsid w:val="00317E63"/>
    <w:rsid w:val="00320C40"/>
    <w:rsid w:val="0032162D"/>
    <w:rsid w:val="00321F81"/>
    <w:rsid w:val="00323806"/>
    <w:rsid w:val="00323AF7"/>
    <w:rsid w:val="00324218"/>
    <w:rsid w:val="003244B2"/>
    <w:rsid w:val="00325CE5"/>
    <w:rsid w:val="00326719"/>
    <w:rsid w:val="00327D0C"/>
    <w:rsid w:val="00327FF7"/>
    <w:rsid w:val="00331A6B"/>
    <w:rsid w:val="003325CE"/>
    <w:rsid w:val="00334330"/>
    <w:rsid w:val="00334CC6"/>
    <w:rsid w:val="00335706"/>
    <w:rsid w:val="003362EF"/>
    <w:rsid w:val="003369D1"/>
    <w:rsid w:val="0034070A"/>
    <w:rsid w:val="0034096B"/>
    <w:rsid w:val="00340C39"/>
    <w:rsid w:val="00343480"/>
    <w:rsid w:val="00344D64"/>
    <w:rsid w:val="00345B26"/>
    <w:rsid w:val="00346081"/>
    <w:rsid w:val="0034626D"/>
    <w:rsid w:val="003505AE"/>
    <w:rsid w:val="003509FF"/>
    <w:rsid w:val="003518A1"/>
    <w:rsid w:val="0035274A"/>
    <w:rsid w:val="00352FC7"/>
    <w:rsid w:val="00353904"/>
    <w:rsid w:val="00353C5B"/>
    <w:rsid w:val="00353EB7"/>
    <w:rsid w:val="00354D96"/>
    <w:rsid w:val="00354EEE"/>
    <w:rsid w:val="00354FE9"/>
    <w:rsid w:val="003551C5"/>
    <w:rsid w:val="003554D0"/>
    <w:rsid w:val="00355A6E"/>
    <w:rsid w:val="00355BCA"/>
    <w:rsid w:val="00356B31"/>
    <w:rsid w:val="003574A6"/>
    <w:rsid w:val="00361610"/>
    <w:rsid w:val="00363318"/>
    <w:rsid w:val="00363F6C"/>
    <w:rsid w:val="00364218"/>
    <w:rsid w:val="00364FF1"/>
    <w:rsid w:val="00365C99"/>
    <w:rsid w:val="003677F0"/>
    <w:rsid w:val="00367C97"/>
    <w:rsid w:val="003702EB"/>
    <w:rsid w:val="003720F2"/>
    <w:rsid w:val="00373A16"/>
    <w:rsid w:val="003741A4"/>
    <w:rsid w:val="00375B59"/>
    <w:rsid w:val="00375C2E"/>
    <w:rsid w:val="00377AD3"/>
    <w:rsid w:val="00377EC0"/>
    <w:rsid w:val="003815B6"/>
    <w:rsid w:val="00381828"/>
    <w:rsid w:val="00383355"/>
    <w:rsid w:val="003845AC"/>
    <w:rsid w:val="00386926"/>
    <w:rsid w:val="0039114E"/>
    <w:rsid w:val="00391C03"/>
    <w:rsid w:val="00391CD5"/>
    <w:rsid w:val="00392205"/>
    <w:rsid w:val="00392372"/>
    <w:rsid w:val="003930B5"/>
    <w:rsid w:val="003934F6"/>
    <w:rsid w:val="003941A0"/>
    <w:rsid w:val="00394605"/>
    <w:rsid w:val="0039665A"/>
    <w:rsid w:val="003974BD"/>
    <w:rsid w:val="003A02B4"/>
    <w:rsid w:val="003A0663"/>
    <w:rsid w:val="003A0842"/>
    <w:rsid w:val="003A10BD"/>
    <w:rsid w:val="003A1F81"/>
    <w:rsid w:val="003A20DD"/>
    <w:rsid w:val="003A2F08"/>
    <w:rsid w:val="003A3AD3"/>
    <w:rsid w:val="003A3C89"/>
    <w:rsid w:val="003A4B0B"/>
    <w:rsid w:val="003A52D4"/>
    <w:rsid w:val="003A6AD1"/>
    <w:rsid w:val="003B346B"/>
    <w:rsid w:val="003B4CC1"/>
    <w:rsid w:val="003B62A1"/>
    <w:rsid w:val="003B6797"/>
    <w:rsid w:val="003B727D"/>
    <w:rsid w:val="003B7D53"/>
    <w:rsid w:val="003C0A37"/>
    <w:rsid w:val="003C4EB2"/>
    <w:rsid w:val="003C5119"/>
    <w:rsid w:val="003C58C0"/>
    <w:rsid w:val="003C5DF9"/>
    <w:rsid w:val="003C6100"/>
    <w:rsid w:val="003C658F"/>
    <w:rsid w:val="003C6C4E"/>
    <w:rsid w:val="003C6F00"/>
    <w:rsid w:val="003D060D"/>
    <w:rsid w:val="003D2007"/>
    <w:rsid w:val="003D2151"/>
    <w:rsid w:val="003D2474"/>
    <w:rsid w:val="003D282B"/>
    <w:rsid w:val="003D37D6"/>
    <w:rsid w:val="003D4774"/>
    <w:rsid w:val="003D558B"/>
    <w:rsid w:val="003D6E04"/>
    <w:rsid w:val="003D71C9"/>
    <w:rsid w:val="003D75F8"/>
    <w:rsid w:val="003E16C1"/>
    <w:rsid w:val="003E1E9F"/>
    <w:rsid w:val="003E224A"/>
    <w:rsid w:val="003E6406"/>
    <w:rsid w:val="003E6609"/>
    <w:rsid w:val="003E6BEF"/>
    <w:rsid w:val="003E7473"/>
    <w:rsid w:val="003F0877"/>
    <w:rsid w:val="003F185A"/>
    <w:rsid w:val="003F3979"/>
    <w:rsid w:val="003F3AEA"/>
    <w:rsid w:val="003F463E"/>
    <w:rsid w:val="003F5BC5"/>
    <w:rsid w:val="003F5BF5"/>
    <w:rsid w:val="003F5EEE"/>
    <w:rsid w:val="00400C2D"/>
    <w:rsid w:val="004010EC"/>
    <w:rsid w:val="00401520"/>
    <w:rsid w:val="0040356C"/>
    <w:rsid w:val="00403835"/>
    <w:rsid w:val="00406222"/>
    <w:rsid w:val="004066F4"/>
    <w:rsid w:val="00406A83"/>
    <w:rsid w:val="00406E7A"/>
    <w:rsid w:val="00407ADF"/>
    <w:rsid w:val="00407AFA"/>
    <w:rsid w:val="0041100C"/>
    <w:rsid w:val="004111D8"/>
    <w:rsid w:val="0041168A"/>
    <w:rsid w:val="00412E13"/>
    <w:rsid w:val="0041352F"/>
    <w:rsid w:val="00415D39"/>
    <w:rsid w:val="00416A00"/>
    <w:rsid w:val="00416AB3"/>
    <w:rsid w:val="0041716B"/>
    <w:rsid w:val="004224DC"/>
    <w:rsid w:val="00422B16"/>
    <w:rsid w:val="00422E29"/>
    <w:rsid w:val="004235E7"/>
    <w:rsid w:val="00425110"/>
    <w:rsid w:val="00427F8F"/>
    <w:rsid w:val="004312E2"/>
    <w:rsid w:val="004326CA"/>
    <w:rsid w:val="00432926"/>
    <w:rsid w:val="004354A5"/>
    <w:rsid w:val="00440A39"/>
    <w:rsid w:val="004411CC"/>
    <w:rsid w:val="00441CE1"/>
    <w:rsid w:val="00443446"/>
    <w:rsid w:val="004438B2"/>
    <w:rsid w:val="004438F5"/>
    <w:rsid w:val="0044600E"/>
    <w:rsid w:val="004471FB"/>
    <w:rsid w:val="0045219D"/>
    <w:rsid w:val="004527EC"/>
    <w:rsid w:val="004533E0"/>
    <w:rsid w:val="00453985"/>
    <w:rsid w:val="00453AF7"/>
    <w:rsid w:val="00453DF9"/>
    <w:rsid w:val="00456102"/>
    <w:rsid w:val="00457A1E"/>
    <w:rsid w:val="00462B64"/>
    <w:rsid w:val="00462F37"/>
    <w:rsid w:val="00463323"/>
    <w:rsid w:val="00463CFF"/>
    <w:rsid w:val="00464AA3"/>
    <w:rsid w:val="00467C4D"/>
    <w:rsid w:val="00470314"/>
    <w:rsid w:val="0047168E"/>
    <w:rsid w:val="00471EA8"/>
    <w:rsid w:val="00472A3D"/>
    <w:rsid w:val="00472E24"/>
    <w:rsid w:val="00476125"/>
    <w:rsid w:val="00477DF6"/>
    <w:rsid w:val="00480CBB"/>
    <w:rsid w:val="00481333"/>
    <w:rsid w:val="00481F1E"/>
    <w:rsid w:val="00482C27"/>
    <w:rsid w:val="00483D2B"/>
    <w:rsid w:val="00483E38"/>
    <w:rsid w:val="0048503E"/>
    <w:rsid w:val="00486426"/>
    <w:rsid w:val="0048656F"/>
    <w:rsid w:val="00490B1D"/>
    <w:rsid w:val="00491BC8"/>
    <w:rsid w:val="004923BB"/>
    <w:rsid w:val="00492746"/>
    <w:rsid w:val="00492BF5"/>
    <w:rsid w:val="00492CD4"/>
    <w:rsid w:val="0049460C"/>
    <w:rsid w:val="00495DCC"/>
    <w:rsid w:val="00496548"/>
    <w:rsid w:val="00496C0D"/>
    <w:rsid w:val="00496E26"/>
    <w:rsid w:val="004A1B13"/>
    <w:rsid w:val="004A246F"/>
    <w:rsid w:val="004A2C88"/>
    <w:rsid w:val="004A2E4E"/>
    <w:rsid w:val="004A3B65"/>
    <w:rsid w:val="004A6C1B"/>
    <w:rsid w:val="004A7CD6"/>
    <w:rsid w:val="004B02A0"/>
    <w:rsid w:val="004B3BDD"/>
    <w:rsid w:val="004B4C89"/>
    <w:rsid w:val="004B5CFA"/>
    <w:rsid w:val="004C03E7"/>
    <w:rsid w:val="004C08E1"/>
    <w:rsid w:val="004C1033"/>
    <w:rsid w:val="004C2DEC"/>
    <w:rsid w:val="004C36FB"/>
    <w:rsid w:val="004C4338"/>
    <w:rsid w:val="004C5111"/>
    <w:rsid w:val="004C577D"/>
    <w:rsid w:val="004C5B48"/>
    <w:rsid w:val="004C5E52"/>
    <w:rsid w:val="004C5F78"/>
    <w:rsid w:val="004D33B0"/>
    <w:rsid w:val="004D4C9A"/>
    <w:rsid w:val="004D56CD"/>
    <w:rsid w:val="004D5EEC"/>
    <w:rsid w:val="004D6069"/>
    <w:rsid w:val="004D62C5"/>
    <w:rsid w:val="004E0B9D"/>
    <w:rsid w:val="004E11F2"/>
    <w:rsid w:val="004E1781"/>
    <w:rsid w:val="004E20D2"/>
    <w:rsid w:val="004E2514"/>
    <w:rsid w:val="004E2951"/>
    <w:rsid w:val="004E3340"/>
    <w:rsid w:val="004E3FAB"/>
    <w:rsid w:val="004E40B9"/>
    <w:rsid w:val="004E47A4"/>
    <w:rsid w:val="004E4A0A"/>
    <w:rsid w:val="004E50DF"/>
    <w:rsid w:val="004F0F4A"/>
    <w:rsid w:val="004F0FB5"/>
    <w:rsid w:val="004F1EC7"/>
    <w:rsid w:val="004F249B"/>
    <w:rsid w:val="004F2831"/>
    <w:rsid w:val="00500715"/>
    <w:rsid w:val="005013BE"/>
    <w:rsid w:val="005014CC"/>
    <w:rsid w:val="00502E6F"/>
    <w:rsid w:val="00503A35"/>
    <w:rsid w:val="005067B8"/>
    <w:rsid w:val="00506D9B"/>
    <w:rsid w:val="0051084B"/>
    <w:rsid w:val="00514D89"/>
    <w:rsid w:val="00514E1C"/>
    <w:rsid w:val="00515E51"/>
    <w:rsid w:val="005209A8"/>
    <w:rsid w:val="00520A1D"/>
    <w:rsid w:val="00521A3E"/>
    <w:rsid w:val="00522CA0"/>
    <w:rsid w:val="00525712"/>
    <w:rsid w:val="005258FB"/>
    <w:rsid w:val="00525AEA"/>
    <w:rsid w:val="0052637E"/>
    <w:rsid w:val="0052701B"/>
    <w:rsid w:val="005307AA"/>
    <w:rsid w:val="0053258A"/>
    <w:rsid w:val="0053383C"/>
    <w:rsid w:val="00534669"/>
    <w:rsid w:val="00535ACA"/>
    <w:rsid w:val="005366F9"/>
    <w:rsid w:val="00536A32"/>
    <w:rsid w:val="005379EA"/>
    <w:rsid w:val="005402D4"/>
    <w:rsid w:val="005415CF"/>
    <w:rsid w:val="005419C6"/>
    <w:rsid w:val="0054218F"/>
    <w:rsid w:val="0054485E"/>
    <w:rsid w:val="005475DB"/>
    <w:rsid w:val="00547727"/>
    <w:rsid w:val="0055240C"/>
    <w:rsid w:val="00554243"/>
    <w:rsid w:val="00554DCB"/>
    <w:rsid w:val="0055575C"/>
    <w:rsid w:val="005567DE"/>
    <w:rsid w:val="00560B29"/>
    <w:rsid w:val="00561938"/>
    <w:rsid w:val="00561C79"/>
    <w:rsid w:val="00562856"/>
    <w:rsid w:val="00563316"/>
    <w:rsid w:val="00567654"/>
    <w:rsid w:val="00567957"/>
    <w:rsid w:val="00570304"/>
    <w:rsid w:val="0057086E"/>
    <w:rsid w:val="00570A81"/>
    <w:rsid w:val="00570B20"/>
    <w:rsid w:val="00571668"/>
    <w:rsid w:val="00572012"/>
    <w:rsid w:val="005744E8"/>
    <w:rsid w:val="00574F1D"/>
    <w:rsid w:val="0057605C"/>
    <w:rsid w:val="00576BCA"/>
    <w:rsid w:val="00577EB2"/>
    <w:rsid w:val="00580B64"/>
    <w:rsid w:val="00580F51"/>
    <w:rsid w:val="0058204B"/>
    <w:rsid w:val="005821CE"/>
    <w:rsid w:val="005833CD"/>
    <w:rsid w:val="00583AF8"/>
    <w:rsid w:val="00584470"/>
    <w:rsid w:val="00584BEA"/>
    <w:rsid w:val="00591CE6"/>
    <w:rsid w:val="005921B3"/>
    <w:rsid w:val="00592C7B"/>
    <w:rsid w:val="005935E7"/>
    <w:rsid w:val="00593A7D"/>
    <w:rsid w:val="00594036"/>
    <w:rsid w:val="0059406C"/>
    <w:rsid w:val="00594962"/>
    <w:rsid w:val="005979CC"/>
    <w:rsid w:val="005A2BBC"/>
    <w:rsid w:val="005A3FEA"/>
    <w:rsid w:val="005A67EF"/>
    <w:rsid w:val="005A75BD"/>
    <w:rsid w:val="005B03F7"/>
    <w:rsid w:val="005B0F26"/>
    <w:rsid w:val="005B13D2"/>
    <w:rsid w:val="005B1602"/>
    <w:rsid w:val="005B194C"/>
    <w:rsid w:val="005B1B48"/>
    <w:rsid w:val="005B1D78"/>
    <w:rsid w:val="005B710C"/>
    <w:rsid w:val="005C1219"/>
    <w:rsid w:val="005C1755"/>
    <w:rsid w:val="005C18B7"/>
    <w:rsid w:val="005C2306"/>
    <w:rsid w:val="005C375E"/>
    <w:rsid w:val="005C44DF"/>
    <w:rsid w:val="005C4783"/>
    <w:rsid w:val="005C4DAD"/>
    <w:rsid w:val="005C50F0"/>
    <w:rsid w:val="005C5C4F"/>
    <w:rsid w:val="005C5E04"/>
    <w:rsid w:val="005C5EC2"/>
    <w:rsid w:val="005C6A60"/>
    <w:rsid w:val="005C7B33"/>
    <w:rsid w:val="005C7F19"/>
    <w:rsid w:val="005D1578"/>
    <w:rsid w:val="005D2DB3"/>
    <w:rsid w:val="005D6032"/>
    <w:rsid w:val="005D6054"/>
    <w:rsid w:val="005D62A7"/>
    <w:rsid w:val="005D74E0"/>
    <w:rsid w:val="005D77FF"/>
    <w:rsid w:val="005E0F81"/>
    <w:rsid w:val="005E1161"/>
    <w:rsid w:val="005E1965"/>
    <w:rsid w:val="005E301E"/>
    <w:rsid w:val="005E3EA7"/>
    <w:rsid w:val="005E5D36"/>
    <w:rsid w:val="005E7D57"/>
    <w:rsid w:val="005F0006"/>
    <w:rsid w:val="005F0352"/>
    <w:rsid w:val="005F0978"/>
    <w:rsid w:val="005F1418"/>
    <w:rsid w:val="005F2730"/>
    <w:rsid w:val="005F3A50"/>
    <w:rsid w:val="005F45C1"/>
    <w:rsid w:val="005F63D6"/>
    <w:rsid w:val="006008C6"/>
    <w:rsid w:val="00600E58"/>
    <w:rsid w:val="00600F16"/>
    <w:rsid w:val="0060144E"/>
    <w:rsid w:val="00601F59"/>
    <w:rsid w:val="00602237"/>
    <w:rsid w:val="00602286"/>
    <w:rsid w:val="006052E8"/>
    <w:rsid w:val="006069F5"/>
    <w:rsid w:val="006100DA"/>
    <w:rsid w:val="00614357"/>
    <w:rsid w:val="00617344"/>
    <w:rsid w:val="00617BCC"/>
    <w:rsid w:val="00620CAA"/>
    <w:rsid w:val="0062170B"/>
    <w:rsid w:val="006254F5"/>
    <w:rsid w:val="0062579B"/>
    <w:rsid w:val="00626061"/>
    <w:rsid w:val="00626EBA"/>
    <w:rsid w:val="00627AD0"/>
    <w:rsid w:val="006331FB"/>
    <w:rsid w:val="00636903"/>
    <w:rsid w:val="00637FCB"/>
    <w:rsid w:val="00640297"/>
    <w:rsid w:val="00640901"/>
    <w:rsid w:val="00640993"/>
    <w:rsid w:val="00640BA7"/>
    <w:rsid w:val="00640F62"/>
    <w:rsid w:val="006413CD"/>
    <w:rsid w:val="006440B2"/>
    <w:rsid w:val="006452D9"/>
    <w:rsid w:val="006508D5"/>
    <w:rsid w:val="00650AAC"/>
    <w:rsid w:val="00651464"/>
    <w:rsid w:val="0065372C"/>
    <w:rsid w:val="0065452D"/>
    <w:rsid w:val="00654D42"/>
    <w:rsid w:val="00655047"/>
    <w:rsid w:val="00657764"/>
    <w:rsid w:val="00657922"/>
    <w:rsid w:val="00657A1F"/>
    <w:rsid w:val="006602B4"/>
    <w:rsid w:val="00663F47"/>
    <w:rsid w:val="006646CB"/>
    <w:rsid w:val="00665236"/>
    <w:rsid w:val="006666AB"/>
    <w:rsid w:val="0067140B"/>
    <w:rsid w:val="00671605"/>
    <w:rsid w:val="0067563E"/>
    <w:rsid w:val="0067590A"/>
    <w:rsid w:val="00676B9B"/>
    <w:rsid w:val="00680F68"/>
    <w:rsid w:val="00681C58"/>
    <w:rsid w:val="00682E74"/>
    <w:rsid w:val="00682F29"/>
    <w:rsid w:val="00684E6F"/>
    <w:rsid w:val="00687304"/>
    <w:rsid w:val="00690112"/>
    <w:rsid w:val="006906D5"/>
    <w:rsid w:val="00692264"/>
    <w:rsid w:val="00694100"/>
    <w:rsid w:val="006947B1"/>
    <w:rsid w:val="00694B38"/>
    <w:rsid w:val="0069560B"/>
    <w:rsid w:val="006A03E6"/>
    <w:rsid w:val="006A058A"/>
    <w:rsid w:val="006A05A6"/>
    <w:rsid w:val="006A0A1E"/>
    <w:rsid w:val="006A1998"/>
    <w:rsid w:val="006A3492"/>
    <w:rsid w:val="006A51D4"/>
    <w:rsid w:val="006A60A6"/>
    <w:rsid w:val="006A7705"/>
    <w:rsid w:val="006B12D2"/>
    <w:rsid w:val="006B421F"/>
    <w:rsid w:val="006B5511"/>
    <w:rsid w:val="006C027D"/>
    <w:rsid w:val="006C02F6"/>
    <w:rsid w:val="006C28C6"/>
    <w:rsid w:val="006C41B6"/>
    <w:rsid w:val="006C5B0D"/>
    <w:rsid w:val="006C672E"/>
    <w:rsid w:val="006D0AC7"/>
    <w:rsid w:val="006D0EB2"/>
    <w:rsid w:val="006D295B"/>
    <w:rsid w:val="006D41CD"/>
    <w:rsid w:val="006D4283"/>
    <w:rsid w:val="006D4D35"/>
    <w:rsid w:val="006D4D7C"/>
    <w:rsid w:val="006D5075"/>
    <w:rsid w:val="006D6790"/>
    <w:rsid w:val="006E0006"/>
    <w:rsid w:val="006E0618"/>
    <w:rsid w:val="006E0B79"/>
    <w:rsid w:val="006E1825"/>
    <w:rsid w:val="006E1C8B"/>
    <w:rsid w:val="006E2180"/>
    <w:rsid w:val="006E2903"/>
    <w:rsid w:val="006E2A5B"/>
    <w:rsid w:val="006E332B"/>
    <w:rsid w:val="006E3AF7"/>
    <w:rsid w:val="006E48FD"/>
    <w:rsid w:val="006E548E"/>
    <w:rsid w:val="006E5E68"/>
    <w:rsid w:val="006E5F40"/>
    <w:rsid w:val="006E6686"/>
    <w:rsid w:val="006E72A1"/>
    <w:rsid w:val="006E73B2"/>
    <w:rsid w:val="006E7B11"/>
    <w:rsid w:val="006E7CAB"/>
    <w:rsid w:val="006F1A31"/>
    <w:rsid w:val="006F2726"/>
    <w:rsid w:val="006F2A61"/>
    <w:rsid w:val="006F2E45"/>
    <w:rsid w:val="006F3648"/>
    <w:rsid w:val="006F3A12"/>
    <w:rsid w:val="006F5D97"/>
    <w:rsid w:val="006F6056"/>
    <w:rsid w:val="006F7A5E"/>
    <w:rsid w:val="00700834"/>
    <w:rsid w:val="00700A09"/>
    <w:rsid w:val="007011EA"/>
    <w:rsid w:val="00701EF2"/>
    <w:rsid w:val="00701FE3"/>
    <w:rsid w:val="00703788"/>
    <w:rsid w:val="007053E6"/>
    <w:rsid w:val="0070595D"/>
    <w:rsid w:val="00705EB5"/>
    <w:rsid w:val="007113F8"/>
    <w:rsid w:val="00712513"/>
    <w:rsid w:val="007163B7"/>
    <w:rsid w:val="007172CD"/>
    <w:rsid w:val="0071765B"/>
    <w:rsid w:val="00717D08"/>
    <w:rsid w:val="0072053A"/>
    <w:rsid w:val="00720E5F"/>
    <w:rsid w:val="00721EFB"/>
    <w:rsid w:val="00722613"/>
    <w:rsid w:val="00722ED3"/>
    <w:rsid w:val="0072333D"/>
    <w:rsid w:val="007240F6"/>
    <w:rsid w:val="00724B90"/>
    <w:rsid w:val="00725A02"/>
    <w:rsid w:val="007263D9"/>
    <w:rsid w:val="0072658C"/>
    <w:rsid w:val="00727CC9"/>
    <w:rsid w:val="00731376"/>
    <w:rsid w:val="0073152F"/>
    <w:rsid w:val="007317A4"/>
    <w:rsid w:val="00733013"/>
    <w:rsid w:val="0073620E"/>
    <w:rsid w:val="00737D85"/>
    <w:rsid w:val="007423CC"/>
    <w:rsid w:val="00743559"/>
    <w:rsid w:val="00744C11"/>
    <w:rsid w:val="00747F5A"/>
    <w:rsid w:val="00750230"/>
    <w:rsid w:val="007513ED"/>
    <w:rsid w:val="007521BA"/>
    <w:rsid w:val="00754B59"/>
    <w:rsid w:val="00755324"/>
    <w:rsid w:val="00756E63"/>
    <w:rsid w:val="00757FDA"/>
    <w:rsid w:val="007611F1"/>
    <w:rsid w:val="00761558"/>
    <w:rsid w:val="0076171B"/>
    <w:rsid w:val="007619C7"/>
    <w:rsid w:val="00761A54"/>
    <w:rsid w:val="00761C61"/>
    <w:rsid w:val="0076269F"/>
    <w:rsid w:val="007645A3"/>
    <w:rsid w:val="007646AF"/>
    <w:rsid w:val="0076492C"/>
    <w:rsid w:val="00764C59"/>
    <w:rsid w:val="00766307"/>
    <w:rsid w:val="007708C1"/>
    <w:rsid w:val="00771671"/>
    <w:rsid w:val="007738D4"/>
    <w:rsid w:val="00773BA2"/>
    <w:rsid w:val="00774DC0"/>
    <w:rsid w:val="00774FE0"/>
    <w:rsid w:val="007773C0"/>
    <w:rsid w:val="00781DAF"/>
    <w:rsid w:val="00781FDE"/>
    <w:rsid w:val="00782BE1"/>
    <w:rsid w:val="0078325A"/>
    <w:rsid w:val="007836D6"/>
    <w:rsid w:val="0078393D"/>
    <w:rsid w:val="007846E8"/>
    <w:rsid w:val="007853FB"/>
    <w:rsid w:val="00785FD4"/>
    <w:rsid w:val="00786315"/>
    <w:rsid w:val="00786DBE"/>
    <w:rsid w:val="00791240"/>
    <w:rsid w:val="007938E0"/>
    <w:rsid w:val="00793D76"/>
    <w:rsid w:val="00794FE7"/>
    <w:rsid w:val="007961D9"/>
    <w:rsid w:val="00797748"/>
    <w:rsid w:val="0079783C"/>
    <w:rsid w:val="00797A5B"/>
    <w:rsid w:val="007A14E2"/>
    <w:rsid w:val="007A2A7F"/>
    <w:rsid w:val="007A372C"/>
    <w:rsid w:val="007A38B6"/>
    <w:rsid w:val="007A4DD1"/>
    <w:rsid w:val="007A4EE1"/>
    <w:rsid w:val="007A5325"/>
    <w:rsid w:val="007A5DC3"/>
    <w:rsid w:val="007A6694"/>
    <w:rsid w:val="007A75C1"/>
    <w:rsid w:val="007B0C7F"/>
    <w:rsid w:val="007B0DB5"/>
    <w:rsid w:val="007B3B6D"/>
    <w:rsid w:val="007B473B"/>
    <w:rsid w:val="007B50A4"/>
    <w:rsid w:val="007B69D9"/>
    <w:rsid w:val="007B7B69"/>
    <w:rsid w:val="007C10DA"/>
    <w:rsid w:val="007C14DD"/>
    <w:rsid w:val="007C2EF8"/>
    <w:rsid w:val="007C3001"/>
    <w:rsid w:val="007C690A"/>
    <w:rsid w:val="007C693E"/>
    <w:rsid w:val="007C72C4"/>
    <w:rsid w:val="007C7304"/>
    <w:rsid w:val="007C7F90"/>
    <w:rsid w:val="007D0C91"/>
    <w:rsid w:val="007D22EF"/>
    <w:rsid w:val="007D4336"/>
    <w:rsid w:val="007D4A4F"/>
    <w:rsid w:val="007D4B5E"/>
    <w:rsid w:val="007D6DDA"/>
    <w:rsid w:val="007E4731"/>
    <w:rsid w:val="007E62C9"/>
    <w:rsid w:val="007E7E8B"/>
    <w:rsid w:val="007F1CFC"/>
    <w:rsid w:val="007F2317"/>
    <w:rsid w:val="007F2365"/>
    <w:rsid w:val="007F3E79"/>
    <w:rsid w:val="007F4E7D"/>
    <w:rsid w:val="007F571D"/>
    <w:rsid w:val="007F72E0"/>
    <w:rsid w:val="007F7B53"/>
    <w:rsid w:val="008029AD"/>
    <w:rsid w:val="008037F9"/>
    <w:rsid w:val="008074C5"/>
    <w:rsid w:val="00807740"/>
    <w:rsid w:val="0081040B"/>
    <w:rsid w:val="0081262C"/>
    <w:rsid w:val="00815007"/>
    <w:rsid w:val="00817101"/>
    <w:rsid w:val="00817F5D"/>
    <w:rsid w:val="00820D0D"/>
    <w:rsid w:val="00821DFC"/>
    <w:rsid w:val="00822A5A"/>
    <w:rsid w:val="0082408F"/>
    <w:rsid w:val="008249F6"/>
    <w:rsid w:val="00827931"/>
    <w:rsid w:val="00830819"/>
    <w:rsid w:val="008321B5"/>
    <w:rsid w:val="00832C65"/>
    <w:rsid w:val="008333C4"/>
    <w:rsid w:val="00834EC9"/>
    <w:rsid w:val="00836CEE"/>
    <w:rsid w:val="00840FCE"/>
    <w:rsid w:val="00841BEF"/>
    <w:rsid w:val="00841FB7"/>
    <w:rsid w:val="00842F37"/>
    <w:rsid w:val="00844539"/>
    <w:rsid w:val="00844FD7"/>
    <w:rsid w:val="00845820"/>
    <w:rsid w:val="008476C5"/>
    <w:rsid w:val="008479F8"/>
    <w:rsid w:val="00847F23"/>
    <w:rsid w:val="00850024"/>
    <w:rsid w:val="00853469"/>
    <w:rsid w:val="00853963"/>
    <w:rsid w:val="008557BF"/>
    <w:rsid w:val="00855FEB"/>
    <w:rsid w:val="00856091"/>
    <w:rsid w:val="00857AD3"/>
    <w:rsid w:val="008619E4"/>
    <w:rsid w:val="00861A5E"/>
    <w:rsid w:val="00862855"/>
    <w:rsid w:val="00864804"/>
    <w:rsid w:val="00864A3E"/>
    <w:rsid w:val="0087015E"/>
    <w:rsid w:val="00871841"/>
    <w:rsid w:val="008722BA"/>
    <w:rsid w:val="008726FC"/>
    <w:rsid w:val="00872B2F"/>
    <w:rsid w:val="00873971"/>
    <w:rsid w:val="00873BA1"/>
    <w:rsid w:val="00874DE8"/>
    <w:rsid w:val="008750BB"/>
    <w:rsid w:val="00875489"/>
    <w:rsid w:val="00875C03"/>
    <w:rsid w:val="00876BE7"/>
    <w:rsid w:val="00876E29"/>
    <w:rsid w:val="00877761"/>
    <w:rsid w:val="00880A94"/>
    <w:rsid w:val="00882BE4"/>
    <w:rsid w:val="00884422"/>
    <w:rsid w:val="008848EB"/>
    <w:rsid w:val="00887F03"/>
    <w:rsid w:val="0089127B"/>
    <w:rsid w:val="0089246A"/>
    <w:rsid w:val="00892938"/>
    <w:rsid w:val="008952B6"/>
    <w:rsid w:val="00895B10"/>
    <w:rsid w:val="008A0735"/>
    <w:rsid w:val="008A1310"/>
    <w:rsid w:val="008A15C1"/>
    <w:rsid w:val="008A23BC"/>
    <w:rsid w:val="008A2751"/>
    <w:rsid w:val="008A2DDF"/>
    <w:rsid w:val="008A31ED"/>
    <w:rsid w:val="008A50AE"/>
    <w:rsid w:val="008A53E9"/>
    <w:rsid w:val="008A547E"/>
    <w:rsid w:val="008A5745"/>
    <w:rsid w:val="008A5B59"/>
    <w:rsid w:val="008B1F63"/>
    <w:rsid w:val="008B284C"/>
    <w:rsid w:val="008B2CC9"/>
    <w:rsid w:val="008B39B1"/>
    <w:rsid w:val="008B4663"/>
    <w:rsid w:val="008B4FA4"/>
    <w:rsid w:val="008B747E"/>
    <w:rsid w:val="008C07B1"/>
    <w:rsid w:val="008C3B12"/>
    <w:rsid w:val="008C43F7"/>
    <w:rsid w:val="008C4FCE"/>
    <w:rsid w:val="008C54EA"/>
    <w:rsid w:val="008C59BF"/>
    <w:rsid w:val="008C5BD7"/>
    <w:rsid w:val="008C7F51"/>
    <w:rsid w:val="008D171C"/>
    <w:rsid w:val="008D2049"/>
    <w:rsid w:val="008D3A19"/>
    <w:rsid w:val="008D3D89"/>
    <w:rsid w:val="008D3FBF"/>
    <w:rsid w:val="008D4745"/>
    <w:rsid w:val="008D50D3"/>
    <w:rsid w:val="008D69BD"/>
    <w:rsid w:val="008D6C5D"/>
    <w:rsid w:val="008D716B"/>
    <w:rsid w:val="008D75CE"/>
    <w:rsid w:val="008D7A33"/>
    <w:rsid w:val="008D7D53"/>
    <w:rsid w:val="008D7D80"/>
    <w:rsid w:val="008E0C2C"/>
    <w:rsid w:val="008E1755"/>
    <w:rsid w:val="008E1848"/>
    <w:rsid w:val="008E29F9"/>
    <w:rsid w:val="008E4BE1"/>
    <w:rsid w:val="008E4CD3"/>
    <w:rsid w:val="008E54D4"/>
    <w:rsid w:val="008E5D8B"/>
    <w:rsid w:val="008E60B6"/>
    <w:rsid w:val="008E6498"/>
    <w:rsid w:val="008E6609"/>
    <w:rsid w:val="008E69DC"/>
    <w:rsid w:val="008E71D5"/>
    <w:rsid w:val="008F0C2B"/>
    <w:rsid w:val="008F0F12"/>
    <w:rsid w:val="008F1520"/>
    <w:rsid w:val="008F4920"/>
    <w:rsid w:val="008F620D"/>
    <w:rsid w:val="008F6561"/>
    <w:rsid w:val="008F6625"/>
    <w:rsid w:val="008F6C24"/>
    <w:rsid w:val="008F70E2"/>
    <w:rsid w:val="008F7284"/>
    <w:rsid w:val="008F73D2"/>
    <w:rsid w:val="009005F8"/>
    <w:rsid w:val="00900AF2"/>
    <w:rsid w:val="0090207D"/>
    <w:rsid w:val="00903B55"/>
    <w:rsid w:val="00903C42"/>
    <w:rsid w:val="00904660"/>
    <w:rsid w:val="00905763"/>
    <w:rsid w:val="009058AB"/>
    <w:rsid w:val="0090598B"/>
    <w:rsid w:val="0090606D"/>
    <w:rsid w:val="0090747D"/>
    <w:rsid w:val="0091092A"/>
    <w:rsid w:val="00911B90"/>
    <w:rsid w:val="00912875"/>
    <w:rsid w:val="009130E1"/>
    <w:rsid w:val="0091360F"/>
    <w:rsid w:val="00913643"/>
    <w:rsid w:val="0091367E"/>
    <w:rsid w:val="009141A7"/>
    <w:rsid w:val="00914BCA"/>
    <w:rsid w:val="00915020"/>
    <w:rsid w:val="0091538B"/>
    <w:rsid w:val="0091634F"/>
    <w:rsid w:val="0091651F"/>
    <w:rsid w:val="009167A6"/>
    <w:rsid w:val="00916BAD"/>
    <w:rsid w:val="009202B3"/>
    <w:rsid w:val="00920B27"/>
    <w:rsid w:val="009219E5"/>
    <w:rsid w:val="00921C06"/>
    <w:rsid w:val="00922E33"/>
    <w:rsid w:val="00922FC0"/>
    <w:rsid w:val="009239BB"/>
    <w:rsid w:val="009253FF"/>
    <w:rsid w:val="0092544E"/>
    <w:rsid w:val="00925927"/>
    <w:rsid w:val="00931EF8"/>
    <w:rsid w:val="00933B29"/>
    <w:rsid w:val="00934A76"/>
    <w:rsid w:val="00934B34"/>
    <w:rsid w:val="009350D8"/>
    <w:rsid w:val="00935378"/>
    <w:rsid w:val="0094122A"/>
    <w:rsid w:val="009416BF"/>
    <w:rsid w:val="00942FD7"/>
    <w:rsid w:val="00944322"/>
    <w:rsid w:val="00944568"/>
    <w:rsid w:val="00944EC6"/>
    <w:rsid w:val="0094594E"/>
    <w:rsid w:val="0094628D"/>
    <w:rsid w:val="009462B0"/>
    <w:rsid w:val="009500B9"/>
    <w:rsid w:val="00950141"/>
    <w:rsid w:val="0095127A"/>
    <w:rsid w:val="00955075"/>
    <w:rsid w:val="00957E3A"/>
    <w:rsid w:val="009623D6"/>
    <w:rsid w:val="00964535"/>
    <w:rsid w:val="009649E5"/>
    <w:rsid w:val="00964BE8"/>
    <w:rsid w:val="00967E0A"/>
    <w:rsid w:val="00970425"/>
    <w:rsid w:val="0097439E"/>
    <w:rsid w:val="00975363"/>
    <w:rsid w:val="00975815"/>
    <w:rsid w:val="009779CE"/>
    <w:rsid w:val="00977ED6"/>
    <w:rsid w:val="00980160"/>
    <w:rsid w:val="00984682"/>
    <w:rsid w:val="00984DFD"/>
    <w:rsid w:val="00985AB7"/>
    <w:rsid w:val="00986756"/>
    <w:rsid w:val="0098682B"/>
    <w:rsid w:val="00990B72"/>
    <w:rsid w:val="00991DAF"/>
    <w:rsid w:val="00992918"/>
    <w:rsid w:val="00993AA9"/>
    <w:rsid w:val="00993E64"/>
    <w:rsid w:val="00996659"/>
    <w:rsid w:val="00996D60"/>
    <w:rsid w:val="00997816"/>
    <w:rsid w:val="00997DA3"/>
    <w:rsid w:val="009A00A9"/>
    <w:rsid w:val="009A041E"/>
    <w:rsid w:val="009A067D"/>
    <w:rsid w:val="009A099E"/>
    <w:rsid w:val="009A0C67"/>
    <w:rsid w:val="009A1206"/>
    <w:rsid w:val="009A1358"/>
    <w:rsid w:val="009A1515"/>
    <w:rsid w:val="009A2C9E"/>
    <w:rsid w:val="009A2F1E"/>
    <w:rsid w:val="009A4E65"/>
    <w:rsid w:val="009A53BC"/>
    <w:rsid w:val="009A5C6F"/>
    <w:rsid w:val="009B1AA0"/>
    <w:rsid w:val="009B28E0"/>
    <w:rsid w:val="009B29C5"/>
    <w:rsid w:val="009B356E"/>
    <w:rsid w:val="009B641A"/>
    <w:rsid w:val="009B6431"/>
    <w:rsid w:val="009B7030"/>
    <w:rsid w:val="009B787B"/>
    <w:rsid w:val="009C0B57"/>
    <w:rsid w:val="009C1B79"/>
    <w:rsid w:val="009C2852"/>
    <w:rsid w:val="009C2F40"/>
    <w:rsid w:val="009C3A37"/>
    <w:rsid w:val="009C4FB3"/>
    <w:rsid w:val="009C5DFA"/>
    <w:rsid w:val="009C64E9"/>
    <w:rsid w:val="009C6680"/>
    <w:rsid w:val="009D00DC"/>
    <w:rsid w:val="009D131E"/>
    <w:rsid w:val="009D18DF"/>
    <w:rsid w:val="009D2829"/>
    <w:rsid w:val="009D29A1"/>
    <w:rsid w:val="009D3404"/>
    <w:rsid w:val="009D39E6"/>
    <w:rsid w:val="009D44C5"/>
    <w:rsid w:val="009D4F3A"/>
    <w:rsid w:val="009E1BA4"/>
    <w:rsid w:val="009E4202"/>
    <w:rsid w:val="009E7150"/>
    <w:rsid w:val="009E76E2"/>
    <w:rsid w:val="009E7B1B"/>
    <w:rsid w:val="009F058D"/>
    <w:rsid w:val="009F0D4F"/>
    <w:rsid w:val="009F28C0"/>
    <w:rsid w:val="009F3294"/>
    <w:rsid w:val="009F33A2"/>
    <w:rsid w:val="009F4261"/>
    <w:rsid w:val="009F4A67"/>
    <w:rsid w:val="009F6174"/>
    <w:rsid w:val="009F645B"/>
    <w:rsid w:val="009F72CA"/>
    <w:rsid w:val="009F7770"/>
    <w:rsid w:val="009F7CC3"/>
    <w:rsid w:val="00A01C2A"/>
    <w:rsid w:val="00A02019"/>
    <w:rsid w:val="00A03983"/>
    <w:rsid w:val="00A0531C"/>
    <w:rsid w:val="00A11A16"/>
    <w:rsid w:val="00A12D44"/>
    <w:rsid w:val="00A13A0E"/>
    <w:rsid w:val="00A14131"/>
    <w:rsid w:val="00A160B2"/>
    <w:rsid w:val="00A16220"/>
    <w:rsid w:val="00A16F53"/>
    <w:rsid w:val="00A16FF2"/>
    <w:rsid w:val="00A17290"/>
    <w:rsid w:val="00A20D73"/>
    <w:rsid w:val="00A22865"/>
    <w:rsid w:val="00A22B22"/>
    <w:rsid w:val="00A22D4D"/>
    <w:rsid w:val="00A22F22"/>
    <w:rsid w:val="00A23B6F"/>
    <w:rsid w:val="00A26054"/>
    <w:rsid w:val="00A26844"/>
    <w:rsid w:val="00A273C8"/>
    <w:rsid w:val="00A276E4"/>
    <w:rsid w:val="00A307C8"/>
    <w:rsid w:val="00A3286A"/>
    <w:rsid w:val="00A32D94"/>
    <w:rsid w:val="00A33286"/>
    <w:rsid w:val="00A33F11"/>
    <w:rsid w:val="00A350A6"/>
    <w:rsid w:val="00A35997"/>
    <w:rsid w:val="00A35F74"/>
    <w:rsid w:val="00A37F3B"/>
    <w:rsid w:val="00A405FE"/>
    <w:rsid w:val="00A430D5"/>
    <w:rsid w:val="00A43F70"/>
    <w:rsid w:val="00A44D06"/>
    <w:rsid w:val="00A450CD"/>
    <w:rsid w:val="00A45DE5"/>
    <w:rsid w:val="00A460DE"/>
    <w:rsid w:val="00A51A3E"/>
    <w:rsid w:val="00A51DEF"/>
    <w:rsid w:val="00A52EC9"/>
    <w:rsid w:val="00A532A5"/>
    <w:rsid w:val="00A550DC"/>
    <w:rsid w:val="00A5552A"/>
    <w:rsid w:val="00A568CB"/>
    <w:rsid w:val="00A575B6"/>
    <w:rsid w:val="00A60404"/>
    <w:rsid w:val="00A607AB"/>
    <w:rsid w:val="00A62026"/>
    <w:rsid w:val="00A62AB1"/>
    <w:rsid w:val="00A6522B"/>
    <w:rsid w:val="00A66963"/>
    <w:rsid w:val="00A673E1"/>
    <w:rsid w:val="00A674EE"/>
    <w:rsid w:val="00A70096"/>
    <w:rsid w:val="00A701A3"/>
    <w:rsid w:val="00A7108B"/>
    <w:rsid w:val="00A716D3"/>
    <w:rsid w:val="00A76933"/>
    <w:rsid w:val="00A77401"/>
    <w:rsid w:val="00A801ED"/>
    <w:rsid w:val="00A8070A"/>
    <w:rsid w:val="00A80E92"/>
    <w:rsid w:val="00A8115E"/>
    <w:rsid w:val="00A815EC"/>
    <w:rsid w:val="00A81DB6"/>
    <w:rsid w:val="00A820FD"/>
    <w:rsid w:val="00A82201"/>
    <w:rsid w:val="00A82E25"/>
    <w:rsid w:val="00A83565"/>
    <w:rsid w:val="00A8449D"/>
    <w:rsid w:val="00A84846"/>
    <w:rsid w:val="00A8500B"/>
    <w:rsid w:val="00A855AC"/>
    <w:rsid w:val="00A85687"/>
    <w:rsid w:val="00A85DA7"/>
    <w:rsid w:val="00A861E1"/>
    <w:rsid w:val="00A86724"/>
    <w:rsid w:val="00A86DEF"/>
    <w:rsid w:val="00A86F3A"/>
    <w:rsid w:val="00A875C4"/>
    <w:rsid w:val="00A90448"/>
    <w:rsid w:val="00A907BE"/>
    <w:rsid w:val="00A9182F"/>
    <w:rsid w:val="00A9260B"/>
    <w:rsid w:val="00A93577"/>
    <w:rsid w:val="00A95E8A"/>
    <w:rsid w:val="00A97B52"/>
    <w:rsid w:val="00A97E37"/>
    <w:rsid w:val="00A97F44"/>
    <w:rsid w:val="00AA0254"/>
    <w:rsid w:val="00AA3913"/>
    <w:rsid w:val="00AA413E"/>
    <w:rsid w:val="00AA5428"/>
    <w:rsid w:val="00AA741A"/>
    <w:rsid w:val="00AA7A71"/>
    <w:rsid w:val="00AB2727"/>
    <w:rsid w:val="00AB2DBA"/>
    <w:rsid w:val="00AB4DD2"/>
    <w:rsid w:val="00AB50A1"/>
    <w:rsid w:val="00AB62FF"/>
    <w:rsid w:val="00AB7C1C"/>
    <w:rsid w:val="00AC0F4F"/>
    <w:rsid w:val="00AC2357"/>
    <w:rsid w:val="00AC3845"/>
    <w:rsid w:val="00AC3D3B"/>
    <w:rsid w:val="00AC3E26"/>
    <w:rsid w:val="00AC4F06"/>
    <w:rsid w:val="00AC58CB"/>
    <w:rsid w:val="00AC63D7"/>
    <w:rsid w:val="00AC65E6"/>
    <w:rsid w:val="00AC7994"/>
    <w:rsid w:val="00AC7F00"/>
    <w:rsid w:val="00AD2C0F"/>
    <w:rsid w:val="00AD5568"/>
    <w:rsid w:val="00AD5947"/>
    <w:rsid w:val="00AD72D1"/>
    <w:rsid w:val="00AD7623"/>
    <w:rsid w:val="00AD7FDA"/>
    <w:rsid w:val="00AE15A5"/>
    <w:rsid w:val="00AE1954"/>
    <w:rsid w:val="00AE1ECB"/>
    <w:rsid w:val="00AE29BA"/>
    <w:rsid w:val="00AE3049"/>
    <w:rsid w:val="00AE4584"/>
    <w:rsid w:val="00AE628F"/>
    <w:rsid w:val="00AE6689"/>
    <w:rsid w:val="00AE7138"/>
    <w:rsid w:val="00AE73E7"/>
    <w:rsid w:val="00AF306F"/>
    <w:rsid w:val="00AF3910"/>
    <w:rsid w:val="00AF449B"/>
    <w:rsid w:val="00AF4ED6"/>
    <w:rsid w:val="00AF52EC"/>
    <w:rsid w:val="00AF59C8"/>
    <w:rsid w:val="00AF6073"/>
    <w:rsid w:val="00AF70BD"/>
    <w:rsid w:val="00B00241"/>
    <w:rsid w:val="00B01037"/>
    <w:rsid w:val="00B01593"/>
    <w:rsid w:val="00B01BC9"/>
    <w:rsid w:val="00B01E5A"/>
    <w:rsid w:val="00B01ECC"/>
    <w:rsid w:val="00B02C5C"/>
    <w:rsid w:val="00B0586A"/>
    <w:rsid w:val="00B0627F"/>
    <w:rsid w:val="00B065CA"/>
    <w:rsid w:val="00B12F11"/>
    <w:rsid w:val="00B13E25"/>
    <w:rsid w:val="00B1432E"/>
    <w:rsid w:val="00B1528B"/>
    <w:rsid w:val="00B152C6"/>
    <w:rsid w:val="00B17C0B"/>
    <w:rsid w:val="00B20B91"/>
    <w:rsid w:val="00B2300C"/>
    <w:rsid w:val="00B25496"/>
    <w:rsid w:val="00B265BC"/>
    <w:rsid w:val="00B26CE0"/>
    <w:rsid w:val="00B30178"/>
    <w:rsid w:val="00B312F8"/>
    <w:rsid w:val="00B3200F"/>
    <w:rsid w:val="00B3316B"/>
    <w:rsid w:val="00B347DB"/>
    <w:rsid w:val="00B34BD9"/>
    <w:rsid w:val="00B37BAB"/>
    <w:rsid w:val="00B41658"/>
    <w:rsid w:val="00B430F5"/>
    <w:rsid w:val="00B452EB"/>
    <w:rsid w:val="00B45B24"/>
    <w:rsid w:val="00B47749"/>
    <w:rsid w:val="00B501DD"/>
    <w:rsid w:val="00B52949"/>
    <w:rsid w:val="00B532EF"/>
    <w:rsid w:val="00B5347B"/>
    <w:rsid w:val="00B535B8"/>
    <w:rsid w:val="00B537A2"/>
    <w:rsid w:val="00B53DF4"/>
    <w:rsid w:val="00B56728"/>
    <w:rsid w:val="00B56B2D"/>
    <w:rsid w:val="00B575EC"/>
    <w:rsid w:val="00B57A44"/>
    <w:rsid w:val="00B61547"/>
    <w:rsid w:val="00B616FA"/>
    <w:rsid w:val="00B66C54"/>
    <w:rsid w:val="00B6753A"/>
    <w:rsid w:val="00B67BCD"/>
    <w:rsid w:val="00B70F08"/>
    <w:rsid w:val="00B71CAC"/>
    <w:rsid w:val="00B71EB6"/>
    <w:rsid w:val="00B72C84"/>
    <w:rsid w:val="00B73013"/>
    <w:rsid w:val="00B73907"/>
    <w:rsid w:val="00B73A6F"/>
    <w:rsid w:val="00B7524C"/>
    <w:rsid w:val="00B7595E"/>
    <w:rsid w:val="00B77EA7"/>
    <w:rsid w:val="00B805D5"/>
    <w:rsid w:val="00B82729"/>
    <w:rsid w:val="00B830B6"/>
    <w:rsid w:val="00B8367D"/>
    <w:rsid w:val="00B84D03"/>
    <w:rsid w:val="00B84FDF"/>
    <w:rsid w:val="00B90360"/>
    <w:rsid w:val="00B90398"/>
    <w:rsid w:val="00B91F4C"/>
    <w:rsid w:val="00B9243C"/>
    <w:rsid w:val="00B94720"/>
    <w:rsid w:val="00B95EED"/>
    <w:rsid w:val="00B97029"/>
    <w:rsid w:val="00B97B8C"/>
    <w:rsid w:val="00B97C38"/>
    <w:rsid w:val="00BA166F"/>
    <w:rsid w:val="00BA1EA2"/>
    <w:rsid w:val="00BA2896"/>
    <w:rsid w:val="00BA4CF2"/>
    <w:rsid w:val="00BA7716"/>
    <w:rsid w:val="00BB078A"/>
    <w:rsid w:val="00BB0E0C"/>
    <w:rsid w:val="00BB24F1"/>
    <w:rsid w:val="00BB47D5"/>
    <w:rsid w:val="00BB4A34"/>
    <w:rsid w:val="00BB4FF9"/>
    <w:rsid w:val="00BB55EC"/>
    <w:rsid w:val="00BB591A"/>
    <w:rsid w:val="00BB73D0"/>
    <w:rsid w:val="00BC057E"/>
    <w:rsid w:val="00BC2DC3"/>
    <w:rsid w:val="00BC5344"/>
    <w:rsid w:val="00BC63CB"/>
    <w:rsid w:val="00BC65C2"/>
    <w:rsid w:val="00BD0F94"/>
    <w:rsid w:val="00BD0FE2"/>
    <w:rsid w:val="00BD1B0B"/>
    <w:rsid w:val="00BD3A52"/>
    <w:rsid w:val="00BD3CD2"/>
    <w:rsid w:val="00BD678D"/>
    <w:rsid w:val="00BD7EB1"/>
    <w:rsid w:val="00BE25B1"/>
    <w:rsid w:val="00BE7972"/>
    <w:rsid w:val="00BE7A4D"/>
    <w:rsid w:val="00BE7B67"/>
    <w:rsid w:val="00BE7FFD"/>
    <w:rsid w:val="00BF0FFD"/>
    <w:rsid w:val="00BF1997"/>
    <w:rsid w:val="00BF1DBF"/>
    <w:rsid w:val="00BF2741"/>
    <w:rsid w:val="00BF5CD4"/>
    <w:rsid w:val="00BF70F4"/>
    <w:rsid w:val="00C00866"/>
    <w:rsid w:val="00C00DCD"/>
    <w:rsid w:val="00C05105"/>
    <w:rsid w:val="00C05379"/>
    <w:rsid w:val="00C05EA7"/>
    <w:rsid w:val="00C0673B"/>
    <w:rsid w:val="00C07654"/>
    <w:rsid w:val="00C11C2F"/>
    <w:rsid w:val="00C128AA"/>
    <w:rsid w:val="00C1437B"/>
    <w:rsid w:val="00C14668"/>
    <w:rsid w:val="00C1719E"/>
    <w:rsid w:val="00C173A2"/>
    <w:rsid w:val="00C2128F"/>
    <w:rsid w:val="00C21661"/>
    <w:rsid w:val="00C23E90"/>
    <w:rsid w:val="00C242DA"/>
    <w:rsid w:val="00C25816"/>
    <w:rsid w:val="00C25BBE"/>
    <w:rsid w:val="00C2643B"/>
    <w:rsid w:val="00C267E2"/>
    <w:rsid w:val="00C26F27"/>
    <w:rsid w:val="00C27133"/>
    <w:rsid w:val="00C308BF"/>
    <w:rsid w:val="00C316EA"/>
    <w:rsid w:val="00C320E6"/>
    <w:rsid w:val="00C3217B"/>
    <w:rsid w:val="00C322B0"/>
    <w:rsid w:val="00C329C3"/>
    <w:rsid w:val="00C3302C"/>
    <w:rsid w:val="00C330E4"/>
    <w:rsid w:val="00C33928"/>
    <w:rsid w:val="00C34CA8"/>
    <w:rsid w:val="00C34E26"/>
    <w:rsid w:val="00C3505B"/>
    <w:rsid w:val="00C358A1"/>
    <w:rsid w:val="00C35A61"/>
    <w:rsid w:val="00C3621F"/>
    <w:rsid w:val="00C36679"/>
    <w:rsid w:val="00C36E50"/>
    <w:rsid w:val="00C37B7F"/>
    <w:rsid w:val="00C4006C"/>
    <w:rsid w:val="00C40091"/>
    <w:rsid w:val="00C400D4"/>
    <w:rsid w:val="00C40721"/>
    <w:rsid w:val="00C41BCD"/>
    <w:rsid w:val="00C41CBF"/>
    <w:rsid w:val="00C426C6"/>
    <w:rsid w:val="00C44936"/>
    <w:rsid w:val="00C44F4E"/>
    <w:rsid w:val="00C45EE2"/>
    <w:rsid w:val="00C46C44"/>
    <w:rsid w:val="00C470FF"/>
    <w:rsid w:val="00C50887"/>
    <w:rsid w:val="00C536FC"/>
    <w:rsid w:val="00C544C0"/>
    <w:rsid w:val="00C553A2"/>
    <w:rsid w:val="00C55CA2"/>
    <w:rsid w:val="00C569FE"/>
    <w:rsid w:val="00C5722B"/>
    <w:rsid w:val="00C575B7"/>
    <w:rsid w:val="00C57C8B"/>
    <w:rsid w:val="00C57F41"/>
    <w:rsid w:val="00C602F1"/>
    <w:rsid w:val="00C618EA"/>
    <w:rsid w:val="00C6237C"/>
    <w:rsid w:val="00C6238F"/>
    <w:rsid w:val="00C63278"/>
    <w:rsid w:val="00C63D39"/>
    <w:rsid w:val="00C6594A"/>
    <w:rsid w:val="00C664F5"/>
    <w:rsid w:val="00C66A46"/>
    <w:rsid w:val="00C66C40"/>
    <w:rsid w:val="00C67B3D"/>
    <w:rsid w:val="00C700C2"/>
    <w:rsid w:val="00C703CE"/>
    <w:rsid w:val="00C70E6C"/>
    <w:rsid w:val="00C711A8"/>
    <w:rsid w:val="00C73471"/>
    <w:rsid w:val="00C7391A"/>
    <w:rsid w:val="00C75093"/>
    <w:rsid w:val="00C756BA"/>
    <w:rsid w:val="00C77BB8"/>
    <w:rsid w:val="00C77F4F"/>
    <w:rsid w:val="00C82BB7"/>
    <w:rsid w:val="00C83691"/>
    <w:rsid w:val="00C84787"/>
    <w:rsid w:val="00C84B42"/>
    <w:rsid w:val="00C8681E"/>
    <w:rsid w:val="00C903FC"/>
    <w:rsid w:val="00C914EA"/>
    <w:rsid w:val="00C917C4"/>
    <w:rsid w:val="00C921B1"/>
    <w:rsid w:val="00C928FD"/>
    <w:rsid w:val="00C92D26"/>
    <w:rsid w:val="00C961DA"/>
    <w:rsid w:val="00C9647D"/>
    <w:rsid w:val="00C97B60"/>
    <w:rsid w:val="00CA1B8D"/>
    <w:rsid w:val="00CA35CA"/>
    <w:rsid w:val="00CA48E6"/>
    <w:rsid w:val="00CA4973"/>
    <w:rsid w:val="00CA4C0F"/>
    <w:rsid w:val="00CA4E68"/>
    <w:rsid w:val="00CA5008"/>
    <w:rsid w:val="00CA5172"/>
    <w:rsid w:val="00CA5C1F"/>
    <w:rsid w:val="00CA6F40"/>
    <w:rsid w:val="00CB0650"/>
    <w:rsid w:val="00CB3140"/>
    <w:rsid w:val="00CB3659"/>
    <w:rsid w:val="00CB55CD"/>
    <w:rsid w:val="00CB5ADD"/>
    <w:rsid w:val="00CB660B"/>
    <w:rsid w:val="00CB67E6"/>
    <w:rsid w:val="00CB68C4"/>
    <w:rsid w:val="00CB6916"/>
    <w:rsid w:val="00CB7C92"/>
    <w:rsid w:val="00CC1BE3"/>
    <w:rsid w:val="00CC22A2"/>
    <w:rsid w:val="00CC64F3"/>
    <w:rsid w:val="00CD03FB"/>
    <w:rsid w:val="00CD0A0B"/>
    <w:rsid w:val="00CD1140"/>
    <w:rsid w:val="00CD149D"/>
    <w:rsid w:val="00CD250F"/>
    <w:rsid w:val="00CD26F9"/>
    <w:rsid w:val="00CD2868"/>
    <w:rsid w:val="00CD4029"/>
    <w:rsid w:val="00CD4F1E"/>
    <w:rsid w:val="00CD58AB"/>
    <w:rsid w:val="00CD6114"/>
    <w:rsid w:val="00CD689A"/>
    <w:rsid w:val="00CD7F09"/>
    <w:rsid w:val="00CE188E"/>
    <w:rsid w:val="00CE2548"/>
    <w:rsid w:val="00CE28EF"/>
    <w:rsid w:val="00CE5804"/>
    <w:rsid w:val="00CE6381"/>
    <w:rsid w:val="00CE71B4"/>
    <w:rsid w:val="00CE78D3"/>
    <w:rsid w:val="00CE7E87"/>
    <w:rsid w:val="00CF0B79"/>
    <w:rsid w:val="00CF0D2C"/>
    <w:rsid w:val="00CF28C4"/>
    <w:rsid w:val="00CF31CD"/>
    <w:rsid w:val="00CF387B"/>
    <w:rsid w:val="00CF396D"/>
    <w:rsid w:val="00CF45FC"/>
    <w:rsid w:val="00CF48C8"/>
    <w:rsid w:val="00CF5562"/>
    <w:rsid w:val="00D000FC"/>
    <w:rsid w:val="00D00AF6"/>
    <w:rsid w:val="00D0153D"/>
    <w:rsid w:val="00D0270B"/>
    <w:rsid w:val="00D02D19"/>
    <w:rsid w:val="00D03358"/>
    <w:rsid w:val="00D04C3C"/>
    <w:rsid w:val="00D067CF"/>
    <w:rsid w:val="00D06BD0"/>
    <w:rsid w:val="00D079E0"/>
    <w:rsid w:val="00D10815"/>
    <w:rsid w:val="00D115B6"/>
    <w:rsid w:val="00D12C4B"/>
    <w:rsid w:val="00D14B2C"/>
    <w:rsid w:val="00D16320"/>
    <w:rsid w:val="00D16D3D"/>
    <w:rsid w:val="00D17094"/>
    <w:rsid w:val="00D17410"/>
    <w:rsid w:val="00D229E7"/>
    <w:rsid w:val="00D23A79"/>
    <w:rsid w:val="00D24664"/>
    <w:rsid w:val="00D253E6"/>
    <w:rsid w:val="00D3083B"/>
    <w:rsid w:val="00D32698"/>
    <w:rsid w:val="00D32CF1"/>
    <w:rsid w:val="00D334DB"/>
    <w:rsid w:val="00D36BA0"/>
    <w:rsid w:val="00D3728A"/>
    <w:rsid w:val="00D40378"/>
    <w:rsid w:val="00D41A71"/>
    <w:rsid w:val="00D43359"/>
    <w:rsid w:val="00D50E47"/>
    <w:rsid w:val="00D52274"/>
    <w:rsid w:val="00D52290"/>
    <w:rsid w:val="00D5279C"/>
    <w:rsid w:val="00D52A7F"/>
    <w:rsid w:val="00D53B3B"/>
    <w:rsid w:val="00D545EF"/>
    <w:rsid w:val="00D55F24"/>
    <w:rsid w:val="00D603D1"/>
    <w:rsid w:val="00D604A0"/>
    <w:rsid w:val="00D6128E"/>
    <w:rsid w:val="00D62010"/>
    <w:rsid w:val="00D63232"/>
    <w:rsid w:val="00D632EA"/>
    <w:rsid w:val="00D63399"/>
    <w:rsid w:val="00D63E70"/>
    <w:rsid w:val="00D63F3B"/>
    <w:rsid w:val="00D645AB"/>
    <w:rsid w:val="00D6601E"/>
    <w:rsid w:val="00D7037F"/>
    <w:rsid w:val="00D74053"/>
    <w:rsid w:val="00D74C6B"/>
    <w:rsid w:val="00D7503B"/>
    <w:rsid w:val="00D7565E"/>
    <w:rsid w:val="00D770D9"/>
    <w:rsid w:val="00D77F02"/>
    <w:rsid w:val="00D818C4"/>
    <w:rsid w:val="00D8220A"/>
    <w:rsid w:val="00D824E3"/>
    <w:rsid w:val="00D839AC"/>
    <w:rsid w:val="00D83B0E"/>
    <w:rsid w:val="00D86220"/>
    <w:rsid w:val="00D87A99"/>
    <w:rsid w:val="00D87FDB"/>
    <w:rsid w:val="00D90384"/>
    <w:rsid w:val="00D9210F"/>
    <w:rsid w:val="00D935F8"/>
    <w:rsid w:val="00D93E86"/>
    <w:rsid w:val="00D9653D"/>
    <w:rsid w:val="00D96A6F"/>
    <w:rsid w:val="00D96C4C"/>
    <w:rsid w:val="00D973F4"/>
    <w:rsid w:val="00DA2B01"/>
    <w:rsid w:val="00DA382F"/>
    <w:rsid w:val="00DA587F"/>
    <w:rsid w:val="00DA5EF5"/>
    <w:rsid w:val="00DA71B3"/>
    <w:rsid w:val="00DA7E03"/>
    <w:rsid w:val="00DA7FA1"/>
    <w:rsid w:val="00DB1374"/>
    <w:rsid w:val="00DB16D5"/>
    <w:rsid w:val="00DB50C3"/>
    <w:rsid w:val="00DB583C"/>
    <w:rsid w:val="00DB60C9"/>
    <w:rsid w:val="00DB75F3"/>
    <w:rsid w:val="00DC1D3F"/>
    <w:rsid w:val="00DC3231"/>
    <w:rsid w:val="00DC6CF2"/>
    <w:rsid w:val="00DD01D7"/>
    <w:rsid w:val="00DD085A"/>
    <w:rsid w:val="00DD090A"/>
    <w:rsid w:val="00DD0D94"/>
    <w:rsid w:val="00DD1BFA"/>
    <w:rsid w:val="00DD2178"/>
    <w:rsid w:val="00DD3563"/>
    <w:rsid w:val="00DD3A84"/>
    <w:rsid w:val="00DD3E34"/>
    <w:rsid w:val="00DD4683"/>
    <w:rsid w:val="00DD6D8D"/>
    <w:rsid w:val="00DD6DAD"/>
    <w:rsid w:val="00DE1278"/>
    <w:rsid w:val="00DE226A"/>
    <w:rsid w:val="00DE48F3"/>
    <w:rsid w:val="00DE5806"/>
    <w:rsid w:val="00DF2A44"/>
    <w:rsid w:val="00DF2A66"/>
    <w:rsid w:val="00DF31D6"/>
    <w:rsid w:val="00DF3AC1"/>
    <w:rsid w:val="00DF4B21"/>
    <w:rsid w:val="00DF6137"/>
    <w:rsid w:val="00E008E0"/>
    <w:rsid w:val="00E04702"/>
    <w:rsid w:val="00E048E0"/>
    <w:rsid w:val="00E11292"/>
    <w:rsid w:val="00E1381B"/>
    <w:rsid w:val="00E15F0B"/>
    <w:rsid w:val="00E1617B"/>
    <w:rsid w:val="00E16A25"/>
    <w:rsid w:val="00E20AE0"/>
    <w:rsid w:val="00E22CA3"/>
    <w:rsid w:val="00E22FA2"/>
    <w:rsid w:val="00E232AA"/>
    <w:rsid w:val="00E30DAA"/>
    <w:rsid w:val="00E3104C"/>
    <w:rsid w:val="00E31453"/>
    <w:rsid w:val="00E32176"/>
    <w:rsid w:val="00E323C9"/>
    <w:rsid w:val="00E352AE"/>
    <w:rsid w:val="00E35CC8"/>
    <w:rsid w:val="00E36660"/>
    <w:rsid w:val="00E3754A"/>
    <w:rsid w:val="00E3779C"/>
    <w:rsid w:val="00E40104"/>
    <w:rsid w:val="00E40149"/>
    <w:rsid w:val="00E40227"/>
    <w:rsid w:val="00E425C7"/>
    <w:rsid w:val="00E425E3"/>
    <w:rsid w:val="00E42FF3"/>
    <w:rsid w:val="00E430C6"/>
    <w:rsid w:val="00E449C4"/>
    <w:rsid w:val="00E45376"/>
    <w:rsid w:val="00E454AF"/>
    <w:rsid w:val="00E46CC0"/>
    <w:rsid w:val="00E502BF"/>
    <w:rsid w:val="00E54634"/>
    <w:rsid w:val="00E55222"/>
    <w:rsid w:val="00E557E6"/>
    <w:rsid w:val="00E632E2"/>
    <w:rsid w:val="00E634B2"/>
    <w:rsid w:val="00E64AEF"/>
    <w:rsid w:val="00E64B66"/>
    <w:rsid w:val="00E650CF"/>
    <w:rsid w:val="00E71013"/>
    <w:rsid w:val="00E73DFB"/>
    <w:rsid w:val="00E7423F"/>
    <w:rsid w:val="00E76FAB"/>
    <w:rsid w:val="00E774CA"/>
    <w:rsid w:val="00E8084E"/>
    <w:rsid w:val="00E8090C"/>
    <w:rsid w:val="00E810F2"/>
    <w:rsid w:val="00E814A9"/>
    <w:rsid w:val="00E81B70"/>
    <w:rsid w:val="00E82A35"/>
    <w:rsid w:val="00E82C57"/>
    <w:rsid w:val="00E83836"/>
    <w:rsid w:val="00E83887"/>
    <w:rsid w:val="00E84434"/>
    <w:rsid w:val="00E850A2"/>
    <w:rsid w:val="00E8596C"/>
    <w:rsid w:val="00E859A1"/>
    <w:rsid w:val="00E87161"/>
    <w:rsid w:val="00E8799C"/>
    <w:rsid w:val="00E9042F"/>
    <w:rsid w:val="00E9176B"/>
    <w:rsid w:val="00E91E3D"/>
    <w:rsid w:val="00E92BD9"/>
    <w:rsid w:val="00E93E01"/>
    <w:rsid w:val="00E9501B"/>
    <w:rsid w:val="00E972CC"/>
    <w:rsid w:val="00E97590"/>
    <w:rsid w:val="00EA1882"/>
    <w:rsid w:val="00EA1B77"/>
    <w:rsid w:val="00EA4E6D"/>
    <w:rsid w:val="00EA6397"/>
    <w:rsid w:val="00EA657F"/>
    <w:rsid w:val="00EA6C16"/>
    <w:rsid w:val="00EA7099"/>
    <w:rsid w:val="00EB11F4"/>
    <w:rsid w:val="00EB1D40"/>
    <w:rsid w:val="00EB2773"/>
    <w:rsid w:val="00EB2E41"/>
    <w:rsid w:val="00EB4A91"/>
    <w:rsid w:val="00EB4CAC"/>
    <w:rsid w:val="00EB60B6"/>
    <w:rsid w:val="00EB71DA"/>
    <w:rsid w:val="00EB7C61"/>
    <w:rsid w:val="00EC0E6D"/>
    <w:rsid w:val="00EC21D0"/>
    <w:rsid w:val="00EC27BC"/>
    <w:rsid w:val="00EC347A"/>
    <w:rsid w:val="00EC3F25"/>
    <w:rsid w:val="00EC57E1"/>
    <w:rsid w:val="00EC6174"/>
    <w:rsid w:val="00EC63F0"/>
    <w:rsid w:val="00EC7BF9"/>
    <w:rsid w:val="00ED2575"/>
    <w:rsid w:val="00ED2B4A"/>
    <w:rsid w:val="00ED52F6"/>
    <w:rsid w:val="00ED6B44"/>
    <w:rsid w:val="00ED728D"/>
    <w:rsid w:val="00ED74B6"/>
    <w:rsid w:val="00ED7655"/>
    <w:rsid w:val="00ED7668"/>
    <w:rsid w:val="00EE16B8"/>
    <w:rsid w:val="00EE3ACA"/>
    <w:rsid w:val="00EE4003"/>
    <w:rsid w:val="00EE6ADC"/>
    <w:rsid w:val="00EF0CEA"/>
    <w:rsid w:val="00EF10AA"/>
    <w:rsid w:val="00EF2989"/>
    <w:rsid w:val="00EF2C31"/>
    <w:rsid w:val="00EF35A2"/>
    <w:rsid w:val="00EF64EC"/>
    <w:rsid w:val="00EF6AC1"/>
    <w:rsid w:val="00EF71B9"/>
    <w:rsid w:val="00F007F1"/>
    <w:rsid w:val="00F01D9A"/>
    <w:rsid w:val="00F02167"/>
    <w:rsid w:val="00F02B6D"/>
    <w:rsid w:val="00F03119"/>
    <w:rsid w:val="00F037A4"/>
    <w:rsid w:val="00F04125"/>
    <w:rsid w:val="00F06847"/>
    <w:rsid w:val="00F06A73"/>
    <w:rsid w:val="00F06C48"/>
    <w:rsid w:val="00F10939"/>
    <w:rsid w:val="00F109BF"/>
    <w:rsid w:val="00F10E37"/>
    <w:rsid w:val="00F12CED"/>
    <w:rsid w:val="00F12F12"/>
    <w:rsid w:val="00F14C3B"/>
    <w:rsid w:val="00F168AE"/>
    <w:rsid w:val="00F16D45"/>
    <w:rsid w:val="00F22681"/>
    <w:rsid w:val="00F230B3"/>
    <w:rsid w:val="00F2455A"/>
    <w:rsid w:val="00F3086C"/>
    <w:rsid w:val="00F31D6F"/>
    <w:rsid w:val="00F321E4"/>
    <w:rsid w:val="00F32DEC"/>
    <w:rsid w:val="00F335A3"/>
    <w:rsid w:val="00F35D9B"/>
    <w:rsid w:val="00F36689"/>
    <w:rsid w:val="00F3770D"/>
    <w:rsid w:val="00F40136"/>
    <w:rsid w:val="00F40611"/>
    <w:rsid w:val="00F421EE"/>
    <w:rsid w:val="00F43485"/>
    <w:rsid w:val="00F440D6"/>
    <w:rsid w:val="00F444C1"/>
    <w:rsid w:val="00F4502B"/>
    <w:rsid w:val="00F450FF"/>
    <w:rsid w:val="00F45296"/>
    <w:rsid w:val="00F45A05"/>
    <w:rsid w:val="00F51075"/>
    <w:rsid w:val="00F51292"/>
    <w:rsid w:val="00F51A43"/>
    <w:rsid w:val="00F54D5C"/>
    <w:rsid w:val="00F573F0"/>
    <w:rsid w:val="00F60761"/>
    <w:rsid w:val="00F61265"/>
    <w:rsid w:val="00F64625"/>
    <w:rsid w:val="00F64E72"/>
    <w:rsid w:val="00F6529F"/>
    <w:rsid w:val="00F67DDB"/>
    <w:rsid w:val="00F75D56"/>
    <w:rsid w:val="00F76322"/>
    <w:rsid w:val="00F76CFC"/>
    <w:rsid w:val="00F80054"/>
    <w:rsid w:val="00F809DB"/>
    <w:rsid w:val="00F81D0C"/>
    <w:rsid w:val="00F827C2"/>
    <w:rsid w:val="00F829F1"/>
    <w:rsid w:val="00F82A54"/>
    <w:rsid w:val="00F82F48"/>
    <w:rsid w:val="00F83D86"/>
    <w:rsid w:val="00F83D91"/>
    <w:rsid w:val="00F845A2"/>
    <w:rsid w:val="00F84702"/>
    <w:rsid w:val="00F85615"/>
    <w:rsid w:val="00F8562F"/>
    <w:rsid w:val="00F8588C"/>
    <w:rsid w:val="00F860F0"/>
    <w:rsid w:val="00F8723A"/>
    <w:rsid w:val="00F91F9A"/>
    <w:rsid w:val="00F92372"/>
    <w:rsid w:val="00F9280E"/>
    <w:rsid w:val="00F92D3C"/>
    <w:rsid w:val="00F93C5E"/>
    <w:rsid w:val="00F9646C"/>
    <w:rsid w:val="00FA1293"/>
    <w:rsid w:val="00FA199D"/>
    <w:rsid w:val="00FA3C0E"/>
    <w:rsid w:val="00FA561A"/>
    <w:rsid w:val="00FA5A18"/>
    <w:rsid w:val="00FA5B8E"/>
    <w:rsid w:val="00FA6E0D"/>
    <w:rsid w:val="00FB10DC"/>
    <w:rsid w:val="00FB367C"/>
    <w:rsid w:val="00FB41D4"/>
    <w:rsid w:val="00FB4712"/>
    <w:rsid w:val="00FB4F78"/>
    <w:rsid w:val="00FB5911"/>
    <w:rsid w:val="00FC0189"/>
    <w:rsid w:val="00FC15CE"/>
    <w:rsid w:val="00FC1E26"/>
    <w:rsid w:val="00FC305C"/>
    <w:rsid w:val="00FC6AAB"/>
    <w:rsid w:val="00FC788E"/>
    <w:rsid w:val="00FC7BD7"/>
    <w:rsid w:val="00FD1B22"/>
    <w:rsid w:val="00FD316F"/>
    <w:rsid w:val="00FD356D"/>
    <w:rsid w:val="00FD5E5F"/>
    <w:rsid w:val="00FD6636"/>
    <w:rsid w:val="00FE0A02"/>
    <w:rsid w:val="00FE0CC1"/>
    <w:rsid w:val="00FE115A"/>
    <w:rsid w:val="00FE1947"/>
    <w:rsid w:val="00FE1C7B"/>
    <w:rsid w:val="00FE389C"/>
    <w:rsid w:val="00FE3A90"/>
    <w:rsid w:val="00FE5A87"/>
    <w:rsid w:val="00FF00D1"/>
    <w:rsid w:val="00FF0A66"/>
    <w:rsid w:val="00FF237D"/>
    <w:rsid w:val="00FF23CC"/>
    <w:rsid w:val="00FF24E7"/>
    <w:rsid w:val="00FF32C1"/>
    <w:rsid w:val="00FF44D0"/>
    <w:rsid w:val="00FF6AC8"/>
    <w:rsid w:val="00FF79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63081"/>
  <w15:chartTrackingRefBased/>
  <w15:docId w15:val="{0CE28BBB-9503-5D45-860F-CCFC9B190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2B11"/>
    <w:pPr>
      <w:spacing w:line="360" w:lineRule="auto"/>
      <w:jc w:val="both"/>
    </w:pPr>
    <w:rPr>
      <w:rFonts w:ascii="Aptos" w:eastAsiaTheme="minorEastAsia" w:hAnsi="Aptos"/>
      <w:sz w:val="22"/>
      <w:szCs w:val="22"/>
      <w:lang w:eastAsia="zh-CN"/>
    </w:rPr>
  </w:style>
  <w:style w:type="paragraph" w:styleId="Heading1">
    <w:name w:val="heading 1"/>
    <w:basedOn w:val="Normal"/>
    <w:next w:val="Normal"/>
    <w:link w:val="Heading1Char"/>
    <w:uiPriority w:val="1"/>
    <w:qFormat/>
    <w:rsid w:val="00720E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20E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20E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20E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0E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0E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0E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0E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0E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720E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20E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20E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720E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0E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0E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0E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0E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0E5F"/>
    <w:rPr>
      <w:rFonts w:eastAsiaTheme="majorEastAsia" w:cstheme="majorBidi"/>
      <w:color w:val="272727" w:themeColor="text1" w:themeTint="D8"/>
    </w:rPr>
  </w:style>
  <w:style w:type="paragraph" w:styleId="Title">
    <w:name w:val="Title"/>
    <w:basedOn w:val="Normal"/>
    <w:next w:val="Normal"/>
    <w:link w:val="TitleChar"/>
    <w:uiPriority w:val="10"/>
    <w:qFormat/>
    <w:rsid w:val="00720E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0E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0E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0E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0E5F"/>
    <w:pPr>
      <w:spacing w:before="160"/>
      <w:jc w:val="center"/>
    </w:pPr>
    <w:rPr>
      <w:i/>
      <w:iCs/>
      <w:color w:val="404040" w:themeColor="text1" w:themeTint="BF"/>
    </w:rPr>
  </w:style>
  <w:style w:type="character" w:customStyle="1" w:styleId="QuoteChar">
    <w:name w:val="Quote Char"/>
    <w:basedOn w:val="DefaultParagraphFont"/>
    <w:link w:val="Quote"/>
    <w:uiPriority w:val="29"/>
    <w:rsid w:val="00720E5F"/>
    <w:rPr>
      <w:i/>
      <w:iCs/>
      <w:color w:val="404040" w:themeColor="text1" w:themeTint="BF"/>
    </w:rPr>
  </w:style>
  <w:style w:type="paragraph" w:styleId="ListParagraph">
    <w:name w:val="List Paragraph"/>
    <w:basedOn w:val="Normal"/>
    <w:uiPriority w:val="34"/>
    <w:qFormat/>
    <w:rsid w:val="00720E5F"/>
    <w:pPr>
      <w:ind w:left="720"/>
      <w:contextualSpacing/>
    </w:pPr>
  </w:style>
  <w:style w:type="character" w:styleId="IntenseEmphasis">
    <w:name w:val="Intense Emphasis"/>
    <w:basedOn w:val="DefaultParagraphFont"/>
    <w:uiPriority w:val="21"/>
    <w:qFormat/>
    <w:rsid w:val="00720E5F"/>
    <w:rPr>
      <w:i/>
      <w:iCs/>
      <w:color w:val="0F4761" w:themeColor="accent1" w:themeShade="BF"/>
    </w:rPr>
  </w:style>
  <w:style w:type="paragraph" w:styleId="IntenseQuote">
    <w:name w:val="Intense Quote"/>
    <w:basedOn w:val="Normal"/>
    <w:next w:val="Normal"/>
    <w:link w:val="IntenseQuoteChar"/>
    <w:uiPriority w:val="30"/>
    <w:qFormat/>
    <w:rsid w:val="00720E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0E5F"/>
    <w:rPr>
      <w:i/>
      <w:iCs/>
      <w:color w:val="0F4761" w:themeColor="accent1" w:themeShade="BF"/>
    </w:rPr>
  </w:style>
  <w:style w:type="character" w:styleId="IntenseReference">
    <w:name w:val="Intense Reference"/>
    <w:basedOn w:val="DefaultParagraphFont"/>
    <w:uiPriority w:val="32"/>
    <w:qFormat/>
    <w:rsid w:val="00720E5F"/>
    <w:rPr>
      <w:b/>
      <w:bCs/>
      <w:smallCaps/>
      <w:color w:val="0F4761" w:themeColor="accent1" w:themeShade="BF"/>
      <w:spacing w:val="5"/>
    </w:rPr>
  </w:style>
  <w:style w:type="paragraph" w:styleId="BodyText">
    <w:name w:val="Body Text"/>
    <w:basedOn w:val="Normal"/>
    <w:link w:val="BodyTextChar"/>
    <w:uiPriority w:val="1"/>
    <w:unhideWhenUsed/>
    <w:qFormat/>
    <w:rsid w:val="00052B11"/>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52B11"/>
    <w:rPr>
      <w:rFonts w:ascii="Arial" w:eastAsia="Calibri Light" w:hAnsi="Arial" w:cs="Calibri Light"/>
      <w:kern w:val="0"/>
      <w:sz w:val="22"/>
      <w:szCs w:val="22"/>
      <w:lang w:eastAsia="en-GB" w:bidi="en-GB"/>
      <w14:ligatures w14:val="none"/>
    </w:rPr>
  </w:style>
  <w:style w:type="paragraph" w:customStyle="1" w:styleId="paragraph">
    <w:name w:val="paragraph"/>
    <w:basedOn w:val="Normal"/>
    <w:rsid w:val="00052B11"/>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052B11"/>
  </w:style>
  <w:style w:type="character" w:customStyle="1" w:styleId="eop">
    <w:name w:val="eop"/>
    <w:basedOn w:val="DefaultParagraphFont"/>
    <w:rsid w:val="00052B11"/>
  </w:style>
  <w:style w:type="paragraph" w:customStyle="1" w:styleId="p1">
    <w:name w:val="p1"/>
    <w:basedOn w:val="Normal"/>
    <w:rsid w:val="0020624B"/>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character" w:customStyle="1" w:styleId="s1">
    <w:name w:val="s1"/>
    <w:basedOn w:val="DefaultParagraphFont"/>
    <w:rsid w:val="0020624B"/>
  </w:style>
  <w:style w:type="paragraph" w:customStyle="1" w:styleId="p2">
    <w:name w:val="p2"/>
    <w:basedOn w:val="Normal"/>
    <w:rsid w:val="0020624B"/>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customStyle="1" w:styleId="p3">
    <w:name w:val="p3"/>
    <w:basedOn w:val="Normal"/>
    <w:rsid w:val="0020624B"/>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customStyle="1" w:styleId="p4">
    <w:name w:val="p4"/>
    <w:basedOn w:val="Normal"/>
    <w:rsid w:val="0020624B"/>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character" w:customStyle="1" w:styleId="apple-converted-space">
    <w:name w:val="apple-converted-space"/>
    <w:basedOn w:val="DefaultParagraphFont"/>
    <w:rsid w:val="002360A9"/>
  </w:style>
  <w:style w:type="character" w:styleId="Hyperlink">
    <w:name w:val="Hyperlink"/>
    <w:basedOn w:val="DefaultParagraphFont"/>
    <w:uiPriority w:val="99"/>
    <w:unhideWhenUsed/>
    <w:rsid w:val="003D2151"/>
    <w:rPr>
      <w:color w:val="467886" w:themeColor="hyperlink"/>
      <w:u w:val="single"/>
    </w:rPr>
  </w:style>
  <w:style w:type="character" w:styleId="UnresolvedMention">
    <w:name w:val="Unresolved Mention"/>
    <w:basedOn w:val="DefaultParagraphFont"/>
    <w:uiPriority w:val="99"/>
    <w:semiHidden/>
    <w:unhideWhenUsed/>
    <w:rsid w:val="003D2151"/>
    <w:rPr>
      <w:color w:val="605E5C"/>
      <w:shd w:val="clear" w:color="auto" w:fill="E1DFDD"/>
    </w:rPr>
  </w:style>
  <w:style w:type="character" w:styleId="FollowedHyperlink">
    <w:name w:val="FollowedHyperlink"/>
    <w:basedOn w:val="DefaultParagraphFont"/>
    <w:uiPriority w:val="99"/>
    <w:semiHidden/>
    <w:unhideWhenUsed/>
    <w:rsid w:val="00DC3231"/>
    <w:rPr>
      <w:color w:val="96607D" w:themeColor="followedHyperlink"/>
      <w:u w:val="single"/>
    </w:rPr>
  </w:style>
  <w:style w:type="paragraph" w:styleId="Footer">
    <w:name w:val="footer"/>
    <w:basedOn w:val="Normal"/>
    <w:link w:val="FooterChar"/>
    <w:uiPriority w:val="99"/>
    <w:unhideWhenUsed/>
    <w:rsid w:val="000C3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345D"/>
    <w:rPr>
      <w:rFonts w:ascii="Aptos" w:eastAsiaTheme="minorEastAsia" w:hAnsi="Aptos"/>
      <w:sz w:val="22"/>
      <w:szCs w:val="22"/>
      <w:lang w:eastAsia="zh-CN"/>
    </w:rPr>
  </w:style>
  <w:style w:type="character" w:styleId="PageNumber">
    <w:name w:val="page number"/>
    <w:basedOn w:val="DefaultParagraphFont"/>
    <w:uiPriority w:val="99"/>
    <w:semiHidden/>
    <w:unhideWhenUsed/>
    <w:rsid w:val="000C345D"/>
  </w:style>
  <w:style w:type="paragraph" w:styleId="NormalWeb">
    <w:name w:val="Normal (Web)"/>
    <w:basedOn w:val="Normal"/>
    <w:uiPriority w:val="99"/>
    <w:unhideWhenUsed/>
    <w:rsid w:val="006B5511"/>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6B5511"/>
    <w:rPr>
      <w:b/>
      <w:bCs/>
    </w:rPr>
  </w:style>
  <w:style w:type="paragraph" w:styleId="Header">
    <w:name w:val="header"/>
    <w:basedOn w:val="Normal"/>
    <w:link w:val="HeaderChar"/>
    <w:uiPriority w:val="99"/>
    <w:unhideWhenUsed/>
    <w:rsid w:val="009059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598B"/>
    <w:rPr>
      <w:rFonts w:ascii="Aptos" w:eastAsiaTheme="minorEastAsia" w:hAnsi="Aptos"/>
      <w:sz w:val="22"/>
      <w:szCs w:val="22"/>
      <w:lang w:eastAsia="zh-CN"/>
    </w:rPr>
  </w:style>
  <w:style w:type="table" w:styleId="TableGrid">
    <w:name w:val="Table Grid"/>
    <w:basedOn w:val="TableNormal"/>
    <w:uiPriority w:val="39"/>
    <w:rsid w:val="00177663"/>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7C10DA"/>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0B0665"/>
    <w:rPr>
      <w:i/>
      <w:iCs/>
    </w:rPr>
  </w:style>
  <w:style w:type="paragraph" w:customStyle="1" w:styleId="pdq2pgselectionanchorcontainer">
    <w:name w:val="pdq2pg_selectionanchorcontainer"/>
    <w:basedOn w:val="Normal"/>
    <w:rsid w:val="00853963"/>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TOCHeading">
    <w:name w:val="TOC Heading"/>
    <w:basedOn w:val="Heading1"/>
    <w:next w:val="Normal"/>
    <w:uiPriority w:val="39"/>
    <w:unhideWhenUsed/>
    <w:qFormat/>
    <w:rsid w:val="00640F62"/>
    <w:pPr>
      <w:spacing w:before="480" w:after="0" w:line="276" w:lineRule="auto"/>
      <w:jc w:val="left"/>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640F62"/>
    <w:pPr>
      <w:spacing w:before="360" w:after="360"/>
      <w:jc w:val="left"/>
    </w:pPr>
    <w:rPr>
      <w:rFonts w:asciiTheme="minorHAnsi" w:hAnsiTheme="minorHAnsi"/>
      <w:b/>
      <w:bCs/>
      <w:caps/>
      <w:u w:val="single"/>
    </w:rPr>
  </w:style>
  <w:style w:type="paragraph" w:styleId="TOC3">
    <w:name w:val="toc 3"/>
    <w:basedOn w:val="Normal"/>
    <w:next w:val="Normal"/>
    <w:autoRedefine/>
    <w:uiPriority w:val="39"/>
    <w:unhideWhenUsed/>
    <w:rsid w:val="00640F62"/>
    <w:pPr>
      <w:spacing w:after="0"/>
      <w:jc w:val="left"/>
    </w:pPr>
    <w:rPr>
      <w:rFonts w:asciiTheme="minorHAnsi" w:hAnsiTheme="minorHAnsi"/>
      <w:smallCaps/>
    </w:rPr>
  </w:style>
  <w:style w:type="paragraph" w:styleId="TOC2">
    <w:name w:val="toc 2"/>
    <w:basedOn w:val="Normal"/>
    <w:next w:val="Normal"/>
    <w:autoRedefine/>
    <w:uiPriority w:val="39"/>
    <w:unhideWhenUsed/>
    <w:rsid w:val="00640F62"/>
    <w:pPr>
      <w:spacing w:after="0"/>
      <w:jc w:val="left"/>
    </w:pPr>
    <w:rPr>
      <w:rFonts w:asciiTheme="minorHAnsi" w:hAnsiTheme="minorHAnsi"/>
      <w:b/>
      <w:bCs/>
      <w:smallCaps/>
    </w:rPr>
  </w:style>
  <w:style w:type="paragraph" w:styleId="TOC4">
    <w:name w:val="toc 4"/>
    <w:basedOn w:val="Normal"/>
    <w:next w:val="Normal"/>
    <w:autoRedefine/>
    <w:uiPriority w:val="39"/>
    <w:semiHidden/>
    <w:unhideWhenUsed/>
    <w:rsid w:val="00640F62"/>
    <w:pPr>
      <w:spacing w:after="0"/>
      <w:jc w:val="left"/>
    </w:pPr>
    <w:rPr>
      <w:rFonts w:asciiTheme="minorHAnsi" w:hAnsiTheme="minorHAnsi"/>
    </w:rPr>
  </w:style>
  <w:style w:type="paragraph" w:styleId="TOC5">
    <w:name w:val="toc 5"/>
    <w:basedOn w:val="Normal"/>
    <w:next w:val="Normal"/>
    <w:autoRedefine/>
    <w:uiPriority w:val="39"/>
    <w:semiHidden/>
    <w:unhideWhenUsed/>
    <w:rsid w:val="00640F62"/>
    <w:pPr>
      <w:spacing w:after="0"/>
      <w:jc w:val="left"/>
    </w:pPr>
    <w:rPr>
      <w:rFonts w:asciiTheme="minorHAnsi" w:hAnsiTheme="minorHAnsi"/>
    </w:rPr>
  </w:style>
  <w:style w:type="paragraph" w:styleId="TOC6">
    <w:name w:val="toc 6"/>
    <w:basedOn w:val="Normal"/>
    <w:next w:val="Normal"/>
    <w:autoRedefine/>
    <w:uiPriority w:val="39"/>
    <w:semiHidden/>
    <w:unhideWhenUsed/>
    <w:rsid w:val="00640F62"/>
    <w:pPr>
      <w:spacing w:after="0"/>
      <w:jc w:val="left"/>
    </w:pPr>
    <w:rPr>
      <w:rFonts w:asciiTheme="minorHAnsi" w:hAnsiTheme="minorHAnsi"/>
    </w:rPr>
  </w:style>
  <w:style w:type="paragraph" w:styleId="TOC7">
    <w:name w:val="toc 7"/>
    <w:basedOn w:val="Normal"/>
    <w:next w:val="Normal"/>
    <w:autoRedefine/>
    <w:uiPriority w:val="39"/>
    <w:semiHidden/>
    <w:unhideWhenUsed/>
    <w:rsid w:val="00640F62"/>
    <w:pPr>
      <w:spacing w:after="0"/>
      <w:jc w:val="left"/>
    </w:pPr>
    <w:rPr>
      <w:rFonts w:asciiTheme="minorHAnsi" w:hAnsiTheme="minorHAnsi"/>
    </w:rPr>
  </w:style>
  <w:style w:type="paragraph" w:styleId="TOC8">
    <w:name w:val="toc 8"/>
    <w:basedOn w:val="Normal"/>
    <w:next w:val="Normal"/>
    <w:autoRedefine/>
    <w:uiPriority w:val="39"/>
    <w:semiHidden/>
    <w:unhideWhenUsed/>
    <w:rsid w:val="00640F62"/>
    <w:pPr>
      <w:spacing w:after="0"/>
      <w:jc w:val="left"/>
    </w:pPr>
    <w:rPr>
      <w:rFonts w:asciiTheme="minorHAnsi" w:hAnsiTheme="minorHAnsi"/>
    </w:rPr>
  </w:style>
  <w:style w:type="paragraph" w:styleId="TOC9">
    <w:name w:val="toc 9"/>
    <w:basedOn w:val="Normal"/>
    <w:next w:val="Normal"/>
    <w:autoRedefine/>
    <w:uiPriority w:val="39"/>
    <w:semiHidden/>
    <w:unhideWhenUsed/>
    <w:rsid w:val="00640F62"/>
    <w:pPr>
      <w:spacing w:after="0"/>
      <w:jc w:val="left"/>
    </w:pPr>
    <w:rPr>
      <w:rFonts w:asciiTheme="minorHAnsi" w:hAnsi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health.org.uk/reports-and-analysis/briefings/health-and-social-care-workforce" TargetMode="External"/><Relationship Id="rId21" Type="http://schemas.openxmlformats.org/officeDocument/2006/relationships/hyperlink" Target="https://www.gov.uk/government/publications/people-at-the-heart-of-care-adult-social-care-reform-white-paper/people-at-the-heart-of-care-adult-social-care-reform" TargetMode="External"/><Relationship Id="rId34" Type="http://schemas.openxmlformats.org/officeDocument/2006/relationships/hyperlink" Target="https://www.instituteforgovernment.org.uk/publication/performance-tracker-2025/local-services/adult-social-care" TargetMode="External"/><Relationship Id="rId42" Type="http://schemas.openxmlformats.org/officeDocument/2006/relationships/hyperlink" Target="https://www.gov.uk/government/publications/recruitment-and-retention-in-adult-social-care-a-qualitative-study" TargetMode="External"/><Relationship Id="rId47" Type="http://schemas.openxmlformats.org/officeDocument/2006/relationships/hyperlink" Target="https://doi.org/10.1177/15271544241289605" TargetMode="External"/><Relationship Id="rId50" Type="http://schemas.openxmlformats.org/officeDocument/2006/relationships/hyperlink" Target="https://library.leeds.ac.uk/info/1404/literature_searching/14/literature_searching_explained/4" TargetMode="External"/><Relationship Id="rId55" Type="http://schemas.openxmlformats.org/officeDocument/2006/relationships/hyperlink" Target="https://doi.org/10.1080/13229400.2024.2318335" TargetMode="External"/><Relationship Id="rId63"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qc.org.uk/guidance-regulation/providers/adult-social-care" TargetMode="External"/><Relationship Id="rId29" Type="http://schemas.openxmlformats.org/officeDocument/2006/relationships/hyperlink" Target="https://researchbriefings.files.parliament.uk/documents/CBP-10017/CBP-10017.pdf" TargetMode="External"/><Relationship Id="rId11" Type="http://schemas.openxmlformats.org/officeDocument/2006/relationships/hyperlink" Target="https://doi.org/10.1080/16549716.2025.2479910" TargetMode="External"/><Relationship Id="rId24" Type="http://schemas.openxmlformats.org/officeDocument/2006/relationships/hyperlink" Target="https://commonslibrary.parliament.uk/research-briefings/cbp-9615/" TargetMode="External"/><Relationship Id="rId32" Type="http://schemas.openxmlformats.org/officeDocument/2006/relationships/hyperlink" Target="https://doi.org/10.1080/09692290.2025.2450399" TargetMode="External"/><Relationship Id="rId37" Type="http://schemas.openxmlformats.org/officeDocument/2006/relationships/hyperlink" Target="https://www.instituteforgovernment.org.uk/publication/performance-tracker-2025/local-services/adult-social-care" TargetMode="External"/><Relationship Id="rId40" Type="http://schemas.openxmlformats.org/officeDocument/2006/relationships/hyperlink" Target="https://doi.org/10.1177/09596801221127810" TargetMode="External"/><Relationship Id="rId45" Type="http://schemas.openxmlformats.org/officeDocument/2006/relationships/hyperlink" Target="https://www.england.nhs.uk/publication/nhs-long-term-workforce-plan/" TargetMode="External"/><Relationship Id="rId53" Type="http://schemas.openxmlformats.org/officeDocument/2006/relationships/hyperlink" Target="https://www.skillsforcare.org.uk/Workforce-Strategy/resources/Supporting-resources/A-Workforce-Strategy-for-Adult-Social-Care-in-England.pdf" TargetMode="External"/><Relationship Id="rId58" Type="http://schemas.openxmlformats.org/officeDocument/2006/relationships/hyperlink" Target="https://doi.org/10.1111/inr.12861" TargetMode="Externa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doi.org/10.1371/journal.pone.0325446" TargetMode="External"/><Relationship Id="rId19" Type="http://schemas.openxmlformats.org/officeDocument/2006/relationships/hyperlink" Target="https://books.core-econ.org/the-economy/macroeconomics/02-unemployment-wages-inequality-06-segmented-labour-markets.html" TargetMode="External"/><Relationship Id="rId14" Type="http://schemas.openxmlformats.org/officeDocument/2006/relationships/hyperlink" Target="https://libguides.bcu.ac.uk/critical-evaluation/checklist-approach" TargetMode="External"/><Relationship Id="rId22" Type="http://schemas.openxmlformats.org/officeDocument/2006/relationships/hyperlink" Target="https://www.gov.uk/government/publications/international-recruitment-toolkit-for-adult-social-care-providers" TargetMode="External"/><Relationship Id="rId27" Type="http://schemas.openxmlformats.org/officeDocument/2006/relationships/hyperlink" Target="https://pmc.ncbi.nlm.nih.gov/articles/PMC5037944/" TargetMode="External"/><Relationship Id="rId30" Type="http://schemas.openxmlformats.org/officeDocument/2006/relationships/hyperlink" Target="https://onlinelibrary.wiley.com/doi/10.1111/hsc.12455" TargetMode="External"/><Relationship Id="rId35" Type="http://schemas.openxmlformats.org/officeDocument/2006/relationships/hyperlink" Target="https://www.ilo.org/topics/employment-security/labour-market-segmentation" TargetMode="External"/><Relationship Id="rId43" Type="http://schemas.openxmlformats.org/officeDocument/2006/relationships/hyperlink" Target="https://migrationobservatory.ox.ac.uk/resources/briefings/migration-and-the-health-and-care-workforce" TargetMode="External"/><Relationship Id="rId48" Type="http://schemas.openxmlformats.org/officeDocument/2006/relationships/hyperlink" Target="https://doi.org/10.1787/92c0ef68-en" TargetMode="External"/><Relationship Id="rId56" Type="http://schemas.openxmlformats.org/officeDocument/2006/relationships/hyperlink" Target="https://www.kingsfund.org.uk/insight-and-analysis/data-and-charts/social-care-workforce-nutshell" TargetMode="External"/><Relationship Id="rId64" Type="http://schemas.openxmlformats.org/officeDocument/2006/relationships/footer" Target="footer2.xml"/><Relationship Id="rId8" Type="http://schemas.openxmlformats.org/officeDocument/2006/relationships/image" Target="media/image1.png"/><Relationship Id="rId51" Type="http://schemas.openxmlformats.org/officeDocument/2006/relationships/hyperlink" Target="https://doi.org/10.1016/j.worlddev.2023.106185" TargetMode="External"/><Relationship Id="rId3" Type="http://schemas.openxmlformats.org/officeDocument/2006/relationships/styles" Target="styles.xml"/><Relationship Id="rId12" Type="http://schemas.openxmlformats.org/officeDocument/2006/relationships/hyperlink" Target="https://commonslibrary.parliament.uk/the-uks-changing-population/" TargetMode="External"/><Relationship Id="rId17" Type="http://schemas.openxmlformats.org/officeDocument/2006/relationships/hyperlink" Target="https://www.cqc.org.uk/publications/major-report/state-care/2024-2025/access/asc" TargetMode="External"/><Relationship Id="rId25" Type="http://schemas.openxmlformats.org/officeDocument/2006/relationships/hyperlink" Target="https://doi.org/10.3389/fsoc.2025.1548473" TargetMode="External"/><Relationship Id="rId33" Type="http://schemas.openxmlformats.org/officeDocument/2006/relationships/hyperlink" Target="https://committees.parliament.uk/publications/23246/documents/171671/default/" TargetMode="External"/><Relationship Id="rId38" Type="http://schemas.openxmlformats.org/officeDocument/2006/relationships/hyperlink" Target="https://www.local.gov.uk/publications/international-recruitment-adult-social-care-guide-councils" TargetMode="External"/><Relationship Id="rId46" Type="http://schemas.openxmlformats.org/officeDocument/2006/relationships/hyperlink" Target="https://www.ons.gov.uk" TargetMode="External"/><Relationship Id="rId59" Type="http://schemas.openxmlformats.org/officeDocument/2006/relationships/hyperlink" Target="https://kar.kent.ac.uk/114925/1/Topic%203_%20International%20migration%20of%20the%20health%20and%20social%20care%20workforce.pdf" TargetMode="External"/><Relationship Id="rId20" Type="http://schemas.openxmlformats.org/officeDocument/2006/relationships/hyperlink" Target="https://www.nuffieldtrust.org.uk/research/the-future-for-health-after-brexit" TargetMode="External"/><Relationship Id="rId41" Type="http://schemas.openxmlformats.org/officeDocument/2006/relationships/hyperlink" Target="https://assets.publishing.service.gov.uk/media/651557b86dfda600148e37ba/Review_of_the_Shortage_Occupation_List_2023.pdf" TargetMode="External"/><Relationship Id="rId54" Type="http://schemas.openxmlformats.org/officeDocument/2006/relationships/hyperlink" Target="https://doi.org/10.1007/s12134-021-00807-3%20%20" TargetMode="External"/><Relationship Id="rId62" Type="http://schemas.openxmlformats.org/officeDocument/2006/relationships/hyperlink" Target="https://www.workrightscentre.org/media/rr1hklek/the-forgotten-third-migrant-care-workers-views-on-the-care-sector.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191/1478088706qp063oa" TargetMode="External"/><Relationship Id="rId23" Type="http://schemas.openxmlformats.org/officeDocument/2006/relationships/hyperlink" Target="https://journal.ilpnetwork.org/articles/10.31389/jltc.130" TargetMode="External"/><Relationship Id="rId28" Type="http://schemas.openxmlformats.org/officeDocument/2006/relationships/hyperlink" Target="https://www.gov.uk/health-care-worker-visa" TargetMode="External"/><Relationship Id="rId36" Type="http://schemas.openxmlformats.org/officeDocument/2006/relationships/hyperlink" Target="https://www.ilo.org/sites/default/files/2024-10/Migrant%20Workers%20in%20the%20Care%20Economy_Note_2024_Final.pdf" TargetMode="External"/><Relationship Id="rId49" Type="http://schemas.openxmlformats.org/officeDocument/2006/relationships/hyperlink" Target="https://post.parliament.uk/sustaining-the-health-and-adult-social-care-workforce/" TargetMode="External"/><Relationship Id="rId57" Type="http://schemas.openxmlformats.org/officeDocument/2006/relationships/hyperlink" Target="https://ukdataservice.ac.uk/learning-hub/research-data-management/ethical-issues/ethical-obligations/" TargetMode="External"/><Relationship Id="rId10" Type="http://schemas.openxmlformats.org/officeDocument/2006/relationships/hyperlink" Target="https://doi.org/10.1080/20008066.2024.2415747" TargetMode="External"/><Relationship Id="rId31" Type="http://schemas.openxmlformats.org/officeDocument/2006/relationships/hyperlink" Target="https://www.mdpi.com/2071-1050/14/17/10612" TargetMode="External"/><Relationship Id="rId44" Type="http://schemas.openxmlformats.org/officeDocument/2006/relationships/hyperlink" Target="https://www.simplypsychology.org/maslow.html" TargetMode="External"/><Relationship Id="rId52" Type="http://schemas.openxmlformats.org/officeDocument/2006/relationships/hyperlink" Target="https://www.skillsforcare.org.uk/Adult-Social-Care-Workforce-Data/workforceintelligence/resources/Reports/National/The-state-of-the-adult-social-care-sector-and-workforce-in-England-2025.pdf" TargetMode="External"/><Relationship Id="rId60" Type="http://schemas.openxmlformats.org/officeDocument/2006/relationships/hyperlink" Target="https://www.who.int/publications/i/item/9789240069787"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371/journal.pgph.0005141" TargetMode="External"/><Relationship Id="rId13" Type="http://schemas.openxmlformats.org/officeDocument/2006/relationships/hyperlink" Target="https://libguides.bcu.ac.uk/searching/boolean-operators" TargetMode="External"/><Relationship Id="rId18" Type="http://schemas.openxmlformats.org/officeDocument/2006/relationships/hyperlink" Target="https://www.cqc.org.uk/publications/major-report/state-care/2023-2024/access/asc" TargetMode="External"/><Relationship Id="rId39" Type="http://schemas.openxmlformats.org/officeDocument/2006/relationships/hyperlink" Target="https://www.legislation.gov.uk/ukpga/2014/23/contents/enac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5AA29A-7283-3141-A0E8-AE6CF5E905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1846</TotalTime>
  <Pages>54</Pages>
  <Words>16728</Words>
  <Characters>95352</Characters>
  <Application>Microsoft Office Word</Application>
  <DocSecurity>0</DocSecurity>
  <Lines>794</Lines>
  <Paragraphs>223</Paragraphs>
  <ScaleCrop>false</ScaleCrop>
  <Company/>
  <LinksUpToDate>false</LinksUpToDate>
  <CharactersWithSpaces>111857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Safina Bibi (2243482)</dc:creator>
  <cp:keywords/>
  <dc:description/>
  <cp:lastModifiedBy>Safina Bibi (2243482)</cp:lastModifiedBy>
  <cp:revision>1930</cp:revision>
  <dcterms:created xsi:type="dcterms:W3CDTF">2026-02-25T22:49:00Z</dcterms:created>
  <dcterms:modified xsi:type="dcterms:W3CDTF">2026-07-22T20:41:00Z</dcterms:modified>
</cp:coreProperties>
</file>