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DE4D2" w14:textId="5DEA6951" w:rsidR="009C652C" w:rsidRPr="009C652C" w:rsidRDefault="009C652C" w:rsidP="009C652C">
      <w:pPr>
        <w:jc w:val="center"/>
        <w:rPr>
          <w:rFonts w:ascii="Tahoma" w:hAnsi="Tahoma" w:cs="Tahoma"/>
          <w:b/>
          <w:bCs/>
        </w:rPr>
      </w:pPr>
      <w:r w:rsidRPr="009C652C">
        <w:rPr>
          <w:rFonts w:ascii="Tahoma" w:hAnsi="Tahoma" w:cs="Tahoma"/>
          <w:b/>
          <w:bCs/>
        </w:rPr>
        <w:t>DIGITAL TRANSFORMATI</w:t>
      </w:r>
      <w:r>
        <w:rPr>
          <w:rFonts w:ascii="Tahoma" w:hAnsi="Tahoma" w:cs="Tahoma"/>
          <w:b/>
          <w:bCs/>
        </w:rPr>
        <w:t>O</w:t>
      </w:r>
      <w:r w:rsidRPr="009C652C">
        <w:rPr>
          <w:rFonts w:ascii="Tahoma" w:hAnsi="Tahoma" w:cs="Tahoma"/>
          <w:b/>
          <w:bCs/>
        </w:rPr>
        <w:t xml:space="preserve">N IN </w:t>
      </w:r>
      <w:proofErr w:type="gramStart"/>
      <w:r w:rsidRPr="009C652C">
        <w:rPr>
          <w:rFonts w:ascii="Tahoma" w:hAnsi="Tahoma" w:cs="Tahoma"/>
          <w:b/>
          <w:bCs/>
        </w:rPr>
        <w:t>THE HEALTH</w:t>
      </w:r>
      <w:proofErr w:type="gramEnd"/>
      <w:r w:rsidRPr="009C652C">
        <w:rPr>
          <w:rFonts w:ascii="Tahoma" w:hAnsi="Tahoma" w:cs="Tahoma"/>
          <w:b/>
          <w:bCs/>
        </w:rPr>
        <w:t xml:space="preserve"> AND CARE PROFESSIONS (BMHP6026)</w:t>
      </w:r>
    </w:p>
    <w:p w14:paraId="4D304632" w14:textId="77777777" w:rsidR="009C652C" w:rsidRPr="009C652C" w:rsidRDefault="009C652C" w:rsidP="009C652C">
      <w:pPr>
        <w:jc w:val="both"/>
        <w:rPr>
          <w:rFonts w:ascii="Tahoma" w:hAnsi="Tahoma" w:cs="Tahoma"/>
        </w:rPr>
      </w:pPr>
    </w:p>
    <w:p w14:paraId="5001DA62" w14:textId="77777777" w:rsidR="009C652C" w:rsidRPr="009C652C" w:rsidRDefault="009C652C" w:rsidP="009C652C">
      <w:pPr>
        <w:jc w:val="both"/>
        <w:rPr>
          <w:rFonts w:ascii="Tahoma" w:hAnsi="Tahoma" w:cs="Tahoma"/>
        </w:rPr>
      </w:pPr>
      <w:r w:rsidRPr="009C652C">
        <w:rPr>
          <w:rFonts w:ascii="Tahoma" w:hAnsi="Tahoma" w:cs="Tahoma"/>
        </w:rPr>
        <w:t>COMPONENT 1: WRITTEN REPORT</w:t>
      </w:r>
    </w:p>
    <w:p w14:paraId="7223C2DB" w14:textId="77777777" w:rsidR="009C652C" w:rsidRPr="009C652C" w:rsidRDefault="009C652C" w:rsidP="009C652C">
      <w:pPr>
        <w:jc w:val="both"/>
        <w:rPr>
          <w:rFonts w:ascii="Tahoma" w:hAnsi="Tahoma" w:cs="Tahoma"/>
        </w:rPr>
      </w:pPr>
      <w:r w:rsidRPr="009C652C">
        <w:rPr>
          <w:rFonts w:ascii="Tahoma" w:hAnsi="Tahoma" w:cs="Tahoma"/>
        </w:rPr>
        <w:t xml:space="preserve">STUDENT NAME: Princess </w:t>
      </w:r>
      <w:proofErr w:type="spellStart"/>
      <w:r w:rsidRPr="009C652C">
        <w:rPr>
          <w:rFonts w:ascii="Tahoma" w:hAnsi="Tahoma" w:cs="Tahoma"/>
        </w:rPr>
        <w:t>Njimogun</w:t>
      </w:r>
      <w:proofErr w:type="spellEnd"/>
    </w:p>
    <w:p w14:paraId="60F742EB" w14:textId="77777777" w:rsidR="009C652C" w:rsidRPr="009C652C" w:rsidRDefault="009C652C" w:rsidP="009C652C">
      <w:pPr>
        <w:jc w:val="both"/>
        <w:rPr>
          <w:rFonts w:ascii="Tahoma" w:hAnsi="Tahoma" w:cs="Tahoma"/>
        </w:rPr>
      </w:pPr>
      <w:r w:rsidRPr="009C652C">
        <w:rPr>
          <w:rFonts w:ascii="Tahoma" w:hAnsi="Tahoma" w:cs="Tahoma"/>
        </w:rPr>
        <w:t>STUDENT NUMBER: 2235075</w:t>
      </w:r>
    </w:p>
    <w:p w14:paraId="08CF18DA" w14:textId="77777777" w:rsidR="009C652C" w:rsidRDefault="009C652C" w:rsidP="009C652C">
      <w:pPr>
        <w:jc w:val="both"/>
        <w:rPr>
          <w:rFonts w:ascii="Tahoma" w:hAnsi="Tahoma" w:cs="Tahoma"/>
        </w:rPr>
      </w:pPr>
      <w:r w:rsidRPr="009C652C">
        <w:rPr>
          <w:rFonts w:ascii="Tahoma" w:hAnsi="Tahoma" w:cs="Tahoma"/>
        </w:rPr>
        <w:t>LECTURER’S NAME: G1 Dr Laila Surani / G2 Muhammed Khan</w:t>
      </w:r>
    </w:p>
    <w:p w14:paraId="1832AE26" w14:textId="38A9F224" w:rsidR="00EF078B" w:rsidRPr="009C652C" w:rsidRDefault="00EF078B" w:rsidP="009C652C">
      <w:pPr>
        <w:jc w:val="both"/>
        <w:rPr>
          <w:rFonts w:ascii="Tahoma" w:hAnsi="Tahoma" w:cs="Tahoma"/>
        </w:rPr>
      </w:pPr>
      <w:r>
        <w:rPr>
          <w:rFonts w:ascii="Tahoma" w:hAnsi="Tahoma" w:cs="Tahoma"/>
        </w:rPr>
        <w:t xml:space="preserve">Topic: </w:t>
      </w:r>
      <w:proofErr w:type="spellStart"/>
      <w:r w:rsidRPr="00EF078B">
        <w:rPr>
          <w:rFonts w:ascii="Tahoma" w:hAnsi="Tahoma" w:cs="Tahoma"/>
        </w:rPr>
        <w:t>Oxevision</w:t>
      </w:r>
      <w:proofErr w:type="spellEnd"/>
    </w:p>
    <w:p w14:paraId="0BF910C1" w14:textId="77777777" w:rsidR="009C652C" w:rsidRPr="009C652C" w:rsidRDefault="009C652C" w:rsidP="009C652C">
      <w:pPr>
        <w:jc w:val="both"/>
        <w:rPr>
          <w:rFonts w:ascii="Tahoma" w:hAnsi="Tahoma" w:cs="Tahoma"/>
        </w:rPr>
      </w:pPr>
      <w:r w:rsidRPr="009C652C">
        <w:rPr>
          <w:rFonts w:ascii="Tahoma" w:hAnsi="Tahoma" w:cs="Tahoma"/>
        </w:rPr>
        <w:t>WORD COUNT: 2000</w:t>
      </w:r>
    </w:p>
    <w:p w14:paraId="6D04805F" w14:textId="77777777" w:rsidR="009C652C" w:rsidRPr="009C652C" w:rsidRDefault="009C652C" w:rsidP="009C652C">
      <w:pPr>
        <w:jc w:val="both"/>
        <w:rPr>
          <w:rFonts w:ascii="Tahoma" w:hAnsi="Tahoma" w:cs="Tahoma"/>
        </w:rPr>
      </w:pPr>
    </w:p>
    <w:p w14:paraId="60BDA88F" w14:textId="77777777" w:rsidR="009C652C" w:rsidRPr="002F00E4" w:rsidRDefault="009C652C" w:rsidP="009C652C">
      <w:pPr>
        <w:jc w:val="both"/>
        <w:rPr>
          <w:rFonts w:ascii="Tahoma" w:hAnsi="Tahoma" w:cs="Tahoma"/>
          <w:b/>
          <w:bCs/>
        </w:rPr>
      </w:pPr>
      <w:r w:rsidRPr="002F00E4">
        <w:rPr>
          <w:rFonts w:ascii="Tahoma" w:hAnsi="Tahoma" w:cs="Tahoma"/>
          <w:b/>
          <w:bCs/>
        </w:rPr>
        <w:t>TABLE OF CONTENTS</w:t>
      </w:r>
    </w:p>
    <w:p w14:paraId="66F84D17" w14:textId="5902773F" w:rsidR="009C652C" w:rsidRPr="009C652C" w:rsidRDefault="009C652C" w:rsidP="009C652C">
      <w:pPr>
        <w:jc w:val="both"/>
        <w:rPr>
          <w:rFonts w:ascii="Tahoma" w:hAnsi="Tahoma" w:cs="Tahoma"/>
        </w:rPr>
      </w:pPr>
      <w:r w:rsidRPr="009C652C">
        <w:rPr>
          <w:rFonts w:ascii="Tahoma" w:hAnsi="Tahoma" w:cs="Tahoma"/>
        </w:rPr>
        <w:t>INTRODUCTION ...........................................................................................</w:t>
      </w:r>
      <w:r w:rsidR="00EF078B">
        <w:rPr>
          <w:rFonts w:ascii="Tahoma" w:hAnsi="Tahoma" w:cs="Tahoma"/>
        </w:rPr>
        <w:t>.</w:t>
      </w:r>
      <w:r w:rsidRPr="009C652C">
        <w:rPr>
          <w:rFonts w:ascii="Tahoma" w:hAnsi="Tahoma" w:cs="Tahoma"/>
        </w:rPr>
        <w:t xml:space="preserve"> 1</w:t>
      </w:r>
    </w:p>
    <w:p w14:paraId="5EB24EB5" w14:textId="77777777" w:rsidR="009C652C" w:rsidRPr="009C652C" w:rsidRDefault="009C652C" w:rsidP="009C652C">
      <w:pPr>
        <w:jc w:val="both"/>
        <w:rPr>
          <w:rFonts w:ascii="Tahoma" w:hAnsi="Tahoma" w:cs="Tahoma"/>
        </w:rPr>
      </w:pPr>
    </w:p>
    <w:p w14:paraId="79827069" w14:textId="7DC6C56E" w:rsidR="009C652C" w:rsidRPr="009C652C" w:rsidRDefault="009C652C" w:rsidP="009C652C">
      <w:pPr>
        <w:jc w:val="both"/>
        <w:rPr>
          <w:rFonts w:ascii="Tahoma" w:hAnsi="Tahoma" w:cs="Tahoma"/>
        </w:rPr>
      </w:pPr>
      <w:r w:rsidRPr="009C652C">
        <w:rPr>
          <w:rFonts w:ascii="Tahoma" w:hAnsi="Tahoma" w:cs="Tahoma"/>
        </w:rPr>
        <w:t xml:space="preserve">IMPACT ON WORKFORCE ............................................................................... </w:t>
      </w:r>
      <w:r w:rsidR="00EF078B">
        <w:rPr>
          <w:rFonts w:ascii="Tahoma" w:hAnsi="Tahoma" w:cs="Tahoma"/>
        </w:rPr>
        <w:t>2</w:t>
      </w:r>
    </w:p>
    <w:p w14:paraId="1C1F5340" w14:textId="77777777" w:rsidR="009C652C" w:rsidRPr="009C652C" w:rsidRDefault="009C652C" w:rsidP="009C652C">
      <w:pPr>
        <w:jc w:val="both"/>
        <w:rPr>
          <w:rFonts w:ascii="Tahoma" w:hAnsi="Tahoma" w:cs="Tahoma"/>
        </w:rPr>
      </w:pPr>
    </w:p>
    <w:p w14:paraId="78C96F53" w14:textId="24BE6543" w:rsidR="009C652C" w:rsidRPr="009C652C" w:rsidRDefault="009C652C" w:rsidP="009C652C">
      <w:pPr>
        <w:jc w:val="both"/>
        <w:rPr>
          <w:rFonts w:ascii="Tahoma" w:hAnsi="Tahoma" w:cs="Tahoma"/>
        </w:rPr>
      </w:pPr>
      <w:r w:rsidRPr="009C652C">
        <w:rPr>
          <w:rFonts w:ascii="Tahoma" w:hAnsi="Tahoma" w:cs="Tahoma"/>
        </w:rPr>
        <w:t>IMPACT ON SERVICE DELIVERY .....................................................................</w:t>
      </w:r>
      <w:r w:rsidR="00EF078B">
        <w:rPr>
          <w:rFonts w:ascii="Tahoma" w:hAnsi="Tahoma" w:cs="Tahoma"/>
        </w:rPr>
        <w:t>.</w:t>
      </w:r>
      <w:r w:rsidRPr="009C652C">
        <w:rPr>
          <w:rFonts w:ascii="Tahoma" w:hAnsi="Tahoma" w:cs="Tahoma"/>
        </w:rPr>
        <w:t xml:space="preserve"> </w:t>
      </w:r>
      <w:r w:rsidR="00EF078B">
        <w:rPr>
          <w:rFonts w:ascii="Tahoma" w:hAnsi="Tahoma" w:cs="Tahoma"/>
        </w:rPr>
        <w:t>3</w:t>
      </w:r>
    </w:p>
    <w:p w14:paraId="62C0C261" w14:textId="77777777" w:rsidR="009C652C" w:rsidRPr="009C652C" w:rsidRDefault="009C652C" w:rsidP="009C652C">
      <w:pPr>
        <w:jc w:val="both"/>
        <w:rPr>
          <w:rFonts w:ascii="Tahoma" w:hAnsi="Tahoma" w:cs="Tahoma"/>
        </w:rPr>
      </w:pPr>
    </w:p>
    <w:p w14:paraId="17EDED90" w14:textId="2C97599B" w:rsidR="009C652C" w:rsidRPr="009C652C" w:rsidRDefault="009C652C" w:rsidP="009C652C">
      <w:pPr>
        <w:jc w:val="both"/>
        <w:rPr>
          <w:rFonts w:ascii="Tahoma" w:hAnsi="Tahoma" w:cs="Tahoma"/>
        </w:rPr>
      </w:pPr>
      <w:r w:rsidRPr="009C652C">
        <w:rPr>
          <w:rFonts w:ascii="Tahoma" w:hAnsi="Tahoma" w:cs="Tahoma"/>
        </w:rPr>
        <w:t>IMPACT ON PATIENTS ..................................................................................</w:t>
      </w:r>
      <w:r w:rsidR="00D56E27">
        <w:rPr>
          <w:rFonts w:ascii="Tahoma" w:hAnsi="Tahoma" w:cs="Tahoma"/>
        </w:rPr>
        <w:t>.</w:t>
      </w:r>
      <w:r w:rsidR="00EF078B">
        <w:rPr>
          <w:rFonts w:ascii="Tahoma" w:hAnsi="Tahoma" w:cs="Tahoma"/>
        </w:rPr>
        <w:t>.</w:t>
      </w:r>
      <w:r w:rsidRPr="009C652C">
        <w:rPr>
          <w:rFonts w:ascii="Tahoma" w:hAnsi="Tahoma" w:cs="Tahoma"/>
        </w:rPr>
        <w:t xml:space="preserve"> </w:t>
      </w:r>
      <w:r w:rsidR="00EF078B">
        <w:rPr>
          <w:rFonts w:ascii="Tahoma" w:hAnsi="Tahoma" w:cs="Tahoma"/>
        </w:rPr>
        <w:t>4</w:t>
      </w:r>
    </w:p>
    <w:p w14:paraId="1DBF7D7D" w14:textId="77777777" w:rsidR="009C652C" w:rsidRPr="009C652C" w:rsidRDefault="009C652C" w:rsidP="009C652C">
      <w:pPr>
        <w:jc w:val="both"/>
        <w:rPr>
          <w:rFonts w:ascii="Tahoma" w:hAnsi="Tahoma" w:cs="Tahoma"/>
        </w:rPr>
      </w:pPr>
    </w:p>
    <w:p w14:paraId="563DE586" w14:textId="7EA0F0C5" w:rsidR="009C652C" w:rsidRPr="009C652C" w:rsidRDefault="009C652C" w:rsidP="009C652C">
      <w:pPr>
        <w:jc w:val="both"/>
        <w:rPr>
          <w:rFonts w:ascii="Tahoma" w:hAnsi="Tahoma" w:cs="Tahoma"/>
        </w:rPr>
      </w:pPr>
      <w:r w:rsidRPr="009C652C">
        <w:rPr>
          <w:rFonts w:ascii="Tahoma" w:hAnsi="Tahoma" w:cs="Tahoma"/>
        </w:rPr>
        <w:t>IMPACT ON COMMUNITY .............................................................................</w:t>
      </w:r>
      <w:r w:rsidR="00D56E27">
        <w:rPr>
          <w:rFonts w:ascii="Tahoma" w:hAnsi="Tahoma" w:cs="Tahoma"/>
        </w:rPr>
        <w:t>..</w:t>
      </w:r>
      <w:r w:rsidR="00EF078B">
        <w:rPr>
          <w:rFonts w:ascii="Tahoma" w:hAnsi="Tahoma" w:cs="Tahoma"/>
        </w:rPr>
        <w:t>.</w:t>
      </w:r>
      <w:r w:rsidRPr="009C652C">
        <w:rPr>
          <w:rFonts w:ascii="Tahoma" w:hAnsi="Tahoma" w:cs="Tahoma"/>
        </w:rPr>
        <w:t xml:space="preserve"> </w:t>
      </w:r>
      <w:r w:rsidR="00EF078B">
        <w:rPr>
          <w:rFonts w:ascii="Tahoma" w:hAnsi="Tahoma" w:cs="Tahoma"/>
        </w:rPr>
        <w:t>5</w:t>
      </w:r>
    </w:p>
    <w:p w14:paraId="1F9B199A" w14:textId="77777777" w:rsidR="009C652C" w:rsidRPr="009C652C" w:rsidRDefault="009C652C" w:rsidP="009C652C">
      <w:pPr>
        <w:jc w:val="both"/>
        <w:rPr>
          <w:rFonts w:ascii="Tahoma" w:hAnsi="Tahoma" w:cs="Tahoma"/>
        </w:rPr>
      </w:pPr>
    </w:p>
    <w:p w14:paraId="1C31ED35" w14:textId="619F4FA0" w:rsidR="009C652C" w:rsidRPr="009C652C" w:rsidRDefault="009C652C" w:rsidP="009C652C">
      <w:pPr>
        <w:jc w:val="both"/>
        <w:rPr>
          <w:rFonts w:ascii="Tahoma" w:hAnsi="Tahoma" w:cs="Tahoma"/>
        </w:rPr>
      </w:pPr>
      <w:r w:rsidRPr="009C652C">
        <w:rPr>
          <w:rFonts w:ascii="Tahoma" w:hAnsi="Tahoma" w:cs="Tahoma"/>
        </w:rPr>
        <w:t>CONCLUSION .............................................................................................</w:t>
      </w:r>
      <w:r w:rsidR="00D56E27">
        <w:rPr>
          <w:rFonts w:ascii="Tahoma" w:hAnsi="Tahoma" w:cs="Tahoma"/>
        </w:rPr>
        <w:t>...</w:t>
      </w:r>
      <w:r w:rsidR="00EF078B">
        <w:rPr>
          <w:rFonts w:ascii="Tahoma" w:hAnsi="Tahoma" w:cs="Tahoma"/>
        </w:rPr>
        <w:t>.</w:t>
      </w:r>
      <w:r w:rsidRPr="009C652C">
        <w:rPr>
          <w:rFonts w:ascii="Tahoma" w:hAnsi="Tahoma" w:cs="Tahoma"/>
        </w:rPr>
        <w:t xml:space="preserve"> </w:t>
      </w:r>
      <w:r w:rsidR="00EF078B">
        <w:rPr>
          <w:rFonts w:ascii="Tahoma" w:hAnsi="Tahoma" w:cs="Tahoma"/>
        </w:rPr>
        <w:t>6</w:t>
      </w:r>
    </w:p>
    <w:p w14:paraId="4265CFF0" w14:textId="77777777" w:rsidR="009C652C" w:rsidRPr="009C652C" w:rsidRDefault="009C652C" w:rsidP="009C652C">
      <w:pPr>
        <w:jc w:val="both"/>
        <w:rPr>
          <w:rFonts w:ascii="Tahoma" w:hAnsi="Tahoma" w:cs="Tahoma"/>
        </w:rPr>
      </w:pPr>
    </w:p>
    <w:p w14:paraId="56E7012E" w14:textId="1965553F" w:rsidR="009C652C" w:rsidRPr="009C652C" w:rsidRDefault="009C652C" w:rsidP="009C652C">
      <w:pPr>
        <w:jc w:val="both"/>
        <w:rPr>
          <w:rFonts w:ascii="Tahoma" w:hAnsi="Tahoma" w:cs="Tahoma"/>
        </w:rPr>
      </w:pPr>
      <w:r w:rsidRPr="009C652C">
        <w:rPr>
          <w:rFonts w:ascii="Tahoma" w:hAnsi="Tahoma" w:cs="Tahoma"/>
        </w:rPr>
        <w:t>REFERENCES ..............................................................................................</w:t>
      </w:r>
      <w:r w:rsidR="00D56E27">
        <w:rPr>
          <w:rFonts w:ascii="Tahoma" w:hAnsi="Tahoma" w:cs="Tahoma"/>
        </w:rPr>
        <w:t>...</w:t>
      </w:r>
      <w:r w:rsidR="00EF078B">
        <w:rPr>
          <w:rFonts w:ascii="Tahoma" w:hAnsi="Tahoma" w:cs="Tahoma"/>
        </w:rPr>
        <w:t>.</w:t>
      </w:r>
      <w:r w:rsidRPr="009C652C">
        <w:rPr>
          <w:rFonts w:ascii="Tahoma" w:hAnsi="Tahoma" w:cs="Tahoma"/>
        </w:rPr>
        <w:t xml:space="preserve"> </w:t>
      </w:r>
      <w:r w:rsidR="00EF078B">
        <w:rPr>
          <w:rFonts w:ascii="Tahoma" w:hAnsi="Tahoma" w:cs="Tahoma"/>
        </w:rPr>
        <w:t>8</w:t>
      </w:r>
    </w:p>
    <w:p w14:paraId="1EE61FAC" w14:textId="4FDD2CDB" w:rsidR="009C652C" w:rsidRPr="009C652C" w:rsidRDefault="009C652C" w:rsidP="009C652C">
      <w:pPr>
        <w:pStyle w:val="Heading1"/>
        <w:jc w:val="both"/>
        <w:rPr>
          <w:rFonts w:ascii="Tahoma" w:hAnsi="Tahoma" w:cs="Tahoma"/>
        </w:rPr>
      </w:pPr>
    </w:p>
    <w:p w14:paraId="76C71A21" w14:textId="77777777" w:rsidR="009C652C" w:rsidRPr="009C652C" w:rsidRDefault="009C652C" w:rsidP="009C652C">
      <w:pPr>
        <w:jc w:val="both"/>
        <w:rPr>
          <w:rFonts w:ascii="Tahoma" w:hAnsi="Tahoma" w:cs="Tahoma"/>
        </w:rPr>
      </w:pPr>
    </w:p>
    <w:p w14:paraId="1725EC24" w14:textId="77777777" w:rsidR="009C652C" w:rsidRPr="009C652C" w:rsidRDefault="009C652C" w:rsidP="009C652C">
      <w:pPr>
        <w:jc w:val="both"/>
        <w:rPr>
          <w:rFonts w:ascii="Tahoma" w:hAnsi="Tahoma" w:cs="Tahoma"/>
        </w:rPr>
      </w:pPr>
    </w:p>
    <w:p w14:paraId="5D1093F1" w14:textId="3D3E3938" w:rsidR="00985A70" w:rsidRPr="009C652C" w:rsidRDefault="00000000" w:rsidP="009C652C">
      <w:pPr>
        <w:jc w:val="both"/>
        <w:rPr>
          <w:rFonts w:ascii="Tahoma" w:hAnsi="Tahoma" w:cs="Tahoma"/>
          <w:b/>
          <w:bCs/>
          <w:sz w:val="26"/>
          <w:szCs w:val="26"/>
        </w:rPr>
      </w:pPr>
      <w:r w:rsidRPr="009C652C">
        <w:rPr>
          <w:rFonts w:ascii="Tahoma" w:hAnsi="Tahoma" w:cs="Tahoma"/>
          <w:b/>
          <w:bCs/>
          <w:sz w:val="26"/>
          <w:szCs w:val="26"/>
        </w:rPr>
        <w:t>1. Introduction</w:t>
      </w:r>
    </w:p>
    <w:p w14:paraId="60085B17" w14:textId="77777777" w:rsidR="00985A70" w:rsidRPr="009C652C" w:rsidRDefault="00000000" w:rsidP="009C652C">
      <w:pPr>
        <w:jc w:val="both"/>
        <w:rPr>
          <w:rFonts w:ascii="Tahoma" w:hAnsi="Tahoma" w:cs="Tahoma"/>
          <w:sz w:val="24"/>
          <w:szCs w:val="24"/>
        </w:rPr>
      </w:pPr>
      <w:r w:rsidRPr="009C652C">
        <w:rPr>
          <w:rFonts w:ascii="Tahoma" w:hAnsi="Tahoma" w:cs="Tahoma"/>
          <w:sz w:val="24"/>
          <w:szCs w:val="24"/>
        </w:rPr>
        <w:t xml:space="preserve">Digital transformation has become a central priority within contemporary health and social care systems. Across the United Kingdom, digital technologies are increasingly being integrated into healthcare services </w:t>
      </w:r>
      <w:proofErr w:type="gramStart"/>
      <w:r w:rsidRPr="009C652C">
        <w:rPr>
          <w:rFonts w:ascii="Tahoma" w:hAnsi="Tahoma" w:cs="Tahoma"/>
          <w:sz w:val="24"/>
          <w:szCs w:val="24"/>
        </w:rPr>
        <w:t>in order to</w:t>
      </w:r>
      <w:proofErr w:type="gramEnd"/>
      <w:r w:rsidRPr="009C652C">
        <w:rPr>
          <w:rFonts w:ascii="Tahoma" w:hAnsi="Tahoma" w:cs="Tahoma"/>
          <w:sz w:val="24"/>
          <w:szCs w:val="24"/>
        </w:rPr>
        <w:t xml:space="preserve"> improve efficiency, patient safety, and quality of care. National policy initiatives have emphasised the importance of technology‑enabled care as part of wider health system reform (NHS England, 2024). Within mental health services in particular, digital monitoring systems have been introduced to support patient observation, improve risk management, and enable data‑driven clinical decision‑making.</w:t>
      </w:r>
    </w:p>
    <w:p w14:paraId="3B9B79B1" w14:textId="0AA155C8" w:rsidR="00985A70" w:rsidRPr="009C652C" w:rsidRDefault="00000000" w:rsidP="009C652C">
      <w:pPr>
        <w:jc w:val="both"/>
        <w:rPr>
          <w:rFonts w:ascii="Tahoma" w:hAnsi="Tahoma" w:cs="Tahoma"/>
          <w:sz w:val="24"/>
          <w:szCs w:val="24"/>
        </w:rPr>
      </w:pPr>
      <w:r w:rsidRPr="009C652C">
        <w:rPr>
          <w:rFonts w:ascii="Tahoma" w:hAnsi="Tahoma" w:cs="Tahoma"/>
          <w:sz w:val="24"/>
          <w:szCs w:val="24"/>
        </w:rPr>
        <w:t xml:space="preserve">One example of such innovation is Oxevision, a contact‑free monitoring system used in several mental health inpatient units across the United Kingdom. </w:t>
      </w:r>
      <w:proofErr w:type="gramStart"/>
      <w:r w:rsidRPr="009C652C">
        <w:rPr>
          <w:rFonts w:ascii="Tahoma" w:hAnsi="Tahoma" w:cs="Tahoma"/>
          <w:sz w:val="24"/>
          <w:szCs w:val="24"/>
        </w:rPr>
        <w:t>The</w:t>
      </w:r>
      <w:r w:rsidR="00EF078B">
        <w:rPr>
          <w:rFonts w:ascii="Tahoma" w:hAnsi="Tahoma" w:cs="Tahoma"/>
          <w:sz w:val="24"/>
          <w:szCs w:val="24"/>
        </w:rPr>
        <w:t xml:space="preserve"> </w:t>
      </w:r>
      <w:r w:rsidRPr="009C652C">
        <w:rPr>
          <w:rFonts w:ascii="Tahoma" w:hAnsi="Tahoma" w:cs="Tahoma"/>
          <w:sz w:val="24"/>
          <w:szCs w:val="24"/>
        </w:rPr>
        <w:t>technology</w:t>
      </w:r>
      <w:proofErr w:type="gramEnd"/>
      <w:r w:rsidRPr="009C652C">
        <w:rPr>
          <w:rFonts w:ascii="Tahoma" w:hAnsi="Tahoma" w:cs="Tahoma"/>
          <w:sz w:val="24"/>
          <w:szCs w:val="24"/>
        </w:rPr>
        <w:t xml:space="preserve"> uses infrared sensors to detect subtle chest movements and physiological signals such as breathing rate and pulse, while also monitoring patient movement patterns (Oxevision, 2023). Unlike traditional observation methods, the system does not require direct physical contact or the use of bright lighting during night‑time checks. As a result, it allows patients to be monitored continuously while reducing potential disturbances to sleep.</w:t>
      </w:r>
    </w:p>
    <w:p w14:paraId="56984A33" w14:textId="77777777" w:rsidR="00985A70" w:rsidRPr="009C652C" w:rsidRDefault="00000000" w:rsidP="009C652C">
      <w:pPr>
        <w:jc w:val="both"/>
        <w:rPr>
          <w:rFonts w:ascii="Tahoma" w:hAnsi="Tahoma" w:cs="Tahoma"/>
          <w:sz w:val="24"/>
          <w:szCs w:val="24"/>
        </w:rPr>
      </w:pPr>
      <w:r w:rsidRPr="009C652C">
        <w:rPr>
          <w:rFonts w:ascii="Tahoma" w:hAnsi="Tahoma" w:cs="Tahoma"/>
          <w:sz w:val="24"/>
          <w:szCs w:val="24"/>
        </w:rPr>
        <w:t>The implementation of technologies such as Oxevision forms part of broader digital transformation strategies across the National Health Service (NHS). These strategies aim to modernise healthcare systems by improving access to digital data, enhancing patient safety, and supporting more efficient service delivery (Wachter, 2016; NHS England, 2024). However, despite these potential benefits, the adoption of digital technologies also raises important questions relating to workforce adaptation, ethical considerations, patient autonomy, and healthcare inequalities.</w:t>
      </w:r>
    </w:p>
    <w:p w14:paraId="2B636AA2" w14:textId="77777777" w:rsidR="00985A70" w:rsidRPr="009C652C" w:rsidRDefault="00000000" w:rsidP="009C652C">
      <w:pPr>
        <w:jc w:val="both"/>
        <w:rPr>
          <w:rFonts w:ascii="Tahoma" w:hAnsi="Tahoma" w:cs="Tahoma"/>
          <w:sz w:val="24"/>
          <w:szCs w:val="24"/>
        </w:rPr>
      </w:pPr>
      <w:r w:rsidRPr="009C652C">
        <w:rPr>
          <w:rFonts w:ascii="Tahoma" w:hAnsi="Tahoma" w:cs="Tahoma"/>
          <w:sz w:val="24"/>
          <w:szCs w:val="24"/>
        </w:rPr>
        <w:t xml:space="preserve">This report critically evaluates the impact of Oxevision within mental health services. The discussion focuses on four key areas: the workforce, service delivery, patients, and the wider community. By drawing upon policy reports, academic literature, and healthcare guidance, the report analyses both the advantages and limitations associated with digital monitoring technologies. Understanding these impacts is essential </w:t>
      </w:r>
      <w:proofErr w:type="gramStart"/>
      <w:r w:rsidRPr="009C652C">
        <w:rPr>
          <w:rFonts w:ascii="Tahoma" w:hAnsi="Tahoma" w:cs="Tahoma"/>
          <w:sz w:val="24"/>
          <w:szCs w:val="24"/>
        </w:rPr>
        <w:t>in order to</w:t>
      </w:r>
      <w:proofErr w:type="gramEnd"/>
      <w:r w:rsidRPr="009C652C">
        <w:rPr>
          <w:rFonts w:ascii="Tahoma" w:hAnsi="Tahoma" w:cs="Tahoma"/>
          <w:sz w:val="24"/>
          <w:szCs w:val="24"/>
        </w:rPr>
        <w:t xml:space="preserve"> ensure that digital transformation supports safe, ethical, and patient‑centred healthcare delivery.</w:t>
      </w:r>
    </w:p>
    <w:p w14:paraId="1FFE961B" w14:textId="77777777" w:rsidR="00985A70" w:rsidRPr="009C652C" w:rsidRDefault="00000000" w:rsidP="009C652C">
      <w:pPr>
        <w:pStyle w:val="Heading2"/>
        <w:jc w:val="both"/>
        <w:rPr>
          <w:rFonts w:ascii="Tahoma" w:hAnsi="Tahoma" w:cs="Tahoma"/>
          <w:color w:val="auto"/>
        </w:rPr>
      </w:pPr>
      <w:r w:rsidRPr="009C652C">
        <w:rPr>
          <w:rFonts w:ascii="Tahoma" w:hAnsi="Tahoma" w:cs="Tahoma"/>
          <w:color w:val="auto"/>
        </w:rPr>
        <w:lastRenderedPageBreak/>
        <w:t>2. Impact on Workforce</w:t>
      </w:r>
    </w:p>
    <w:p w14:paraId="04D147B4"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The introduction of digital monitoring technologies has significant implications for healthcare professionals working in mental health settings. Traditionally, inpatient wards relied heavily on manual observation procedures in which nurses were required to conduct physical checks on patients at regular intervals. These checks often occurred every fifteen to sixty minutes during the night and required staff to enter patient rooms to confirm safety. Although this approach aimed to minimise risks such as self‑harm or medical deterioration, it also required considerable staff time and resources (NHS Digital, 2022).</w:t>
      </w:r>
    </w:p>
    <w:p w14:paraId="6BB87936"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The implementation of Oxevision enables continuous remote monitoring of patients, thereby reducing the need for frequent manual observations. Evidence suggests that this change may improve workforce efficiency by allowing staff to allocate more time to therapeutic engagement and direct patient care (NHS Digital, 2022). Automated monitoring systems can provide real‑time alerts when unusual movement patterns or physiological changes are detected, allowing staff to intervene when necessary. Consequently, healthcare professionals may be able to prioritise patients who require immediate support rather than conducting routine checks that may not always be clinically necessary.</w:t>
      </w:r>
    </w:p>
    <w:p w14:paraId="1F0F0EFF"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However, digital transformation also introduces new responsibilities and skill requirements for healthcare staff. The successful use of monitoring technologies requires healthcare professionals to develop digital competencies, including the ability to interpret clinical data generated by monitoring systems and to respond appropriately to alerts. According to the Royal College of Nursing (2024), many healthcare workers report concerns regarding digital confidence and training when new technologies are introduced. Without adequate training and organisational support, staff may experience increased stress or uncertainty when interacting with digital systems.</w:t>
      </w:r>
    </w:p>
    <w:p w14:paraId="1FBF0236"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Another important consideration relates to the potential impact of technology on professional judgement. While digital monitoring systems </w:t>
      </w:r>
      <w:proofErr w:type="gramStart"/>
      <w:r w:rsidRPr="00433BA2">
        <w:rPr>
          <w:rFonts w:ascii="Tahoma" w:hAnsi="Tahoma" w:cs="Tahoma"/>
          <w:sz w:val="24"/>
          <w:szCs w:val="24"/>
        </w:rPr>
        <w:t>are capable of detecting</w:t>
      </w:r>
      <w:proofErr w:type="gramEnd"/>
      <w:r w:rsidRPr="00433BA2">
        <w:rPr>
          <w:rFonts w:ascii="Tahoma" w:hAnsi="Tahoma" w:cs="Tahoma"/>
          <w:sz w:val="24"/>
          <w:szCs w:val="24"/>
        </w:rPr>
        <w:t xml:space="preserve"> physiological indicators, they cannot fully replicate the observational skills and clinical intuition developed by experienced healthcare professionals. Subtle behavioural or emotional changes may not always be detected by automated systems. The King’s Fund (2023) therefore emphasises that digital tools should complement rather than replace professional expertise. Maintaining a balance between technological monitoring and human observation remains essential for safe and effective care.</w:t>
      </w:r>
    </w:p>
    <w:p w14:paraId="7DC4A695"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lastRenderedPageBreak/>
        <w:t>Furthermore, the introduction of digital technologies may influence staff wellbeing and job satisfaction. Reduced night‑time observation duties may decrease fatigue and workload pressures for some healthcare professionals. However, concerns have also been raised regarding the possibility that increased reliance on technology may reduce opportunities for personal interaction with patients (Topol, 2019). As therapeutic relationships are central to mental health care, it is essential that technological solutions do not inadvertently undermine the human aspects of healthcare practice.</w:t>
      </w:r>
    </w:p>
    <w:p w14:paraId="7C37A194" w14:textId="77777777" w:rsidR="00985A70" w:rsidRPr="00433BA2" w:rsidRDefault="00000000" w:rsidP="009C652C">
      <w:pPr>
        <w:pStyle w:val="Heading2"/>
        <w:jc w:val="both"/>
        <w:rPr>
          <w:rFonts w:ascii="Tahoma" w:hAnsi="Tahoma" w:cs="Tahoma"/>
          <w:color w:val="auto"/>
        </w:rPr>
      </w:pPr>
      <w:r w:rsidRPr="00433BA2">
        <w:rPr>
          <w:rFonts w:ascii="Tahoma" w:hAnsi="Tahoma" w:cs="Tahoma"/>
          <w:color w:val="auto"/>
        </w:rPr>
        <w:t>3. Impact on Service Delivery</w:t>
      </w:r>
    </w:p>
    <w:p w14:paraId="7D3EA9EA"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Digital monitoring technologies can significantly influence the way mental health services are delivered within inpatient settings. One of the primary advantages of systems such as Oxevision is the ability to generate continuous data regarding patient movement and physiological indicators. This data can support earlier identification of potential clinical risks and enable healthcare professionals to intervene more quickly when necessary (NHS England, 2024).</w:t>
      </w:r>
    </w:p>
    <w:p w14:paraId="68097FA6"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Traditional observation methods rely on periodic checks that may miss important changes occurring between observation intervals. Continuous monitoring systems reduce this limitation by providing real‑time information about patient activity. This capability can improve risk detection and enhance overall patient safety, particularly for individuals who may be vulnerable to self‑harm or medical complications.</w:t>
      </w:r>
    </w:p>
    <w:p w14:paraId="4F72F711"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Another important benefit relates to the potential improvement of ward environments, particularly during night‑time hours. Frequent manual checks often involve opening doors, switching on lights, or physically approaching patients while they are asleep. These actions can disrupt sleep patterns, which are closely associated with mental health recovery and emotional stability (Care Quality Commission, 2023). Contact‑free monitoring systems allow staff to confirm patient safety without disturbing sleep, potentially improving patient wellbeing and recovery outcomes.</w:t>
      </w:r>
    </w:p>
    <w:p w14:paraId="087D395F"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Digital technologies may also improve documentation and information management within healthcare services. Automated monitoring systems </w:t>
      </w:r>
      <w:proofErr w:type="gramStart"/>
      <w:r w:rsidRPr="00433BA2">
        <w:rPr>
          <w:rFonts w:ascii="Tahoma" w:hAnsi="Tahoma" w:cs="Tahoma"/>
          <w:sz w:val="24"/>
          <w:szCs w:val="24"/>
        </w:rPr>
        <w:t>are capable of recording</w:t>
      </w:r>
      <w:proofErr w:type="gramEnd"/>
      <w:r w:rsidRPr="00433BA2">
        <w:rPr>
          <w:rFonts w:ascii="Tahoma" w:hAnsi="Tahoma" w:cs="Tahoma"/>
          <w:sz w:val="24"/>
          <w:szCs w:val="24"/>
        </w:rPr>
        <w:t xml:space="preserve"> observation data electronically, thereby reducing the need for manual documentation. This may improve the accuracy of patient records and allow healthcare professionals to access detailed information when developing care plans (NHS Digital, 2022). Access to consistent and reliable patient data can support more personalised and evidence‑based treatment decisions.</w:t>
      </w:r>
    </w:p>
    <w:p w14:paraId="470E9E18"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lastRenderedPageBreak/>
        <w:t xml:space="preserve">Despite these advantages, challenges relating to technological infrastructure must also be considered. Digital systems rely heavily on reliable internet connectivity, data security frameworks, and technical maintenance. If system failures occur, healthcare providers must be able to revert quickly to alternative observation methods </w:t>
      </w:r>
      <w:proofErr w:type="gramStart"/>
      <w:r w:rsidRPr="00433BA2">
        <w:rPr>
          <w:rFonts w:ascii="Tahoma" w:hAnsi="Tahoma" w:cs="Tahoma"/>
          <w:sz w:val="24"/>
          <w:szCs w:val="24"/>
        </w:rPr>
        <w:t>in order to</w:t>
      </w:r>
      <w:proofErr w:type="gramEnd"/>
      <w:r w:rsidRPr="00433BA2">
        <w:rPr>
          <w:rFonts w:ascii="Tahoma" w:hAnsi="Tahoma" w:cs="Tahoma"/>
          <w:sz w:val="24"/>
          <w:szCs w:val="24"/>
        </w:rPr>
        <w:t xml:space="preserve"> maintain patient safety. The King’s Fund (2023) highlights that successful digital transformation requires strong organisational infrastructure, appropriate governance arrangements, and ongoing technical support.</w:t>
      </w:r>
    </w:p>
    <w:p w14:paraId="16D3DB7C"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Financial considerations may also influence the implementation of digital technologies. While digital monitoring systems may generate long‑term efficiency benefits, the initial costs associated with purchasing equipment, installing infrastructure, and providing staff training can be substantial. Healthcare organisations must therefore carefully evaluate both the economic and clinical implications when adopting digital innovations.</w:t>
      </w:r>
    </w:p>
    <w:p w14:paraId="5897D294" w14:textId="77777777" w:rsidR="00985A70" w:rsidRPr="00D56E27" w:rsidRDefault="00000000" w:rsidP="009C652C">
      <w:pPr>
        <w:pStyle w:val="Heading2"/>
        <w:jc w:val="both"/>
        <w:rPr>
          <w:rFonts w:ascii="Tahoma" w:hAnsi="Tahoma" w:cs="Tahoma"/>
          <w:color w:val="auto"/>
          <w:sz w:val="24"/>
          <w:szCs w:val="24"/>
        </w:rPr>
      </w:pPr>
      <w:r w:rsidRPr="00D56E27">
        <w:rPr>
          <w:rFonts w:ascii="Tahoma" w:hAnsi="Tahoma" w:cs="Tahoma"/>
          <w:color w:val="auto"/>
          <w:sz w:val="24"/>
          <w:szCs w:val="24"/>
        </w:rPr>
        <w:t>4. Impact on Patients</w:t>
      </w:r>
    </w:p>
    <w:p w14:paraId="537649E3"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The introduction of digital monitoring technologies can influence patient experiences in both positive and negative ways. One of the </w:t>
      </w:r>
      <w:proofErr w:type="gramStart"/>
      <w:r w:rsidRPr="00433BA2">
        <w:rPr>
          <w:rFonts w:ascii="Tahoma" w:hAnsi="Tahoma" w:cs="Tahoma"/>
          <w:sz w:val="24"/>
          <w:szCs w:val="24"/>
        </w:rPr>
        <w:t>most commonly cited</w:t>
      </w:r>
      <w:proofErr w:type="gramEnd"/>
      <w:r w:rsidRPr="00433BA2">
        <w:rPr>
          <w:rFonts w:ascii="Tahoma" w:hAnsi="Tahoma" w:cs="Tahoma"/>
          <w:sz w:val="24"/>
          <w:szCs w:val="24"/>
        </w:rPr>
        <w:t xml:space="preserve"> benefits is improved safety within inpatient mental health settings. Continuous monitoring systems can detect changes in breathing, movement patterns, or prolonged inactivity, which may indicate potential medical or psychological distress. Early detection of such indicators allows healthcare professionals to respond quickly and potentially prevent serious incidents (NHS England, 2024).</w:t>
      </w:r>
    </w:p>
    <w:p w14:paraId="7BFD664C"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Improved sleep quality represents another important potential benefit for patients. Traditional observation procedures may interrupt sleep due to repeated room entries or lighting disturbances. Sleep disruption can exacerbate symptoms of anxiety, depression, and other mental health conditions. Contact‑free monitoring technologies reduce the need for physical checks during the night, thereby allowing patients to sleep more comfortably while still being monitored for safety (Care Quality Commission, 2023).</w:t>
      </w:r>
    </w:p>
    <w:p w14:paraId="434A73D6"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However, patient perspectives regarding digital monitoring are complex. Concerns relating to privacy and surveillance have been widely documented in discussions of digital healthcare technologies. Even when monitoring systems do not record identifiable images, some patients may feel uncomfortable knowing that sensors are present in their personal space. Research conducted by Mind (2022) indicates that a proportion of mental health service </w:t>
      </w:r>
      <w:proofErr w:type="gramStart"/>
      <w:r w:rsidRPr="00433BA2">
        <w:rPr>
          <w:rFonts w:ascii="Tahoma" w:hAnsi="Tahoma" w:cs="Tahoma"/>
          <w:sz w:val="24"/>
          <w:szCs w:val="24"/>
        </w:rPr>
        <w:t>users</w:t>
      </w:r>
      <w:proofErr w:type="gramEnd"/>
      <w:r w:rsidRPr="00433BA2">
        <w:rPr>
          <w:rFonts w:ascii="Tahoma" w:hAnsi="Tahoma" w:cs="Tahoma"/>
          <w:sz w:val="24"/>
          <w:szCs w:val="24"/>
        </w:rPr>
        <w:t xml:space="preserve"> express concerns about data privacy and the potential misuse of personal information.</w:t>
      </w:r>
    </w:p>
    <w:p w14:paraId="1A4AA6E5"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lastRenderedPageBreak/>
        <w:t xml:space="preserve">Ethical considerations are therefore central to the implementation of digital monitoring systems. Healthcare providers must ensure that patients receive clear explanations regarding how the technology operates, what data </w:t>
      </w:r>
      <w:proofErr w:type="gramStart"/>
      <w:r w:rsidRPr="00433BA2">
        <w:rPr>
          <w:rFonts w:ascii="Tahoma" w:hAnsi="Tahoma" w:cs="Tahoma"/>
          <w:sz w:val="24"/>
          <w:szCs w:val="24"/>
        </w:rPr>
        <w:t>are</w:t>
      </w:r>
      <w:proofErr w:type="gramEnd"/>
      <w:r w:rsidRPr="00433BA2">
        <w:rPr>
          <w:rFonts w:ascii="Tahoma" w:hAnsi="Tahoma" w:cs="Tahoma"/>
          <w:sz w:val="24"/>
          <w:szCs w:val="24"/>
        </w:rPr>
        <w:t xml:space="preserve"> collected, and how the information will be stored or used. The National Institute for Health and Care Excellence (2023) emphasises that transparency and informed consent are important principles when introducing digital technologies into healthcare environments.</w:t>
      </w:r>
    </w:p>
    <w:p w14:paraId="3CF163FA"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Another important issue relates to patient autonomy and empowerment. Some critics argue that excessive reliance on monitoring technologies may contribute to feelings of surveillance or reduced personal control. Mental health recovery is often closely associated with promoting independence and self‑management. As a result, digital monitoring systems should be implemented in ways that respect patient dignity and autonomy while still maintaining safety standards.</w:t>
      </w:r>
    </w:p>
    <w:p w14:paraId="13953DEC"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Overall, patient experiences with digital monitoring technologies are likely to vary depending on individual circumstances, clinical needs, and personal attitudes toward technology. Healthcare providers must therefore adopt flexible and patient‑centred approaches when implementing such innovations.</w:t>
      </w:r>
    </w:p>
    <w:p w14:paraId="5F7540E1" w14:textId="77777777" w:rsidR="00985A70" w:rsidRPr="00433BA2" w:rsidRDefault="00000000" w:rsidP="009C652C">
      <w:pPr>
        <w:pStyle w:val="Heading2"/>
        <w:jc w:val="both"/>
        <w:rPr>
          <w:rFonts w:ascii="Tahoma" w:hAnsi="Tahoma" w:cs="Tahoma"/>
          <w:color w:val="auto"/>
        </w:rPr>
      </w:pPr>
      <w:r w:rsidRPr="00433BA2">
        <w:rPr>
          <w:rFonts w:ascii="Tahoma" w:hAnsi="Tahoma" w:cs="Tahoma"/>
          <w:color w:val="auto"/>
        </w:rPr>
        <w:t>5. Impact on Community</w:t>
      </w:r>
    </w:p>
    <w:p w14:paraId="3046CFC8"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Digital health technologies can also influence the experiences of families, carers, and the wider community. Mental health conditions often affect not only individuals but also those who provide informal care and support. Monitoring systems such as Oxevision may provide reassurance to family members who are concerned about the safety of their relatives during inpatient treatment. Increased confidence in healthcare safety measures may strengthen trust between communities and healthcare providers (Mental Health Foundation, 2023).</w:t>
      </w:r>
    </w:p>
    <w:p w14:paraId="279DEF8B"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In addition, digital technologies can contribute to broader healthcare transformation by enabling new models of care delivery. Remote monitoring systems may allow some patients to receive support within community settings rather than remaining in hospital for extended periods. Community‑based care models are widely supported within UK healthcare policy as they may reduce hospital pressures while allowing patients to remain closer to family and social networks (NHS England, 2024).</w:t>
      </w:r>
    </w:p>
    <w:p w14:paraId="70FB70B3"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Nevertheless, the expansion of digital healthcare raises concerns regarding digital exclusion. Not all individuals possess equal access to technology or the digital literacy required to engage with digital health services. Vulnerable populations, </w:t>
      </w:r>
      <w:r w:rsidRPr="00433BA2">
        <w:rPr>
          <w:rFonts w:ascii="Tahoma" w:hAnsi="Tahoma" w:cs="Tahoma"/>
          <w:sz w:val="24"/>
          <w:szCs w:val="24"/>
        </w:rPr>
        <w:lastRenderedPageBreak/>
        <w:t>including older adults or individuals from disadvantaged socioeconomic backgrounds, may face barriers when interacting with digital healthcare systems. The Joseph Rowntree Foundation (2023) emphasises that digital transformation initiatives must consider social inequalities to ensure that technological advancements do not widen existing health disparities.</w:t>
      </w:r>
    </w:p>
    <w:p w14:paraId="791F6E9F"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Public attitudes toward data security and privacy also influence community acceptance of digital health technologies. Concerns about data breaches, surveillance, and misuse of personal health information may reduce trust if not addressed appropriately. Healthcare organisations must therefore prioritise transparent communication and strong data governance frameworks </w:t>
      </w:r>
      <w:proofErr w:type="gramStart"/>
      <w:r w:rsidRPr="00433BA2">
        <w:rPr>
          <w:rFonts w:ascii="Tahoma" w:hAnsi="Tahoma" w:cs="Tahoma"/>
          <w:sz w:val="24"/>
          <w:szCs w:val="24"/>
        </w:rPr>
        <w:t>in order to</w:t>
      </w:r>
      <w:proofErr w:type="gramEnd"/>
      <w:r w:rsidRPr="00433BA2">
        <w:rPr>
          <w:rFonts w:ascii="Tahoma" w:hAnsi="Tahoma" w:cs="Tahoma"/>
          <w:sz w:val="24"/>
          <w:szCs w:val="24"/>
        </w:rPr>
        <w:t xml:space="preserve"> maintain public confidence in digital innovations.</w:t>
      </w:r>
    </w:p>
    <w:p w14:paraId="45E3C3AC"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Community engagement can play an important role in addressing these challenges. Involving patient groups, carers, and local organisations in discussions about digital healthcare initiatives may help identify potential concerns and ensure that technologies are implemented in ways that reflect community values and expectations.</w:t>
      </w:r>
    </w:p>
    <w:p w14:paraId="4DD66557" w14:textId="77777777" w:rsidR="00985A70" w:rsidRPr="00433BA2" w:rsidRDefault="00000000" w:rsidP="009C652C">
      <w:pPr>
        <w:pStyle w:val="Heading2"/>
        <w:jc w:val="both"/>
        <w:rPr>
          <w:rFonts w:ascii="Tahoma" w:hAnsi="Tahoma" w:cs="Tahoma"/>
          <w:color w:val="auto"/>
        </w:rPr>
      </w:pPr>
      <w:r w:rsidRPr="00433BA2">
        <w:rPr>
          <w:rFonts w:ascii="Tahoma" w:hAnsi="Tahoma" w:cs="Tahoma"/>
          <w:color w:val="auto"/>
        </w:rPr>
        <w:t>6. Conclusion</w:t>
      </w:r>
    </w:p>
    <w:p w14:paraId="34FA9BDD"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Digital transformation is reshaping healthcare systems worldwide, and the integration of monitoring technologies such as Oxevision represents an important development within mental health services. The analysis presented in this report demonstrates that digital monitoring systems have the potential to improve patient safety, enhance workforce efficiency, and support more proactive clinical decision‑making.</w:t>
      </w:r>
    </w:p>
    <w:p w14:paraId="0D3A3E49"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 xml:space="preserve">However, the findings also highlight a range of challenges associated with the adoption of such technologies. Healthcare professionals must be supported through appropriate training </w:t>
      </w:r>
      <w:proofErr w:type="gramStart"/>
      <w:r w:rsidRPr="00433BA2">
        <w:rPr>
          <w:rFonts w:ascii="Tahoma" w:hAnsi="Tahoma" w:cs="Tahoma"/>
          <w:sz w:val="24"/>
          <w:szCs w:val="24"/>
        </w:rPr>
        <w:t>in order to</w:t>
      </w:r>
      <w:proofErr w:type="gramEnd"/>
      <w:r w:rsidRPr="00433BA2">
        <w:rPr>
          <w:rFonts w:ascii="Tahoma" w:hAnsi="Tahoma" w:cs="Tahoma"/>
          <w:sz w:val="24"/>
          <w:szCs w:val="24"/>
        </w:rPr>
        <w:t xml:space="preserve"> develop the digital skills required for effective system use. Ethical concerns relating to privacy, surveillance, and patient autonomy must also be carefully addressed through transparent policies and communication with service users.</w:t>
      </w:r>
    </w:p>
    <w:p w14:paraId="0E743790" w14:textId="77777777" w:rsidR="00985A70" w:rsidRPr="00433BA2" w:rsidRDefault="00000000" w:rsidP="009C652C">
      <w:pPr>
        <w:jc w:val="both"/>
        <w:rPr>
          <w:rFonts w:ascii="Tahoma" w:hAnsi="Tahoma" w:cs="Tahoma"/>
          <w:sz w:val="24"/>
          <w:szCs w:val="24"/>
        </w:rPr>
      </w:pPr>
      <w:r w:rsidRPr="00433BA2">
        <w:rPr>
          <w:rFonts w:ascii="Tahoma" w:hAnsi="Tahoma" w:cs="Tahoma"/>
          <w:sz w:val="24"/>
          <w:szCs w:val="24"/>
        </w:rPr>
        <w:t>In addition, broader social considerations such as digital exclusion and public trust must be incorporated into digital health strategies. Technological innovation should not occur in isolation from the social and organisational contexts within which healthcare services operate.</w:t>
      </w:r>
    </w:p>
    <w:p w14:paraId="1B8435E7" w14:textId="77777777" w:rsidR="00985A70" w:rsidRDefault="00000000" w:rsidP="009C652C">
      <w:pPr>
        <w:jc w:val="both"/>
        <w:rPr>
          <w:rFonts w:ascii="Tahoma" w:hAnsi="Tahoma" w:cs="Tahoma"/>
          <w:sz w:val="24"/>
          <w:szCs w:val="24"/>
        </w:rPr>
      </w:pPr>
      <w:r w:rsidRPr="00433BA2">
        <w:rPr>
          <w:rFonts w:ascii="Tahoma" w:hAnsi="Tahoma" w:cs="Tahoma"/>
          <w:sz w:val="24"/>
          <w:szCs w:val="24"/>
        </w:rPr>
        <w:t xml:space="preserve">Ultimately, digital monitoring technologies should be viewed as supportive tools that enhance rather than replace human interaction and professional judgement. </w:t>
      </w:r>
      <w:r w:rsidRPr="00433BA2">
        <w:rPr>
          <w:rFonts w:ascii="Tahoma" w:hAnsi="Tahoma" w:cs="Tahoma"/>
          <w:sz w:val="24"/>
          <w:szCs w:val="24"/>
        </w:rPr>
        <w:lastRenderedPageBreak/>
        <w:t>When implemented responsibly and supported by appropriate governance, infrastructure, and workforce training, systems such as Oxevision can contribute positively to the ongoing digital transformation of health and social care services. Ensuring that patient dignity, safety, and wellbeing remain central to technological innovation will be essential as healthcare systems continue to evolve in the digital age.</w:t>
      </w:r>
    </w:p>
    <w:p w14:paraId="0937CE48" w14:textId="77777777" w:rsidR="00433BA2" w:rsidRDefault="00433BA2" w:rsidP="009C652C">
      <w:pPr>
        <w:jc w:val="both"/>
        <w:rPr>
          <w:rFonts w:ascii="Tahoma" w:hAnsi="Tahoma" w:cs="Tahoma"/>
          <w:sz w:val="24"/>
          <w:szCs w:val="24"/>
        </w:rPr>
      </w:pPr>
    </w:p>
    <w:p w14:paraId="11D75761" w14:textId="77777777" w:rsidR="00433BA2" w:rsidRDefault="00433BA2" w:rsidP="009C652C">
      <w:pPr>
        <w:jc w:val="both"/>
        <w:rPr>
          <w:rFonts w:ascii="Tahoma" w:hAnsi="Tahoma" w:cs="Tahoma"/>
          <w:sz w:val="24"/>
          <w:szCs w:val="24"/>
        </w:rPr>
      </w:pPr>
    </w:p>
    <w:p w14:paraId="66882A89" w14:textId="77777777" w:rsidR="00433BA2" w:rsidRDefault="00433BA2" w:rsidP="009C652C">
      <w:pPr>
        <w:jc w:val="both"/>
        <w:rPr>
          <w:rFonts w:ascii="Tahoma" w:hAnsi="Tahoma" w:cs="Tahoma"/>
          <w:sz w:val="24"/>
          <w:szCs w:val="24"/>
        </w:rPr>
      </w:pPr>
    </w:p>
    <w:p w14:paraId="4D77D116" w14:textId="77777777" w:rsidR="00433BA2" w:rsidRDefault="00433BA2" w:rsidP="009C652C">
      <w:pPr>
        <w:jc w:val="both"/>
        <w:rPr>
          <w:rFonts w:ascii="Tahoma" w:hAnsi="Tahoma" w:cs="Tahoma"/>
          <w:sz w:val="24"/>
          <w:szCs w:val="24"/>
        </w:rPr>
      </w:pPr>
    </w:p>
    <w:p w14:paraId="0E6695DB" w14:textId="77777777" w:rsidR="00433BA2" w:rsidRDefault="00433BA2" w:rsidP="009C652C">
      <w:pPr>
        <w:jc w:val="both"/>
        <w:rPr>
          <w:rFonts w:ascii="Tahoma" w:hAnsi="Tahoma" w:cs="Tahoma"/>
          <w:sz w:val="24"/>
          <w:szCs w:val="24"/>
        </w:rPr>
      </w:pPr>
    </w:p>
    <w:p w14:paraId="7029ACBA" w14:textId="77777777" w:rsidR="00433BA2" w:rsidRDefault="00433BA2" w:rsidP="009C652C">
      <w:pPr>
        <w:jc w:val="both"/>
        <w:rPr>
          <w:rFonts w:ascii="Tahoma" w:hAnsi="Tahoma" w:cs="Tahoma"/>
          <w:sz w:val="24"/>
          <w:szCs w:val="24"/>
        </w:rPr>
      </w:pPr>
    </w:p>
    <w:p w14:paraId="2F8192C1" w14:textId="77777777" w:rsidR="00433BA2" w:rsidRDefault="00433BA2" w:rsidP="009C652C">
      <w:pPr>
        <w:jc w:val="both"/>
        <w:rPr>
          <w:rFonts w:ascii="Tahoma" w:hAnsi="Tahoma" w:cs="Tahoma"/>
          <w:sz w:val="24"/>
          <w:szCs w:val="24"/>
        </w:rPr>
      </w:pPr>
    </w:p>
    <w:p w14:paraId="0E474AA8" w14:textId="77777777" w:rsidR="00433BA2" w:rsidRDefault="00433BA2" w:rsidP="009C652C">
      <w:pPr>
        <w:jc w:val="both"/>
        <w:rPr>
          <w:rFonts w:ascii="Tahoma" w:hAnsi="Tahoma" w:cs="Tahoma"/>
          <w:sz w:val="24"/>
          <w:szCs w:val="24"/>
        </w:rPr>
      </w:pPr>
    </w:p>
    <w:p w14:paraId="231739E9" w14:textId="77777777" w:rsidR="00433BA2" w:rsidRDefault="00433BA2" w:rsidP="009C652C">
      <w:pPr>
        <w:jc w:val="both"/>
        <w:rPr>
          <w:rFonts w:ascii="Tahoma" w:hAnsi="Tahoma" w:cs="Tahoma"/>
          <w:sz w:val="24"/>
          <w:szCs w:val="24"/>
        </w:rPr>
      </w:pPr>
    </w:p>
    <w:p w14:paraId="4A9D8A55" w14:textId="77777777" w:rsidR="00433BA2" w:rsidRDefault="00433BA2" w:rsidP="009C652C">
      <w:pPr>
        <w:jc w:val="both"/>
        <w:rPr>
          <w:rFonts w:ascii="Tahoma" w:hAnsi="Tahoma" w:cs="Tahoma"/>
          <w:sz w:val="24"/>
          <w:szCs w:val="24"/>
        </w:rPr>
      </w:pPr>
    </w:p>
    <w:p w14:paraId="1B06141D" w14:textId="77777777" w:rsidR="00433BA2" w:rsidRDefault="00433BA2" w:rsidP="009C652C">
      <w:pPr>
        <w:jc w:val="both"/>
        <w:rPr>
          <w:rFonts w:ascii="Tahoma" w:hAnsi="Tahoma" w:cs="Tahoma"/>
          <w:sz w:val="24"/>
          <w:szCs w:val="24"/>
        </w:rPr>
      </w:pPr>
    </w:p>
    <w:p w14:paraId="1898F460" w14:textId="77777777" w:rsidR="00433BA2" w:rsidRDefault="00433BA2" w:rsidP="009C652C">
      <w:pPr>
        <w:jc w:val="both"/>
        <w:rPr>
          <w:rFonts w:ascii="Tahoma" w:hAnsi="Tahoma" w:cs="Tahoma"/>
          <w:sz w:val="24"/>
          <w:szCs w:val="24"/>
        </w:rPr>
      </w:pPr>
    </w:p>
    <w:p w14:paraId="45451444" w14:textId="77777777" w:rsidR="00433BA2" w:rsidRDefault="00433BA2" w:rsidP="009C652C">
      <w:pPr>
        <w:jc w:val="both"/>
        <w:rPr>
          <w:rFonts w:ascii="Tahoma" w:hAnsi="Tahoma" w:cs="Tahoma"/>
          <w:sz w:val="24"/>
          <w:szCs w:val="24"/>
        </w:rPr>
      </w:pPr>
    </w:p>
    <w:p w14:paraId="2F0B0481" w14:textId="77777777" w:rsidR="00433BA2" w:rsidRDefault="00433BA2" w:rsidP="009C652C">
      <w:pPr>
        <w:jc w:val="both"/>
        <w:rPr>
          <w:rFonts w:ascii="Tahoma" w:hAnsi="Tahoma" w:cs="Tahoma"/>
          <w:sz w:val="24"/>
          <w:szCs w:val="24"/>
        </w:rPr>
      </w:pPr>
    </w:p>
    <w:p w14:paraId="466CB16C" w14:textId="77777777" w:rsidR="00433BA2" w:rsidRDefault="00433BA2" w:rsidP="009C652C">
      <w:pPr>
        <w:jc w:val="both"/>
        <w:rPr>
          <w:rFonts w:ascii="Tahoma" w:hAnsi="Tahoma" w:cs="Tahoma"/>
          <w:sz w:val="24"/>
          <w:szCs w:val="24"/>
        </w:rPr>
      </w:pPr>
    </w:p>
    <w:p w14:paraId="5C019391" w14:textId="77777777" w:rsidR="00433BA2" w:rsidRDefault="00433BA2" w:rsidP="009C652C">
      <w:pPr>
        <w:jc w:val="both"/>
        <w:rPr>
          <w:rFonts w:ascii="Tahoma" w:hAnsi="Tahoma" w:cs="Tahoma"/>
          <w:sz w:val="24"/>
          <w:szCs w:val="24"/>
        </w:rPr>
      </w:pPr>
    </w:p>
    <w:p w14:paraId="2D1B20BD" w14:textId="77777777" w:rsidR="00433BA2" w:rsidRDefault="00433BA2" w:rsidP="009C652C">
      <w:pPr>
        <w:jc w:val="both"/>
        <w:rPr>
          <w:rFonts w:ascii="Tahoma" w:hAnsi="Tahoma" w:cs="Tahoma"/>
          <w:sz w:val="24"/>
          <w:szCs w:val="24"/>
        </w:rPr>
      </w:pPr>
    </w:p>
    <w:p w14:paraId="634A618C" w14:textId="77777777" w:rsidR="00433BA2" w:rsidRPr="00433BA2" w:rsidRDefault="00433BA2" w:rsidP="009C652C">
      <w:pPr>
        <w:jc w:val="both"/>
        <w:rPr>
          <w:rFonts w:ascii="Tahoma" w:hAnsi="Tahoma" w:cs="Tahoma"/>
          <w:sz w:val="24"/>
          <w:szCs w:val="24"/>
        </w:rPr>
      </w:pPr>
    </w:p>
    <w:p w14:paraId="3A14A74D" w14:textId="0264F444" w:rsidR="00985A70" w:rsidRDefault="00000000" w:rsidP="009C652C">
      <w:pPr>
        <w:pStyle w:val="Heading2"/>
        <w:jc w:val="both"/>
        <w:rPr>
          <w:rFonts w:ascii="Tahoma" w:hAnsi="Tahoma" w:cs="Tahoma"/>
          <w:color w:val="auto"/>
        </w:rPr>
      </w:pPr>
      <w:r w:rsidRPr="00433BA2">
        <w:rPr>
          <w:rFonts w:ascii="Tahoma" w:hAnsi="Tahoma" w:cs="Tahoma"/>
          <w:color w:val="auto"/>
        </w:rPr>
        <w:t>References</w:t>
      </w:r>
    </w:p>
    <w:p w14:paraId="559E7453" w14:textId="77777777" w:rsidR="003520D1" w:rsidRPr="003520D1" w:rsidRDefault="003520D1" w:rsidP="003520D1"/>
    <w:p w14:paraId="4562FA48" w14:textId="77777777" w:rsidR="00985A70" w:rsidRPr="009C652C" w:rsidRDefault="00000000" w:rsidP="003520D1">
      <w:pPr>
        <w:ind w:left="567" w:right="-716" w:hanging="567"/>
        <w:jc w:val="both"/>
        <w:rPr>
          <w:rFonts w:ascii="Tahoma" w:hAnsi="Tahoma" w:cs="Tahoma"/>
        </w:rPr>
      </w:pPr>
      <w:r w:rsidRPr="009C652C">
        <w:rPr>
          <w:rFonts w:ascii="Tahoma" w:hAnsi="Tahoma" w:cs="Tahoma"/>
        </w:rPr>
        <w:lastRenderedPageBreak/>
        <w:t xml:space="preserve">Care Quality Commission (2023) </w:t>
      </w:r>
      <w:r w:rsidRPr="003520D1">
        <w:rPr>
          <w:rFonts w:ascii="Tahoma" w:hAnsi="Tahoma" w:cs="Tahoma"/>
          <w:i/>
          <w:iCs/>
        </w:rPr>
        <w:t xml:space="preserve">Patient experience of digital monitoring in mental health units. </w:t>
      </w:r>
      <w:r w:rsidRPr="009C652C">
        <w:rPr>
          <w:rFonts w:ascii="Tahoma" w:hAnsi="Tahoma" w:cs="Tahoma"/>
        </w:rPr>
        <w:t>London: CQC.</w:t>
      </w:r>
    </w:p>
    <w:p w14:paraId="012876AC" w14:textId="77777777" w:rsidR="00985A70" w:rsidRPr="009C652C" w:rsidRDefault="00000000" w:rsidP="003520D1">
      <w:pPr>
        <w:ind w:right="-716"/>
        <w:jc w:val="both"/>
        <w:rPr>
          <w:rFonts w:ascii="Tahoma" w:hAnsi="Tahoma" w:cs="Tahoma"/>
        </w:rPr>
      </w:pPr>
      <w:r w:rsidRPr="009C652C">
        <w:rPr>
          <w:rFonts w:ascii="Tahoma" w:hAnsi="Tahoma" w:cs="Tahoma"/>
        </w:rPr>
        <w:t xml:space="preserve">Joseph Rowntree Foundation (2023) </w:t>
      </w:r>
      <w:r w:rsidRPr="003520D1">
        <w:rPr>
          <w:rFonts w:ascii="Tahoma" w:hAnsi="Tahoma" w:cs="Tahoma"/>
          <w:i/>
          <w:iCs/>
        </w:rPr>
        <w:t>Digital health tools and community trust.</w:t>
      </w:r>
      <w:r w:rsidRPr="009C652C">
        <w:rPr>
          <w:rFonts w:ascii="Tahoma" w:hAnsi="Tahoma" w:cs="Tahoma"/>
        </w:rPr>
        <w:t xml:space="preserve"> York: JRF.</w:t>
      </w:r>
    </w:p>
    <w:p w14:paraId="085D6826" w14:textId="77777777" w:rsidR="00985A70" w:rsidRPr="003520D1" w:rsidRDefault="00000000" w:rsidP="003520D1">
      <w:pPr>
        <w:ind w:left="567" w:right="-716" w:hanging="567"/>
        <w:jc w:val="both"/>
        <w:rPr>
          <w:rFonts w:ascii="Tahoma" w:hAnsi="Tahoma" w:cs="Tahoma"/>
          <w:i/>
          <w:iCs/>
        </w:rPr>
      </w:pPr>
      <w:r w:rsidRPr="009C652C">
        <w:rPr>
          <w:rFonts w:ascii="Tahoma" w:hAnsi="Tahoma" w:cs="Tahoma"/>
        </w:rPr>
        <w:t xml:space="preserve">King’s Fund (2023) Technology in mental health care: </w:t>
      </w:r>
      <w:r w:rsidRPr="003520D1">
        <w:rPr>
          <w:rFonts w:ascii="Tahoma" w:hAnsi="Tahoma" w:cs="Tahoma"/>
          <w:i/>
          <w:iCs/>
        </w:rPr>
        <w:t>Benefits and challenges. London: The King’s Fund.</w:t>
      </w:r>
    </w:p>
    <w:p w14:paraId="02712E1C" w14:textId="77777777" w:rsidR="00985A70" w:rsidRPr="009C652C" w:rsidRDefault="00000000" w:rsidP="003520D1">
      <w:pPr>
        <w:ind w:right="-716"/>
        <w:jc w:val="both"/>
        <w:rPr>
          <w:rFonts w:ascii="Tahoma" w:hAnsi="Tahoma" w:cs="Tahoma"/>
        </w:rPr>
      </w:pPr>
      <w:r w:rsidRPr="009C652C">
        <w:rPr>
          <w:rFonts w:ascii="Tahoma" w:hAnsi="Tahoma" w:cs="Tahoma"/>
        </w:rPr>
        <w:t xml:space="preserve">Mind (2022) </w:t>
      </w:r>
      <w:r w:rsidRPr="003520D1">
        <w:rPr>
          <w:rFonts w:ascii="Tahoma" w:hAnsi="Tahoma" w:cs="Tahoma"/>
        </w:rPr>
        <w:t>Patients’ views on digital monitoring.</w:t>
      </w:r>
      <w:r w:rsidRPr="009C652C">
        <w:rPr>
          <w:rFonts w:ascii="Tahoma" w:hAnsi="Tahoma" w:cs="Tahoma"/>
        </w:rPr>
        <w:t xml:space="preserve"> London: Mind.</w:t>
      </w:r>
    </w:p>
    <w:p w14:paraId="4B029EE8" w14:textId="77777777" w:rsidR="00985A70" w:rsidRPr="003520D1" w:rsidRDefault="00000000" w:rsidP="003520D1">
      <w:pPr>
        <w:ind w:left="567" w:right="-716" w:hanging="567"/>
        <w:jc w:val="both"/>
        <w:rPr>
          <w:rFonts w:ascii="Tahoma" w:hAnsi="Tahoma" w:cs="Tahoma"/>
          <w:i/>
          <w:iCs/>
        </w:rPr>
      </w:pPr>
      <w:r w:rsidRPr="009C652C">
        <w:rPr>
          <w:rFonts w:ascii="Tahoma" w:hAnsi="Tahoma" w:cs="Tahoma"/>
        </w:rPr>
        <w:t xml:space="preserve">Mental Health Foundation (2023) Digital technology and mental health recovery. London: </w:t>
      </w:r>
      <w:r w:rsidRPr="003520D1">
        <w:rPr>
          <w:rFonts w:ascii="Tahoma" w:hAnsi="Tahoma" w:cs="Tahoma"/>
          <w:i/>
          <w:iCs/>
        </w:rPr>
        <w:t>Mental Health Foundation.</w:t>
      </w:r>
    </w:p>
    <w:p w14:paraId="3E970B5B" w14:textId="77777777" w:rsidR="00985A70" w:rsidRPr="009C652C" w:rsidRDefault="00000000" w:rsidP="003520D1">
      <w:pPr>
        <w:ind w:left="567" w:right="-716" w:hanging="567"/>
        <w:jc w:val="both"/>
        <w:rPr>
          <w:rFonts w:ascii="Tahoma" w:hAnsi="Tahoma" w:cs="Tahoma"/>
        </w:rPr>
      </w:pPr>
      <w:r w:rsidRPr="009C652C">
        <w:rPr>
          <w:rFonts w:ascii="Tahoma" w:hAnsi="Tahoma" w:cs="Tahoma"/>
        </w:rPr>
        <w:t xml:space="preserve">National Institute for Health and Care Excellence (2023) </w:t>
      </w:r>
      <w:r w:rsidRPr="003520D1">
        <w:rPr>
          <w:rFonts w:ascii="Tahoma" w:hAnsi="Tahoma" w:cs="Tahoma"/>
          <w:i/>
          <w:iCs/>
        </w:rPr>
        <w:t>Guidance on digital monitoring systems.</w:t>
      </w:r>
      <w:r w:rsidRPr="009C652C">
        <w:rPr>
          <w:rFonts w:ascii="Tahoma" w:hAnsi="Tahoma" w:cs="Tahoma"/>
        </w:rPr>
        <w:t xml:space="preserve"> London: NICE.</w:t>
      </w:r>
    </w:p>
    <w:p w14:paraId="439B656B" w14:textId="77777777" w:rsidR="00985A70" w:rsidRPr="009C652C" w:rsidRDefault="00000000" w:rsidP="003520D1">
      <w:pPr>
        <w:ind w:right="-716"/>
        <w:jc w:val="both"/>
        <w:rPr>
          <w:rFonts w:ascii="Tahoma" w:hAnsi="Tahoma" w:cs="Tahoma"/>
        </w:rPr>
      </w:pPr>
      <w:r w:rsidRPr="009C652C">
        <w:rPr>
          <w:rFonts w:ascii="Tahoma" w:hAnsi="Tahoma" w:cs="Tahoma"/>
        </w:rPr>
        <w:t>NHS Digital (2022) Oxevision workforce impact report. Leeds: NHS Digital.</w:t>
      </w:r>
    </w:p>
    <w:p w14:paraId="3B8E9F06" w14:textId="77777777" w:rsidR="00985A70" w:rsidRPr="009C652C" w:rsidRDefault="00000000" w:rsidP="003520D1">
      <w:pPr>
        <w:ind w:right="-716"/>
        <w:jc w:val="both"/>
        <w:rPr>
          <w:rFonts w:ascii="Tahoma" w:hAnsi="Tahoma" w:cs="Tahoma"/>
        </w:rPr>
      </w:pPr>
      <w:r w:rsidRPr="009C652C">
        <w:rPr>
          <w:rFonts w:ascii="Tahoma" w:hAnsi="Tahoma" w:cs="Tahoma"/>
        </w:rPr>
        <w:t>NHS England (2024) Oxevision implementation report. London: NHS England.</w:t>
      </w:r>
    </w:p>
    <w:p w14:paraId="69778B42" w14:textId="77777777" w:rsidR="00985A70" w:rsidRPr="009C652C" w:rsidRDefault="00000000" w:rsidP="003520D1">
      <w:pPr>
        <w:ind w:right="-716"/>
        <w:jc w:val="both"/>
        <w:rPr>
          <w:rFonts w:ascii="Tahoma" w:hAnsi="Tahoma" w:cs="Tahoma"/>
        </w:rPr>
      </w:pPr>
      <w:r w:rsidRPr="009C652C">
        <w:rPr>
          <w:rFonts w:ascii="Tahoma" w:hAnsi="Tahoma" w:cs="Tahoma"/>
        </w:rPr>
        <w:t>Oxevision (2023) How Oxevision works. Manchester: Oxehealth Ltd.</w:t>
      </w:r>
    </w:p>
    <w:p w14:paraId="2A265A44" w14:textId="77777777" w:rsidR="00985A70" w:rsidRPr="009C652C" w:rsidRDefault="00000000" w:rsidP="003520D1">
      <w:pPr>
        <w:ind w:right="-716"/>
        <w:jc w:val="both"/>
        <w:rPr>
          <w:rFonts w:ascii="Tahoma" w:hAnsi="Tahoma" w:cs="Tahoma"/>
        </w:rPr>
      </w:pPr>
      <w:r w:rsidRPr="009C652C">
        <w:rPr>
          <w:rFonts w:ascii="Tahoma" w:hAnsi="Tahoma" w:cs="Tahoma"/>
        </w:rPr>
        <w:t>Royal College of Nursing (2024) Digital skills for mental health nurses. London: RCN.</w:t>
      </w:r>
    </w:p>
    <w:p w14:paraId="1C619CC6" w14:textId="77777777" w:rsidR="00985A70" w:rsidRPr="009C652C" w:rsidRDefault="00000000" w:rsidP="003520D1">
      <w:pPr>
        <w:ind w:left="567" w:right="-716" w:hanging="567"/>
        <w:jc w:val="both"/>
        <w:rPr>
          <w:rFonts w:ascii="Tahoma" w:hAnsi="Tahoma" w:cs="Tahoma"/>
        </w:rPr>
      </w:pPr>
      <w:r w:rsidRPr="009C652C">
        <w:rPr>
          <w:rFonts w:ascii="Tahoma" w:hAnsi="Tahoma" w:cs="Tahoma"/>
        </w:rPr>
        <w:t xml:space="preserve">Topol, E. (2019) The Topol Review: </w:t>
      </w:r>
      <w:r w:rsidRPr="003520D1">
        <w:rPr>
          <w:rFonts w:ascii="Tahoma" w:hAnsi="Tahoma" w:cs="Tahoma"/>
          <w:i/>
          <w:iCs/>
        </w:rPr>
        <w:t>Preparing the healthcare workforce to deliver the digital future.</w:t>
      </w:r>
      <w:r w:rsidRPr="009C652C">
        <w:rPr>
          <w:rFonts w:ascii="Tahoma" w:hAnsi="Tahoma" w:cs="Tahoma"/>
        </w:rPr>
        <w:t xml:space="preserve"> London: NHS.</w:t>
      </w:r>
    </w:p>
    <w:p w14:paraId="67C82900" w14:textId="77777777" w:rsidR="00985A70" w:rsidRPr="009C652C" w:rsidRDefault="00000000" w:rsidP="003520D1">
      <w:pPr>
        <w:ind w:left="567" w:right="-716" w:hanging="567"/>
        <w:jc w:val="both"/>
        <w:rPr>
          <w:rFonts w:ascii="Tahoma" w:hAnsi="Tahoma" w:cs="Tahoma"/>
          <w:lang w:val="en-GB"/>
        </w:rPr>
      </w:pPr>
      <w:r w:rsidRPr="009C652C">
        <w:rPr>
          <w:rFonts w:ascii="Tahoma" w:hAnsi="Tahoma" w:cs="Tahoma"/>
        </w:rPr>
        <w:t xml:space="preserve">Wachter, R. (2016) Making IT Work: </w:t>
      </w:r>
      <w:r w:rsidRPr="003520D1">
        <w:rPr>
          <w:rFonts w:ascii="Tahoma" w:hAnsi="Tahoma" w:cs="Tahoma"/>
          <w:i/>
          <w:iCs/>
        </w:rPr>
        <w:t>Harnessing the Power of Health Information Technology to Improve Care in England.</w:t>
      </w:r>
      <w:r w:rsidRPr="009C652C">
        <w:rPr>
          <w:rFonts w:ascii="Tahoma" w:hAnsi="Tahoma" w:cs="Tahoma"/>
        </w:rPr>
        <w:t xml:space="preserve"> London: Department of Health.</w:t>
      </w:r>
    </w:p>
    <w:sectPr w:rsidR="00985A70" w:rsidRPr="009C652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9260089">
    <w:abstractNumId w:val="8"/>
  </w:num>
  <w:num w:numId="2" w16cid:durableId="531722824">
    <w:abstractNumId w:val="6"/>
  </w:num>
  <w:num w:numId="3" w16cid:durableId="626081655">
    <w:abstractNumId w:val="5"/>
  </w:num>
  <w:num w:numId="4" w16cid:durableId="2125029626">
    <w:abstractNumId w:val="4"/>
  </w:num>
  <w:num w:numId="5" w16cid:durableId="234780347">
    <w:abstractNumId w:val="7"/>
  </w:num>
  <w:num w:numId="6" w16cid:durableId="633603140">
    <w:abstractNumId w:val="3"/>
  </w:num>
  <w:num w:numId="7" w16cid:durableId="1057167066">
    <w:abstractNumId w:val="2"/>
  </w:num>
  <w:num w:numId="8" w16cid:durableId="413166092">
    <w:abstractNumId w:val="1"/>
  </w:num>
  <w:num w:numId="9" w16cid:durableId="1909805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F00E4"/>
    <w:rsid w:val="00326F90"/>
    <w:rsid w:val="003520D1"/>
    <w:rsid w:val="00433BA2"/>
    <w:rsid w:val="005B6026"/>
    <w:rsid w:val="00985A70"/>
    <w:rsid w:val="009C652C"/>
    <w:rsid w:val="00AA1D8D"/>
    <w:rsid w:val="00B47730"/>
    <w:rsid w:val="00CB0664"/>
    <w:rsid w:val="00D56E27"/>
    <w:rsid w:val="00EF078B"/>
    <w:rsid w:val="00F027B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68C55B"/>
  <w14:defaultImageDpi w14:val="300"/>
  <w15:docId w15:val="{767342DF-4F55-44D0-90E8-CE7F0ED22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2645</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Kingsley Uzoh</cp:lastModifiedBy>
  <cp:revision>2</cp:revision>
  <dcterms:created xsi:type="dcterms:W3CDTF">2026-03-09T07:48:00Z</dcterms:created>
  <dcterms:modified xsi:type="dcterms:W3CDTF">2026-03-09T07:48:00Z</dcterms:modified>
  <cp:category/>
</cp:coreProperties>
</file>