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360"/>
        <w:ind w:right="0" w:left="0" w:firstLine="0"/>
        <w:jc w:val="center"/>
        <w:rPr>
          <w:rFonts w:ascii="Arial" w:hAnsi="Arial" w:cs="Arial" w:eastAsia="Arial"/>
          <w:b/>
          <w:caps w:val="true"/>
          <w:color w:val="auto"/>
          <w:spacing w:val="0"/>
          <w:position w:val="0"/>
          <w:sz w:val="32"/>
          <w:shd w:fill="auto" w:val="clear"/>
        </w:rPr>
      </w:pPr>
    </w:p>
    <w:p>
      <w:pPr>
        <w:spacing w:before="0" w:after="200" w:line="360"/>
        <w:ind w:right="0" w:left="0" w:firstLine="0"/>
        <w:jc w:val="center"/>
        <w:rPr>
          <w:rFonts w:ascii="Arial" w:hAnsi="Arial" w:cs="Arial" w:eastAsia="Arial"/>
          <w:b/>
          <w:caps w:val="true"/>
          <w:color w:val="auto"/>
          <w:spacing w:val="0"/>
          <w:position w:val="0"/>
          <w:sz w:val="32"/>
          <w:shd w:fill="auto" w:val="clear"/>
        </w:rPr>
      </w:pPr>
    </w:p>
    <w:p>
      <w:pPr>
        <w:spacing w:before="0" w:after="200" w:line="360"/>
        <w:ind w:right="0" w:left="0" w:firstLine="0"/>
        <w:jc w:val="center"/>
        <w:rPr>
          <w:rFonts w:ascii="Arial" w:hAnsi="Arial" w:cs="Arial" w:eastAsia="Arial"/>
          <w:b/>
          <w:caps w:val="true"/>
          <w:color w:val="auto"/>
          <w:spacing w:val="0"/>
          <w:position w:val="0"/>
          <w:sz w:val="32"/>
          <w:shd w:fill="auto" w:val="clear"/>
        </w:rPr>
      </w:pPr>
      <w:r>
        <w:rPr>
          <w:rFonts w:ascii="Arial" w:hAnsi="Arial" w:cs="Arial" w:eastAsia="Arial"/>
          <w:b/>
          <w:caps w:val="true"/>
          <w:color w:val="auto"/>
          <w:spacing w:val="0"/>
          <w:position w:val="0"/>
          <w:sz w:val="32"/>
          <w:shd w:fill="auto" w:val="clear"/>
        </w:rPr>
        <w:t xml:space="preserve">name: Ayushi rajendrakumar patel</w:t>
      </w:r>
    </w:p>
    <w:p>
      <w:pPr>
        <w:spacing w:before="0" w:after="200" w:line="360"/>
        <w:ind w:right="0" w:left="0" w:firstLine="0"/>
        <w:jc w:val="center"/>
        <w:rPr>
          <w:rFonts w:ascii="Arial" w:hAnsi="Arial" w:cs="Arial" w:eastAsia="Arial"/>
          <w:b/>
          <w:caps w:val="true"/>
          <w:color w:val="auto"/>
          <w:spacing w:val="0"/>
          <w:position w:val="0"/>
          <w:sz w:val="32"/>
          <w:shd w:fill="auto" w:val="clear"/>
        </w:rPr>
      </w:pPr>
    </w:p>
    <w:p>
      <w:pPr>
        <w:spacing w:before="0" w:after="200" w:line="360"/>
        <w:ind w:right="0" w:left="0" w:firstLine="0"/>
        <w:jc w:val="center"/>
        <w:rPr>
          <w:rFonts w:ascii="Arial" w:hAnsi="Arial" w:cs="Arial" w:eastAsia="Arial"/>
          <w:b/>
          <w:caps w:val="true"/>
          <w:color w:val="auto"/>
          <w:spacing w:val="0"/>
          <w:position w:val="0"/>
          <w:sz w:val="32"/>
          <w:shd w:fill="auto" w:val="clear"/>
        </w:rPr>
      </w:pPr>
      <w:r>
        <w:rPr>
          <w:rFonts w:ascii="Arial" w:hAnsi="Arial" w:cs="Arial" w:eastAsia="Arial"/>
          <w:b/>
          <w:caps w:val="true"/>
          <w:color w:val="auto"/>
          <w:spacing w:val="0"/>
          <w:position w:val="0"/>
          <w:sz w:val="32"/>
          <w:shd w:fill="auto" w:val="clear"/>
        </w:rPr>
        <w:t xml:space="preserve">student number:2232773</w:t>
      </w:r>
    </w:p>
    <w:p>
      <w:pPr>
        <w:spacing w:before="0" w:after="200" w:line="360"/>
        <w:ind w:right="0" w:left="0" w:firstLine="0"/>
        <w:jc w:val="center"/>
        <w:rPr>
          <w:rFonts w:ascii="Arial" w:hAnsi="Arial" w:cs="Arial" w:eastAsia="Arial"/>
          <w:b/>
          <w:caps w:val="true"/>
          <w:color w:val="auto"/>
          <w:spacing w:val="0"/>
          <w:position w:val="0"/>
          <w:sz w:val="32"/>
          <w:shd w:fill="auto" w:val="clear"/>
        </w:rPr>
      </w:pPr>
    </w:p>
    <w:p>
      <w:pPr>
        <w:spacing w:before="0" w:after="200" w:line="360"/>
        <w:ind w:right="0" w:left="0" w:firstLine="0"/>
        <w:jc w:val="center"/>
        <w:rPr>
          <w:rFonts w:ascii="Arial" w:hAnsi="Arial" w:cs="Arial" w:eastAsia="Arial"/>
          <w:b/>
          <w:caps w:val="true"/>
          <w:color w:val="auto"/>
          <w:spacing w:val="0"/>
          <w:position w:val="0"/>
          <w:sz w:val="32"/>
          <w:shd w:fill="auto" w:val="clear"/>
        </w:rPr>
      </w:pPr>
      <w:r>
        <w:rPr>
          <w:rFonts w:ascii="Arial" w:hAnsi="Arial" w:cs="Arial" w:eastAsia="Arial"/>
          <w:b/>
          <w:caps w:val="true"/>
          <w:color w:val="auto"/>
          <w:spacing w:val="0"/>
          <w:position w:val="0"/>
          <w:sz w:val="32"/>
          <w:shd w:fill="auto" w:val="clear"/>
        </w:rPr>
        <w:t xml:space="preserve">module code and title: Population Health and Digital Health Promotion;</w:t>
      </w:r>
      <w:r>
        <w:rPr>
          <w:rFonts w:ascii="Calibri" w:hAnsi="Calibri" w:cs="Calibri" w:eastAsia="Calibri"/>
          <w:color w:val="auto"/>
          <w:spacing w:val="0"/>
          <w:position w:val="0"/>
          <w:sz w:val="22"/>
          <w:shd w:fill="auto" w:val="clear"/>
        </w:rPr>
        <w:t xml:space="preserve"> </w:t>
      </w:r>
      <w:r>
        <w:rPr>
          <w:rFonts w:ascii="Arial" w:hAnsi="Arial" w:cs="Arial" w:eastAsia="Arial"/>
          <w:b/>
          <w:color w:val="auto"/>
          <w:spacing w:val="0"/>
          <w:position w:val="0"/>
          <w:sz w:val="32"/>
          <w:shd w:fill="auto" w:val="clear"/>
        </w:rPr>
        <w:t xml:space="preserve">L</w:t>
      </w:r>
      <w:r>
        <w:rPr>
          <w:rFonts w:ascii="Arial" w:hAnsi="Arial" w:cs="Arial" w:eastAsia="Arial"/>
          <w:b/>
          <w:caps w:val="true"/>
          <w:color w:val="auto"/>
          <w:spacing w:val="0"/>
          <w:position w:val="0"/>
          <w:sz w:val="32"/>
          <w:shd w:fill="auto" w:val="clear"/>
        </w:rPr>
        <w:t xml:space="preserve">CHS7007</w:t>
      </w:r>
    </w:p>
    <w:p>
      <w:pPr>
        <w:spacing w:before="0" w:after="200" w:line="360"/>
        <w:ind w:right="0" w:left="0" w:firstLine="0"/>
        <w:jc w:val="center"/>
        <w:rPr>
          <w:rFonts w:ascii="Arial" w:hAnsi="Arial" w:cs="Arial" w:eastAsia="Arial"/>
          <w:b/>
          <w:caps w:val="true"/>
          <w:color w:val="auto"/>
          <w:spacing w:val="0"/>
          <w:position w:val="0"/>
          <w:sz w:val="32"/>
          <w:shd w:fill="auto" w:val="clear"/>
        </w:rPr>
      </w:pPr>
    </w:p>
    <w:p>
      <w:pPr>
        <w:spacing w:before="0" w:after="200" w:line="360"/>
        <w:ind w:right="0" w:left="0" w:firstLine="0"/>
        <w:jc w:val="center"/>
        <w:rPr>
          <w:rFonts w:ascii="Arial" w:hAnsi="Arial" w:cs="Arial" w:eastAsia="Arial"/>
          <w:b/>
          <w:caps w:val="true"/>
          <w:color w:val="auto"/>
          <w:spacing w:val="0"/>
          <w:position w:val="0"/>
          <w:sz w:val="32"/>
          <w:shd w:fill="auto" w:val="clear"/>
        </w:rPr>
      </w:pPr>
      <w:r>
        <w:rPr>
          <w:rFonts w:ascii="Arial" w:hAnsi="Arial" w:cs="Arial" w:eastAsia="Arial"/>
          <w:b/>
          <w:caps w:val="true"/>
          <w:color w:val="auto"/>
          <w:spacing w:val="0"/>
          <w:position w:val="0"/>
          <w:sz w:val="32"/>
          <w:shd w:fill="auto" w:val="clear"/>
        </w:rPr>
        <w:t xml:space="preserve">assignment title: Component 1 (Task 1- Blog; Task 2- Poster design)</w:t>
      </w:r>
    </w:p>
    <w:p>
      <w:pPr>
        <w:spacing w:before="0" w:after="200" w:line="360"/>
        <w:ind w:right="0" w:left="0" w:firstLine="0"/>
        <w:jc w:val="left"/>
        <w:rPr>
          <w:rFonts w:ascii="Arial" w:hAnsi="Arial" w:cs="Arial" w:eastAsia="Arial"/>
          <w:b/>
          <w:caps w:val="true"/>
          <w:color w:val="auto"/>
          <w:spacing w:val="0"/>
          <w:position w:val="0"/>
          <w:sz w:val="32"/>
          <w:shd w:fill="auto" w:val="clear"/>
        </w:rPr>
      </w:pPr>
      <w:r>
        <w:rPr>
          <w:rFonts w:ascii="Arial" w:hAnsi="Arial" w:cs="Arial" w:eastAsia="Arial"/>
          <w:b/>
          <w:caps w:val="true"/>
          <w:color w:val="auto"/>
          <w:spacing w:val="0"/>
          <w:position w:val="0"/>
          <w:sz w:val="32"/>
          <w:shd w:fill="auto" w:val="clear"/>
        </w:rPr>
        <w:t xml:space="preserve"> </w:t>
      </w:r>
    </w:p>
    <w:p>
      <w:pPr>
        <w:spacing w:before="0" w:after="200" w:line="360"/>
        <w:ind w:right="0" w:left="0" w:firstLine="0"/>
        <w:jc w:val="left"/>
        <w:rPr>
          <w:rFonts w:ascii="Arial" w:hAnsi="Arial" w:cs="Arial" w:eastAsia="Arial"/>
          <w:b/>
          <w:caps w:val="true"/>
          <w:color w:val="auto"/>
          <w:spacing w:val="0"/>
          <w:position w:val="0"/>
          <w:sz w:val="32"/>
          <w:shd w:fill="auto" w:val="clear"/>
        </w:rPr>
      </w:pPr>
    </w:p>
    <w:p>
      <w:pPr>
        <w:spacing w:before="0" w:after="200" w:line="360"/>
        <w:ind w:right="0" w:left="0" w:firstLine="0"/>
        <w:jc w:val="center"/>
        <w:rPr>
          <w:rFonts w:ascii="Arial" w:hAnsi="Arial" w:cs="Arial" w:eastAsia="Arial"/>
          <w:b/>
          <w:caps w:val="true"/>
          <w:color w:val="auto"/>
          <w:spacing w:val="0"/>
          <w:position w:val="0"/>
          <w:sz w:val="32"/>
          <w:shd w:fill="auto" w:val="clear"/>
        </w:rPr>
      </w:pPr>
    </w:p>
    <w:p>
      <w:pPr>
        <w:spacing w:before="0" w:after="200" w:line="360"/>
        <w:ind w:right="0" w:left="0" w:firstLine="0"/>
        <w:jc w:val="center"/>
        <w:rPr>
          <w:rFonts w:ascii="Arial" w:hAnsi="Arial" w:cs="Arial" w:eastAsia="Arial"/>
          <w:b/>
          <w:caps w:val="true"/>
          <w:color w:val="auto"/>
          <w:spacing w:val="0"/>
          <w:position w:val="0"/>
          <w:sz w:val="32"/>
          <w:shd w:fill="auto" w:val="clear"/>
        </w:rPr>
      </w:pPr>
    </w:p>
    <w:p>
      <w:pPr>
        <w:spacing w:before="0" w:after="200" w:line="360"/>
        <w:ind w:right="0" w:left="0" w:firstLine="0"/>
        <w:jc w:val="center"/>
        <w:rPr>
          <w:rFonts w:ascii="Arial" w:hAnsi="Arial" w:cs="Arial" w:eastAsia="Arial"/>
          <w:b/>
          <w:caps w:val="true"/>
          <w:color w:val="auto"/>
          <w:spacing w:val="0"/>
          <w:position w:val="0"/>
          <w:sz w:val="32"/>
          <w:shd w:fill="auto" w:val="clear"/>
        </w:rPr>
      </w:pPr>
    </w:p>
    <w:p>
      <w:pPr>
        <w:spacing w:before="0" w:after="20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200" w:line="360"/>
        <w:ind w:right="0" w:left="0" w:firstLine="0"/>
        <w:jc w:val="left"/>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Task 1- Blogs</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Title of Blog 1: Impact of Continuous Glucose Monitors (CGM) for “digital health promotion intervention”</w:t>
      </w:r>
    </w:p>
    <w:p>
      <w:pPr>
        <w:spacing w:before="0" w:after="200" w:line="360"/>
        <w:ind w:right="0" w:left="0" w:firstLine="0"/>
        <w:jc w:val="left"/>
        <w:rPr>
          <w:rFonts w:ascii="Arial" w:hAnsi="Arial" w:cs="Arial" w:eastAsia="Arial"/>
          <w:b/>
          <w:i/>
          <w:color w:val="auto"/>
          <w:spacing w:val="0"/>
          <w:position w:val="0"/>
          <w:sz w:val="24"/>
          <w:shd w:fill="auto" w:val="clear"/>
        </w:rPr>
      </w:pPr>
      <w:r>
        <w:rPr>
          <w:rFonts w:ascii="Arial" w:hAnsi="Arial" w:cs="Arial" w:eastAsia="Arial"/>
          <w:b/>
          <w:i/>
          <w:color w:val="auto"/>
          <w:spacing w:val="0"/>
          <w:position w:val="0"/>
          <w:sz w:val="24"/>
          <w:shd w:fill="auto" w:val="clear"/>
        </w:rPr>
        <w:t xml:space="preserve">Diabetes as the “public health problem” (PHP) and why it poses concern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Diabetes is a chronic PHP affecting individuals in the UK. Type 2 diabetes is a more commonly occurring type with 90% of patients having Type 2 diabetes (Gregory, 2023). By 2025, diabetes prevalence is expected to increase to 4 million; </w:t>
      </w:r>
      <w:r>
        <w:rPr>
          <w:rFonts w:ascii="Arial" w:hAnsi="Arial" w:cs="Arial" w:eastAsia="Arial"/>
          <w:color w:val="auto"/>
          <w:spacing w:val="0"/>
          <w:position w:val="0"/>
          <w:sz w:val="24"/>
          <w:shd w:fill="FFFFFF" w:val="clear"/>
        </w:rPr>
        <w:t xml:space="preserve">£14 billion</w:t>
      </w:r>
      <w:r>
        <w:rPr>
          <w:rFonts w:ascii="Arial" w:hAnsi="Arial" w:cs="Arial" w:eastAsia="Arial"/>
          <w:color w:val="auto"/>
          <w:spacing w:val="0"/>
          <w:position w:val="0"/>
          <w:sz w:val="24"/>
          <w:shd w:fill="auto" w:val="clear"/>
        </w:rPr>
        <w:t xml:space="preserve"> is being spent each year currently for treating diabetes and its related complications (Diabetes.co.uk, 2019). These statistics level up diabetes as a cause of concern in dealing with public health problem. </w:t>
      </w:r>
    </w:p>
    <w:p>
      <w:pPr>
        <w:spacing w:before="0" w:after="200" w:line="360"/>
        <w:ind w:right="0" w:left="0" w:firstLine="0"/>
        <w:jc w:val="both"/>
        <w:rPr>
          <w:rFonts w:ascii="Arial" w:hAnsi="Arial" w:cs="Arial" w:eastAsia="Arial"/>
          <w:b/>
          <w:i/>
          <w:color w:val="auto"/>
          <w:spacing w:val="0"/>
          <w:position w:val="0"/>
          <w:sz w:val="24"/>
          <w:shd w:fill="auto" w:val="clear"/>
        </w:rPr>
      </w:pPr>
      <w:r>
        <w:rPr>
          <w:rFonts w:ascii="Arial" w:hAnsi="Arial" w:cs="Arial" w:eastAsia="Arial"/>
          <w:b/>
          <w:i/>
          <w:color w:val="auto"/>
          <w:spacing w:val="0"/>
          <w:position w:val="0"/>
          <w:sz w:val="24"/>
          <w:shd w:fill="auto" w:val="clear"/>
        </w:rPr>
        <w:t xml:space="preserve">Using CGM in health promotion and addressing the public health problem</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Continuous Glucose Monitors are referred as diabetes monitors also; it is a wearable technology that helps individuals to track their blood’s sugar levels periodically (ADCES staff, 2022). CGMs are “electronic blood sugar monitors” and these do not include pricking the fingers for testing sugar levels (Diabetes UK, 2023). CGMs help in supporting lifestyle of individuals as well as pharmacological interventions (Fleming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2019). All these information convey that the usage of CGMs helps in managing a diabetic individual’s lifestyle by enabling the blood sugar levels to stay in check. </w:t>
      </w:r>
    </w:p>
    <w:p>
      <w:pPr>
        <w:spacing w:before="0" w:after="200" w:line="360"/>
        <w:ind w:right="0" w:left="0" w:firstLine="0"/>
        <w:jc w:val="both"/>
        <w:rPr>
          <w:rFonts w:ascii="Arial" w:hAnsi="Arial" w:cs="Arial" w:eastAsia="Arial"/>
          <w:b/>
          <w:i/>
          <w:color w:val="auto"/>
          <w:spacing w:val="0"/>
          <w:position w:val="0"/>
          <w:sz w:val="24"/>
          <w:shd w:fill="auto" w:val="clear"/>
        </w:rPr>
      </w:pPr>
      <w:r>
        <w:rPr>
          <w:rFonts w:ascii="Arial" w:hAnsi="Arial" w:cs="Arial" w:eastAsia="Arial"/>
          <w:b/>
          <w:i/>
          <w:color w:val="auto"/>
          <w:spacing w:val="0"/>
          <w:position w:val="0"/>
          <w:sz w:val="24"/>
          <w:shd w:fill="auto" w:val="clear"/>
        </w:rPr>
        <w:t xml:space="preserve">Impact of CGM in health promotion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CGMs can be deemed advantageous as it allows people with diabetes to manage their glucose levels by tending to the alerts of high or low blood glucose level. Thus, it is capable of alerting about “hypoglycaemia and/or hyperglycemias”. Additionally, the glucose data can be shared with the family members or with one’s healthcare team as well. CGMs provide the rate of glucose change as well (Cleveland Clinic, 2021).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Nevertheless, certain shortfalls exist for CGMs like its cost if insurance coverage is not available (ADCES staff, 2022). Thus, access and usage of the device could become limited for some individuals. The device requires the individual to develop a learning curve, which could make it feel a little complicated. Hence, middle or older adults would need assistance in dealing with the device. </w:t>
      </w:r>
    </w:p>
    <w:p>
      <w:pPr>
        <w:spacing w:before="0" w:after="200" w:line="360"/>
        <w:ind w:right="0" w:left="0" w:firstLine="0"/>
        <w:jc w:val="both"/>
        <w:rPr>
          <w:rFonts w:ascii="Arial" w:hAnsi="Arial" w:cs="Arial" w:eastAsia="Arial"/>
          <w:b/>
          <w:i/>
          <w:color w:val="auto"/>
          <w:spacing w:val="0"/>
          <w:position w:val="0"/>
          <w:sz w:val="24"/>
          <w:shd w:fill="auto" w:val="clear"/>
        </w:rPr>
      </w:pPr>
      <w:r>
        <w:rPr>
          <w:rFonts w:ascii="Arial" w:hAnsi="Arial" w:cs="Arial" w:eastAsia="Arial"/>
          <w:b/>
          <w:i/>
          <w:color w:val="auto"/>
          <w:spacing w:val="0"/>
          <w:position w:val="0"/>
          <w:sz w:val="24"/>
          <w:shd w:fill="auto" w:val="clear"/>
        </w:rPr>
        <w:t xml:space="preserve">Addressing the shortfalls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affordability issue can be addressed by incorporating the cost (or at least a percentage of it) via insurance. Additionally, support and education for the users would enable independent usage of CGMs. This will help them with the difficulty felt with the learning curve of the device.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Thus, by these advantages and overcoming the shortfalls, CGMs could potentially become vital in transforming the management of Type 2 diabetes and in dealing with the larger PHP. </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Reference List</w:t>
      </w:r>
    </w:p>
    <w:p>
      <w:pPr>
        <w:spacing w:before="0" w:after="20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Blog 1</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ADCES staff (2022). </w:t>
      </w:r>
      <w:r>
        <w:rPr>
          <w:rFonts w:ascii="Arial" w:hAnsi="Arial" w:cs="Arial" w:eastAsia="Arial"/>
          <w:i/>
          <w:color w:val="auto"/>
          <w:spacing w:val="0"/>
          <w:position w:val="0"/>
          <w:sz w:val="24"/>
          <w:shd w:fill="auto" w:val="clear"/>
        </w:rPr>
        <w:t xml:space="preserve">WEIGHING CGM PROS AND CONS</w:t>
      </w:r>
      <w:r>
        <w:rPr>
          <w:rFonts w:ascii="Arial" w:hAnsi="Arial" w:cs="Arial" w:eastAsia="Arial"/>
          <w:color w:val="auto"/>
          <w:spacing w:val="0"/>
          <w:position w:val="0"/>
          <w:sz w:val="24"/>
          <w:shd w:fill="auto" w:val="clear"/>
        </w:rPr>
        <w:t xml:space="preserve">. [online] Danatech. Available at: </w:t>
      </w:r>
      <w:hyperlink xmlns:r="http://schemas.openxmlformats.org/officeDocument/2006/relationships" r:id="docRId0">
        <w:r>
          <w:rPr>
            <w:rFonts w:ascii="Arial" w:hAnsi="Arial" w:cs="Arial" w:eastAsia="Arial"/>
            <w:color w:val="0000FF"/>
            <w:spacing w:val="0"/>
            <w:position w:val="0"/>
            <w:sz w:val="24"/>
            <w:u w:val="single"/>
            <w:shd w:fill="auto" w:val="clear"/>
          </w:rPr>
          <w:t xml:space="preserve">https://www.diabeteseducator.org/danatech/glucose-monitoring/continuous-glucose-monitors-(cgm)/cgm-101/pros-cons-of-cgm#:~:text=Potential%20DISADVANTAGES%3A&amp;text=Need%20to%20remember%20to%20scan</w:t>
        </w:r>
      </w:hyperlink>
      <w:r>
        <w:rPr>
          <w:rFonts w:ascii="Arial" w:hAnsi="Arial" w:cs="Arial" w:eastAsia="Arial"/>
          <w:color w:val="auto"/>
          <w:spacing w:val="0"/>
          <w:position w:val="0"/>
          <w:sz w:val="24"/>
          <w:shd w:fill="auto" w:val="clear"/>
        </w:rPr>
        <w:t xml:space="preserve"> [Accessed 31 Oct. 2023].</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Cleveland Clinic (2021). </w:t>
      </w:r>
      <w:r>
        <w:rPr>
          <w:rFonts w:ascii="Arial" w:hAnsi="Arial" w:cs="Arial" w:eastAsia="Arial"/>
          <w:i/>
          <w:color w:val="auto"/>
          <w:spacing w:val="0"/>
          <w:position w:val="0"/>
          <w:sz w:val="24"/>
          <w:shd w:fill="auto" w:val="clear"/>
        </w:rPr>
        <w:t xml:space="preserve">Continuous Glucose Monitoring</w:t>
      </w:r>
      <w:r>
        <w:rPr>
          <w:rFonts w:ascii="Arial" w:hAnsi="Arial" w:cs="Arial" w:eastAsia="Arial"/>
          <w:color w:val="auto"/>
          <w:spacing w:val="0"/>
          <w:position w:val="0"/>
          <w:sz w:val="24"/>
          <w:shd w:fill="auto" w:val="clear"/>
        </w:rPr>
        <w:t xml:space="preserve">. [online] Cleveland Clinic. Available at: </w:t>
      </w:r>
      <w:hyperlink xmlns:r="http://schemas.openxmlformats.org/officeDocument/2006/relationships" r:id="docRId1">
        <w:r>
          <w:rPr>
            <w:rFonts w:ascii="Arial" w:hAnsi="Arial" w:cs="Arial" w:eastAsia="Arial"/>
            <w:color w:val="0000FF"/>
            <w:spacing w:val="0"/>
            <w:position w:val="0"/>
            <w:sz w:val="24"/>
            <w:u w:val="single"/>
            <w:shd w:fill="auto" w:val="clear"/>
          </w:rPr>
          <w:t xml:space="preserve">https://my.clevelandclinic.org/health/treatments/11444-glucose-continuous-glucose-monitoring</w:t>
        </w:r>
      </w:hyperlink>
      <w:r>
        <w:rPr>
          <w:rFonts w:ascii="Arial" w:hAnsi="Arial" w:cs="Arial" w:eastAsia="Arial"/>
          <w:color w:val="auto"/>
          <w:spacing w:val="0"/>
          <w:position w:val="0"/>
          <w:sz w:val="24"/>
          <w:shd w:fill="auto" w:val="clear"/>
        </w:rPr>
        <w:t xml:space="preserve"> [Accessed 31 Oct. 2023].</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Diabetes UK (2023). </w:t>
      </w:r>
      <w:r>
        <w:rPr>
          <w:rFonts w:ascii="Arial" w:hAnsi="Arial" w:cs="Arial" w:eastAsia="Arial"/>
          <w:i/>
          <w:color w:val="auto"/>
          <w:spacing w:val="0"/>
          <w:position w:val="0"/>
          <w:sz w:val="24"/>
          <w:shd w:fill="auto" w:val="clear"/>
        </w:rPr>
        <w:t xml:space="preserve">What is diabetes technology?</w:t>
      </w:r>
      <w:r>
        <w:rPr>
          <w:rFonts w:ascii="Arial" w:hAnsi="Arial" w:cs="Arial" w:eastAsia="Arial"/>
          <w:color w:val="auto"/>
          <w:spacing w:val="0"/>
          <w:position w:val="0"/>
          <w:sz w:val="24"/>
          <w:shd w:fill="auto" w:val="clear"/>
        </w:rPr>
        <w:t xml:space="preserve"> [online] Diabetes UK. Available at: </w:t>
      </w:r>
      <w:hyperlink xmlns:r="http://schemas.openxmlformats.org/officeDocument/2006/relationships" r:id="docRId2">
        <w:r>
          <w:rPr>
            <w:rFonts w:ascii="Arial" w:hAnsi="Arial" w:cs="Arial" w:eastAsia="Arial"/>
            <w:color w:val="0000FF"/>
            <w:spacing w:val="0"/>
            <w:position w:val="0"/>
            <w:sz w:val="24"/>
            <w:u w:val="single"/>
            <w:shd w:fill="auto" w:val="clear"/>
          </w:rPr>
          <w:t xml:space="preserve">https://www.diabetes.org.uk/guide-to-diabetes/diabetes-technology/what-is-diabetes-technology</w:t>
        </w:r>
      </w:hyperlink>
      <w:r>
        <w:rPr>
          <w:rFonts w:ascii="Arial" w:hAnsi="Arial" w:cs="Arial" w:eastAsia="Arial"/>
          <w:color w:val="auto"/>
          <w:spacing w:val="0"/>
          <w:position w:val="0"/>
          <w:sz w:val="24"/>
          <w:shd w:fill="auto" w:val="clear"/>
        </w:rPr>
        <w:t xml:space="preserve"> [Accessed 31 Oct. 2023].</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Diabetes.co.uk (2019). </w:t>
      </w:r>
      <w:r>
        <w:rPr>
          <w:rFonts w:ascii="Arial" w:hAnsi="Arial" w:cs="Arial" w:eastAsia="Arial"/>
          <w:i/>
          <w:color w:val="auto"/>
          <w:spacing w:val="0"/>
          <w:position w:val="0"/>
          <w:sz w:val="24"/>
          <w:shd w:fill="auto" w:val="clear"/>
        </w:rPr>
        <w:t xml:space="preserve">Cost of Diabetes</w:t>
      </w:r>
      <w:r>
        <w:rPr>
          <w:rFonts w:ascii="Arial" w:hAnsi="Arial" w:cs="Arial" w:eastAsia="Arial"/>
          <w:color w:val="auto"/>
          <w:spacing w:val="0"/>
          <w:position w:val="0"/>
          <w:sz w:val="24"/>
          <w:shd w:fill="auto" w:val="clear"/>
        </w:rPr>
        <w:t xml:space="preserve">. [online] Diabetes.co.uk. Available at: </w:t>
      </w:r>
      <w:hyperlink xmlns:r="http://schemas.openxmlformats.org/officeDocument/2006/relationships" r:id="docRId3">
        <w:r>
          <w:rPr>
            <w:rFonts w:ascii="Arial" w:hAnsi="Arial" w:cs="Arial" w:eastAsia="Arial"/>
            <w:color w:val="0000FF"/>
            <w:spacing w:val="0"/>
            <w:position w:val="0"/>
            <w:sz w:val="24"/>
            <w:u w:val="single"/>
            <w:shd w:fill="auto" w:val="clear"/>
          </w:rPr>
          <w:t xml:space="preserve">https://www.diabetes.co.uk/cost-of-diabetes.html#:~:text=In%20total%2C%20an%20estimated%20%C2%A3</w:t>
        </w:r>
      </w:hyperlink>
      <w:r>
        <w:rPr>
          <w:rFonts w:ascii="Arial" w:hAnsi="Arial" w:cs="Arial" w:eastAsia="Arial"/>
          <w:color w:val="auto"/>
          <w:spacing w:val="0"/>
          <w:position w:val="0"/>
          <w:sz w:val="24"/>
          <w:shd w:fill="auto" w:val="clear"/>
        </w:rPr>
        <w:t xml:space="preserve"> [Accessed 31 Oct. 2023].</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Fleming, G.A., Petrie, J.R., Bergenstal, R.M., Holl, R.W., Peters, A.L. and Heinemann, L., 2019. Diabetes Digital App Technology: Benefits, Challenges, and Recommendations. A Consensus Report by the European Association for the Study of Diabetes (EASD) and the American Diabetes Association (ADA) Diabetes Technology Working Group. </w:t>
      </w:r>
      <w:r>
        <w:rPr>
          <w:rFonts w:ascii="Arial" w:hAnsi="Arial" w:cs="Arial" w:eastAsia="Arial"/>
          <w:i/>
          <w:color w:val="auto"/>
          <w:spacing w:val="0"/>
          <w:position w:val="0"/>
          <w:sz w:val="24"/>
          <w:shd w:fill="auto" w:val="clear"/>
        </w:rPr>
        <w:t xml:space="preserve">Diabetes Care</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43</w:t>
      </w:r>
      <w:r>
        <w:rPr>
          <w:rFonts w:ascii="Arial" w:hAnsi="Arial" w:cs="Arial" w:eastAsia="Arial"/>
          <w:color w:val="auto"/>
          <w:spacing w:val="0"/>
          <w:position w:val="0"/>
          <w:sz w:val="24"/>
          <w:shd w:fill="auto" w:val="clear"/>
        </w:rPr>
        <w:t xml:space="preserve">(1), pp.250</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260.</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Gregory, A. (2023). UK in ‘rapidly escalating’ diabetes crisis as cases top 5m, report says. </w:t>
      </w:r>
      <w:r>
        <w:rPr>
          <w:rFonts w:ascii="Arial" w:hAnsi="Arial" w:cs="Arial" w:eastAsia="Arial"/>
          <w:i/>
          <w:color w:val="auto"/>
          <w:spacing w:val="0"/>
          <w:position w:val="0"/>
          <w:sz w:val="24"/>
          <w:shd w:fill="auto" w:val="clear"/>
        </w:rPr>
        <w:t xml:space="preserve">The Guardian</w:t>
      </w:r>
      <w:r>
        <w:rPr>
          <w:rFonts w:ascii="Arial" w:hAnsi="Arial" w:cs="Arial" w:eastAsia="Arial"/>
          <w:color w:val="auto"/>
          <w:spacing w:val="0"/>
          <w:position w:val="0"/>
          <w:sz w:val="24"/>
          <w:shd w:fill="auto" w:val="clear"/>
        </w:rPr>
        <w:t xml:space="preserve">. [online] 12 Apr. Available at: </w:t>
      </w:r>
      <w:hyperlink xmlns:r="http://schemas.openxmlformats.org/officeDocument/2006/relationships" r:id="docRId4">
        <w:r>
          <w:rPr>
            <w:rFonts w:ascii="Arial" w:hAnsi="Arial" w:cs="Arial" w:eastAsia="Arial"/>
            <w:color w:val="0000FF"/>
            <w:spacing w:val="0"/>
            <w:position w:val="0"/>
            <w:sz w:val="24"/>
            <w:u w:val="single"/>
            <w:shd w:fill="auto" w:val="clear"/>
          </w:rPr>
          <w:t xml:space="preserve">https://www.theguardian.com/society/2023/apr/13/uk-in-rapidly-escalating-diabetes-crisis-as-cases-top-5m-report-says</w:t>
        </w:r>
      </w:hyperlink>
      <w:r>
        <w:rPr>
          <w:rFonts w:ascii="Arial" w:hAnsi="Arial" w:cs="Arial" w:eastAsia="Arial"/>
          <w:color w:val="auto"/>
          <w:spacing w:val="0"/>
          <w:position w:val="0"/>
          <w:sz w:val="24"/>
          <w:shd w:fill="auto" w:val="clear"/>
        </w:rPr>
        <w:t xml:space="preserve"> [Accessed 31 Oct. 2023].</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Title of Blog 2: Redefining Health by ActivTrack+ for Addressing Sedentary Lifestyles</w:t>
      </w:r>
    </w:p>
    <w:p>
      <w:pPr>
        <w:spacing w:before="0" w:after="200" w:line="360"/>
        <w:ind w:right="0" w:left="0" w:firstLine="0"/>
        <w:jc w:val="both"/>
        <w:rPr>
          <w:rFonts w:ascii="Arial" w:hAnsi="Arial" w:cs="Arial" w:eastAsia="Arial"/>
          <w:b/>
          <w:i/>
          <w:color w:val="auto"/>
          <w:spacing w:val="0"/>
          <w:position w:val="0"/>
          <w:sz w:val="24"/>
          <w:shd w:fill="auto" w:val="clear"/>
        </w:rPr>
      </w:pPr>
      <w:r>
        <w:rPr>
          <w:rFonts w:ascii="Arial" w:hAnsi="Arial" w:cs="Arial" w:eastAsia="Arial"/>
          <w:b/>
          <w:i/>
          <w:color w:val="auto"/>
          <w:spacing w:val="0"/>
          <w:position w:val="0"/>
          <w:sz w:val="24"/>
          <w:shd w:fill="auto" w:val="clear"/>
        </w:rPr>
        <w:t xml:space="preserve">Public health problem and reasons for concern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Sedentary lifestyle or lack of enough physical activity is a public health concern because of the related health issues it gives rise to for the people. A news report shows that as per the “Active Lives Adult Survey”, 27% of the tracked 175,000 respondents were inactive, which involved activity per week staying below 30 minutes (Thomas, 2022). However, leisure-walking levels have increased but levels of other activities have fallen somewhat (See Figure 1). </w:t>
      </w:r>
    </w:p>
    <w:p>
      <w:pPr>
        <w:spacing w:before="0" w:after="200" w:line="360"/>
        <w:ind w:right="0" w:left="0" w:firstLine="0"/>
        <w:jc w:val="center"/>
        <w:rPr>
          <w:rFonts w:ascii="Arial" w:hAnsi="Arial" w:cs="Arial" w:eastAsia="Arial"/>
          <w:color w:val="auto"/>
          <w:spacing w:val="0"/>
          <w:position w:val="0"/>
          <w:sz w:val="24"/>
          <w:shd w:fill="auto" w:val="clear"/>
        </w:rPr>
      </w:pPr>
      <w:r>
        <w:object w:dxaOrig="8001" w:dyaOrig="5727">
          <v:rect xmlns:o="urn:schemas-microsoft-com:office:office" xmlns:v="urn:schemas-microsoft-com:vml" id="rectole0000000000" style="width:400.050000pt;height:286.350000pt" o:preferrelative="t" o:ole="">
            <o:lock v:ext="edit"/>
            <v:imagedata xmlns:r="http://schemas.openxmlformats.org/officeDocument/2006/relationships" r:id="docRId6" o:title=""/>
          </v:rect>
          <o:OLEObject xmlns:r="http://schemas.openxmlformats.org/officeDocument/2006/relationships" xmlns:o="urn:schemas-microsoft-com:office:office" Type="Embed" ProgID="StaticMetafile" DrawAspect="Content" ObjectID="0000000000" ShapeID="rectole0000000000" r:id="docRId5"/>
        </w:object>
      </w:r>
    </w:p>
    <w:p>
      <w:pPr>
        <w:spacing w:before="0" w:after="20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Figure 1: Categories of different activity in adults </w:t>
      </w:r>
    </w:p>
    <w:p>
      <w:pPr>
        <w:spacing w:before="0" w:after="20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(Source: Thomas, 2022)</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Additionally, inactive lifestyles lead to health risks like obesity, diabetes, heart ailments and others (MedlinePlus, 2017) and poor health outcomes (López-Valenciano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2020). Data reveal that 1 in 6 deaths occur due to physical inactivity in the UK (GOV.UK, 2022). These possibly reflect sedentary lifestyle as a cause of health concern for the public.</w:t>
      </w:r>
    </w:p>
    <w:p>
      <w:pPr>
        <w:spacing w:before="0" w:after="200" w:line="360"/>
        <w:ind w:right="0" w:left="0" w:firstLine="0"/>
        <w:jc w:val="left"/>
        <w:rPr>
          <w:rFonts w:ascii="Arial" w:hAnsi="Arial" w:cs="Arial" w:eastAsia="Arial"/>
          <w:b/>
          <w:i/>
          <w:color w:val="auto"/>
          <w:spacing w:val="0"/>
          <w:position w:val="0"/>
          <w:sz w:val="24"/>
          <w:shd w:fill="auto" w:val="clear"/>
        </w:rPr>
      </w:pPr>
      <w:r>
        <w:rPr>
          <w:rFonts w:ascii="Arial" w:hAnsi="Arial" w:cs="Arial" w:eastAsia="Arial"/>
          <w:b/>
          <w:i/>
          <w:color w:val="auto"/>
          <w:spacing w:val="0"/>
          <w:position w:val="0"/>
          <w:sz w:val="24"/>
          <w:shd w:fill="auto" w:val="clear"/>
        </w:rPr>
        <w:t xml:space="preserve">The designed digital technology</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digital technology intended for this public health concern is ‘ActivTrack+’. This will enable the wearers to track their steps and monitor their activities. Besides that, it will provide interactive features that help easy communication and real-time suggestions to overcome their sedentary habits and behaviours. </w:t>
      </w:r>
    </w:p>
    <w:p>
      <w:pPr>
        <w:spacing w:before="0" w:after="200" w:line="360"/>
        <w:ind w:right="0" w:left="0" w:firstLine="0"/>
        <w:jc w:val="both"/>
        <w:rPr>
          <w:rFonts w:ascii="Arial" w:hAnsi="Arial" w:cs="Arial" w:eastAsia="Arial"/>
          <w:b/>
          <w:i/>
          <w:color w:val="auto"/>
          <w:spacing w:val="0"/>
          <w:position w:val="0"/>
          <w:sz w:val="24"/>
          <w:shd w:fill="auto" w:val="clear"/>
        </w:rPr>
      </w:pPr>
      <w:r>
        <w:rPr>
          <w:rFonts w:ascii="Arial" w:hAnsi="Arial" w:cs="Arial" w:eastAsia="Arial"/>
          <w:b/>
          <w:i/>
          <w:color w:val="auto"/>
          <w:spacing w:val="0"/>
          <w:position w:val="0"/>
          <w:sz w:val="24"/>
          <w:shd w:fill="auto" w:val="clear"/>
        </w:rPr>
        <w:t xml:space="preserve">Use of ActivTrack+ in health promotion and addressing the public health problem</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device will have algorithms that will analyse individual’s activity patterns and prompt them with likewise suggestions so that longer periods of inactivity is broken. Comprehensive workplace programs including the usage of health risk assessments (with feedback) and complying with the country’s safety and ergonomic standards of working are two best practice examples to break sedentary behaviour (Pronk, 2021). This will help and motivate them to move from time to time and take short breaks.</w:t>
      </w:r>
    </w:p>
    <w:p>
      <w:pPr>
        <w:spacing w:before="0" w:after="200" w:line="360"/>
        <w:ind w:right="0" w:left="0" w:firstLine="0"/>
        <w:jc w:val="both"/>
        <w:rPr>
          <w:rFonts w:ascii="Arial" w:hAnsi="Arial" w:cs="Arial" w:eastAsia="Arial"/>
          <w:b/>
          <w:i/>
          <w:color w:val="auto"/>
          <w:spacing w:val="0"/>
          <w:position w:val="0"/>
          <w:sz w:val="24"/>
          <w:shd w:fill="auto" w:val="clear"/>
        </w:rPr>
      </w:pPr>
      <w:r>
        <w:rPr>
          <w:rFonts w:ascii="Arial" w:hAnsi="Arial" w:cs="Arial" w:eastAsia="Arial"/>
          <w:b/>
          <w:i/>
          <w:color w:val="auto"/>
          <w:spacing w:val="0"/>
          <w:position w:val="0"/>
          <w:sz w:val="24"/>
          <w:shd w:fill="auto" w:val="clear"/>
        </w:rPr>
        <w:t xml:space="preserve">Impact of ActivTrack+ in health promotion (highlight its advantages and disadvantages/shortfalls)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ActivTrack+ lends user tailored prompts or suggestions for making small and regular lifestyle changes. It will allow them to break the cycle of inactivity and suggest simple actions for making body movements, for example, shaking the feet, walking 10-20 paces, stretching in the chair and others.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However, the downfalls of ActivTrack+ possibly include user’s concomitant resistance toward the regular prompts. In addition, intentional movement of the user might become cue dependent as well. </w:t>
      </w:r>
    </w:p>
    <w:p>
      <w:pPr>
        <w:spacing w:before="0" w:after="200" w:line="360"/>
        <w:ind w:right="0" w:left="0" w:firstLine="0"/>
        <w:jc w:val="both"/>
        <w:rPr>
          <w:rFonts w:ascii="Arial" w:hAnsi="Arial" w:cs="Arial" w:eastAsia="Arial"/>
          <w:b/>
          <w:i/>
          <w:color w:val="auto"/>
          <w:spacing w:val="0"/>
          <w:position w:val="0"/>
          <w:sz w:val="24"/>
          <w:shd w:fill="auto" w:val="clear"/>
        </w:rPr>
      </w:pPr>
      <w:r>
        <w:rPr>
          <w:rFonts w:ascii="Arial" w:hAnsi="Arial" w:cs="Arial" w:eastAsia="Arial"/>
          <w:b/>
          <w:i/>
          <w:color w:val="auto"/>
          <w:spacing w:val="0"/>
          <w:position w:val="0"/>
          <w:sz w:val="24"/>
          <w:shd w:fill="auto" w:val="clear"/>
        </w:rPr>
        <w:t xml:space="preserve">Addressing the shortfall</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UK Chief Medical Officers’ Guidelines” suggests adults to engage in 150 minutes of activity each week (GOV.UK, 2022) and ActivTrack+ could help them achieve that gradually by making the cues less frequent so that internal drive for movement arises for the user.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Thus, ActivTrack+ could address this public health issue and intervene to mitigate the concerns accordingly. </w:t>
      </w:r>
    </w:p>
    <w:p>
      <w:pPr>
        <w:spacing w:before="0" w:after="20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Reference List</w:t>
      </w:r>
    </w:p>
    <w:p>
      <w:pPr>
        <w:spacing w:before="0" w:after="20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Blog 2</w:t>
      </w:r>
    </w:p>
    <w:p>
      <w:pPr>
        <w:spacing w:before="0" w:after="200" w:line="360"/>
        <w:ind w:right="0" w:left="0" w:firstLine="0"/>
        <w:jc w:val="both"/>
        <w:rPr>
          <w:rFonts w:ascii="Arial" w:hAnsi="Arial" w:cs="Arial" w:eastAsia="Arial"/>
          <w:b/>
          <w:color w:val="auto"/>
          <w:spacing w:val="0"/>
          <w:position w:val="0"/>
          <w:sz w:val="24"/>
          <w:shd w:fill="auto" w:val="clear"/>
        </w:rPr>
      </w:pP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GOV.UK (2022). </w:t>
      </w:r>
      <w:r>
        <w:rPr>
          <w:rFonts w:ascii="Arial" w:hAnsi="Arial" w:cs="Arial" w:eastAsia="Arial"/>
          <w:i/>
          <w:color w:val="auto"/>
          <w:spacing w:val="0"/>
          <w:position w:val="0"/>
          <w:sz w:val="24"/>
          <w:shd w:fill="auto" w:val="clear"/>
        </w:rPr>
        <w:t xml:space="preserve">Physical activity: applying All Our Health</w:t>
      </w:r>
      <w:r>
        <w:rPr>
          <w:rFonts w:ascii="Arial" w:hAnsi="Arial" w:cs="Arial" w:eastAsia="Arial"/>
          <w:color w:val="auto"/>
          <w:spacing w:val="0"/>
          <w:position w:val="0"/>
          <w:sz w:val="24"/>
          <w:shd w:fill="auto" w:val="clear"/>
        </w:rPr>
        <w:t xml:space="preserve">. [online] GOV.UK. Available at: </w:t>
      </w:r>
      <w:hyperlink xmlns:r="http://schemas.openxmlformats.org/officeDocument/2006/relationships" r:id="docRId7">
        <w:r>
          <w:rPr>
            <w:rFonts w:ascii="Arial" w:hAnsi="Arial" w:cs="Arial" w:eastAsia="Arial"/>
            <w:color w:val="0000FF"/>
            <w:spacing w:val="0"/>
            <w:position w:val="0"/>
            <w:sz w:val="24"/>
            <w:u w:val="single"/>
            <w:shd w:fill="auto" w:val="clear"/>
          </w:rPr>
          <w:t xml:space="preserve">https://www.gov.uk/government/publications/physical-activity-applying-all-our-health/physical-activity-applying-all-our-health#:~:text=Physical%20inactivity%20is%20associated%20with</w:t>
        </w:r>
      </w:hyperlink>
      <w:r>
        <w:rPr>
          <w:rFonts w:ascii="Arial" w:hAnsi="Arial" w:cs="Arial" w:eastAsia="Arial"/>
          <w:color w:val="auto"/>
          <w:spacing w:val="0"/>
          <w:position w:val="0"/>
          <w:sz w:val="24"/>
          <w:shd w:fill="auto" w:val="clear"/>
        </w:rPr>
        <w:t xml:space="preserve"> [Accessed 31 Oct. 2023].</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López-Valenciano, A., Mayo, X., Liguori, G., Copeland, R.J., Lamb, M. and Jimenez, A., 2020. Changes in sedentary behaviour in European Union adults between 2002 and 2017. </w:t>
      </w:r>
      <w:r>
        <w:rPr>
          <w:rFonts w:ascii="Arial" w:hAnsi="Arial" w:cs="Arial" w:eastAsia="Arial"/>
          <w:i/>
          <w:color w:val="auto"/>
          <w:spacing w:val="0"/>
          <w:position w:val="0"/>
          <w:sz w:val="24"/>
          <w:shd w:fill="auto" w:val="clear"/>
        </w:rPr>
        <w:t xml:space="preserve">BMC Public Health</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20</w:t>
      </w:r>
      <w:r>
        <w:rPr>
          <w:rFonts w:ascii="Arial" w:hAnsi="Arial" w:cs="Arial" w:eastAsia="Arial"/>
          <w:color w:val="auto"/>
          <w:spacing w:val="0"/>
          <w:position w:val="0"/>
          <w:sz w:val="24"/>
          <w:shd w:fill="auto" w:val="clear"/>
        </w:rPr>
        <w:t xml:space="preserve">, pp.1-10.</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MedlinePlus (2017). </w:t>
      </w:r>
      <w:r>
        <w:rPr>
          <w:rFonts w:ascii="Arial" w:hAnsi="Arial" w:cs="Arial" w:eastAsia="Arial"/>
          <w:i/>
          <w:color w:val="auto"/>
          <w:spacing w:val="0"/>
          <w:position w:val="0"/>
          <w:sz w:val="24"/>
          <w:shd w:fill="auto" w:val="clear"/>
        </w:rPr>
        <w:t xml:space="preserve">Health Risks of an Inactive Lifestyle</w:t>
      </w:r>
      <w:r>
        <w:rPr>
          <w:rFonts w:ascii="Arial" w:hAnsi="Arial" w:cs="Arial" w:eastAsia="Arial"/>
          <w:color w:val="auto"/>
          <w:spacing w:val="0"/>
          <w:position w:val="0"/>
          <w:sz w:val="24"/>
          <w:shd w:fill="auto" w:val="clear"/>
        </w:rPr>
        <w:t xml:space="preserve">. [online] medlineplus.gov. Available at: </w:t>
      </w:r>
      <w:hyperlink xmlns:r="http://schemas.openxmlformats.org/officeDocument/2006/relationships" r:id="docRId8">
        <w:r>
          <w:rPr>
            <w:rFonts w:ascii="Arial" w:hAnsi="Arial" w:cs="Arial" w:eastAsia="Arial"/>
            <w:color w:val="0000FF"/>
            <w:spacing w:val="0"/>
            <w:position w:val="0"/>
            <w:sz w:val="24"/>
            <w:u w:val="single"/>
            <w:shd w:fill="auto" w:val="clear"/>
          </w:rPr>
          <w:t xml:space="preserve">https://medlineplus.gov/healthrisksofaninactivelifestyle.html#:~:text=By%20not%20getting%20regular%20exercise</w:t>
        </w:r>
      </w:hyperlink>
      <w:r>
        <w:rPr>
          <w:rFonts w:ascii="Arial" w:hAnsi="Arial" w:cs="Arial" w:eastAsia="Arial"/>
          <w:color w:val="auto"/>
          <w:spacing w:val="0"/>
          <w:position w:val="0"/>
          <w:sz w:val="24"/>
          <w:shd w:fill="auto" w:val="clear"/>
        </w:rPr>
        <w:t xml:space="preserve"> [Accessed 31 Oct. 2023].</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Pronk, N.P., 2021. Implementing movement at the workplace: Approaches to increase physical activity and reduce sedentary behavior in the context of work. </w:t>
      </w:r>
      <w:r>
        <w:rPr>
          <w:rFonts w:ascii="Arial" w:hAnsi="Arial" w:cs="Arial" w:eastAsia="Arial"/>
          <w:i/>
          <w:color w:val="auto"/>
          <w:spacing w:val="0"/>
          <w:position w:val="0"/>
          <w:sz w:val="24"/>
          <w:shd w:fill="auto" w:val="clear"/>
        </w:rPr>
        <w:t xml:space="preserve">Progress in Cardiovascular Diseases</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64</w:t>
      </w:r>
      <w:r>
        <w:rPr>
          <w:rFonts w:ascii="Arial" w:hAnsi="Arial" w:cs="Arial" w:eastAsia="Arial"/>
          <w:color w:val="auto"/>
          <w:spacing w:val="0"/>
          <w:position w:val="0"/>
          <w:sz w:val="24"/>
          <w:shd w:fill="auto" w:val="clear"/>
        </w:rPr>
        <w:t xml:space="preserve">, pp.17-21.</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Thomas, T. (2022). </w:t>
      </w:r>
      <w:r>
        <w:rPr>
          <w:rFonts w:ascii="Arial" w:hAnsi="Arial" w:cs="Arial" w:eastAsia="Arial"/>
          <w:i/>
          <w:color w:val="auto"/>
          <w:spacing w:val="0"/>
          <w:position w:val="0"/>
          <w:sz w:val="24"/>
          <w:shd w:fill="auto" w:val="clear"/>
        </w:rPr>
        <w:t xml:space="preserve">Number of inactive adults in England rises by 1.3m since Covid</w:t>
      </w:r>
      <w:r>
        <w:rPr>
          <w:rFonts w:ascii="Arial" w:hAnsi="Arial" w:cs="Arial" w:eastAsia="Arial"/>
          <w:color w:val="auto"/>
          <w:spacing w:val="0"/>
          <w:position w:val="0"/>
          <w:sz w:val="24"/>
          <w:shd w:fill="auto" w:val="clear"/>
        </w:rPr>
        <w:t xml:space="preserve">. [online] The Guardian. Available at: </w:t>
      </w:r>
      <w:hyperlink xmlns:r="http://schemas.openxmlformats.org/officeDocument/2006/relationships" r:id="docRId9">
        <w:r>
          <w:rPr>
            <w:rFonts w:ascii="Arial" w:hAnsi="Arial" w:cs="Arial" w:eastAsia="Arial"/>
            <w:color w:val="0000FF"/>
            <w:spacing w:val="0"/>
            <w:position w:val="0"/>
            <w:sz w:val="24"/>
            <w:u w:val="single"/>
            <w:shd w:fill="auto" w:val="clear"/>
          </w:rPr>
          <w:t xml:space="preserve">https://www.theguardian.com/society/2022/apr/28/number-of-inactive-adults-in-england-rises-by-more-than-1m-since-covid-peak</w:t>
        </w:r>
      </w:hyperlink>
      <w:r>
        <w:rPr>
          <w:rFonts w:ascii="Arial" w:hAnsi="Arial" w:cs="Arial" w:eastAsia="Arial"/>
          <w:color w:val="auto"/>
          <w:spacing w:val="0"/>
          <w:position w:val="0"/>
          <w:sz w:val="24"/>
          <w:shd w:fill="auto" w:val="clear"/>
        </w:rPr>
        <w:t xml:space="preserve"> [Accessed 31 Oct. 2023].</w:t>
      </w:r>
    </w:p>
    <w:p>
      <w:pPr>
        <w:spacing w:before="0" w:after="200" w:line="36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200" w:line="360"/>
        <w:ind w:right="0" w:left="0" w:firstLine="0"/>
        <w:jc w:val="left"/>
        <w:rPr>
          <w:rFonts w:ascii="Arial" w:hAnsi="Arial" w:cs="Arial" w:eastAsia="Arial"/>
          <w:b/>
          <w:color w:val="auto"/>
          <w:spacing w:val="0"/>
          <w:position w:val="0"/>
          <w:sz w:val="28"/>
          <w:shd w:fill="auto" w:val="clear"/>
        </w:rPr>
      </w:pPr>
    </w:p>
    <w:p>
      <w:pPr>
        <w:spacing w:before="0" w:after="20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Task 2- Poster design</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Background</w:t>
      </w:r>
    </w:p>
    <w:p>
      <w:pPr>
        <w:spacing w:before="0" w:after="0" w:line="360"/>
        <w:ind w:right="0" w:left="0" w:firstLine="0"/>
        <w:jc w:val="left"/>
        <w:rPr>
          <w:rFonts w:ascii="Arial" w:hAnsi="Arial" w:cs="Arial" w:eastAsia="Arial"/>
          <w:b/>
          <w:i/>
          <w:color w:val="auto"/>
          <w:spacing w:val="0"/>
          <w:position w:val="0"/>
          <w:sz w:val="23"/>
          <w:shd w:fill="auto" w:val="clear"/>
        </w:rPr>
      </w:pPr>
      <w:r>
        <w:rPr>
          <w:rFonts w:ascii="Arial" w:hAnsi="Arial" w:cs="Arial" w:eastAsia="Arial"/>
          <w:b/>
          <w:i/>
          <w:color w:val="auto"/>
          <w:spacing w:val="0"/>
          <w:position w:val="0"/>
          <w:sz w:val="23"/>
          <w:shd w:fill="auto" w:val="clear"/>
        </w:rPr>
        <w:t xml:space="preserve">Scale of the public health problem and necessity of intervention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Improper management of Diabetes (the public health problem) affects overall health including different health complications like renal issues, cardiovascular concerns, and eyesight problems (Shan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2019). Risk factors involved in diabetes are multiple and complex including age, obesity, family history, overweight issues (Diabetes UK, 2023). Thus, intervention becomes necessary because the related health complications of diabetes are common in people who are diagnosed with diabetes early in their lives (NHS Digital, 2021). In addition, Klonoff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(2020) commented that with the help of digital health, diabetes management could be revolutionized. Hence, it is understandable that intervention becomes necessary to uplift the people’s overall health improvement. </w:t>
      </w:r>
    </w:p>
    <w:p>
      <w:pPr>
        <w:spacing w:before="0" w:after="0" w:line="360"/>
        <w:ind w:right="0" w:left="0" w:firstLine="0"/>
        <w:jc w:val="both"/>
        <w:rPr>
          <w:rFonts w:ascii="Arial" w:hAnsi="Arial" w:cs="Arial" w:eastAsia="Arial"/>
          <w:b/>
          <w:i/>
          <w:color w:val="auto"/>
          <w:spacing w:val="0"/>
          <w:position w:val="0"/>
          <w:sz w:val="24"/>
          <w:shd w:fill="auto" w:val="clear"/>
        </w:rPr>
      </w:pPr>
      <w:r>
        <w:rPr>
          <w:rFonts w:ascii="Arial" w:hAnsi="Arial" w:cs="Arial" w:eastAsia="Arial"/>
          <w:b/>
          <w:i/>
          <w:color w:val="auto"/>
          <w:spacing w:val="0"/>
          <w:position w:val="0"/>
          <w:sz w:val="24"/>
          <w:shd w:fill="auto" w:val="clear"/>
        </w:rPr>
        <w:t xml:space="preserve">Examples of previously used public health interventions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Both digital and non-digital tech-based interventions are in place for dealing with this public health concern. In digital tech, FDA approved wearable technology for diabetes exist that help to manage the complexities associated with diabetes management (Christiansen, 2022). </w:t>
      </w:r>
    </w:p>
    <w:p>
      <w:pPr>
        <w:spacing w:before="0" w:after="0" w:line="360"/>
        <w:ind w:right="0" w:left="0" w:firstLine="0"/>
        <w:jc w:val="center"/>
        <w:rPr>
          <w:rFonts w:ascii="Arial" w:hAnsi="Arial" w:cs="Arial" w:eastAsia="Arial"/>
          <w:color w:val="auto"/>
          <w:spacing w:val="0"/>
          <w:position w:val="0"/>
          <w:sz w:val="24"/>
          <w:shd w:fill="auto" w:val="clear"/>
        </w:rPr>
      </w:pPr>
      <w:r>
        <w:object w:dxaOrig="2670" w:dyaOrig="7084">
          <v:rect xmlns:o="urn:schemas-microsoft-com:office:office" xmlns:v="urn:schemas-microsoft-com:vml" id="rectole0000000001" style="width:133.500000pt;height:354.20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1" ShapeID="rectole0000000001" r:id="docRId10"/>
        </w:object>
      </w:r>
    </w:p>
    <w:p>
      <w:pPr>
        <w:spacing w:before="0" w:after="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Figure 2: Devices used in treatment of diabetes</w:t>
      </w:r>
    </w:p>
    <w:p>
      <w:pPr>
        <w:spacing w:before="0" w:after="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(Source: Domingo-Lopez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2022)</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For example, insulin pumps, Continuous Glucose Monitors (CGMs) (Christiansen, 2022), insulin pen, insulin injection (See Figure 2) (Domingo-Lopez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2022), smart watch, smart socks (Makroum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2022; Fagherazzi and Ravaud, 2019) are some digital interventions involved in addressing the public health concern.</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non-digital interventions for diabetes includes dietary adjustment, lifestyle modifications, increasing physical activity (MedlinePlus, 2017), self-management (Diabetes UK 2022), education (Shan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2019), attending support groups, and counselling sessions.</w:t>
      </w:r>
    </w:p>
    <w:p>
      <w:pPr>
        <w:spacing w:before="0" w:after="0" w:line="360"/>
        <w:ind w:right="0" w:left="0" w:firstLine="0"/>
        <w:jc w:val="both"/>
        <w:rPr>
          <w:rFonts w:ascii="Arial" w:hAnsi="Arial" w:cs="Arial" w:eastAsia="Arial"/>
          <w:b/>
          <w:i/>
          <w:color w:val="auto"/>
          <w:spacing w:val="0"/>
          <w:position w:val="0"/>
          <w:sz w:val="24"/>
          <w:shd w:fill="auto" w:val="clear"/>
        </w:rPr>
      </w:pPr>
      <w:r>
        <w:rPr>
          <w:rFonts w:ascii="Arial" w:hAnsi="Arial" w:cs="Arial" w:eastAsia="Arial"/>
          <w:b/>
          <w:i/>
          <w:color w:val="auto"/>
          <w:spacing w:val="0"/>
          <w:position w:val="0"/>
          <w:sz w:val="24"/>
          <w:shd w:fill="auto" w:val="clear"/>
        </w:rPr>
        <w:t xml:space="preserve">Chosen digital health intervention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CGMs are the selected “digital health intervention” as they provide real-time information about glucose levels of the user (Shan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2019). It helps to track the level throughout the day and lets the user if the level is becoming high or low. The data is shareable too (Cleveland Clinic, 2021). </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Health promotion values and principles</w:t>
      </w:r>
    </w:p>
    <w:p>
      <w:pPr>
        <w:spacing w:before="0" w:after="0" w:line="360"/>
        <w:ind w:right="0" w:left="0" w:firstLine="0"/>
        <w:jc w:val="left"/>
        <w:rPr>
          <w:rFonts w:ascii="Arial" w:hAnsi="Arial" w:cs="Arial" w:eastAsia="Arial"/>
          <w:b/>
          <w:i/>
          <w:color w:val="auto"/>
          <w:spacing w:val="0"/>
          <w:position w:val="0"/>
          <w:sz w:val="24"/>
          <w:shd w:fill="auto" w:val="clear"/>
        </w:rPr>
      </w:pPr>
      <w:r>
        <w:rPr>
          <w:rFonts w:ascii="Arial" w:hAnsi="Arial" w:cs="Arial" w:eastAsia="Arial"/>
          <w:b/>
          <w:i/>
          <w:color w:val="auto"/>
          <w:spacing w:val="0"/>
          <w:position w:val="0"/>
          <w:sz w:val="24"/>
          <w:shd w:fill="auto" w:val="clear"/>
        </w:rPr>
        <w:t xml:space="preserve">The health promotion values and principles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Following are some values and principles associated promotion of health: </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Values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Empowerment</w:t>
      </w:r>
      <w:r>
        <w:rPr>
          <w:rFonts w:ascii="Arial" w:hAnsi="Arial" w:cs="Arial" w:eastAsia="Arial"/>
          <w:color w:val="auto"/>
          <w:spacing w:val="0"/>
          <w:position w:val="0"/>
          <w:sz w:val="24"/>
          <w:shd w:fill="auto" w:val="clear"/>
        </w:rPr>
        <w:t xml:space="preserve">: Gaining control over decision-making of factors impacting one’s health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Equity</w:t>
      </w:r>
      <w:r>
        <w:rPr>
          <w:rFonts w:ascii="Arial" w:hAnsi="Arial" w:cs="Arial" w:eastAsia="Arial"/>
          <w:color w:val="auto"/>
          <w:spacing w:val="0"/>
          <w:position w:val="0"/>
          <w:sz w:val="24"/>
          <w:shd w:fill="auto" w:val="clear"/>
        </w:rPr>
        <w:t xml:space="preserve">: Fair and equal access of the resources and services of healthcare</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Participation</w:t>
      </w:r>
      <w:r>
        <w:rPr>
          <w:rFonts w:ascii="Arial" w:hAnsi="Arial" w:cs="Arial" w:eastAsia="Arial"/>
          <w:color w:val="auto"/>
          <w:spacing w:val="0"/>
          <w:position w:val="0"/>
          <w:sz w:val="24"/>
          <w:shd w:fill="auto" w:val="clear"/>
        </w:rPr>
        <w:t xml:space="preserve">: Involving communities, stakeholders, and individuals themselves in active participation in decision-making (National Youth Council of Ireland [NYCI], 2022)</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Principles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Sustainability</w:t>
      </w:r>
      <w:r>
        <w:rPr>
          <w:rFonts w:ascii="Arial" w:hAnsi="Arial" w:cs="Arial" w:eastAsia="Arial"/>
          <w:color w:val="auto"/>
          <w:spacing w:val="0"/>
          <w:position w:val="0"/>
          <w:sz w:val="24"/>
          <w:shd w:fill="auto" w:val="clear"/>
        </w:rPr>
        <w:t xml:space="preserve">: Undertaking long-term sustainable interventions and programs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Evidence-based practice</w:t>
      </w:r>
      <w:r>
        <w:rPr>
          <w:rFonts w:ascii="Arial" w:hAnsi="Arial" w:cs="Arial" w:eastAsia="Arial"/>
          <w:color w:val="auto"/>
          <w:spacing w:val="0"/>
          <w:position w:val="0"/>
          <w:sz w:val="24"/>
          <w:shd w:fill="auto" w:val="clear"/>
        </w:rPr>
        <w:t xml:space="preserve">: using existing evidence to inform decision-making and using approach for healthcare treatments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Inter-sectoral Collaboration</w:t>
      </w:r>
      <w:r>
        <w:rPr>
          <w:rFonts w:ascii="Arial" w:hAnsi="Arial" w:cs="Arial" w:eastAsia="Arial"/>
          <w:color w:val="auto"/>
          <w:spacing w:val="0"/>
          <w:position w:val="0"/>
          <w:sz w:val="24"/>
          <w:shd w:fill="auto" w:val="clear"/>
        </w:rPr>
        <w:t xml:space="preserve">: Involving different sectors of healthcare to cover multiple strategic areas like public policy, supporting development of personal skills, fostering community-driven actions (NYCI, 2022)</w:t>
      </w:r>
    </w:p>
    <w:p>
      <w:pPr>
        <w:spacing w:before="0" w:after="200" w:line="360"/>
        <w:ind w:right="0" w:left="0" w:firstLine="0"/>
        <w:jc w:val="both"/>
        <w:rPr>
          <w:rFonts w:ascii="Arial" w:hAnsi="Arial" w:cs="Arial" w:eastAsia="Arial"/>
          <w:b/>
          <w:i/>
          <w:color w:val="auto"/>
          <w:spacing w:val="0"/>
          <w:position w:val="0"/>
          <w:sz w:val="24"/>
          <w:shd w:fill="auto" w:val="clear"/>
        </w:rPr>
      </w:pPr>
      <w:r>
        <w:rPr>
          <w:rFonts w:ascii="Arial" w:hAnsi="Arial" w:cs="Arial" w:eastAsia="Arial"/>
          <w:b/>
          <w:i/>
          <w:color w:val="auto"/>
          <w:spacing w:val="0"/>
          <w:position w:val="0"/>
          <w:sz w:val="24"/>
          <w:shd w:fill="auto" w:val="clear"/>
        </w:rPr>
        <w:t xml:space="preserve">Aligning the “digital health technology intervention” to “health promotion values and principles”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health intervention identified earlier, CGMs, are aligned with the principles and values linked with health promotion. CGMs enable the user to be alert and aware about their health status, specifically the glucose level. Thus, empowerment and active participation here comes into play so that the user is able to make decisions regarding their health. However, in the future, equity can be achieved by device so that it becomes affordable for all. As per a proceeding from NHS, it is reported that younger individuals are coming in the grasp of diabetes. The data shows 122,780 individuals under 40 years (children and young adults) are currently living with diabetes (Type 2) and 1560 of them are even younger, under 19 years (NHS Digital, 2021). Hence, it is vital that the policymakers and other stakeholders are aware about this impending crisis. Therefore, for this to be managed, “inter-sectoral collaboration”, considering evidence-based information and planning sustainable strategies are necessary. This would help to cope with diabetes management and intervene with possible solutions early in the lives of people. </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Behaviour change theory</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Theory of Planned Behaviour (TPB)</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theory, TPB, explains that normative, control, and behavioural beliefs influences and guides human behaviours (Bosnjak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2020). Additionally, intention has been regarded as the antecedent of human behaviour. </w:t>
      </w:r>
    </w:p>
    <w:p>
      <w:pPr>
        <w:spacing w:before="0" w:after="200" w:line="360"/>
        <w:ind w:right="0" w:left="0" w:firstLine="0"/>
        <w:jc w:val="center"/>
        <w:rPr>
          <w:rFonts w:ascii="Arial" w:hAnsi="Arial" w:cs="Arial" w:eastAsia="Arial"/>
          <w:color w:val="auto"/>
          <w:spacing w:val="0"/>
          <w:position w:val="0"/>
          <w:sz w:val="24"/>
          <w:shd w:fill="auto" w:val="clear"/>
        </w:rPr>
      </w:pPr>
      <w:r>
        <w:object w:dxaOrig="6842" w:dyaOrig="3354">
          <v:rect xmlns:o="urn:schemas-microsoft-com:office:office" xmlns:v="urn:schemas-microsoft-com:vml" id="rectole0000000002" style="width:342.100000pt;height:167.70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2" ShapeID="rectole0000000002" r:id="docRId12"/>
        </w:object>
      </w:r>
    </w:p>
    <w:p>
      <w:pPr>
        <w:spacing w:before="0" w:after="20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Figure 3: Illustration of Theory of Planned Behaviour </w:t>
      </w:r>
    </w:p>
    <w:p>
      <w:pPr>
        <w:spacing w:before="0" w:after="20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(Source: Ajzen, 2019)</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Figure 3 presents the components involved in guiding behaviours. In the perception of the favourability of behaviours, behavioural beliefs are developed. Likewise, the subjective norms or the societal pressures give rise to the normative beliefs (Bosnjak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2020). Lastly, the self-efficacy or behaviour control perceived by an individual gives rise to their control beliefs. </w:t>
      </w:r>
    </w:p>
    <w:p>
      <w:pPr>
        <w:spacing w:before="0" w:after="200" w:line="360"/>
        <w:ind w:right="0" w:left="0" w:firstLine="0"/>
        <w:jc w:val="both"/>
        <w:rPr>
          <w:rFonts w:ascii="Arial" w:hAnsi="Arial" w:cs="Arial" w:eastAsia="Arial"/>
          <w:b/>
          <w:i/>
          <w:color w:val="auto"/>
          <w:spacing w:val="0"/>
          <w:position w:val="0"/>
          <w:sz w:val="24"/>
          <w:shd w:fill="auto" w:val="clear"/>
        </w:rPr>
      </w:pPr>
      <w:r>
        <w:rPr>
          <w:rFonts w:ascii="Arial" w:hAnsi="Arial" w:cs="Arial" w:eastAsia="Arial"/>
          <w:b/>
          <w:i/>
          <w:color w:val="auto"/>
          <w:spacing w:val="0"/>
          <w:position w:val="0"/>
          <w:sz w:val="24"/>
          <w:shd w:fill="auto" w:val="clear"/>
        </w:rPr>
        <w:t xml:space="preserve">Using the TPB to deliver the intervention for promoting health</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 the global prevalence of diabetes (Type 2) is estimated to rise by “7079 individuals per 100,000 by 2030”, it becomes vital that health behaviours are changed and modified for reducing the projected disease prevalence (Khan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2020). Thus, the usage of TPB for promoting health in people with diabetes via the CGM is presented below:</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Behavioural (Attitude) beliefs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Attitude about this device can be improved by educating the patients about the benefits it brings in their diabetes management. Knowledge and skills based health education can be useful in promotion of health (Sharma, 2021). By discussing the advantages of CGM with the patients, the healthcare practitioners can shed light on the instant data for receiving sugar level updates, making changes in diets throughout the day, exercising, and fostering lifestyle modifications. </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Normative (Subjective Norms) beliefs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managing or controlling diabetes, social influence could help the newly diagnosed individuals to commence using CGM. Therefore, for this to happen, positive testimony from different users can be shown to the users. For example, the patient can take part in support groups for learning from others’ experiences. Additionally, CGM’s performance has been better in comparison to its counterpart, flash glucose monitor, in preventing hypoglycaemia (Fagherazzi and Ravaud, 2019). This is because the aim here is to encourage the diabetic individual from using this device so that complexities of Type 2 diabetes can be handled. </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Control (Perceived Behavioural Control (PBC)) beliefs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strong PBC enables the execution of the intended behaviour. Here, barriers to this PBC need to be countered by the healthcare professionals regarding the usage of CGMs. For example, training for the use of CGM can provide the patients with basic information of using it and interpreting its data. Likewise, the patient and professional can strategise ways to integrate that information into the individual’s everyday routine. This would boost their confidence in using CGM and improve their perceived control in changing the attitude for the intended use of a CGM.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Thus, TPB can be used in this way for promoting health via the CGM digital health intervention. </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Expected outcome</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By using TPB for delivering the health intervention of CGM, the expected outcome is an increase in the adoption of CGMs among the “people living with diabetes”. This is because if the behaviour, attitude, and control change is positive, then, patients might be willing to initiate using the device. Issues in the cost and affordability of the CGM might arise for health promotion and management of diabetes. Baltaxe</w:t>
      </w:r>
      <w:r>
        <w:rPr>
          <w:rFonts w:ascii="Arial" w:hAnsi="Arial" w:cs="Arial" w:eastAsia="Arial"/>
          <w:i/>
          <w:color w:val="auto"/>
          <w:spacing w:val="0"/>
          <w:position w:val="0"/>
          <w:sz w:val="24"/>
          <w:shd w:fill="auto" w:val="clear"/>
        </w:rPr>
        <w:t xml:space="preserve"> et al</w:t>
      </w:r>
      <w:r>
        <w:rPr>
          <w:rFonts w:ascii="Arial" w:hAnsi="Arial" w:cs="Arial" w:eastAsia="Arial"/>
          <w:color w:val="auto"/>
          <w:spacing w:val="0"/>
          <w:position w:val="0"/>
          <w:sz w:val="24"/>
          <w:shd w:fill="auto" w:val="clear"/>
        </w:rPr>
        <w:t xml:space="preserve">. (2019) concluded in their study that digital health tools can evolve with the help of policy-based interventions, improvement of healthcare services providing the interventions, and the regional upscale of such tech-based tools. Thus, it is plausible to expect that if insurance policies are improved to cover digital health tools like the CGM, then patients might readily adopt such tools.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Patient empowerment from this intervention can enhance when they feel more in control with managing their health condition. Patients might take proactive health decisions for self-management and understand the factors affecting their lives in a better way (Brew-Sam, 2020). Extensive planning and multi-level considerations are necessary in validating the state-of-the-art digital health tools so that inequality in digital health can be reduced (Mathews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2019). These expected outcomes have the capability to pave the way for organised diabetes management and its better controlling. </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Conclusion and recommendations for future works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values and principles involved in health promotion act as a guide for policymakers, healthcare experts, community practices so that diabetes can be prevented, dealt with effectively, and health can be promoted. By successful incorporation of CGMs for the patients, better healthcare coverage and enhanced accessibility might be achieved. Advocacy for making CGMs covered in insurance could assist in benefiting larger population of patients. Besides, the use of CGM needs to be consistent with the regulatory standards so that it is safe and reliable as a digital health tool.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Patient training and education for staff and patients would enable them to be adept at handling the data from CGM. Thus, making informed decisions would be under the control of patients.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Psychosocial influences of the intervention and the long-term health outcome of using CGM can be studied by the researchers. Long-terms studies can be of help in assessing the societal influences along with any other economic factor. Additionally, the cost-effective nature of CGM in diabetes care can be exploited to know more about integrated programs for diabetes treatment. In terms of future work, patient experiences, adherence to the digital health technology, and ease of diabetes management can be explored further via studies.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poster is provided below:</w:t>
      </w:r>
    </w:p>
    <w:p>
      <w:pPr>
        <w:spacing w:before="0" w:after="200" w:line="360"/>
        <w:ind w:right="0" w:left="0" w:firstLine="0"/>
        <w:jc w:val="both"/>
        <w:rPr>
          <w:rFonts w:ascii="Arial" w:hAnsi="Arial" w:cs="Arial" w:eastAsia="Arial"/>
          <w:color w:val="auto"/>
          <w:spacing w:val="0"/>
          <w:position w:val="0"/>
          <w:sz w:val="24"/>
          <w:shd w:fill="auto" w:val="clear"/>
        </w:rPr>
      </w:pPr>
      <w:r>
        <w:object w:dxaOrig="8796" w:dyaOrig="12441">
          <v:rect xmlns:o="urn:schemas-microsoft-com:office:office" xmlns:v="urn:schemas-microsoft-com:vml" id="rectole0000000003" style="width:439.800000pt;height:622.05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3" ShapeID="rectole0000000003" r:id="docRId14"/>
        </w:objec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8"/>
          <w:shd w:fill="auto" w:val="clear"/>
        </w:rPr>
        <w:t xml:space="preserve">Reference List</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Poster design</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Ajzen, I. 2019. </w:t>
      </w:r>
      <w:r>
        <w:rPr>
          <w:rFonts w:ascii="Arial" w:hAnsi="Arial" w:cs="Arial" w:eastAsia="Arial"/>
          <w:i/>
          <w:color w:val="auto"/>
          <w:spacing w:val="0"/>
          <w:position w:val="0"/>
          <w:sz w:val="24"/>
          <w:shd w:fill="auto" w:val="clear"/>
        </w:rPr>
        <w:t xml:space="preserve">Theory of planned behavior diagram</w:t>
      </w:r>
      <w:r>
        <w:rPr>
          <w:rFonts w:ascii="Arial" w:hAnsi="Arial" w:cs="Arial" w:eastAsia="Arial"/>
          <w:color w:val="auto"/>
          <w:spacing w:val="0"/>
          <w:position w:val="0"/>
          <w:sz w:val="24"/>
          <w:shd w:fill="auto" w:val="clear"/>
        </w:rPr>
        <w:t xml:space="preserve">. </w:t>
      </w:r>
      <w:r>
        <w:rPr>
          <w:rFonts w:ascii="Arial" w:hAnsi="Arial" w:cs="Arial" w:eastAsia="Arial"/>
          <w:color w:val="auto"/>
          <w:spacing w:val="0"/>
          <w:position w:val="0"/>
          <w:sz w:val="22"/>
          <w:shd w:fill="auto" w:val="clear"/>
        </w:rPr>
        <w:t xml:space="preserve">Available at: </w:t>
      </w:r>
      <w:hyperlink xmlns:r="http://schemas.openxmlformats.org/officeDocument/2006/relationships" r:id="docRId16">
        <w:r>
          <w:rPr>
            <w:rFonts w:ascii="Arial" w:hAnsi="Arial" w:cs="Arial" w:eastAsia="Arial"/>
            <w:color w:val="0000FF"/>
            <w:spacing w:val="0"/>
            <w:position w:val="0"/>
            <w:sz w:val="24"/>
            <w:u w:val="single"/>
            <w:shd w:fill="auto" w:val="clear"/>
          </w:rPr>
          <w:t xml:space="preserve">https://people.umass.edu/aizen/tpb.diag.html</w:t>
        </w:r>
      </w:hyperlink>
      <w:r>
        <w:rPr>
          <w:rFonts w:ascii="Arial" w:hAnsi="Arial" w:cs="Arial" w:eastAsia="Arial"/>
          <w:color w:val="auto"/>
          <w:spacing w:val="0"/>
          <w:position w:val="0"/>
          <w:sz w:val="24"/>
          <w:shd w:fill="auto" w:val="clear"/>
        </w:rPr>
        <w:t xml:space="preserve"> </w:t>
      </w:r>
      <w:r>
        <w:rPr>
          <w:rFonts w:ascii="Arial" w:hAnsi="Arial" w:cs="Arial" w:eastAsia="Arial"/>
          <w:color w:val="auto"/>
          <w:spacing w:val="0"/>
          <w:position w:val="0"/>
          <w:sz w:val="22"/>
          <w:shd w:fill="auto" w:val="clear"/>
        </w:rPr>
        <w:t xml:space="preserve">[Accessed 31 Oct. 2023].</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Baltaxe, E., Czypionka, T., Kraus, M., Reiss, M., Askildsen, J.E., Grenkovic, R., Lindén, T.S., Pitter, J.G., Rutten-van Molken, M., Solans, O. and Stokes, J., 2019. Digital health transformation of integrated care in Europe: overarching analysis of 17 integrated care programs. </w:t>
      </w:r>
      <w:r>
        <w:rPr>
          <w:rFonts w:ascii="Arial" w:hAnsi="Arial" w:cs="Arial" w:eastAsia="Arial"/>
          <w:i/>
          <w:color w:val="auto"/>
          <w:spacing w:val="0"/>
          <w:position w:val="0"/>
          <w:sz w:val="24"/>
          <w:shd w:fill="auto" w:val="clear"/>
        </w:rPr>
        <w:t xml:space="preserve">Journal of medical Internet research</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21</w:t>
      </w:r>
      <w:r>
        <w:rPr>
          <w:rFonts w:ascii="Arial" w:hAnsi="Arial" w:cs="Arial" w:eastAsia="Arial"/>
          <w:color w:val="auto"/>
          <w:spacing w:val="0"/>
          <w:position w:val="0"/>
          <w:sz w:val="24"/>
          <w:shd w:fill="auto" w:val="clear"/>
        </w:rPr>
        <w:t xml:space="preserve">(9), p.e14956.</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Bosnjak, M., Ajzen, I. and Schmidt, P., 2020. The theory of planned behavior: Selected recent advances and applications. </w:t>
      </w:r>
      <w:r>
        <w:rPr>
          <w:rFonts w:ascii="Arial" w:hAnsi="Arial" w:cs="Arial" w:eastAsia="Arial"/>
          <w:i/>
          <w:color w:val="auto"/>
          <w:spacing w:val="0"/>
          <w:position w:val="0"/>
          <w:sz w:val="24"/>
          <w:shd w:fill="auto" w:val="clear"/>
        </w:rPr>
        <w:t xml:space="preserve">Europe's Journal of Psychology</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16</w:t>
      </w:r>
      <w:r>
        <w:rPr>
          <w:rFonts w:ascii="Arial" w:hAnsi="Arial" w:cs="Arial" w:eastAsia="Arial"/>
          <w:color w:val="auto"/>
          <w:spacing w:val="0"/>
          <w:position w:val="0"/>
          <w:sz w:val="24"/>
          <w:shd w:fill="auto" w:val="clear"/>
        </w:rPr>
        <w:t xml:space="preserve">(3), p.352.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Brew-Sam, N., 2020. </w:t>
      </w:r>
      <w:r>
        <w:rPr>
          <w:rFonts w:ascii="Arial" w:hAnsi="Arial" w:cs="Arial" w:eastAsia="Arial"/>
          <w:i/>
          <w:color w:val="auto"/>
          <w:spacing w:val="0"/>
          <w:position w:val="0"/>
          <w:sz w:val="24"/>
          <w:shd w:fill="auto" w:val="clear"/>
        </w:rPr>
        <w:t xml:space="preserve">App use and patient empowerment in diabetes self-management: Advancing theory-guided mHealth research</w:t>
      </w:r>
      <w:r>
        <w:rPr>
          <w:rFonts w:ascii="Arial" w:hAnsi="Arial" w:cs="Arial" w:eastAsia="Arial"/>
          <w:color w:val="auto"/>
          <w:spacing w:val="0"/>
          <w:position w:val="0"/>
          <w:sz w:val="24"/>
          <w:shd w:fill="auto" w:val="clear"/>
        </w:rPr>
        <w:t xml:space="preserve">. Springer Nature.</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Christiansen, S. 2022. </w:t>
      </w:r>
      <w:r>
        <w:rPr>
          <w:rFonts w:ascii="Arial" w:hAnsi="Arial" w:cs="Arial" w:eastAsia="Arial"/>
          <w:i/>
          <w:color w:val="auto"/>
          <w:spacing w:val="0"/>
          <w:position w:val="0"/>
          <w:sz w:val="24"/>
          <w:shd w:fill="auto" w:val="clear"/>
        </w:rPr>
        <w:t xml:space="preserve">Wearable Tech to Manage Your Diabetes</w:t>
      </w:r>
      <w:r>
        <w:rPr>
          <w:rFonts w:ascii="Arial" w:hAnsi="Arial" w:cs="Arial" w:eastAsia="Arial"/>
          <w:color w:val="auto"/>
          <w:spacing w:val="0"/>
          <w:position w:val="0"/>
          <w:sz w:val="24"/>
          <w:shd w:fill="auto" w:val="clear"/>
        </w:rPr>
        <w:t xml:space="preserve">. [online] Verywell Health. Available at: </w:t>
      </w:r>
      <w:hyperlink xmlns:r="http://schemas.openxmlformats.org/officeDocument/2006/relationships" r:id="docRId17">
        <w:r>
          <w:rPr>
            <w:rFonts w:ascii="Arial" w:hAnsi="Arial" w:cs="Arial" w:eastAsia="Arial"/>
            <w:color w:val="0000FF"/>
            <w:spacing w:val="0"/>
            <w:position w:val="0"/>
            <w:sz w:val="24"/>
            <w:u w:val="single"/>
            <w:shd w:fill="auto" w:val="clear"/>
          </w:rPr>
          <w:t xml:space="preserve">https://www.verywellhealth.com/wearable-tech-for-diabetes-4846257</w:t>
        </w:r>
      </w:hyperlink>
      <w:r>
        <w:rPr>
          <w:rFonts w:ascii="Arial" w:hAnsi="Arial" w:cs="Arial" w:eastAsia="Arial"/>
          <w:color w:val="auto"/>
          <w:spacing w:val="0"/>
          <w:position w:val="0"/>
          <w:sz w:val="24"/>
          <w:shd w:fill="auto" w:val="clear"/>
        </w:rPr>
        <w:t xml:space="preserve"> [Accessed 31 Oct. 2023].</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Cleveland Clinic 2021. </w:t>
      </w:r>
      <w:r>
        <w:rPr>
          <w:rFonts w:ascii="Arial" w:hAnsi="Arial" w:cs="Arial" w:eastAsia="Arial"/>
          <w:i/>
          <w:color w:val="auto"/>
          <w:spacing w:val="0"/>
          <w:position w:val="0"/>
          <w:sz w:val="24"/>
          <w:shd w:fill="auto" w:val="clear"/>
        </w:rPr>
        <w:t xml:space="preserve">Continuous Glucose Monitoring</w:t>
      </w:r>
      <w:r>
        <w:rPr>
          <w:rFonts w:ascii="Arial" w:hAnsi="Arial" w:cs="Arial" w:eastAsia="Arial"/>
          <w:color w:val="auto"/>
          <w:spacing w:val="0"/>
          <w:position w:val="0"/>
          <w:sz w:val="24"/>
          <w:shd w:fill="auto" w:val="clear"/>
        </w:rPr>
        <w:t xml:space="preserve">. [online] Cleveland Clinic. Available at: </w:t>
      </w:r>
      <w:hyperlink xmlns:r="http://schemas.openxmlformats.org/officeDocument/2006/relationships" r:id="docRId18">
        <w:r>
          <w:rPr>
            <w:rFonts w:ascii="Arial" w:hAnsi="Arial" w:cs="Arial" w:eastAsia="Arial"/>
            <w:color w:val="0000FF"/>
            <w:spacing w:val="0"/>
            <w:position w:val="0"/>
            <w:sz w:val="24"/>
            <w:u w:val="single"/>
            <w:shd w:fill="auto" w:val="clear"/>
          </w:rPr>
          <w:t xml:space="preserve">https://my.clevelandclinic.org/health/treatments/11444-glucose-continuous-glucose-monitoring</w:t>
        </w:r>
      </w:hyperlink>
      <w:r>
        <w:rPr>
          <w:rFonts w:ascii="Arial" w:hAnsi="Arial" w:cs="Arial" w:eastAsia="Arial"/>
          <w:color w:val="auto"/>
          <w:spacing w:val="0"/>
          <w:position w:val="0"/>
          <w:sz w:val="24"/>
          <w:shd w:fill="auto" w:val="clear"/>
        </w:rPr>
        <w:t xml:space="preserve"> [Accessed 31 Oct. 2023].</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Diabetes UK 2023. </w:t>
      </w:r>
      <w:r>
        <w:rPr>
          <w:rFonts w:ascii="Arial" w:hAnsi="Arial" w:cs="Arial" w:eastAsia="Arial"/>
          <w:i/>
          <w:color w:val="auto"/>
          <w:spacing w:val="0"/>
          <w:position w:val="0"/>
          <w:sz w:val="24"/>
          <w:shd w:fill="auto" w:val="clear"/>
        </w:rPr>
        <w:t xml:space="preserve">How Many People in the UK Have diabetes?</w:t>
      </w:r>
      <w:r>
        <w:rPr>
          <w:rFonts w:ascii="Arial" w:hAnsi="Arial" w:cs="Arial" w:eastAsia="Arial"/>
          <w:color w:val="auto"/>
          <w:spacing w:val="0"/>
          <w:position w:val="0"/>
          <w:sz w:val="24"/>
          <w:shd w:fill="auto" w:val="clear"/>
        </w:rPr>
        <w:t xml:space="preserve"> [online] Diabetes UK. Available at: </w:t>
      </w:r>
      <w:hyperlink xmlns:r="http://schemas.openxmlformats.org/officeDocument/2006/relationships" r:id="docRId19">
        <w:r>
          <w:rPr>
            <w:rFonts w:ascii="Arial" w:hAnsi="Arial" w:cs="Arial" w:eastAsia="Arial"/>
            <w:color w:val="0000FF"/>
            <w:spacing w:val="0"/>
            <w:position w:val="0"/>
            <w:sz w:val="24"/>
            <w:u w:val="single"/>
            <w:shd w:fill="auto" w:val="clear"/>
          </w:rPr>
          <w:t xml:space="preserve">https://www.diabetes.org.uk/professionals/position-statements-reports/statistics</w:t>
        </w:r>
      </w:hyperlink>
      <w:r>
        <w:rPr>
          <w:rFonts w:ascii="Arial" w:hAnsi="Arial" w:cs="Arial" w:eastAsia="Arial"/>
          <w:color w:val="auto"/>
          <w:spacing w:val="0"/>
          <w:position w:val="0"/>
          <w:sz w:val="24"/>
          <w:shd w:fill="auto" w:val="clear"/>
        </w:rPr>
        <w:t xml:space="preserve"> [Accessed 31 Oct. 2023].</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Diabetes UK 2022. </w:t>
      </w:r>
      <w:r>
        <w:rPr>
          <w:rFonts w:ascii="Arial" w:hAnsi="Arial" w:cs="Arial" w:eastAsia="Arial"/>
          <w:i/>
          <w:color w:val="auto"/>
          <w:spacing w:val="0"/>
          <w:position w:val="0"/>
          <w:sz w:val="24"/>
          <w:shd w:fill="auto" w:val="clear"/>
        </w:rPr>
        <w:t xml:space="preserve">Diabetes is Serious</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20">
        <w:r>
          <w:rPr>
            <w:rFonts w:ascii="Arial" w:hAnsi="Arial" w:cs="Arial" w:eastAsia="Arial"/>
            <w:color w:val="0000FF"/>
            <w:spacing w:val="0"/>
            <w:position w:val="0"/>
            <w:sz w:val="24"/>
            <w:u w:val="single"/>
            <w:shd w:fill="auto" w:val="clear"/>
          </w:rPr>
          <w:t xml:space="preserve">https://diabetes-resources-production.s3.eu-west-1.amazonaws.com/resources-s3/public/2022-04/Diabetes%20is%20Serious%20Report%20Digital_0.pdf</w:t>
        </w:r>
      </w:hyperlink>
      <w:r>
        <w:rPr>
          <w:rFonts w:ascii="Arial" w:hAnsi="Arial" w:cs="Arial" w:eastAsia="Arial"/>
          <w:color w:val="auto"/>
          <w:spacing w:val="0"/>
          <w:position w:val="0"/>
          <w:sz w:val="24"/>
          <w:shd w:fill="auto" w:val="clear"/>
        </w:rPr>
        <w:t xml:space="preserve"> [Accessed 31 Oct. 2023].</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Domingo-Lopez, D.A., Lattanzi, G., Schreiber, L.H., Wallace, E.J., Wylie, R., O'Sullivan, J., Dolan, E.B. and Duffy, G.P., 2022. Medical devices, smart drug delivery, wearables and technology for the treatment of Diabetes Mellitus. </w:t>
      </w:r>
      <w:r>
        <w:rPr>
          <w:rFonts w:ascii="Arial" w:hAnsi="Arial" w:cs="Arial" w:eastAsia="Arial"/>
          <w:i/>
          <w:color w:val="auto"/>
          <w:spacing w:val="0"/>
          <w:position w:val="0"/>
          <w:sz w:val="24"/>
          <w:shd w:fill="auto" w:val="clear"/>
        </w:rPr>
        <w:t xml:space="preserve">Advanced Drug Delivery Reviews</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185</w:t>
      </w:r>
      <w:r>
        <w:rPr>
          <w:rFonts w:ascii="Arial" w:hAnsi="Arial" w:cs="Arial" w:eastAsia="Arial"/>
          <w:color w:val="auto"/>
          <w:spacing w:val="0"/>
          <w:position w:val="0"/>
          <w:sz w:val="24"/>
          <w:shd w:fill="auto" w:val="clear"/>
        </w:rPr>
        <w:t xml:space="preserve">, p.114280.</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Fagherazzi, G. and Ravaud, P., 2019. Digital diabetes: Perspectives for diabetes prevention, management and research. </w:t>
      </w:r>
      <w:r>
        <w:rPr>
          <w:rFonts w:ascii="Arial" w:hAnsi="Arial" w:cs="Arial" w:eastAsia="Arial"/>
          <w:i/>
          <w:color w:val="auto"/>
          <w:spacing w:val="0"/>
          <w:position w:val="0"/>
          <w:sz w:val="24"/>
          <w:shd w:fill="auto" w:val="clear"/>
        </w:rPr>
        <w:t xml:space="preserve">Diabetes &amp; metabolism</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45</w:t>
      </w:r>
      <w:r>
        <w:rPr>
          <w:rFonts w:ascii="Arial" w:hAnsi="Arial" w:cs="Arial" w:eastAsia="Arial"/>
          <w:color w:val="auto"/>
          <w:spacing w:val="0"/>
          <w:position w:val="0"/>
          <w:sz w:val="24"/>
          <w:shd w:fill="auto" w:val="clear"/>
        </w:rPr>
        <w:t xml:space="preserve">(4), pp.322-329.</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Khan, M.A.B., Hashim, M.J., King, J.K., Govender, R.D., Mustafa, H. and Al Kaabi, J., 2020. Epidemiology of type 2 diabetes</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global burden of disease and forecasted trends.</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Journal of epidemiology and global health</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10</w:t>
      </w:r>
      <w:r>
        <w:rPr>
          <w:rFonts w:ascii="Arial" w:hAnsi="Arial" w:cs="Arial" w:eastAsia="Arial"/>
          <w:color w:val="auto"/>
          <w:spacing w:val="0"/>
          <w:position w:val="0"/>
          <w:sz w:val="24"/>
          <w:shd w:fill="auto" w:val="clear"/>
        </w:rPr>
        <w:t xml:space="preserve">(1), p.107.</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Klonoff, A.N., Lee, W.A., Xu, N.Y., Nguyen, K.T., DuBord, A. and Kerr, D., 2023. Six digital health technologies that will transform diabetes. </w:t>
      </w:r>
      <w:r>
        <w:rPr>
          <w:rFonts w:ascii="Arial" w:hAnsi="Arial" w:cs="Arial" w:eastAsia="Arial"/>
          <w:i/>
          <w:color w:val="auto"/>
          <w:spacing w:val="0"/>
          <w:position w:val="0"/>
          <w:sz w:val="24"/>
          <w:shd w:fill="auto" w:val="clear"/>
        </w:rPr>
        <w:t xml:space="preserve">Journal of diabetes science and technology</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17</w:t>
      </w:r>
      <w:r>
        <w:rPr>
          <w:rFonts w:ascii="Arial" w:hAnsi="Arial" w:cs="Arial" w:eastAsia="Arial"/>
          <w:color w:val="auto"/>
          <w:spacing w:val="0"/>
          <w:position w:val="0"/>
          <w:sz w:val="24"/>
          <w:shd w:fill="auto" w:val="clear"/>
        </w:rPr>
        <w:t xml:space="preserve">(1), pp.239-249.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Makroum, M.A., Adda, M., Bouzouane, A. and Ibrahim, H., 2022. Machine learning and smart devices for diabetes management: Systematic review. </w:t>
      </w:r>
      <w:r>
        <w:rPr>
          <w:rFonts w:ascii="Arial" w:hAnsi="Arial" w:cs="Arial" w:eastAsia="Arial"/>
          <w:i/>
          <w:color w:val="auto"/>
          <w:spacing w:val="0"/>
          <w:position w:val="0"/>
          <w:sz w:val="24"/>
          <w:shd w:fill="auto" w:val="clear"/>
        </w:rPr>
        <w:t xml:space="preserve">Sensors</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22</w:t>
      </w:r>
      <w:r>
        <w:rPr>
          <w:rFonts w:ascii="Arial" w:hAnsi="Arial" w:cs="Arial" w:eastAsia="Arial"/>
          <w:color w:val="auto"/>
          <w:spacing w:val="0"/>
          <w:position w:val="0"/>
          <w:sz w:val="24"/>
          <w:shd w:fill="auto" w:val="clear"/>
        </w:rPr>
        <w:t xml:space="preserve">(5), p.1843.</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Mathews, S.C., McShea, M.J., Hanley, C.L., Ravitz, A., Labrique, A.B. and Cohen, A.B., 2019. Digital health: a path to validation. </w:t>
      </w:r>
      <w:r>
        <w:rPr>
          <w:rFonts w:ascii="Arial" w:hAnsi="Arial" w:cs="Arial" w:eastAsia="Arial"/>
          <w:i/>
          <w:color w:val="auto"/>
          <w:spacing w:val="0"/>
          <w:position w:val="0"/>
          <w:sz w:val="24"/>
          <w:shd w:fill="auto" w:val="clear"/>
        </w:rPr>
        <w:t xml:space="preserve">NPJ digital medicine</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2</w:t>
      </w:r>
      <w:r>
        <w:rPr>
          <w:rFonts w:ascii="Arial" w:hAnsi="Arial" w:cs="Arial" w:eastAsia="Arial"/>
          <w:color w:val="auto"/>
          <w:spacing w:val="0"/>
          <w:position w:val="0"/>
          <w:sz w:val="24"/>
          <w:shd w:fill="auto" w:val="clear"/>
        </w:rPr>
        <w:t xml:space="preserve">(1), p.38.</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MedlinePlus 2017. </w:t>
      </w:r>
      <w:r>
        <w:rPr>
          <w:rFonts w:ascii="Arial" w:hAnsi="Arial" w:cs="Arial" w:eastAsia="Arial"/>
          <w:i/>
          <w:color w:val="auto"/>
          <w:spacing w:val="0"/>
          <w:position w:val="0"/>
          <w:sz w:val="24"/>
          <w:shd w:fill="auto" w:val="clear"/>
        </w:rPr>
        <w:t xml:space="preserve">Health Risks of an Inactive Lifestyle</w:t>
      </w:r>
      <w:r>
        <w:rPr>
          <w:rFonts w:ascii="Arial" w:hAnsi="Arial" w:cs="Arial" w:eastAsia="Arial"/>
          <w:color w:val="auto"/>
          <w:spacing w:val="0"/>
          <w:position w:val="0"/>
          <w:sz w:val="24"/>
          <w:shd w:fill="auto" w:val="clear"/>
        </w:rPr>
        <w:t xml:space="preserve">. [online] medlineplus.gov. Available at: </w:t>
      </w:r>
      <w:hyperlink xmlns:r="http://schemas.openxmlformats.org/officeDocument/2006/relationships" r:id="docRId21">
        <w:r>
          <w:rPr>
            <w:rFonts w:ascii="Arial" w:hAnsi="Arial" w:cs="Arial" w:eastAsia="Arial"/>
            <w:color w:val="0000FF"/>
            <w:spacing w:val="0"/>
            <w:position w:val="0"/>
            <w:sz w:val="24"/>
            <w:u w:val="single"/>
            <w:shd w:fill="auto" w:val="clear"/>
          </w:rPr>
          <w:t xml:space="preserve">https://medlineplus.gov/healthrisksofaninactivelifestyle.html#:~:text=By%20not%20getting%20regular%20exercise</w:t>
        </w:r>
      </w:hyperlink>
      <w:r>
        <w:rPr>
          <w:rFonts w:ascii="Arial" w:hAnsi="Arial" w:cs="Arial" w:eastAsia="Arial"/>
          <w:color w:val="auto"/>
          <w:spacing w:val="0"/>
          <w:position w:val="0"/>
          <w:sz w:val="24"/>
          <w:shd w:fill="auto" w:val="clear"/>
        </w:rPr>
        <w:t xml:space="preserve"> [Accessed 31 Oct. 2023].</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National Youth Council of Ireland [NYCI] 2022. </w:t>
      </w:r>
      <w:r>
        <w:rPr>
          <w:rFonts w:ascii="Arial" w:hAnsi="Arial" w:cs="Arial" w:eastAsia="Arial"/>
          <w:i/>
          <w:color w:val="auto"/>
          <w:spacing w:val="0"/>
          <w:position w:val="0"/>
          <w:sz w:val="24"/>
          <w:shd w:fill="auto" w:val="clear"/>
        </w:rPr>
        <w:t xml:space="preserve">Principles of Health Promotion</w:t>
      </w:r>
      <w:r>
        <w:rPr>
          <w:rFonts w:ascii="Arial" w:hAnsi="Arial" w:cs="Arial" w:eastAsia="Arial"/>
          <w:color w:val="auto"/>
          <w:spacing w:val="0"/>
          <w:position w:val="0"/>
          <w:sz w:val="24"/>
          <w:shd w:fill="auto" w:val="clear"/>
        </w:rPr>
        <w:t xml:space="preserve">. [online] National Youth Council of Ireland. Available at: </w:t>
      </w:r>
      <w:hyperlink xmlns:r="http://schemas.openxmlformats.org/officeDocument/2006/relationships" r:id="docRId22">
        <w:r>
          <w:rPr>
            <w:rFonts w:ascii="Arial" w:hAnsi="Arial" w:cs="Arial" w:eastAsia="Arial"/>
            <w:color w:val="0000FF"/>
            <w:spacing w:val="0"/>
            <w:position w:val="0"/>
            <w:sz w:val="24"/>
            <w:u w:val="single"/>
            <w:shd w:fill="auto" w:val="clear"/>
          </w:rPr>
          <w:t xml:space="preserve">https://www.youth.ie/articles/principles-of-health-promotion/</w:t>
        </w:r>
      </w:hyperlink>
      <w:r>
        <w:rPr>
          <w:rFonts w:ascii="Arial" w:hAnsi="Arial" w:cs="Arial" w:eastAsia="Arial"/>
          <w:color w:val="auto"/>
          <w:spacing w:val="0"/>
          <w:position w:val="0"/>
          <w:sz w:val="24"/>
          <w:shd w:fill="auto" w:val="clear"/>
        </w:rPr>
        <w:t xml:space="preserve"> [Accessed 31 Oct. 2023].</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NHS Digital 2021, </w:t>
      </w:r>
      <w:r>
        <w:rPr>
          <w:rFonts w:ascii="Arial" w:hAnsi="Arial" w:cs="Arial" w:eastAsia="Arial"/>
          <w:i/>
          <w:color w:val="auto"/>
          <w:spacing w:val="0"/>
          <w:position w:val="0"/>
          <w:sz w:val="24"/>
          <w:shd w:fill="auto" w:val="clear"/>
        </w:rPr>
        <w:t xml:space="preserve">National Diabetes Audit - Young People with Type 2 Diabetes, 2019-20. </w:t>
      </w:r>
      <w:r>
        <w:rPr>
          <w:rFonts w:ascii="Arial" w:hAnsi="Arial" w:cs="Arial" w:eastAsia="Arial"/>
          <w:color w:val="auto"/>
          <w:spacing w:val="0"/>
          <w:position w:val="0"/>
          <w:sz w:val="24"/>
          <w:shd w:fill="auto" w:val="clear"/>
        </w:rPr>
        <w:t xml:space="preserve">Available at: </w:t>
      </w:r>
      <w:hyperlink xmlns:r="http://schemas.openxmlformats.org/officeDocument/2006/relationships" r:id="docRId23">
        <w:r>
          <w:rPr>
            <w:rFonts w:ascii="Arial" w:hAnsi="Arial" w:cs="Arial" w:eastAsia="Arial"/>
            <w:color w:val="0000FF"/>
            <w:spacing w:val="0"/>
            <w:position w:val="0"/>
            <w:sz w:val="24"/>
            <w:u w:val="single"/>
            <w:shd w:fill="auto" w:val="clear"/>
          </w:rPr>
          <w:t xml:space="preserve">https://digital.nhs.uk/data-and-information/publications/statistical/national-diabetes-audit/young-people-with-type-2-diabetes-2019--20</w:t>
        </w:r>
      </w:hyperlink>
      <w:r>
        <w:rPr>
          <w:rFonts w:ascii="Arial" w:hAnsi="Arial" w:cs="Arial" w:eastAsia="Arial"/>
          <w:color w:val="auto"/>
          <w:spacing w:val="0"/>
          <w:position w:val="0"/>
          <w:sz w:val="24"/>
          <w:shd w:fill="auto" w:val="clear"/>
        </w:rPr>
        <w:t xml:space="preserve"> [Accessed 31 Oct. 2023].</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Shan, R., Sarkar, S. and Martin, S.S., 2019. Digital health technology and mobile devices for the management of diabetes mellitus: state of the art. </w:t>
      </w:r>
      <w:r>
        <w:rPr>
          <w:rFonts w:ascii="Arial" w:hAnsi="Arial" w:cs="Arial" w:eastAsia="Arial"/>
          <w:i/>
          <w:color w:val="auto"/>
          <w:spacing w:val="0"/>
          <w:position w:val="0"/>
          <w:sz w:val="24"/>
          <w:shd w:fill="auto" w:val="clear"/>
        </w:rPr>
        <w:t xml:space="preserve">Diabetologia</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62</w:t>
      </w:r>
      <w:r>
        <w:rPr>
          <w:rFonts w:ascii="Arial" w:hAnsi="Arial" w:cs="Arial" w:eastAsia="Arial"/>
          <w:color w:val="auto"/>
          <w:spacing w:val="0"/>
          <w:position w:val="0"/>
          <w:sz w:val="24"/>
          <w:shd w:fill="auto" w:val="clear"/>
        </w:rPr>
        <w:t xml:space="preserve">, pp.877-887.</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Sharma, M., 2021. </w:t>
      </w:r>
      <w:r>
        <w:rPr>
          <w:rFonts w:ascii="Arial" w:hAnsi="Arial" w:cs="Arial" w:eastAsia="Arial"/>
          <w:i/>
          <w:color w:val="auto"/>
          <w:spacing w:val="0"/>
          <w:position w:val="0"/>
          <w:sz w:val="24"/>
          <w:shd w:fill="auto" w:val="clear"/>
        </w:rPr>
        <w:t xml:space="preserve">Theoretical foundations of health education and health promotion</w:t>
      </w:r>
      <w:r>
        <w:rPr>
          <w:rFonts w:ascii="Arial" w:hAnsi="Arial" w:cs="Arial" w:eastAsia="Arial"/>
          <w:color w:val="auto"/>
          <w:spacing w:val="0"/>
          <w:position w:val="0"/>
          <w:sz w:val="24"/>
          <w:shd w:fill="auto" w:val="clear"/>
        </w:rPr>
        <w:t xml:space="preserve">. Jones &amp; Bartlett Learning.</w:t>
      </w:r>
    </w:p>
    <w:p>
      <w:pPr>
        <w:spacing w:before="0" w:after="200" w:line="360"/>
        <w:ind w:right="0" w:left="0" w:firstLine="0"/>
        <w:jc w:val="both"/>
        <w:rPr>
          <w:rFonts w:ascii="Arial" w:hAnsi="Arial" w:cs="Arial" w:eastAsia="Arial"/>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verywellhealth.com/wearable-tech-for-diabetes-4846257" Id="docRId17" Type="http://schemas.openxmlformats.org/officeDocument/2006/relationships/hyperlink" /><Relationship Target="numbering.xml" Id="docRId24" Type="http://schemas.openxmlformats.org/officeDocument/2006/relationships/numbering" /><Relationship TargetMode="External" Target="https://www.gov.uk/government/publications/physical-activity-applying-all-our-health/physical-activity-applying-all-our-health#:~:text=Physical%20inactivity%20is%20associated%20with" Id="docRId7" Type="http://schemas.openxmlformats.org/officeDocument/2006/relationships/hyperlink" /><Relationship Target="embeddings/oleObject3.bin" Id="docRId14" Type="http://schemas.openxmlformats.org/officeDocument/2006/relationships/oleObject" /><Relationship TargetMode="External" Target="https://digital.nhs.uk/data-and-information/publications/statistical/national-diabetes-audit/young-people-with-type-2-diabetes-2019--20" Id="docRId23" Type="http://schemas.openxmlformats.org/officeDocument/2006/relationships/hyperlink" /><Relationship Target="media/image0.wmf" Id="docRId6" Type="http://schemas.openxmlformats.org/officeDocument/2006/relationships/image" /><Relationship TargetMode="External" Target="https://my.clevelandclinic.org/health/treatments/11444-glucose-continuous-glucose-monitoring" Id="docRId1" Type="http://schemas.openxmlformats.org/officeDocument/2006/relationships/hyperlink" /><Relationship Target="media/image3.wmf" Id="docRId15" Type="http://schemas.openxmlformats.org/officeDocument/2006/relationships/image" /><Relationship TargetMode="External" Target="https://www.youth.ie/articles/principles-of-health-promotion/" Id="docRId22" Type="http://schemas.openxmlformats.org/officeDocument/2006/relationships/hyperlink" /><Relationship TargetMode="External" Target="https://www.theguardian.com/society/2022/apr/28/number-of-inactive-adults-in-england-rises-by-more-than-1m-since-covid-peak" Id="docRId9" Type="http://schemas.openxmlformats.org/officeDocument/2006/relationships/hyperlink" /><Relationship TargetMode="External" Target="https://www.diabeteseducator.org/danatech/glucose-monitoring/continuous-glucose-monitors-(cgm)/cgm-101/pros-cons-of-cgm#:~:text=Potential%20DISADVANTAGES%3A&amp;text=Need%20to%20remember%20to%20scan" Id="docRId0" Type="http://schemas.openxmlformats.org/officeDocument/2006/relationships/hyperlink" /><Relationship Target="embeddings/oleObject2.bin" Id="docRId12" Type="http://schemas.openxmlformats.org/officeDocument/2006/relationships/oleObject" /><Relationship TargetMode="External" Target="https://people.umass.edu/aizen/tpb.diag.html" Id="docRId16" Type="http://schemas.openxmlformats.org/officeDocument/2006/relationships/hyperlink" /><Relationship TargetMode="External" Target="https://medlineplus.gov/healthrisksofaninactivelifestyle.html#:~:text=By%20not%20getting%20regular%20exercise" Id="docRId21" Type="http://schemas.openxmlformats.org/officeDocument/2006/relationships/hyperlink" /><Relationship Target="styles.xml" Id="docRId25" Type="http://schemas.openxmlformats.org/officeDocument/2006/relationships/styles" /><Relationship TargetMode="External" Target="https://www.theguardian.com/society/2023/apr/13/uk-in-rapidly-escalating-diabetes-crisis-as-cases-top-5m-report-says" Id="docRId4" Type="http://schemas.openxmlformats.org/officeDocument/2006/relationships/hyperlink" /><Relationship TargetMode="External" Target="https://medlineplus.gov/healthrisksofaninactivelifestyle.html#:~:text=By%20not%20getting%20regular%20exercise" Id="docRId8" Type="http://schemas.openxmlformats.org/officeDocument/2006/relationships/hyperlink" /><Relationship Target="media/image2.wmf" Id="docRId13" Type="http://schemas.openxmlformats.org/officeDocument/2006/relationships/image" /><Relationship TargetMode="External" Target="https://diabetes-resources-production.s3.eu-west-1.amazonaws.com/resources-s3/public/2022-04/Diabetes%20is%20Serious%20Report%20Digital_0.pdf" Id="docRId20" Type="http://schemas.openxmlformats.org/officeDocument/2006/relationships/hyperlink" /><Relationship TargetMode="External" Target="https://www.diabetes.co.uk/cost-of-diabetes.html#:~:text=In%20total%2C%20an%20estimated%20%C2%A3" Id="docRId3" Type="http://schemas.openxmlformats.org/officeDocument/2006/relationships/hyperlink" /><Relationship Target="embeddings/oleObject1.bin" Id="docRId10" Type="http://schemas.openxmlformats.org/officeDocument/2006/relationships/oleObject" /><Relationship TargetMode="External" Target="https://my.clevelandclinic.org/health/treatments/11444-glucose-continuous-glucose-monitoring" Id="docRId18" Type="http://schemas.openxmlformats.org/officeDocument/2006/relationships/hyperlink" /><Relationship TargetMode="External" Target="https://www.diabetes.org.uk/guide-to-diabetes/diabetes-technology/what-is-diabetes-technology" Id="docRId2" Type="http://schemas.openxmlformats.org/officeDocument/2006/relationships/hyperlink" /><Relationship Target="media/image1.wmf" Id="docRId11" Type="http://schemas.openxmlformats.org/officeDocument/2006/relationships/image" /><Relationship TargetMode="External" Target="https://www.diabetes.org.uk/professionals/position-statements-reports/statistics" Id="docRId19" Type="http://schemas.openxmlformats.org/officeDocument/2006/relationships/hyperlink" /><Relationship Target="embeddings/oleObject0.bin" Id="docRId5" Type="http://schemas.openxmlformats.org/officeDocument/2006/relationships/oleObject" /></Relationships>
</file>