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911C0D" w14:textId="77777777" w:rsidR="00570D5A" w:rsidRDefault="00570D5A" w:rsidP="00570D5A">
      <w:pPr>
        <w:spacing w:line="360" w:lineRule="auto"/>
        <w:rPr>
          <w:rFonts w:ascii="Arial" w:eastAsia="Arial" w:hAnsi="Arial" w:cs="Arial"/>
          <w:b/>
          <w:bCs/>
        </w:rPr>
      </w:pPr>
      <w:r>
        <w:rPr>
          <w:noProof/>
        </w:rPr>
        <w:drawing>
          <wp:inline distT="0" distB="0" distL="0" distR="0" wp14:anchorId="184A5A6D" wp14:editId="777BCC01">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4DEDE1A2" w14:textId="77777777" w:rsidR="00570D5A" w:rsidRDefault="00570D5A" w:rsidP="00570D5A">
      <w:pPr>
        <w:spacing w:line="360" w:lineRule="auto"/>
        <w:rPr>
          <w:rFonts w:ascii="Arial" w:eastAsia="Arial" w:hAnsi="Arial" w:cs="Arial"/>
          <w:b/>
          <w:bCs/>
        </w:rPr>
      </w:pPr>
    </w:p>
    <w:p w14:paraId="39F5E58F" w14:textId="77777777" w:rsidR="00570D5A" w:rsidRDefault="00570D5A" w:rsidP="00570D5A">
      <w:pPr>
        <w:jc w:val="both"/>
        <w:rPr>
          <w:rFonts w:asciiTheme="minorBidi" w:hAnsiTheme="minorBidi"/>
          <w:sz w:val="28"/>
          <w:szCs w:val="28"/>
        </w:rPr>
      </w:pPr>
      <w:r>
        <w:rPr>
          <w:rFonts w:asciiTheme="minorBidi" w:hAnsiTheme="minorBidi"/>
          <w:sz w:val="28"/>
          <w:szCs w:val="28"/>
        </w:rPr>
        <w:t xml:space="preserve">Name: </w:t>
      </w:r>
      <w:proofErr w:type="spellStart"/>
      <w:r w:rsidRPr="009E12FC">
        <w:rPr>
          <w:rFonts w:asciiTheme="minorBidi" w:hAnsiTheme="minorBidi"/>
          <w:sz w:val="28"/>
          <w:szCs w:val="28"/>
        </w:rPr>
        <w:t>Folake</w:t>
      </w:r>
      <w:proofErr w:type="spellEnd"/>
      <w:r w:rsidRPr="009E12FC">
        <w:rPr>
          <w:rFonts w:asciiTheme="minorBidi" w:hAnsiTheme="minorBidi"/>
          <w:sz w:val="28"/>
          <w:szCs w:val="28"/>
        </w:rPr>
        <w:t xml:space="preserve"> </w:t>
      </w:r>
      <w:proofErr w:type="spellStart"/>
      <w:r w:rsidRPr="009E12FC">
        <w:rPr>
          <w:rFonts w:asciiTheme="minorBidi" w:hAnsiTheme="minorBidi"/>
          <w:sz w:val="28"/>
          <w:szCs w:val="28"/>
        </w:rPr>
        <w:t>Monsurat</w:t>
      </w:r>
      <w:proofErr w:type="spellEnd"/>
      <w:r w:rsidRPr="009E12FC">
        <w:rPr>
          <w:rFonts w:asciiTheme="minorBidi" w:hAnsiTheme="minorBidi"/>
          <w:sz w:val="28"/>
          <w:szCs w:val="28"/>
        </w:rPr>
        <w:t xml:space="preserve"> Alabi</w:t>
      </w:r>
    </w:p>
    <w:p w14:paraId="29747365" w14:textId="77777777" w:rsidR="00570D5A" w:rsidRDefault="00570D5A" w:rsidP="00570D5A">
      <w:pPr>
        <w:jc w:val="both"/>
        <w:rPr>
          <w:rFonts w:asciiTheme="minorBidi" w:hAnsiTheme="minorBidi"/>
          <w:sz w:val="28"/>
          <w:szCs w:val="28"/>
        </w:rPr>
      </w:pPr>
      <w:r>
        <w:rPr>
          <w:rFonts w:asciiTheme="minorBidi" w:hAnsiTheme="minorBidi"/>
          <w:sz w:val="28"/>
          <w:szCs w:val="28"/>
        </w:rPr>
        <w:t xml:space="preserve">Student ID: </w:t>
      </w:r>
      <w:r w:rsidRPr="009E12FC">
        <w:rPr>
          <w:rFonts w:asciiTheme="minorBidi" w:hAnsiTheme="minorBidi"/>
          <w:sz w:val="28"/>
          <w:szCs w:val="28"/>
        </w:rPr>
        <w:t>2513650</w:t>
      </w:r>
    </w:p>
    <w:p w14:paraId="737BB85D" w14:textId="6846C709" w:rsidR="00570D5A" w:rsidRDefault="00570D5A" w:rsidP="00570D5A">
      <w:pPr>
        <w:jc w:val="both"/>
        <w:rPr>
          <w:rFonts w:asciiTheme="minorBidi" w:hAnsiTheme="minorBidi"/>
          <w:sz w:val="28"/>
          <w:szCs w:val="28"/>
        </w:rPr>
      </w:pPr>
      <w:r>
        <w:rPr>
          <w:rFonts w:asciiTheme="minorBidi" w:hAnsiTheme="minorBidi"/>
          <w:sz w:val="28"/>
          <w:szCs w:val="28"/>
        </w:rPr>
        <w:t xml:space="preserve">Module Code: </w:t>
      </w:r>
      <w:r>
        <w:rPr>
          <w:rFonts w:asciiTheme="minorBidi" w:hAnsiTheme="minorBidi"/>
          <w:sz w:val="28"/>
          <w:szCs w:val="28"/>
        </w:rPr>
        <w:t>LCHS4003</w:t>
      </w:r>
    </w:p>
    <w:p w14:paraId="6C5CBD58" w14:textId="16CF758E" w:rsidR="00570D5A" w:rsidRDefault="00570D5A" w:rsidP="00570D5A">
      <w:pPr>
        <w:jc w:val="both"/>
        <w:rPr>
          <w:rFonts w:asciiTheme="minorBidi" w:hAnsiTheme="minorBidi"/>
          <w:sz w:val="28"/>
          <w:szCs w:val="28"/>
        </w:rPr>
      </w:pPr>
      <w:r>
        <w:rPr>
          <w:rFonts w:asciiTheme="minorBidi" w:hAnsiTheme="minorBidi"/>
          <w:sz w:val="28"/>
          <w:szCs w:val="28"/>
        </w:rPr>
        <w:t xml:space="preserve">Module: </w:t>
      </w:r>
      <w:r>
        <w:rPr>
          <w:rFonts w:asciiTheme="minorBidi" w:hAnsiTheme="minorBidi"/>
          <w:sz w:val="28"/>
          <w:szCs w:val="28"/>
        </w:rPr>
        <w:t>Introduction to health and social care</w:t>
      </w:r>
    </w:p>
    <w:p w14:paraId="3CD8D906" w14:textId="780CF025" w:rsidR="00570D5A" w:rsidRDefault="00570D5A" w:rsidP="00570D5A">
      <w:pPr>
        <w:jc w:val="both"/>
        <w:rPr>
          <w:rFonts w:asciiTheme="minorBidi" w:hAnsiTheme="minorBidi"/>
          <w:sz w:val="28"/>
          <w:szCs w:val="28"/>
        </w:rPr>
      </w:pPr>
      <w:r>
        <w:rPr>
          <w:rFonts w:asciiTheme="minorBidi" w:hAnsiTheme="minorBidi"/>
          <w:sz w:val="28"/>
          <w:szCs w:val="28"/>
        </w:rPr>
        <w:t xml:space="preserve">Lecturer: </w:t>
      </w:r>
      <w:r>
        <w:rPr>
          <w:rFonts w:asciiTheme="minorBidi" w:hAnsiTheme="minorBidi"/>
          <w:sz w:val="28"/>
          <w:szCs w:val="28"/>
        </w:rPr>
        <w:t>Muhammad Aliyu</w:t>
      </w:r>
    </w:p>
    <w:p w14:paraId="660A7EFD" w14:textId="77777777" w:rsidR="00570D5A" w:rsidRDefault="00570D5A" w:rsidP="00570D5A">
      <w:pPr>
        <w:jc w:val="both"/>
        <w:rPr>
          <w:rFonts w:asciiTheme="minorBidi" w:hAnsiTheme="minorBidi"/>
          <w:sz w:val="28"/>
          <w:szCs w:val="28"/>
        </w:rPr>
      </w:pPr>
    </w:p>
    <w:p w14:paraId="3BB69883" w14:textId="77777777" w:rsidR="00570D5A" w:rsidRDefault="00570D5A" w:rsidP="00570D5A">
      <w:pPr>
        <w:jc w:val="both"/>
        <w:rPr>
          <w:rFonts w:asciiTheme="minorBidi" w:hAnsiTheme="minorBidi"/>
          <w:sz w:val="28"/>
          <w:szCs w:val="28"/>
        </w:rPr>
      </w:pPr>
    </w:p>
    <w:p w14:paraId="6705A2F1" w14:textId="77777777" w:rsidR="00570D5A" w:rsidRDefault="00570D5A" w:rsidP="00570D5A">
      <w:pPr>
        <w:jc w:val="both"/>
        <w:rPr>
          <w:rFonts w:asciiTheme="minorBidi" w:hAnsiTheme="minorBidi"/>
          <w:sz w:val="28"/>
          <w:szCs w:val="28"/>
        </w:rPr>
      </w:pPr>
    </w:p>
    <w:p w14:paraId="5E48F115" w14:textId="77777777" w:rsidR="00570D5A" w:rsidRDefault="00570D5A" w:rsidP="00570D5A">
      <w:pPr>
        <w:jc w:val="both"/>
        <w:rPr>
          <w:rFonts w:asciiTheme="minorBidi" w:hAnsiTheme="minorBidi"/>
          <w:sz w:val="28"/>
          <w:szCs w:val="28"/>
        </w:rPr>
      </w:pPr>
    </w:p>
    <w:p w14:paraId="2F55A44C" w14:textId="77777777" w:rsidR="00570D5A" w:rsidRDefault="00570D5A" w:rsidP="00570D5A">
      <w:pPr>
        <w:jc w:val="both"/>
        <w:rPr>
          <w:rFonts w:asciiTheme="minorBidi" w:hAnsiTheme="minorBidi"/>
          <w:sz w:val="28"/>
          <w:szCs w:val="28"/>
        </w:rPr>
      </w:pPr>
    </w:p>
    <w:p w14:paraId="038CC025" w14:textId="77777777" w:rsidR="00570D5A" w:rsidRDefault="00570D5A" w:rsidP="00570D5A">
      <w:pPr>
        <w:jc w:val="both"/>
        <w:rPr>
          <w:rFonts w:asciiTheme="minorBidi" w:hAnsiTheme="minorBidi"/>
          <w:sz w:val="28"/>
          <w:szCs w:val="28"/>
        </w:rPr>
      </w:pPr>
      <w:bookmarkStart w:id="0" w:name="_GoBack"/>
      <w:bookmarkEnd w:id="0"/>
    </w:p>
    <w:p w14:paraId="49B3F853" w14:textId="77777777" w:rsidR="00570D5A" w:rsidRDefault="00570D5A" w:rsidP="00570D5A">
      <w:pPr>
        <w:jc w:val="both"/>
        <w:rPr>
          <w:rFonts w:asciiTheme="minorBidi" w:hAnsiTheme="minorBidi"/>
          <w:sz w:val="28"/>
          <w:szCs w:val="28"/>
        </w:rPr>
      </w:pPr>
      <w:r>
        <w:rPr>
          <w:rFonts w:asciiTheme="minorBidi" w:hAnsiTheme="minorBidi"/>
          <w:sz w:val="28"/>
          <w:szCs w:val="28"/>
        </w:rPr>
        <w:t xml:space="preserve">                                                                        Submitted on:     April, 2025</w:t>
      </w:r>
    </w:p>
    <w:p w14:paraId="73633F4B" w14:textId="77777777" w:rsidR="00570D5A" w:rsidRDefault="00570D5A" w:rsidP="00ED1490">
      <w:pPr>
        <w:spacing w:line="360" w:lineRule="auto"/>
        <w:jc w:val="both"/>
        <w:rPr>
          <w:rFonts w:ascii="Arial" w:hAnsi="Arial" w:cs="Arial"/>
          <w:b/>
          <w:bCs/>
          <w:sz w:val="22"/>
          <w:szCs w:val="22"/>
        </w:rPr>
      </w:pPr>
    </w:p>
    <w:p w14:paraId="6C38A436" w14:textId="77777777" w:rsidR="00570D5A" w:rsidRDefault="00570D5A" w:rsidP="00ED1490">
      <w:pPr>
        <w:spacing w:line="360" w:lineRule="auto"/>
        <w:jc w:val="both"/>
        <w:rPr>
          <w:rFonts w:ascii="Arial" w:hAnsi="Arial" w:cs="Arial"/>
          <w:b/>
          <w:bCs/>
          <w:sz w:val="22"/>
          <w:szCs w:val="22"/>
        </w:rPr>
      </w:pPr>
    </w:p>
    <w:p w14:paraId="358DAE7D" w14:textId="77777777" w:rsidR="00570D5A" w:rsidRDefault="00570D5A" w:rsidP="00ED1490">
      <w:pPr>
        <w:spacing w:line="360" w:lineRule="auto"/>
        <w:jc w:val="both"/>
        <w:rPr>
          <w:rFonts w:ascii="Arial" w:hAnsi="Arial" w:cs="Arial"/>
          <w:b/>
          <w:bCs/>
          <w:sz w:val="22"/>
          <w:szCs w:val="22"/>
        </w:rPr>
      </w:pPr>
    </w:p>
    <w:p w14:paraId="19E8EFE3" w14:textId="77777777" w:rsidR="00570D5A" w:rsidRDefault="00570D5A" w:rsidP="00ED1490">
      <w:pPr>
        <w:spacing w:line="360" w:lineRule="auto"/>
        <w:jc w:val="both"/>
        <w:rPr>
          <w:rFonts w:ascii="Arial" w:hAnsi="Arial" w:cs="Arial"/>
          <w:b/>
          <w:bCs/>
          <w:sz w:val="22"/>
          <w:szCs w:val="22"/>
        </w:rPr>
      </w:pPr>
    </w:p>
    <w:p w14:paraId="0CB56533" w14:textId="77777777" w:rsidR="00570D5A" w:rsidRDefault="00570D5A" w:rsidP="00ED1490">
      <w:pPr>
        <w:spacing w:line="360" w:lineRule="auto"/>
        <w:jc w:val="both"/>
        <w:rPr>
          <w:rFonts w:ascii="Arial" w:hAnsi="Arial" w:cs="Arial"/>
          <w:b/>
          <w:bCs/>
          <w:sz w:val="22"/>
          <w:szCs w:val="22"/>
        </w:rPr>
      </w:pPr>
    </w:p>
    <w:p w14:paraId="377B5D2A" w14:textId="77777777" w:rsidR="00570D5A" w:rsidRDefault="00570D5A" w:rsidP="00ED1490">
      <w:pPr>
        <w:spacing w:line="360" w:lineRule="auto"/>
        <w:jc w:val="both"/>
        <w:rPr>
          <w:rFonts w:ascii="Arial" w:hAnsi="Arial" w:cs="Arial"/>
          <w:b/>
          <w:bCs/>
          <w:sz w:val="22"/>
          <w:szCs w:val="22"/>
        </w:rPr>
      </w:pPr>
    </w:p>
    <w:p w14:paraId="63429FBB" w14:textId="12F32C03" w:rsidR="00570D5A" w:rsidRDefault="00570D5A" w:rsidP="00ED1490">
      <w:pPr>
        <w:spacing w:line="360" w:lineRule="auto"/>
        <w:jc w:val="both"/>
        <w:rPr>
          <w:rFonts w:ascii="Arial" w:hAnsi="Arial" w:cs="Arial"/>
          <w:b/>
          <w:bCs/>
          <w:sz w:val="22"/>
          <w:szCs w:val="22"/>
        </w:rPr>
      </w:pPr>
    </w:p>
    <w:p w14:paraId="15EC2F4E" w14:textId="77777777" w:rsidR="00570D5A" w:rsidRDefault="00570D5A" w:rsidP="00ED1490">
      <w:pPr>
        <w:spacing w:line="360" w:lineRule="auto"/>
        <w:jc w:val="both"/>
        <w:rPr>
          <w:rFonts w:ascii="Arial" w:hAnsi="Arial" w:cs="Arial"/>
          <w:b/>
          <w:bCs/>
          <w:sz w:val="22"/>
          <w:szCs w:val="22"/>
        </w:rPr>
      </w:pPr>
    </w:p>
    <w:p w14:paraId="4CEB93C7" w14:textId="77777777" w:rsidR="00570D5A" w:rsidRDefault="00570D5A" w:rsidP="00ED1490">
      <w:pPr>
        <w:spacing w:line="360" w:lineRule="auto"/>
        <w:jc w:val="both"/>
        <w:rPr>
          <w:rFonts w:ascii="Arial" w:hAnsi="Arial" w:cs="Arial"/>
          <w:b/>
          <w:bCs/>
          <w:sz w:val="22"/>
          <w:szCs w:val="22"/>
        </w:rPr>
      </w:pPr>
    </w:p>
    <w:p w14:paraId="46A2D55E" w14:textId="0DF6B788" w:rsidR="002D631A" w:rsidRPr="002920FA" w:rsidRDefault="002D631A" w:rsidP="00ED1490">
      <w:pPr>
        <w:spacing w:line="360" w:lineRule="auto"/>
        <w:jc w:val="both"/>
        <w:rPr>
          <w:rFonts w:ascii="Arial" w:hAnsi="Arial" w:cs="Arial"/>
          <w:b/>
          <w:bCs/>
          <w:sz w:val="22"/>
          <w:szCs w:val="22"/>
        </w:rPr>
      </w:pPr>
      <w:r w:rsidRPr="002920FA">
        <w:rPr>
          <w:rFonts w:ascii="Arial" w:hAnsi="Arial" w:cs="Arial"/>
          <w:b/>
          <w:bCs/>
          <w:sz w:val="22"/>
          <w:szCs w:val="22"/>
        </w:rPr>
        <w:lastRenderedPageBreak/>
        <w:t xml:space="preserve">Introduction </w:t>
      </w:r>
    </w:p>
    <w:p w14:paraId="5DC8C8F0" w14:textId="610F04FC" w:rsidR="00364CA4" w:rsidRPr="002920FA" w:rsidRDefault="002920FA" w:rsidP="00ED1490">
      <w:pPr>
        <w:spacing w:line="360" w:lineRule="auto"/>
        <w:jc w:val="both"/>
        <w:rPr>
          <w:rFonts w:ascii="Arial" w:hAnsi="Arial" w:cs="Arial"/>
          <w:sz w:val="22"/>
          <w:szCs w:val="22"/>
        </w:rPr>
      </w:pPr>
      <w:r w:rsidRPr="00295720">
        <w:rPr>
          <w:rFonts w:ascii="Arial" w:eastAsia="Times New Roman" w:hAnsi="Arial" w:cs="Arial"/>
          <w:kern w:val="0"/>
          <w:sz w:val="22"/>
          <w:szCs w:val="22"/>
          <w:lang w:eastAsia="en-GB"/>
          <w14:ligatures w14:val="none"/>
        </w:rPr>
        <w:t>This report critically examines the health and social care provision for Mr. Ahmed, a 68-year-old stroke survivor requiring comprehensive multidisciplinary support</w:t>
      </w:r>
      <w:r w:rsidR="002D631A" w:rsidRPr="002920FA">
        <w:rPr>
          <w:rFonts w:ascii="Arial" w:hAnsi="Arial" w:cs="Arial"/>
          <w:sz w:val="22"/>
          <w:szCs w:val="22"/>
        </w:rPr>
        <w:t xml:space="preserve">. </w:t>
      </w:r>
      <w:r w:rsidRPr="002920FA">
        <w:rPr>
          <w:rFonts w:ascii="Arial" w:hAnsi="Arial" w:cs="Arial"/>
          <w:sz w:val="22"/>
          <w:szCs w:val="22"/>
        </w:rPr>
        <w:t>It</w:t>
      </w:r>
      <w:r w:rsidR="002D631A" w:rsidRPr="002920FA">
        <w:rPr>
          <w:rFonts w:ascii="Arial" w:hAnsi="Arial" w:cs="Arial"/>
          <w:sz w:val="22"/>
          <w:szCs w:val="22"/>
        </w:rPr>
        <w:t xml:space="preserve"> will discuss how the health and social care provided to Mr Ahmed failed as a result of a critical incident wherein his domiciliary visit was missed, leading to a severe medication omission. </w:t>
      </w:r>
      <w:r w:rsidR="00ED1490" w:rsidRPr="002920FA">
        <w:rPr>
          <w:rFonts w:ascii="Arial" w:hAnsi="Arial" w:cs="Arial"/>
          <w:sz w:val="22"/>
          <w:szCs w:val="22"/>
        </w:rPr>
        <w:t>It</w:t>
      </w:r>
      <w:r w:rsidR="002D631A" w:rsidRPr="002920FA">
        <w:rPr>
          <w:rFonts w:ascii="Arial" w:hAnsi="Arial" w:cs="Arial"/>
          <w:sz w:val="22"/>
          <w:szCs w:val="22"/>
        </w:rPr>
        <w:t xml:space="preserve"> explores how poor communication, inaccurate record-keeping, and disjointed team working serve as potential underlying causes of this critical incident. The discussion is limited to three core domains: the legal requirements of communication, the application of active listening frameworks, and multidisciplinary collaboration. To enhance this analysis, relevant theory and legislation will be applied, alongside a critical evaluation of their practical limitations. Ultimately, this essay demonstrates how person-centred strategies can help prevent similar safeguarding incidents from occurring to vulnerable service users.</w:t>
      </w:r>
    </w:p>
    <w:p w14:paraId="514A019F" w14:textId="4B00923B" w:rsidR="002D631A" w:rsidRPr="002D631A" w:rsidRDefault="002D631A" w:rsidP="00ED1490">
      <w:pPr>
        <w:spacing w:line="360" w:lineRule="auto"/>
        <w:jc w:val="both"/>
        <w:rPr>
          <w:rFonts w:ascii="Arial" w:hAnsi="Arial" w:cs="Arial"/>
          <w:b/>
          <w:bCs/>
          <w:sz w:val="22"/>
          <w:szCs w:val="22"/>
        </w:rPr>
      </w:pPr>
      <w:r w:rsidRPr="002D631A">
        <w:rPr>
          <w:rFonts w:ascii="Arial" w:hAnsi="Arial" w:cs="Arial"/>
          <w:b/>
          <w:bCs/>
          <w:sz w:val="22"/>
          <w:szCs w:val="22"/>
        </w:rPr>
        <w:t xml:space="preserve">Communication within the Context of Mr. Ahmed’s Care </w:t>
      </w:r>
    </w:p>
    <w:p w14:paraId="617B5427" w14:textId="77777777" w:rsidR="002D631A" w:rsidRPr="002920FA" w:rsidRDefault="002D631A" w:rsidP="00ED1490">
      <w:pPr>
        <w:spacing w:line="360" w:lineRule="auto"/>
        <w:jc w:val="both"/>
        <w:rPr>
          <w:rFonts w:ascii="Arial" w:hAnsi="Arial" w:cs="Arial"/>
          <w:sz w:val="22"/>
          <w:szCs w:val="22"/>
        </w:rPr>
      </w:pPr>
      <w:r w:rsidRPr="002D631A">
        <w:rPr>
          <w:rFonts w:ascii="Arial" w:hAnsi="Arial" w:cs="Arial"/>
          <w:sz w:val="22"/>
          <w:szCs w:val="22"/>
        </w:rPr>
        <w:t>Fair access to healthcare services means healthcare professionals must take steps to minimise serious disadvantages through making enforceable alterations to how they communicate. Under the Equality Act 2010, organisations have a legal duty to make reasonable adjustments for disabled people, while current guidance states professionally translated communication is essential for patients with limited understanding of English (UK Parliament, 2010; NHS England, 2025a). Mr Ahmed’s inability to physically speak clearly due to the effects of his stroke</w:t>
      </w:r>
      <w:r w:rsidRPr="002920FA">
        <w:rPr>
          <w:rFonts w:ascii="Arial" w:hAnsi="Arial" w:cs="Arial"/>
          <w:sz w:val="22"/>
          <w:szCs w:val="22"/>
        </w:rPr>
        <w:t xml:space="preserve">; </w:t>
      </w:r>
      <w:r w:rsidRPr="002D631A">
        <w:rPr>
          <w:rFonts w:ascii="Arial" w:hAnsi="Arial" w:cs="Arial"/>
          <w:sz w:val="22"/>
          <w:szCs w:val="22"/>
        </w:rPr>
        <w:t>a disability which is a protected characteristic</w:t>
      </w:r>
      <w:r w:rsidRPr="002920FA">
        <w:rPr>
          <w:rFonts w:ascii="Arial" w:hAnsi="Arial" w:cs="Arial"/>
          <w:sz w:val="22"/>
          <w:szCs w:val="22"/>
        </w:rPr>
        <w:t xml:space="preserve">; </w:t>
      </w:r>
      <w:r w:rsidRPr="002D631A">
        <w:rPr>
          <w:rFonts w:ascii="Arial" w:hAnsi="Arial" w:cs="Arial"/>
          <w:sz w:val="22"/>
          <w:szCs w:val="22"/>
        </w:rPr>
        <w:t xml:space="preserve">and his first language being Bengali means he faces serious disadvantage when communicating with healthcare professionals. Using his wife to interpret on an informal basis contradicts clinical guidelines. This places him at risk of serious medical errors being made about his care and directly undermines his right to independence (NICE, 2021a). The employment of professional interpreters guarantees that terminological complexity is correctly translated during the procedure. </w:t>
      </w:r>
    </w:p>
    <w:p w14:paraId="1F2D1DDC" w14:textId="27A0DE42" w:rsidR="002D631A" w:rsidRPr="002D631A" w:rsidRDefault="002D631A" w:rsidP="00ED1490">
      <w:pPr>
        <w:spacing w:line="360" w:lineRule="auto"/>
        <w:jc w:val="both"/>
        <w:rPr>
          <w:rFonts w:ascii="Arial" w:hAnsi="Arial" w:cs="Arial"/>
          <w:sz w:val="22"/>
          <w:szCs w:val="22"/>
        </w:rPr>
      </w:pPr>
      <w:r w:rsidRPr="002D631A">
        <w:rPr>
          <w:rFonts w:ascii="Arial" w:hAnsi="Arial" w:cs="Arial"/>
          <w:sz w:val="22"/>
          <w:szCs w:val="22"/>
        </w:rPr>
        <w:t>Nevertheless, the strict following of mandated interpreting policy is highly controversial due to its implementation in practice. According to critics, using an interpreter might create unnecessary delays since vital time is lost while arranging for this service. Furthermore, excluding family members by definition undermines the necessity of the nuanced mediation and psychological comfort provided by a close relative. As a result, it is crucial to balance both the importance of professional interpreters for the patient's clinical safety and culturally sensitive ways of integrating the family's support in Mr Ahmed's further recovery.</w:t>
      </w:r>
    </w:p>
    <w:p w14:paraId="20DF4662" w14:textId="77777777" w:rsidR="002D631A" w:rsidRPr="002D631A" w:rsidRDefault="002D631A" w:rsidP="00ED1490">
      <w:pPr>
        <w:spacing w:line="360" w:lineRule="auto"/>
        <w:jc w:val="both"/>
        <w:rPr>
          <w:rFonts w:ascii="Arial" w:hAnsi="Arial" w:cs="Arial"/>
          <w:sz w:val="22"/>
          <w:szCs w:val="22"/>
        </w:rPr>
      </w:pPr>
      <w:r w:rsidRPr="002D631A">
        <w:rPr>
          <w:rFonts w:ascii="Arial" w:hAnsi="Arial" w:cs="Arial"/>
          <w:sz w:val="22"/>
          <w:szCs w:val="22"/>
        </w:rPr>
        <w:t xml:space="preserve">Moreover, it is necessary to apply effective interpersonal skills to involve Mr Ahmed in active participation during interpreted consultations. For instance, sitting straight, taking up an open </w:t>
      </w:r>
      <w:r w:rsidRPr="002D631A">
        <w:rPr>
          <w:rFonts w:ascii="Arial" w:hAnsi="Arial" w:cs="Arial"/>
          <w:sz w:val="22"/>
          <w:szCs w:val="22"/>
        </w:rPr>
        <w:lastRenderedPageBreak/>
        <w:t>posture, leaning towards the patient, making appropriate eye contact, and adopting a relaxed posture aligns with the SOLER model (Stickley, 2011). To put it simply, following the SOLER model aids the district nurse and the speech therapist in ensuring the patient remains the focal point of the discussion. However, the universal application of the SOLER model is frequently critiqued within contemporary academic literature for being culturally deterministic. Scholars argue that Western-centric communication paradigms fail to account for diverse, globalised cultural norms. For instance, sustained direct eye contact and a squared, forward-leaning posture may be perceived as confrontational or disrespectful within certain South Asian demographic contexts, thereby escalating patient anxiety rather than alleviating it (Stickley, 2011). Consequently, the rigid implementation of such frameworks without cultural adaptation risks alienating the patient. Therefore, healthcare practitioners must critically evaluate and fluidly adapt theoretical communication models to align with specific cultural sensitivities, ensuring that non-verbal interactions genuinely foster therapeutic trust.</w:t>
      </w:r>
    </w:p>
    <w:p w14:paraId="309BDFB1" w14:textId="08FF4098" w:rsidR="002D631A" w:rsidRPr="002D631A" w:rsidRDefault="002D631A" w:rsidP="00ED1490">
      <w:pPr>
        <w:spacing w:line="360" w:lineRule="auto"/>
        <w:jc w:val="both"/>
        <w:rPr>
          <w:rFonts w:ascii="Arial" w:hAnsi="Arial" w:cs="Arial"/>
          <w:b/>
          <w:bCs/>
          <w:sz w:val="22"/>
          <w:szCs w:val="22"/>
        </w:rPr>
      </w:pPr>
      <w:r w:rsidRPr="002D631A">
        <w:rPr>
          <w:rFonts w:ascii="Arial" w:hAnsi="Arial" w:cs="Arial"/>
          <w:b/>
          <w:bCs/>
          <w:sz w:val="22"/>
          <w:szCs w:val="22"/>
        </w:rPr>
        <w:t xml:space="preserve">Administrative Skills and Professional Practice </w:t>
      </w:r>
    </w:p>
    <w:p w14:paraId="66E144B8" w14:textId="77777777" w:rsidR="002D631A" w:rsidRPr="002D631A" w:rsidRDefault="002D631A" w:rsidP="00ED1490">
      <w:pPr>
        <w:spacing w:line="360" w:lineRule="auto"/>
        <w:jc w:val="both"/>
        <w:rPr>
          <w:rFonts w:ascii="Arial" w:hAnsi="Arial" w:cs="Arial"/>
          <w:sz w:val="22"/>
          <w:szCs w:val="22"/>
        </w:rPr>
      </w:pPr>
      <w:r w:rsidRPr="002D631A">
        <w:rPr>
          <w:rFonts w:ascii="Arial" w:hAnsi="Arial" w:cs="Arial"/>
          <w:sz w:val="22"/>
          <w:szCs w:val="22"/>
        </w:rPr>
        <w:t>The meticulousness in the administration process and stringent data governance procedures are essential to the safeguarding of patient welfare and the uninterrupted continuity of inter-agency care. The Data Protection Act 2018 and the General Data Protection Regulation (GDPR) in the UK regard health-related data as extremely confidential, special category information, requiring utmost compliance with fundamental principles of accuracy, transparency, and accountability (UK Parliament, 2018; ICO, 2024a). In the situation of Mr Ahmed, the omission of recording the non-delivery of the home visit and the consequent non-administration of drugs directly violates the principles of accuracy as laid out by the Information Commissioner’s Office (ICO, 2023b). The meticulous and instantaneous management of clinical records guarantees the precise maintenance of clinical data with varying dynamics, such as changing levels of blood pressure and developing swallowing disorders. Therefore, it significantly prevents lethal pharmacological errors within the wider continuum of care. Nonetheless, researchers and experts routinely condemn the excessive amount of work associated with data protection measures in a swift clinical environment. The growing number of compulsory documentation processes may unintentionally give rise to a profoundly embedded 'tick-box' approach. Accordingly, frontline domiciliary healthcare workers often tend to concentrate on exhaustive data entry rather than engaging in direct clinical observation. Although excellent record-keeping is mandatory by law, social care organisations must implement efficient administrative information technology systems to guarantee that adherence to legal requirements does not prevent direct, meaningful engagement with patients such as Mr Ahmed.</w:t>
      </w:r>
    </w:p>
    <w:p w14:paraId="6B162241" w14:textId="5F63F466" w:rsidR="002D631A" w:rsidRPr="002920FA" w:rsidRDefault="002D631A" w:rsidP="00ED1490">
      <w:pPr>
        <w:spacing w:line="360" w:lineRule="auto"/>
        <w:jc w:val="both"/>
        <w:rPr>
          <w:rFonts w:ascii="Arial" w:hAnsi="Arial" w:cs="Arial"/>
          <w:sz w:val="22"/>
          <w:szCs w:val="22"/>
        </w:rPr>
      </w:pPr>
      <w:r w:rsidRPr="002D631A">
        <w:rPr>
          <w:rFonts w:ascii="Arial" w:hAnsi="Arial" w:cs="Arial"/>
          <w:sz w:val="22"/>
          <w:szCs w:val="22"/>
        </w:rPr>
        <w:lastRenderedPageBreak/>
        <w:t>In addition to this, the establishment of a transparent administrative system of incident reporting is absolutely necessary for the purpose of mitigating clinical risk and fostering systematic institutional learning processes. According to national health guidelines, medication safety incidents must be investigated immediately and openly using a standardised reporting mechanism and through the strict observance of the Duty of Candour (NHS England, 2023; NHS SPS, 2022). Recording Mr Ahmed’s missed dose serves as critical, legal proof to establish the chronology of events. This responsible administrative approach allows the multidisciplinary team to audit rotas at the domiciliary agency and fix the specific logistical problems that put the life of the patient in danger, leading to systemic and tangible safety protocols (NHS England, 2025b). On the other hand, the implementation of excessively formalised procedures of incident reporting is considered one of the key barriers to operational transparency according to organisational theorists. Critiques of standardised incident reporting highlight that the inherent fear of professional disciplinary action frequently drives defensive documentation and widespread under-reporting among care staff. If domiciliary workers feel threatened by the investigative process, the true root causes of systemic failures</w:t>
      </w:r>
      <w:r w:rsidR="00F02AE2" w:rsidRPr="002920FA">
        <w:rPr>
          <w:rFonts w:ascii="Arial" w:hAnsi="Arial" w:cs="Arial"/>
          <w:sz w:val="22"/>
          <w:szCs w:val="22"/>
        </w:rPr>
        <w:t xml:space="preserve">; </w:t>
      </w:r>
      <w:r w:rsidRPr="002D631A">
        <w:rPr>
          <w:rFonts w:ascii="Arial" w:hAnsi="Arial" w:cs="Arial"/>
          <w:sz w:val="22"/>
          <w:szCs w:val="22"/>
        </w:rPr>
        <w:t>such as unmanageable caseloads or chronic understaffing</w:t>
      </w:r>
      <w:r w:rsidR="00F02AE2" w:rsidRPr="002920FA">
        <w:rPr>
          <w:rFonts w:ascii="Arial" w:hAnsi="Arial" w:cs="Arial"/>
          <w:sz w:val="22"/>
          <w:szCs w:val="22"/>
        </w:rPr>
        <w:t xml:space="preserve">; </w:t>
      </w:r>
      <w:r w:rsidRPr="002D631A">
        <w:rPr>
          <w:rFonts w:ascii="Arial" w:hAnsi="Arial" w:cs="Arial"/>
          <w:sz w:val="22"/>
          <w:szCs w:val="22"/>
        </w:rPr>
        <w:t>remain hidden. Ultimately, administrative protocols must be consciously utilised to foster a "just culture" of psychological safety, ensuring errors catalyse infrastructural improvements rather than assigning individual blame.</w:t>
      </w:r>
    </w:p>
    <w:p w14:paraId="7C96BE6E" w14:textId="77777777" w:rsidR="002D631A" w:rsidRPr="002920FA" w:rsidRDefault="002D631A" w:rsidP="00ED1490">
      <w:pPr>
        <w:spacing w:line="360" w:lineRule="auto"/>
        <w:jc w:val="both"/>
        <w:rPr>
          <w:rFonts w:ascii="Arial" w:hAnsi="Arial" w:cs="Arial"/>
          <w:sz w:val="22"/>
          <w:szCs w:val="22"/>
        </w:rPr>
      </w:pPr>
    </w:p>
    <w:p w14:paraId="76ECD2AB" w14:textId="77777777" w:rsidR="00F02AE2" w:rsidRPr="002920FA" w:rsidRDefault="00F02AE2" w:rsidP="00ED1490">
      <w:pPr>
        <w:spacing w:after="0" w:line="360" w:lineRule="auto"/>
        <w:jc w:val="both"/>
        <w:rPr>
          <w:rFonts w:ascii="Arial" w:hAnsi="Arial" w:cs="Arial"/>
          <w:b/>
          <w:bCs/>
          <w:sz w:val="22"/>
          <w:szCs w:val="22"/>
        </w:rPr>
      </w:pPr>
      <w:r w:rsidRPr="002920FA">
        <w:rPr>
          <w:rFonts w:ascii="Arial" w:hAnsi="Arial" w:cs="Arial"/>
          <w:b/>
          <w:bCs/>
          <w:sz w:val="22"/>
          <w:szCs w:val="22"/>
          <w:lang w:val="en-US" w:eastAsia="en-GB"/>
        </w:rPr>
        <w:t>Multidisciplinary Collaboration</w:t>
      </w:r>
    </w:p>
    <w:p w14:paraId="765AD7E3" w14:textId="77777777" w:rsidR="00F02AE2" w:rsidRPr="002920FA" w:rsidRDefault="00F02AE2" w:rsidP="00ED1490">
      <w:pPr>
        <w:spacing w:line="360" w:lineRule="auto"/>
        <w:jc w:val="both"/>
        <w:rPr>
          <w:rFonts w:ascii="Arial" w:hAnsi="Arial" w:cs="Arial"/>
          <w:sz w:val="22"/>
          <w:szCs w:val="22"/>
        </w:rPr>
      </w:pPr>
      <w:r w:rsidRPr="002920FA">
        <w:rPr>
          <w:rFonts w:ascii="Arial" w:hAnsi="Arial" w:cs="Arial"/>
          <w:sz w:val="22"/>
          <w:szCs w:val="22"/>
          <w:lang w:val="en-US"/>
        </w:rPr>
        <w:t>Multidisciplinary working requires effective inter-agency communication to avoid harmful disjunction within the complex care package provided for the patient. The ideal best practice theory calls for an integrated team that works together towards common objectives with joint use of electronic documentation and information exchange for pro-active risk management (SCIE, 2019; NICE, 2021b). The safeguarding issue with regards to the missed visit and resulting medication overdose in the case of Mr. Ahmed demonstrates the serious risks associated with lack of coherent communication. Due to the failure of the domiciliary care agency, GP, district nurse, and speech and language therapist to work under one unified communication system, the care for Mr. Ahmed was disjointed as there was no professional able to take into account his entire daily routine and, hence, safeguarding issues arose (SCIE, n.d.). In relation to the topic under discussion, it is important for the team to have a common digital care plan and conduct case reviews centrally. Nonetheless, such a scenario may not be easily achieved due to several structural reasons.</w:t>
      </w:r>
    </w:p>
    <w:p w14:paraId="161923B7" w14:textId="77777777" w:rsidR="00F02AE2" w:rsidRPr="002920FA" w:rsidRDefault="00F02AE2" w:rsidP="00ED1490">
      <w:pPr>
        <w:spacing w:line="360" w:lineRule="auto"/>
        <w:jc w:val="both"/>
        <w:rPr>
          <w:rFonts w:ascii="Arial" w:hAnsi="Arial" w:cs="Arial"/>
          <w:sz w:val="22"/>
          <w:szCs w:val="22"/>
        </w:rPr>
      </w:pPr>
    </w:p>
    <w:p w14:paraId="5D7BEDE2" w14:textId="77777777" w:rsidR="00F02AE2" w:rsidRPr="002920FA" w:rsidRDefault="00F02AE2" w:rsidP="00ED1490">
      <w:pPr>
        <w:spacing w:line="360" w:lineRule="auto"/>
        <w:jc w:val="both"/>
        <w:rPr>
          <w:rFonts w:ascii="Arial" w:hAnsi="Arial" w:cs="Arial"/>
          <w:sz w:val="22"/>
          <w:szCs w:val="22"/>
        </w:rPr>
      </w:pPr>
      <w:r w:rsidRPr="002920FA">
        <w:rPr>
          <w:rFonts w:ascii="Arial" w:hAnsi="Arial" w:cs="Arial"/>
          <w:sz w:val="22"/>
          <w:szCs w:val="22"/>
          <w:lang w:val="en-US"/>
        </w:rPr>
        <w:lastRenderedPageBreak/>
        <w:t>Academic commentators cite conflicting organizational interests, ongoing underfunding of the sector, technological incompatibility, and strict power hierarchies among medical practitioners and social workers as reasons why theories of integration consistently fall apart in practice. For instance, the care worker who observes the difficulty of swallowing could be unable to notify the GP in real time due to an absence of electronic records, illustrating the inherent problem in collaboration theory. The obstacles posed by the current system make effective collaboration extremely difficult to implement, making any suggestions about policy change highly unrealistic. This means that in order to address the serious issues facing Mr. Ahmed, more than simply adopting interprofessional cooperation is needed – rather, it involves breaking down the existing silos through enforced, appropriately resourced, and fully compatible communication systems.</w:t>
      </w:r>
    </w:p>
    <w:p w14:paraId="37EC14F5" w14:textId="77777777" w:rsidR="00F02AE2" w:rsidRPr="002920FA" w:rsidRDefault="00F02AE2" w:rsidP="00ED1490">
      <w:pPr>
        <w:spacing w:line="360" w:lineRule="auto"/>
        <w:jc w:val="both"/>
        <w:rPr>
          <w:rFonts w:ascii="Arial" w:hAnsi="Arial" w:cs="Arial"/>
          <w:sz w:val="22"/>
          <w:szCs w:val="22"/>
        </w:rPr>
      </w:pPr>
    </w:p>
    <w:p w14:paraId="4B2435C4" w14:textId="342CDB44" w:rsidR="002D631A" w:rsidRPr="002D631A" w:rsidRDefault="002D631A" w:rsidP="00ED1490">
      <w:pPr>
        <w:spacing w:line="360" w:lineRule="auto"/>
        <w:jc w:val="both"/>
        <w:rPr>
          <w:rFonts w:ascii="Arial" w:hAnsi="Arial" w:cs="Arial"/>
          <w:sz w:val="22"/>
          <w:szCs w:val="22"/>
        </w:rPr>
      </w:pPr>
      <w:r w:rsidRPr="002D631A">
        <w:rPr>
          <w:rFonts w:ascii="Arial" w:hAnsi="Arial" w:cs="Arial"/>
          <w:b/>
          <w:bCs/>
          <w:sz w:val="22"/>
          <w:szCs w:val="22"/>
        </w:rPr>
        <w:t>Conclusion</w:t>
      </w:r>
      <w:r w:rsidRPr="002D631A">
        <w:rPr>
          <w:rFonts w:ascii="Arial" w:hAnsi="Arial" w:cs="Arial"/>
          <w:sz w:val="22"/>
          <w:szCs w:val="22"/>
        </w:rPr>
        <w:t xml:space="preserve"> </w:t>
      </w:r>
    </w:p>
    <w:p w14:paraId="472F7FBD" w14:textId="668E047D" w:rsidR="002920FA" w:rsidRPr="002920FA" w:rsidRDefault="002D631A" w:rsidP="00ED1490">
      <w:pPr>
        <w:spacing w:line="360" w:lineRule="auto"/>
        <w:jc w:val="both"/>
        <w:rPr>
          <w:rFonts w:ascii="Arial" w:hAnsi="Arial" w:cs="Arial"/>
          <w:sz w:val="22"/>
          <w:szCs w:val="22"/>
        </w:rPr>
      </w:pPr>
      <w:r w:rsidRPr="002D631A">
        <w:rPr>
          <w:rFonts w:ascii="Arial" w:hAnsi="Arial" w:cs="Arial"/>
          <w:sz w:val="22"/>
          <w:szCs w:val="22"/>
        </w:rPr>
        <w:t>In conclusion, the critical care failures experienced by Mr Ahmed illustrate the complex intersection of legislation, communication, and multi-agency administration. While the Equality Act 2010 and frameworks such as the SOLER model offer a robust theoretical basis for bridging language barriers and addressing disabilities, their rigid application must be critically balanced against the patient's cultural background to maintain a genuinely person-centred approach. Similarly, although strict adherence to the Data Protection Act 2018 is paramount for maintaining accurate clinical records, organisations must proactively ensure that exhaustive documentation processes do not inadvertently contribute to the administrative burnout of frontline care staff. Finally, the severe medication omission highlights the urgent necessity for healthcare organisations to move beyond idealised models of multidisciplinary collaboration. True integrated care requires actively dismantling structural silos and implementing interoperable digital systems, thereby transforming isolated safeguarding failures into a cohesive, legally compliant, and resilient care strategy.</w:t>
      </w:r>
    </w:p>
    <w:p w14:paraId="714F16F5" w14:textId="77777777" w:rsidR="002920FA" w:rsidRPr="002920FA" w:rsidRDefault="002920FA">
      <w:pPr>
        <w:rPr>
          <w:rFonts w:ascii="Arial" w:hAnsi="Arial" w:cs="Arial"/>
          <w:sz w:val="22"/>
          <w:szCs w:val="22"/>
        </w:rPr>
      </w:pPr>
      <w:r w:rsidRPr="002920FA">
        <w:rPr>
          <w:rFonts w:ascii="Arial" w:hAnsi="Arial" w:cs="Arial"/>
          <w:sz w:val="22"/>
          <w:szCs w:val="22"/>
        </w:rPr>
        <w:br w:type="page"/>
      </w:r>
    </w:p>
    <w:p w14:paraId="0230B642" w14:textId="77777777" w:rsidR="002920FA" w:rsidRPr="00295720" w:rsidRDefault="002920FA" w:rsidP="002920FA">
      <w:pPr>
        <w:rPr>
          <w:rFonts w:ascii="Arial" w:eastAsia="Times New Roman" w:hAnsi="Arial" w:cs="Arial"/>
          <w:b/>
          <w:bCs/>
          <w:kern w:val="0"/>
          <w:sz w:val="22"/>
          <w:szCs w:val="22"/>
          <w:lang w:eastAsia="en-GB"/>
          <w14:ligatures w14:val="none"/>
        </w:rPr>
      </w:pPr>
      <w:r w:rsidRPr="00295720">
        <w:rPr>
          <w:rFonts w:ascii="Arial" w:eastAsia="Times New Roman" w:hAnsi="Arial" w:cs="Arial"/>
          <w:b/>
          <w:bCs/>
          <w:kern w:val="0"/>
          <w:sz w:val="22"/>
          <w:szCs w:val="22"/>
          <w:lang w:eastAsia="en-GB"/>
          <w14:ligatures w14:val="none"/>
        </w:rPr>
        <w:lastRenderedPageBreak/>
        <w:t>Reference</w:t>
      </w:r>
    </w:p>
    <w:p w14:paraId="21CCC231" w14:textId="77777777" w:rsidR="002920FA" w:rsidRPr="00295720" w:rsidRDefault="002920FA" w:rsidP="009A2749">
      <w:pPr>
        <w:ind w:left="567" w:hanging="567"/>
        <w:rPr>
          <w:rFonts w:ascii="Arial" w:eastAsia="Times New Roman" w:hAnsi="Arial" w:cs="Arial"/>
          <w:kern w:val="0"/>
          <w:sz w:val="22"/>
          <w:szCs w:val="22"/>
          <w:lang w:eastAsia="en-GB"/>
          <w14:ligatures w14:val="none"/>
        </w:rPr>
      </w:pPr>
      <w:r w:rsidRPr="00295720">
        <w:rPr>
          <w:rFonts w:ascii="Arial" w:eastAsia="Times New Roman" w:hAnsi="Arial" w:cs="Arial"/>
          <w:kern w:val="0"/>
          <w:sz w:val="22"/>
          <w:szCs w:val="22"/>
          <w:lang w:eastAsia="en-GB"/>
          <w14:ligatures w14:val="none"/>
        </w:rPr>
        <w:t xml:space="preserve">Information Commissioner’s Office (ICO) (2023b) </w:t>
      </w:r>
      <w:r w:rsidRPr="00295720">
        <w:rPr>
          <w:rFonts w:ascii="Arial" w:eastAsia="Times New Roman" w:hAnsi="Arial" w:cs="Arial"/>
          <w:i/>
          <w:iCs/>
          <w:kern w:val="0"/>
          <w:sz w:val="22"/>
          <w:szCs w:val="22"/>
          <w:lang w:eastAsia="en-GB"/>
          <w14:ligatures w14:val="none"/>
        </w:rPr>
        <w:t>Principle (d): Accuracy</w:t>
      </w:r>
      <w:r w:rsidRPr="00295720">
        <w:rPr>
          <w:rFonts w:ascii="Arial" w:eastAsia="Times New Roman" w:hAnsi="Arial" w:cs="Arial"/>
          <w:kern w:val="0"/>
          <w:sz w:val="22"/>
          <w:szCs w:val="22"/>
          <w:lang w:eastAsia="en-GB"/>
          <w14:ligatures w14:val="none"/>
        </w:rPr>
        <w:t>. Available at: https://ico.org.uk/for-organisations/uk-gdpr-guidance-and-resources/data-protection-principles/a-guide-to-the-data-protection-principles/accuracy/ (Accessed: 14 April 2026).</w:t>
      </w:r>
    </w:p>
    <w:p w14:paraId="47429ED4" w14:textId="77777777" w:rsidR="002920FA" w:rsidRPr="00295720" w:rsidRDefault="002920FA" w:rsidP="009A2749">
      <w:pPr>
        <w:ind w:left="567" w:hanging="567"/>
        <w:rPr>
          <w:rFonts w:ascii="Arial" w:eastAsia="Times New Roman" w:hAnsi="Arial" w:cs="Arial"/>
          <w:kern w:val="0"/>
          <w:sz w:val="22"/>
          <w:szCs w:val="22"/>
          <w:lang w:eastAsia="en-GB"/>
          <w14:ligatures w14:val="none"/>
        </w:rPr>
      </w:pPr>
      <w:r w:rsidRPr="00295720">
        <w:rPr>
          <w:rFonts w:ascii="Arial" w:eastAsia="Times New Roman" w:hAnsi="Arial" w:cs="Arial"/>
          <w:kern w:val="0"/>
          <w:sz w:val="22"/>
          <w:szCs w:val="22"/>
          <w:lang w:eastAsia="en-GB"/>
          <w14:ligatures w14:val="none"/>
        </w:rPr>
        <w:t xml:space="preserve">Information Commissioner’s Office (ICO) (2024a) </w:t>
      </w:r>
      <w:r w:rsidRPr="00295720">
        <w:rPr>
          <w:rFonts w:ascii="Arial" w:eastAsia="Times New Roman" w:hAnsi="Arial" w:cs="Arial"/>
          <w:i/>
          <w:iCs/>
          <w:kern w:val="0"/>
          <w:sz w:val="22"/>
          <w:szCs w:val="22"/>
          <w:lang w:eastAsia="en-GB"/>
          <w14:ligatures w14:val="none"/>
        </w:rPr>
        <w:t>What is special category data?</w:t>
      </w:r>
      <w:r w:rsidRPr="00295720">
        <w:rPr>
          <w:rFonts w:ascii="Arial" w:eastAsia="Times New Roman" w:hAnsi="Arial" w:cs="Arial"/>
          <w:kern w:val="0"/>
          <w:sz w:val="22"/>
          <w:szCs w:val="22"/>
          <w:lang w:eastAsia="en-GB"/>
          <w14:ligatures w14:val="none"/>
        </w:rPr>
        <w:t xml:space="preserve"> Available at: https://ico.org.uk/for-organisations/uk-gdpr-guidance-and-resources/lawful-basis/special-category-data/what-is-special-category-data/ (Accessed: 14 April 2026).</w:t>
      </w:r>
    </w:p>
    <w:p w14:paraId="61D4115E" w14:textId="77777777" w:rsidR="002920FA" w:rsidRPr="00295720" w:rsidRDefault="002920FA" w:rsidP="009A2749">
      <w:pPr>
        <w:ind w:left="567" w:hanging="567"/>
        <w:rPr>
          <w:rFonts w:ascii="Arial" w:eastAsia="Times New Roman" w:hAnsi="Arial" w:cs="Arial"/>
          <w:kern w:val="0"/>
          <w:sz w:val="22"/>
          <w:szCs w:val="22"/>
          <w:lang w:eastAsia="en-GB"/>
          <w14:ligatures w14:val="none"/>
        </w:rPr>
      </w:pPr>
      <w:r w:rsidRPr="00295720">
        <w:rPr>
          <w:rFonts w:ascii="Arial" w:eastAsia="Times New Roman" w:hAnsi="Arial" w:cs="Arial"/>
          <w:kern w:val="0"/>
          <w:sz w:val="22"/>
          <w:szCs w:val="22"/>
          <w:lang w:eastAsia="en-GB"/>
          <w14:ligatures w14:val="none"/>
        </w:rPr>
        <w:t xml:space="preserve">National Institute for Health and Care Excellence (NICE) (2021a) </w:t>
      </w:r>
      <w:r w:rsidRPr="00295720">
        <w:rPr>
          <w:rFonts w:ascii="Arial" w:eastAsia="Times New Roman" w:hAnsi="Arial" w:cs="Arial"/>
          <w:i/>
          <w:iCs/>
          <w:kern w:val="0"/>
          <w:sz w:val="22"/>
          <w:szCs w:val="22"/>
          <w:lang w:eastAsia="en-GB"/>
          <w14:ligatures w14:val="none"/>
        </w:rPr>
        <w:t>Patient experience in adult NHS services: improving the experience of care for people using adult NHS services (CG138)</w:t>
      </w:r>
      <w:r w:rsidRPr="00295720">
        <w:rPr>
          <w:rFonts w:ascii="Arial" w:eastAsia="Times New Roman" w:hAnsi="Arial" w:cs="Arial"/>
          <w:kern w:val="0"/>
          <w:sz w:val="22"/>
          <w:szCs w:val="22"/>
          <w:lang w:eastAsia="en-GB"/>
          <w14:ligatures w14:val="none"/>
        </w:rPr>
        <w:t>. Available at: https://www.nice.org.uk/guidance/cg138 (Accessed: 14 April 2026).</w:t>
      </w:r>
    </w:p>
    <w:p w14:paraId="1FAB21A3" w14:textId="77777777" w:rsidR="002920FA" w:rsidRPr="00295720" w:rsidRDefault="002920FA" w:rsidP="009A2749">
      <w:pPr>
        <w:ind w:left="567" w:hanging="567"/>
        <w:rPr>
          <w:rFonts w:ascii="Arial" w:eastAsia="Times New Roman" w:hAnsi="Arial" w:cs="Arial"/>
          <w:kern w:val="0"/>
          <w:sz w:val="22"/>
          <w:szCs w:val="22"/>
          <w:lang w:eastAsia="en-GB"/>
          <w14:ligatures w14:val="none"/>
        </w:rPr>
      </w:pPr>
      <w:r w:rsidRPr="00295720">
        <w:rPr>
          <w:rFonts w:ascii="Arial" w:eastAsia="Times New Roman" w:hAnsi="Arial" w:cs="Arial"/>
          <w:kern w:val="0"/>
          <w:sz w:val="22"/>
          <w:szCs w:val="22"/>
          <w:lang w:eastAsia="en-GB"/>
          <w14:ligatures w14:val="none"/>
        </w:rPr>
        <w:t xml:space="preserve">National Institute for Health and Care Excellence (NICE) (2021b) </w:t>
      </w:r>
      <w:r w:rsidRPr="00295720">
        <w:rPr>
          <w:rFonts w:ascii="Arial" w:eastAsia="Times New Roman" w:hAnsi="Arial" w:cs="Arial"/>
          <w:i/>
          <w:iCs/>
          <w:kern w:val="0"/>
          <w:sz w:val="22"/>
          <w:szCs w:val="22"/>
          <w:lang w:eastAsia="en-GB"/>
          <w14:ligatures w14:val="none"/>
        </w:rPr>
        <w:t>Adults with complex needs: social work interventions evidence reviews for needs assessment</w:t>
      </w:r>
      <w:r w:rsidRPr="00295720">
        <w:rPr>
          <w:rFonts w:ascii="Arial" w:eastAsia="Times New Roman" w:hAnsi="Arial" w:cs="Arial"/>
          <w:kern w:val="0"/>
          <w:sz w:val="22"/>
          <w:szCs w:val="22"/>
          <w:lang w:eastAsia="en-GB"/>
          <w14:ligatures w14:val="none"/>
        </w:rPr>
        <w:t>. Available at: https://www.nice.org.uk/guidance/ng216 (Accessed: 14 April 2026).</w:t>
      </w:r>
    </w:p>
    <w:p w14:paraId="03361F91" w14:textId="77777777" w:rsidR="002920FA" w:rsidRPr="00295720" w:rsidRDefault="002920FA" w:rsidP="009A2749">
      <w:pPr>
        <w:ind w:left="567" w:hanging="567"/>
        <w:rPr>
          <w:rFonts w:ascii="Arial" w:eastAsia="Times New Roman" w:hAnsi="Arial" w:cs="Arial"/>
          <w:kern w:val="0"/>
          <w:sz w:val="22"/>
          <w:szCs w:val="22"/>
          <w:lang w:eastAsia="en-GB"/>
          <w14:ligatures w14:val="none"/>
        </w:rPr>
      </w:pPr>
      <w:r w:rsidRPr="00295720">
        <w:rPr>
          <w:rFonts w:ascii="Arial" w:eastAsia="Times New Roman" w:hAnsi="Arial" w:cs="Arial"/>
          <w:kern w:val="0"/>
          <w:sz w:val="22"/>
          <w:szCs w:val="22"/>
          <w:lang w:eastAsia="en-GB"/>
          <w14:ligatures w14:val="none"/>
        </w:rPr>
        <w:t xml:space="preserve">NHS England (2023) </w:t>
      </w:r>
      <w:r w:rsidRPr="00295720">
        <w:rPr>
          <w:rFonts w:ascii="Arial" w:eastAsia="Times New Roman" w:hAnsi="Arial" w:cs="Arial"/>
          <w:i/>
          <w:iCs/>
          <w:kern w:val="0"/>
          <w:sz w:val="22"/>
          <w:szCs w:val="22"/>
          <w:lang w:eastAsia="en-GB"/>
          <w14:ligatures w14:val="none"/>
        </w:rPr>
        <w:t>Policy guidance on recording patient safety events and levels of harm</w:t>
      </w:r>
      <w:r w:rsidRPr="00295720">
        <w:rPr>
          <w:rFonts w:ascii="Arial" w:eastAsia="Times New Roman" w:hAnsi="Arial" w:cs="Arial"/>
          <w:kern w:val="0"/>
          <w:sz w:val="22"/>
          <w:szCs w:val="22"/>
          <w:lang w:eastAsia="en-GB"/>
          <w14:ligatures w14:val="none"/>
        </w:rPr>
        <w:t>. Available at: https://www.england.nhs.uk/publication/policy-guidance-on-recording-patient-safety-events-and-levels-of-harm/ (Accessed: 14 April 2026).</w:t>
      </w:r>
    </w:p>
    <w:p w14:paraId="4E65BDBD" w14:textId="77777777" w:rsidR="002920FA" w:rsidRPr="00295720" w:rsidRDefault="002920FA" w:rsidP="009A2749">
      <w:pPr>
        <w:ind w:left="567" w:hanging="567"/>
        <w:rPr>
          <w:rFonts w:ascii="Arial" w:eastAsia="Times New Roman" w:hAnsi="Arial" w:cs="Arial"/>
          <w:kern w:val="0"/>
          <w:sz w:val="22"/>
          <w:szCs w:val="22"/>
          <w:lang w:eastAsia="en-GB"/>
          <w14:ligatures w14:val="none"/>
        </w:rPr>
      </w:pPr>
      <w:r w:rsidRPr="00295720">
        <w:rPr>
          <w:rFonts w:ascii="Arial" w:eastAsia="Times New Roman" w:hAnsi="Arial" w:cs="Arial"/>
          <w:kern w:val="0"/>
          <w:sz w:val="22"/>
          <w:szCs w:val="22"/>
          <w:lang w:eastAsia="en-GB"/>
          <w14:ligatures w14:val="none"/>
        </w:rPr>
        <w:t xml:space="preserve">NHS England (2025a) </w:t>
      </w:r>
      <w:r w:rsidRPr="00295720">
        <w:rPr>
          <w:rFonts w:ascii="Arial" w:eastAsia="Times New Roman" w:hAnsi="Arial" w:cs="Arial"/>
          <w:i/>
          <w:iCs/>
          <w:kern w:val="0"/>
          <w:sz w:val="22"/>
          <w:szCs w:val="22"/>
          <w:lang w:eastAsia="en-GB"/>
          <w14:ligatures w14:val="none"/>
        </w:rPr>
        <w:t>Improvement framework: community language translation and interpreting services</w:t>
      </w:r>
      <w:r w:rsidRPr="00295720">
        <w:rPr>
          <w:rFonts w:ascii="Arial" w:eastAsia="Times New Roman" w:hAnsi="Arial" w:cs="Arial"/>
          <w:kern w:val="0"/>
          <w:sz w:val="22"/>
          <w:szCs w:val="22"/>
          <w:lang w:eastAsia="en-GB"/>
          <w14:ligatures w14:val="none"/>
        </w:rPr>
        <w:t>. Available at: https://www.england.nhs.uk/primary-care/primary-care-commissioning/interpreting/ (Accessed: 14 April 2026).</w:t>
      </w:r>
    </w:p>
    <w:p w14:paraId="302CE11E" w14:textId="77777777" w:rsidR="002920FA" w:rsidRPr="00295720" w:rsidRDefault="002920FA" w:rsidP="009A2749">
      <w:pPr>
        <w:ind w:left="567" w:hanging="567"/>
        <w:rPr>
          <w:rFonts w:ascii="Arial" w:eastAsia="Times New Roman" w:hAnsi="Arial" w:cs="Arial"/>
          <w:kern w:val="0"/>
          <w:sz w:val="22"/>
          <w:szCs w:val="22"/>
          <w:lang w:eastAsia="en-GB"/>
          <w14:ligatures w14:val="none"/>
        </w:rPr>
      </w:pPr>
      <w:r w:rsidRPr="00295720">
        <w:rPr>
          <w:rFonts w:ascii="Arial" w:eastAsia="Times New Roman" w:hAnsi="Arial" w:cs="Arial"/>
          <w:kern w:val="0"/>
          <w:sz w:val="22"/>
          <w:szCs w:val="22"/>
          <w:lang w:eastAsia="en-GB"/>
          <w14:ligatures w14:val="none"/>
        </w:rPr>
        <w:t xml:space="preserve">NHS England (2025b) </w:t>
      </w:r>
      <w:r w:rsidRPr="00295720">
        <w:rPr>
          <w:rFonts w:ascii="Arial" w:eastAsia="Times New Roman" w:hAnsi="Arial" w:cs="Arial"/>
          <w:i/>
          <w:iCs/>
          <w:kern w:val="0"/>
          <w:sz w:val="22"/>
          <w:szCs w:val="22"/>
          <w:lang w:eastAsia="en-GB"/>
          <w14:ligatures w14:val="none"/>
        </w:rPr>
        <w:t>Medication safety management</w:t>
      </w:r>
      <w:r w:rsidRPr="00295720">
        <w:rPr>
          <w:rFonts w:ascii="Arial" w:eastAsia="Times New Roman" w:hAnsi="Arial" w:cs="Arial"/>
          <w:kern w:val="0"/>
          <w:sz w:val="22"/>
          <w:szCs w:val="22"/>
          <w:lang w:eastAsia="en-GB"/>
          <w14:ligatures w14:val="none"/>
        </w:rPr>
        <w:t>. Available at: https://www.google.com/search?q=https://www.england.nhs.uk/patient-safety/medication-safety/ (Accessed: 14 April 2026).</w:t>
      </w:r>
    </w:p>
    <w:p w14:paraId="44C50421" w14:textId="73386A0C" w:rsidR="002920FA" w:rsidRPr="00295720" w:rsidRDefault="002920FA" w:rsidP="009A2749">
      <w:pPr>
        <w:ind w:left="567" w:hanging="567"/>
        <w:rPr>
          <w:rFonts w:ascii="Arial" w:eastAsia="Times New Roman" w:hAnsi="Arial" w:cs="Arial"/>
          <w:kern w:val="0"/>
          <w:sz w:val="22"/>
          <w:szCs w:val="22"/>
          <w:lang w:eastAsia="en-GB"/>
          <w14:ligatures w14:val="none"/>
        </w:rPr>
      </w:pPr>
      <w:r w:rsidRPr="00295720">
        <w:rPr>
          <w:rFonts w:ascii="Arial" w:eastAsia="Times New Roman" w:hAnsi="Arial" w:cs="Arial"/>
          <w:kern w:val="0"/>
          <w:sz w:val="22"/>
          <w:szCs w:val="22"/>
          <w:lang w:eastAsia="en-GB"/>
          <w14:ligatures w14:val="none"/>
        </w:rPr>
        <w:t xml:space="preserve">Social Care Institute for Excellence (SCIE) (n.d.) </w:t>
      </w:r>
      <w:r w:rsidRPr="00295720">
        <w:rPr>
          <w:rFonts w:ascii="Arial" w:eastAsia="Times New Roman" w:hAnsi="Arial" w:cs="Arial"/>
          <w:i/>
          <w:iCs/>
          <w:kern w:val="0"/>
          <w:sz w:val="22"/>
          <w:szCs w:val="22"/>
          <w:lang w:eastAsia="en-GB"/>
          <w14:ligatures w14:val="none"/>
        </w:rPr>
        <w:t>Multidisciplinary teams working for integrated care</w:t>
      </w:r>
      <w:r w:rsidRPr="00295720">
        <w:rPr>
          <w:rFonts w:ascii="Arial" w:eastAsia="Times New Roman" w:hAnsi="Arial" w:cs="Arial"/>
          <w:kern w:val="0"/>
          <w:sz w:val="22"/>
          <w:szCs w:val="22"/>
          <w:lang w:eastAsia="en-GB"/>
          <w14:ligatures w14:val="none"/>
        </w:rPr>
        <w:t>. Available at: https://www.scie.org.uk/integrated-care/research-practice/multidisciplinary-teams (Accessed: 14 April 2026).</w:t>
      </w:r>
    </w:p>
    <w:p w14:paraId="553C43B9" w14:textId="349C821D" w:rsidR="002920FA" w:rsidRPr="00295720" w:rsidRDefault="002920FA" w:rsidP="009A2749">
      <w:pPr>
        <w:ind w:left="567" w:hanging="567"/>
        <w:rPr>
          <w:rFonts w:ascii="Arial" w:eastAsia="Times New Roman" w:hAnsi="Arial" w:cs="Arial"/>
          <w:kern w:val="0"/>
          <w:sz w:val="22"/>
          <w:szCs w:val="22"/>
          <w:lang w:eastAsia="en-GB"/>
          <w14:ligatures w14:val="none"/>
        </w:rPr>
      </w:pPr>
      <w:r w:rsidRPr="00295720">
        <w:rPr>
          <w:rFonts w:ascii="Arial" w:eastAsia="Times New Roman" w:hAnsi="Arial" w:cs="Arial"/>
          <w:kern w:val="0"/>
          <w:sz w:val="22"/>
          <w:szCs w:val="22"/>
          <w:lang w:eastAsia="en-GB"/>
          <w14:ligatures w14:val="none"/>
        </w:rPr>
        <w:t xml:space="preserve">Social Care Institute for Excellence (SCIE) (2019) </w:t>
      </w:r>
      <w:r w:rsidRPr="00295720">
        <w:rPr>
          <w:rFonts w:ascii="Arial" w:eastAsia="Times New Roman" w:hAnsi="Arial" w:cs="Arial"/>
          <w:i/>
          <w:iCs/>
          <w:kern w:val="0"/>
          <w:sz w:val="22"/>
          <w:szCs w:val="22"/>
          <w:lang w:eastAsia="en-GB"/>
          <w14:ligatures w14:val="none"/>
        </w:rPr>
        <w:t>Achieving integrated care: 15 best practice actions</w:t>
      </w:r>
      <w:r w:rsidRPr="00295720">
        <w:rPr>
          <w:rFonts w:ascii="Arial" w:eastAsia="Times New Roman" w:hAnsi="Arial" w:cs="Arial"/>
          <w:kern w:val="0"/>
          <w:sz w:val="22"/>
          <w:szCs w:val="22"/>
          <w:lang w:eastAsia="en-GB"/>
          <w14:ligatures w14:val="none"/>
        </w:rPr>
        <w:t>. Available at: https://www.scie.org.uk/integrated-care/research-practice/best-practice-actions (Accessed: 14 April 2026).</w:t>
      </w:r>
    </w:p>
    <w:p w14:paraId="03FEF2F7" w14:textId="77777777" w:rsidR="002920FA" w:rsidRPr="00295720" w:rsidRDefault="002920FA" w:rsidP="009A2749">
      <w:pPr>
        <w:ind w:left="567" w:hanging="567"/>
        <w:rPr>
          <w:rFonts w:ascii="Arial" w:eastAsia="Times New Roman" w:hAnsi="Arial" w:cs="Arial"/>
          <w:kern w:val="0"/>
          <w:sz w:val="22"/>
          <w:szCs w:val="22"/>
          <w:lang w:eastAsia="en-GB"/>
          <w14:ligatures w14:val="none"/>
        </w:rPr>
      </w:pPr>
      <w:r w:rsidRPr="00295720">
        <w:rPr>
          <w:rFonts w:ascii="Arial" w:eastAsia="Times New Roman" w:hAnsi="Arial" w:cs="Arial"/>
          <w:kern w:val="0"/>
          <w:sz w:val="22"/>
          <w:szCs w:val="22"/>
          <w:lang w:eastAsia="en-GB"/>
          <w14:ligatures w14:val="none"/>
        </w:rPr>
        <w:t xml:space="preserve">Specialist Pharmacy Service (NHS SPS) (2022) </w:t>
      </w:r>
      <w:r w:rsidRPr="00295720">
        <w:rPr>
          <w:rFonts w:ascii="Arial" w:eastAsia="Times New Roman" w:hAnsi="Arial" w:cs="Arial"/>
          <w:i/>
          <w:iCs/>
          <w:kern w:val="0"/>
          <w:sz w:val="22"/>
          <w:szCs w:val="22"/>
          <w:lang w:eastAsia="en-GB"/>
          <w14:ligatures w14:val="none"/>
        </w:rPr>
        <w:t>Conducting a medication incident investigation</w:t>
      </w:r>
      <w:r w:rsidRPr="00295720">
        <w:rPr>
          <w:rFonts w:ascii="Arial" w:eastAsia="Times New Roman" w:hAnsi="Arial" w:cs="Arial"/>
          <w:kern w:val="0"/>
          <w:sz w:val="22"/>
          <w:szCs w:val="22"/>
          <w:lang w:eastAsia="en-GB"/>
          <w14:ligatures w14:val="none"/>
        </w:rPr>
        <w:t>. Available at: https://www.sps.nhs.uk/articles/conducting-a-medication-incident-investigation/ (Accessed: 14 April 2026).</w:t>
      </w:r>
    </w:p>
    <w:p w14:paraId="0953C552" w14:textId="751CC9C4" w:rsidR="002D631A" w:rsidRDefault="002920FA" w:rsidP="009A2749">
      <w:pPr>
        <w:spacing w:line="360" w:lineRule="auto"/>
        <w:ind w:left="567" w:hanging="567"/>
        <w:jc w:val="both"/>
        <w:rPr>
          <w:rFonts w:ascii="Arial" w:eastAsia="Times New Roman" w:hAnsi="Arial" w:cs="Arial"/>
          <w:kern w:val="0"/>
          <w:sz w:val="22"/>
          <w:szCs w:val="22"/>
          <w:lang w:eastAsia="en-GB"/>
          <w14:ligatures w14:val="none"/>
        </w:rPr>
      </w:pPr>
      <w:r w:rsidRPr="00295720">
        <w:rPr>
          <w:rFonts w:ascii="Arial" w:eastAsia="Times New Roman" w:hAnsi="Arial" w:cs="Arial"/>
          <w:kern w:val="0"/>
          <w:sz w:val="22"/>
          <w:szCs w:val="22"/>
          <w:lang w:eastAsia="en-GB"/>
          <w14:ligatures w14:val="none"/>
        </w:rPr>
        <w:t xml:space="preserve">Stickley, T. (2011) 'From SOLER to SURETY for effective non-verbal communication', </w:t>
      </w:r>
      <w:r w:rsidRPr="00295720">
        <w:rPr>
          <w:rFonts w:ascii="Arial" w:eastAsia="Times New Roman" w:hAnsi="Arial" w:cs="Arial"/>
          <w:i/>
          <w:iCs/>
          <w:kern w:val="0"/>
          <w:sz w:val="22"/>
          <w:szCs w:val="22"/>
          <w:lang w:eastAsia="en-GB"/>
          <w14:ligatures w14:val="none"/>
        </w:rPr>
        <w:t>Nurse Education in Practice</w:t>
      </w:r>
      <w:r w:rsidRPr="00295720">
        <w:rPr>
          <w:rFonts w:ascii="Arial" w:eastAsia="Times New Roman" w:hAnsi="Arial" w:cs="Arial"/>
          <w:kern w:val="0"/>
          <w:sz w:val="22"/>
          <w:szCs w:val="22"/>
          <w:lang w:eastAsia="en-GB"/>
          <w14:ligatures w14:val="none"/>
        </w:rPr>
        <w:t xml:space="preserve">, 11(6), pp. 395–398. Available at: </w:t>
      </w:r>
      <w:hyperlink r:id="rId6" w:history="1">
        <w:r w:rsidR="001D2D0B" w:rsidRPr="00295720">
          <w:rPr>
            <w:rStyle w:val="Hyperlink"/>
            <w:rFonts w:ascii="Arial" w:eastAsia="Times New Roman" w:hAnsi="Arial" w:cs="Arial"/>
            <w:kern w:val="0"/>
            <w:sz w:val="22"/>
            <w:szCs w:val="22"/>
            <w:lang w:eastAsia="en-GB"/>
            <w14:ligatures w14:val="none"/>
          </w:rPr>
          <w:t>https://doi.org/10.1016/j.nepr.2011.03.021</w:t>
        </w:r>
      </w:hyperlink>
      <w:r w:rsidRPr="00295720">
        <w:rPr>
          <w:rFonts w:ascii="Arial" w:eastAsia="Times New Roman" w:hAnsi="Arial" w:cs="Arial"/>
          <w:kern w:val="0"/>
          <w:sz w:val="22"/>
          <w:szCs w:val="22"/>
          <w:lang w:eastAsia="en-GB"/>
          <w14:ligatures w14:val="none"/>
        </w:rPr>
        <w:t>.</w:t>
      </w:r>
    </w:p>
    <w:p w14:paraId="226DB3EB" w14:textId="77777777" w:rsidR="001D2D0B" w:rsidRPr="00295720" w:rsidRDefault="001D2D0B" w:rsidP="009A2749">
      <w:pPr>
        <w:ind w:left="567" w:hanging="567"/>
        <w:rPr>
          <w:rFonts w:ascii="Times New Roman" w:eastAsia="Times New Roman" w:hAnsi="Times New Roman" w:cs="Times New Roman"/>
          <w:kern w:val="0"/>
          <w:lang w:eastAsia="en-GB"/>
          <w14:ligatures w14:val="none"/>
        </w:rPr>
      </w:pPr>
      <w:r w:rsidRPr="00295720">
        <w:rPr>
          <w:rFonts w:ascii="Times New Roman" w:eastAsia="Times New Roman" w:hAnsi="Times New Roman" w:cs="Times New Roman"/>
          <w:kern w:val="0"/>
          <w:lang w:eastAsia="en-GB"/>
          <w14:ligatures w14:val="none"/>
        </w:rPr>
        <w:t xml:space="preserve">UK Parliament (2010) </w:t>
      </w:r>
      <w:r w:rsidRPr="00295720">
        <w:rPr>
          <w:rFonts w:ascii="Times New Roman" w:eastAsia="Times New Roman" w:hAnsi="Times New Roman" w:cs="Times New Roman"/>
          <w:i/>
          <w:iCs/>
          <w:kern w:val="0"/>
          <w:lang w:eastAsia="en-GB"/>
          <w14:ligatures w14:val="none"/>
        </w:rPr>
        <w:t>Equality Act 2010</w:t>
      </w:r>
      <w:r w:rsidRPr="00295720">
        <w:rPr>
          <w:rFonts w:ascii="Times New Roman" w:eastAsia="Times New Roman" w:hAnsi="Times New Roman" w:cs="Times New Roman"/>
          <w:kern w:val="0"/>
          <w:lang w:eastAsia="en-GB"/>
          <w14:ligatures w14:val="none"/>
        </w:rPr>
        <w:t>. Available at: https://www.legislation.gov.uk/ukpga/2010/15/contents (Accessed: 14 April 2026).</w:t>
      </w:r>
    </w:p>
    <w:p w14:paraId="72FDC84A" w14:textId="659C07E0" w:rsidR="001D2D0B" w:rsidRPr="002920FA" w:rsidRDefault="001D2D0B" w:rsidP="001D2D0B">
      <w:pPr>
        <w:spacing w:line="360" w:lineRule="auto"/>
        <w:jc w:val="both"/>
        <w:rPr>
          <w:rFonts w:ascii="Arial" w:hAnsi="Arial" w:cs="Arial"/>
          <w:sz w:val="22"/>
          <w:szCs w:val="22"/>
        </w:rPr>
      </w:pPr>
      <w:r w:rsidRPr="00295720">
        <w:rPr>
          <w:rFonts w:ascii="Times New Roman" w:eastAsia="Times New Roman" w:hAnsi="Times New Roman" w:cs="Times New Roman"/>
          <w:kern w:val="0"/>
          <w:lang w:eastAsia="en-GB"/>
          <w14:ligatures w14:val="none"/>
        </w:rPr>
        <w:lastRenderedPageBreak/>
        <w:t xml:space="preserve">UK Parliament (2018) </w:t>
      </w:r>
      <w:r w:rsidRPr="00295720">
        <w:rPr>
          <w:rFonts w:ascii="Times New Roman" w:eastAsia="Times New Roman" w:hAnsi="Times New Roman" w:cs="Times New Roman"/>
          <w:i/>
          <w:iCs/>
          <w:kern w:val="0"/>
          <w:lang w:eastAsia="en-GB"/>
          <w14:ligatures w14:val="none"/>
        </w:rPr>
        <w:t>Data Protection Act 2018</w:t>
      </w:r>
      <w:r w:rsidRPr="00295720">
        <w:rPr>
          <w:rFonts w:ascii="Times New Roman" w:eastAsia="Times New Roman" w:hAnsi="Times New Roman" w:cs="Times New Roman"/>
          <w:kern w:val="0"/>
          <w:lang w:eastAsia="en-GB"/>
          <w14:ligatures w14:val="none"/>
        </w:rPr>
        <w:t>. Available at: https://www.legislation.gov.uk/ukpga/2018/12/contents (Accessed: 14 April 2026</w:t>
      </w:r>
    </w:p>
    <w:sectPr w:rsidR="001D2D0B" w:rsidRPr="002920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B03ACF"/>
    <w:multiLevelType w:val="multilevel"/>
    <w:tmpl w:val="8B9C5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B7AEBB"/>
    <w:multiLevelType w:val="singleLevel"/>
    <w:tmpl w:val="7EB7AEBB"/>
    <w:lvl w:ilvl="0">
      <w:start w:val="1"/>
      <w:numFmt w:val="decimal"/>
      <w:lvlText w:val="%1."/>
      <w:lvlJc w:val="left"/>
      <w:pPr>
        <w:tabs>
          <w:tab w:val="left" w:pos="425"/>
        </w:tabs>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008"/>
    <w:rsid w:val="0001490D"/>
    <w:rsid w:val="000D7E5F"/>
    <w:rsid w:val="001D2D0B"/>
    <w:rsid w:val="002920FA"/>
    <w:rsid w:val="002D631A"/>
    <w:rsid w:val="00364CA4"/>
    <w:rsid w:val="0052246E"/>
    <w:rsid w:val="00570D5A"/>
    <w:rsid w:val="006C1AB3"/>
    <w:rsid w:val="0073651B"/>
    <w:rsid w:val="009A2749"/>
    <w:rsid w:val="00C5335F"/>
    <w:rsid w:val="00EC4008"/>
    <w:rsid w:val="00ED1490"/>
    <w:rsid w:val="00F02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EBBF2"/>
  <w15:chartTrackingRefBased/>
  <w15:docId w15:val="{5AE701F4-5EB3-4864-9C3C-24B13B93F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0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40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40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40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40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40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40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40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40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0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40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40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40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40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40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40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40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4008"/>
    <w:rPr>
      <w:rFonts w:eastAsiaTheme="majorEastAsia" w:cstheme="majorBidi"/>
      <w:color w:val="272727" w:themeColor="text1" w:themeTint="D8"/>
    </w:rPr>
  </w:style>
  <w:style w:type="paragraph" w:styleId="Title">
    <w:name w:val="Title"/>
    <w:basedOn w:val="Normal"/>
    <w:next w:val="Normal"/>
    <w:link w:val="TitleChar"/>
    <w:uiPriority w:val="10"/>
    <w:qFormat/>
    <w:rsid w:val="00EC40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40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40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40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4008"/>
    <w:pPr>
      <w:spacing w:before="160"/>
      <w:jc w:val="center"/>
    </w:pPr>
    <w:rPr>
      <w:i/>
      <w:iCs/>
      <w:color w:val="404040" w:themeColor="text1" w:themeTint="BF"/>
    </w:rPr>
  </w:style>
  <w:style w:type="character" w:customStyle="1" w:styleId="QuoteChar">
    <w:name w:val="Quote Char"/>
    <w:basedOn w:val="DefaultParagraphFont"/>
    <w:link w:val="Quote"/>
    <w:uiPriority w:val="29"/>
    <w:rsid w:val="00EC4008"/>
    <w:rPr>
      <w:i/>
      <w:iCs/>
      <w:color w:val="404040" w:themeColor="text1" w:themeTint="BF"/>
    </w:rPr>
  </w:style>
  <w:style w:type="paragraph" w:styleId="ListParagraph">
    <w:name w:val="List Paragraph"/>
    <w:basedOn w:val="Normal"/>
    <w:uiPriority w:val="34"/>
    <w:qFormat/>
    <w:rsid w:val="00EC4008"/>
    <w:pPr>
      <w:ind w:left="720"/>
      <w:contextualSpacing/>
    </w:pPr>
  </w:style>
  <w:style w:type="character" w:styleId="IntenseEmphasis">
    <w:name w:val="Intense Emphasis"/>
    <w:basedOn w:val="DefaultParagraphFont"/>
    <w:uiPriority w:val="21"/>
    <w:qFormat/>
    <w:rsid w:val="00EC4008"/>
    <w:rPr>
      <w:i/>
      <w:iCs/>
      <w:color w:val="0F4761" w:themeColor="accent1" w:themeShade="BF"/>
    </w:rPr>
  </w:style>
  <w:style w:type="paragraph" w:styleId="IntenseQuote">
    <w:name w:val="Intense Quote"/>
    <w:basedOn w:val="Normal"/>
    <w:next w:val="Normal"/>
    <w:link w:val="IntenseQuoteChar"/>
    <w:uiPriority w:val="30"/>
    <w:qFormat/>
    <w:rsid w:val="00EC40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4008"/>
    <w:rPr>
      <w:i/>
      <w:iCs/>
      <w:color w:val="0F4761" w:themeColor="accent1" w:themeShade="BF"/>
    </w:rPr>
  </w:style>
  <w:style w:type="character" w:styleId="IntenseReference">
    <w:name w:val="Intense Reference"/>
    <w:basedOn w:val="DefaultParagraphFont"/>
    <w:uiPriority w:val="32"/>
    <w:qFormat/>
    <w:rsid w:val="00EC4008"/>
    <w:rPr>
      <w:b/>
      <w:bCs/>
      <w:smallCaps/>
      <w:color w:val="0F4761" w:themeColor="accent1" w:themeShade="BF"/>
      <w:spacing w:val="5"/>
    </w:rPr>
  </w:style>
  <w:style w:type="character" w:styleId="Hyperlink">
    <w:name w:val="Hyperlink"/>
    <w:basedOn w:val="DefaultParagraphFont"/>
    <w:uiPriority w:val="99"/>
    <w:unhideWhenUsed/>
    <w:rsid w:val="001D2D0B"/>
    <w:rPr>
      <w:color w:val="467886" w:themeColor="hyperlink"/>
      <w:u w:val="single"/>
    </w:rPr>
  </w:style>
  <w:style w:type="character" w:styleId="UnresolvedMention">
    <w:name w:val="Unresolved Mention"/>
    <w:basedOn w:val="DefaultParagraphFont"/>
    <w:uiPriority w:val="99"/>
    <w:semiHidden/>
    <w:unhideWhenUsed/>
    <w:rsid w:val="001D2D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nepr.2011.03.021"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2059</TotalTime>
  <Pages>7</Pages>
  <Words>2104</Words>
  <Characters>11998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Chisom Ikwuoma</dc:creator>
  <cp:keywords/>
  <dc:description/>
  <cp:lastModifiedBy>HP</cp:lastModifiedBy>
  <cp:revision>7</cp:revision>
  <dcterms:created xsi:type="dcterms:W3CDTF">2026-04-16T00:35:00Z</dcterms:created>
  <dcterms:modified xsi:type="dcterms:W3CDTF">2026-04-20T04:26:00Z</dcterms:modified>
</cp:coreProperties>
</file>