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3233D1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13BA9">
              <w:rPr>
                <w:rFonts w:ascii="Times New Roman" w:hAnsi="Times New Roman" w:cs="Times New Roman"/>
                <w:b/>
                <w:color w:val="auto"/>
                <w:sz w:val="48"/>
              </w:rPr>
              <w:t xml:space="preserve">Mali Dafydd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6BDB71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13BA9">
              <w:rPr>
                <w:rFonts w:ascii="Times New Roman" w:hAnsi="Times New Roman" w:cs="Times New Roman"/>
                <w:b/>
                <w:color w:val="auto"/>
                <w:sz w:val="48"/>
              </w:rPr>
              <w:t xml:space="preserve"> </w:t>
            </w:r>
            <w:hyperlink r:id="rId11" w:history="1">
              <w:r w:rsidR="00113BA9" w:rsidRPr="006439D1">
                <w:rPr>
                  <w:rStyle w:val="Hyperlink"/>
                  <w:rFonts w:ascii="Times New Roman" w:hAnsi="Times New Roman" w:cs="Times New Roman"/>
                  <w:b/>
                  <w:sz w:val="46"/>
                  <w:szCs w:val="46"/>
                </w:rPr>
                <w:t>2322105@student.uwtsd@ac.uk</w:t>
              </w:r>
            </w:hyperlink>
            <w:r w:rsidR="00113BA9">
              <w:rPr>
                <w:rFonts w:ascii="Times New Roman" w:hAnsi="Times New Roman" w:cs="Times New Roman"/>
                <w:b/>
                <w:sz w:val="46"/>
                <w:szCs w:val="46"/>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64F502CB" w14:textId="77777777" w:rsidR="00113BA9" w:rsidRDefault="0085230E" w:rsidP="00113BA9">
            <w:pPr>
              <w:ind w:right="-957"/>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113BA9">
              <w:rPr>
                <w:rFonts w:ascii="Times New Roman" w:hAnsi="Times New Roman" w:cs="Times New Roman"/>
                <w:b/>
                <w:color w:val="auto"/>
                <w:sz w:val="48"/>
              </w:rPr>
              <w:t xml:space="preserve"> </w:t>
            </w:r>
          </w:p>
          <w:p w14:paraId="53955F89" w14:textId="7FE73BFB" w:rsidR="00113BA9" w:rsidRPr="00AA42C6" w:rsidRDefault="00113BA9" w:rsidP="00113BA9">
            <w:pPr>
              <w:ind w:right="-957"/>
              <w:rPr>
                <w:rFonts w:ascii="Times New Roman" w:hAnsi="Times New Roman" w:cs="Times New Roman"/>
                <w:b/>
                <w:sz w:val="46"/>
                <w:szCs w:val="46"/>
              </w:rPr>
            </w:pPr>
            <w:r w:rsidRPr="00AA42C6">
              <w:rPr>
                <w:rFonts w:ascii="Times New Roman" w:hAnsi="Times New Roman" w:cs="Times New Roman"/>
                <w:b/>
                <w:sz w:val="46"/>
                <w:szCs w:val="46"/>
              </w:rPr>
              <w:t>2322105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Pr="00FB513A" w:rsidRDefault="00D3203C" w:rsidP="00FF7EBB">
            <w:pPr>
              <w:jc w:val="both"/>
              <w:rPr>
                <w:i/>
                <w:sz w:val="24"/>
                <w:szCs w:val="24"/>
              </w:rPr>
            </w:pPr>
          </w:p>
          <w:p w14:paraId="3884C234" w14:textId="77777777" w:rsidR="00FB513A" w:rsidRDefault="00FB513A" w:rsidP="00FB513A">
            <w:pPr>
              <w:rPr>
                <w:sz w:val="24"/>
                <w:szCs w:val="24"/>
              </w:rPr>
            </w:pPr>
            <w:r w:rsidRPr="00FB513A">
              <w:rPr>
                <w:sz w:val="24"/>
                <w:szCs w:val="24"/>
              </w:rPr>
              <w:t xml:space="preserve">For this assignment, Borton (1970)’s </w:t>
            </w:r>
            <w:r w:rsidRPr="00FB513A">
              <w:rPr>
                <w:i/>
                <w:iCs/>
                <w:sz w:val="24"/>
                <w:szCs w:val="24"/>
              </w:rPr>
              <w:t>‘What? So What? Now What?’</w:t>
            </w:r>
            <w:r w:rsidRPr="00FB513A">
              <w:rPr>
                <w:sz w:val="24"/>
                <w:szCs w:val="24"/>
              </w:rPr>
              <w:t xml:space="preserve"> model of reflection is used alongside my chosen case study to support me in critically reflecting on my involvement in a complex safeguarding case concerning a teenage mother, 4, teenage father, 5 and their young baby, 6. The structure of this task considers background to the case by referring to assessments I have undertaken alongside others prior to Care proceedings, before focusing on a joint Parent Assess parenting assessment I have undertaken of 4 and 5 during care proceedings. </w:t>
            </w:r>
          </w:p>
          <w:p w14:paraId="3D28C6D8" w14:textId="77777777" w:rsidR="00FB513A" w:rsidRPr="00FB513A" w:rsidRDefault="00FB513A" w:rsidP="00FB513A">
            <w:pPr>
              <w:rPr>
                <w:sz w:val="24"/>
                <w:szCs w:val="24"/>
              </w:rPr>
            </w:pPr>
          </w:p>
          <w:p w14:paraId="581B131D" w14:textId="50DA9451" w:rsidR="00FB513A" w:rsidRDefault="00FB513A" w:rsidP="00FB513A">
            <w:pPr>
              <w:rPr>
                <w:color w:val="000000" w:themeColor="text1"/>
                <w:sz w:val="24"/>
                <w:szCs w:val="24"/>
              </w:rPr>
            </w:pPr>
            <w:r w:rsidRPr="00FB513A">
              <w:rPr>
                <w:sz w:val="24"/>
                <w:szCs w:val="24"/>
              </w:rPr>
              <w:t xml:space="preserve">The </w:t>
            </w:r>
            <w:r w:rsidRPr="00FB513A">
              <w:rPr>
                <w:i/>
                <w:iCs/>
                <w:sz w:val="24"/>
                <w:szCs w:val="24"/>
                <w:u w:val="single"/>
              </w:rPr>
              <w:t>‘What?</w:t>
            </w:r>
            <w:r w:rsidRPr="00FB513A">
              <w:rPr>
                <w:i/>
                <w:iCs/>
                <w:sz w:val="24"/>
                <w:szCs w:val="24"/>
              </w:rPr>
              <w:t xml:space="preserve">’ </w:t>
            </w:r>
            <w:r w:rsidRPr="00FB513A">
              <w:rPr>
                <w:sz w:val="24"/>
                <w:szCs w:val="24"/>
              </w:rPr>
              <w:t>stage of reflection focuses on what happened within the case (Borton, 1970). 6 became known to the Local Authority pre-birth following a safeguarding referral having been made by midwifery. This action followed section 30 of the Social Services and Well-being (Wales) Act 2014 (SSWBA), that states that there is a statutory duty on relevant partners of a Local Authority who have reasonable cause to suspect that a child is at risk or experiencing abuse, neglect or other kinds of harm and has needs for care and support, to inform the Local Authority. Consent was not required to be obtained by family members when referring to the Local Authority under the Data Protection Act 2018 and United Kingdom General Data Protection Regulation 2016 (Regulation (EU) 2016/679 of the European Parliament and of the Council) because the relevant partner’s professional judgement felt that the unborn child was at risk of harm</w:t>
            </w:r>
            <w:r w:rsidR="008230F1">
              <w:rPr>
                <w:sz w:val="24"/>
                <w:szCs w:val="24"/>
              </w:rPr>
              <w:t xml:space="preserve">. </w:t>
            </w:r>
            <w:r w:rsidRPr="00FB513A">
              <w:rPr>
                <w:sz w:val="24"/>
                <w:szCs w:val="24"/>
              </w:rPr>
              <w:t xml:space="preserve">Section 130(4) of the SSWBA defines a child at risk to be a child who is experiencing or is at risk of abuse, neglect or any other kinds of harm and has needs for care and support (2014). </w:t>
            </w:r>
            <w:r w:rsidRPr="00FB513A">
              <w:rPr>
                <w:color w:val="000000" w:themeColor="text1"/>
                <w:sz w:val="24"/>
                <w:szCs w:val="24"/>
              </w:rPr>
              <w:t xml:space="preserve">This definition has been driven from the Children Act 1989 that defines harm as the ill-treatment or the impairment of </w:t>
            </w:r>
            <w:r w:rsidRPr="00FB513A">
              <w:rPr>
                <w:color w:val="000000" w:themeColor="text1"/>
                <w:sz w:val="24"/>
                <w:szCs w:val="24"/>
              </w:rPr>
              <w:lastRenderedPageBreak/>
              <w:t>physical, intellectual, emotional, social or behavioural development, physical and/or mental health and sexual abuse (S.31(9)). Both Acts establish a legal threshold for practitioners when assessing concerns that a child may be experiencing significant harm in England and Wales. The Children Act 1989 applies to both England and Wales practices however Welsh guidance is largely driven from the SSWBA 2014, which is a safeguarding legislation developed for Wales.</w:t>
            </w:r>
          </w:p>
          <w:p w14:paraId="0A66521B" w14:textId="77777777" w:rsidR="00FB513A" w:rsidRPr="00FB513A" w:rsidRDefault="00FB513A" w:rsidP="00FB513A">
            <w:pPr>
              <w:rPr>
                <w:color w:val="000000" w:themeColor="text1"/>
                <w:sz w:val="24"/>
                <w:szCs w:val="24"/>
              </w:rPr>
            </w:pPr>
          </w:p>
          <w:p w14:paraId="21B931A7" w14:textId="77777777" w:rsidR="00FB513A" w:rsidRDefault="00FB513A" w:rsidP="00FB513A">
            <w:pPr>
              <w:rPr>
                <w:sz w:val="24"/>
                <w:szCs w:val="24"/>
              </w:rPr>
            </w:pPr>
            <w:r w:rsidRPr="00FB513A">
              <w:rPr>
                <w:sz w:val="24"/>
                <w:szCs w:val="24"/>
              </w:rPr>
              <w:t xml:space="preserve">6 is the first child of 4 and 5. Parents do not live together but both live in predominantly Welsh speaking areas of Wales. 4’s first language is Welsh, which is the language that she uses towards 6, with wider family and professionals. 4 is from a large family where poverty, over-crowding and adverse childhood experiences (ACES) have been predominant factors and social work involvement with the family has been long-standing and arguably, normalised. 5 identifies himself as English and prefers to communicate in English. He moved from England to Wales during primary School age and considers himself to have minimal understanding of Welsh and is not confident understanding and speaking Welsh. He also has experiences of ACES by means of instability and parental conflict. </w:t>
            </w:r>
          </w:p>
          <w:p w14:paraId="51F409D5" w14:textId="77777777" w:rsidR="00FB513A" w:rsidRPr="00FB513A" w:rsidRDefault="00FB513A" w:rsidP="00FB513A">
            <w:pPr>
              <w:rPr>
                <w:color w:val="000000" w:themeColor="text1"/>
                <w:sz w:val="24"/>
                <w:szCs w:val="24"/>
              </w:rPr>
            </w:pPr>
          </w:p>
          <w:p w14:paraId="58B29FA5" w14:textId="77777777" w:rsidR="00FB513A" w:rsidRDefault="00FB513A" w:rsidP="00FB513A">
            <w:pPr>
              <w:rPr>
                <w:sz w:val="24"/>
                <w:szCs w:val="24"/>
              </w:rPr>
            </w:pPr>
            <w:r w:rsidRPr="00FB513A">
              <w:rPr>
                <w:sz w:val="24"/>
                <w:szCs w:val="24"/>
              </w:rPr>
              <w:t xml:space="preserve">Consistent with the Welsh Government’s Active Offer and ‘More than Just Words’ framework (2015), I established each parents’ preferred language at the beginning of my involvement and adapted by communication accordingly. This promoted participation, reduced barriers to engagement and supported their understanding, participation, cultural identity and linguistic needs. I understood that service users have the right to use the language that they are most comfortable in using and that social workers have responsibility to ensure access to services in each client’s preferred language is available, promoting diversity and confronting discrimination on the basis of linguistic abilities (Poulin, Matis and Witt, 2019). Being bilingual, I had the advantage of being able to deliver services in two languages for the family, in Welsh for 4 and in English for 5, providing them a sense of security in their own identities (Baker, 2000). By communicating with 4 and 5 in their preferred languages, I attempted to foster better understanding and their overall engagement with social work practice following section 2 of the Code of Professional Practice (COPP) (Social Care Wales, 2026c). </w:t>
            </w:r>
          </w:p>
          <w:p w14:paraId="5D4F100D" w14:textId="77777777" w:rsidR="00FB513A" w:rsidRPr="00FB513A" w:rsidRDefault="00FB513A" w:rsidP="00FB513A">
            <w:pPr>
              <w:rPr>
                <w:sz w:val="24"/>
                <w:szCs w:val="24"/>
              </w:rPr>
            </w:pPr>
          </w:p>
          <w:p w14:paraId="57A35DD3" w14:textId="20E4E534" w:rsidR="00FB513A" w:rsidRDefault="00FB513A" w:rsidP="00FB513A">
            <w:pPr>
              <w:rPr>
                <w:sz w:val="24"/>
                <w:szCs w:val="24"/>
              </w:rPr>
            </w:pPr>
            <w:r w:rsidRPr="00FB513A">
              <w:rPr>
                <w:sz w:val="24"/>
                <w:szCs w:val="24"/>
              </w:rPr>
              <w:t>The case was allocated to me for a pre-birth assessment. Following initial checks and an introductory visit, child protection concerns were evident. This led to a strategy referral, requesting a strategy discussion between social work team manager and manager of the county Police, in line with Section 3 of the Wales Safeguarding Procedures</w:t>
            </w:r>
            <w:r w:rsidRPr="00FB513A">
              <w:rPr>
                <w:color w:val="FF0000"/>
                <w:sz w:val="24"/>
                <w:szCs w:val="24"/>
              </w:rPr>
              <w:t xml:space="preserve"> </w:t>
            </w:r>
            <w:r w:rsidRPr="00FB513A">
              <w:rPr>
                <w:color w:val="000000" w:themeColor="text1"/>
                <w:sz w:val="24"/>
                <w:szCs w:val="24"/>
              </w:rPr>
              <w:t>(Social Care Wales, 2026</w:t>
            </w:r>
            <w:r w:rsidR="008E2C3B" w:rsidRPr="008E2C3B">
              <w:rPr>
                <w:color w:val="000000" w:themeColor="text1"/>
                <w:sz w:val="24"/>
                <w:szCs w:val="24"/>
              </w:rPr>
              <w:t>d</w:t>
            </w:r>
            <w:r w:rsidRPr="00FB513A">
              <w:rPr>
                <w:color w:val="000000" w:themeColor="text1"/>
                <w:sz w:val="24"/>
                <w:szCs w:val="24"/>
              </w:rPr>
              <w:t>). This was to</w:t>
            </w:r>
            <w:r w:rsidRPr="00FB513A">
              <w:rPr>
                <w:sz w:val="24"/>
                <w:szCs w:val="24"/>
              </w:rPr>
              <w:t xml:space="preserve"> determine whether an action was required to safeguard or promote the child’s welfare. Concerns were for 4 and 5 being known children to the Local Authority, both having experiences of ACES. Additionally, 4 was identified as a vulnerable young person having identified learning needs, </w:t>
            </w:r>
            <w:proofErr w:type="gramStart"/>
            <w:r w:rsidRPr="00FB513A">
              <w:rPr>
                <w:sz w:val="24"/>
                <w:szCs w:val="24"/>
              </w:rPr>
              <w:t>experiencing difficulty</w:t>
            </w:r>
            <w:proofErr w:type="gramEnd"/>
            <w:r w:rsidRPr="00FB513A">
              <w:rPr>
                <w:sz w:val="24"/>
                <w:szCs w:val="24"/>
              </w:rPr>
              <w:t xml:space="preserve"> understanding and processing information, acknowledging risks and living independently. Further concerns were for 4’s relationship with 5 which featured domestic violence, substance misuse, debt, homelessness and poor parental mental health. The strategy discussion recommended a single agency Section 47 investigation under the Children Act 1989, promoting the Local Authority’s duty to investigate where there is reasonable cause to suspect that a child within their Local Authority area is suffering or likely to suffer significant harm, by making enquiries </w:t>
            </w:r>
            <w:r w:rsidRPr="00FB513A">
              <w:rPr>
                <w:sz w:val="24"/>
                <w:szCs w:val="24"/>
              </w:rPr>
              <w:lastRenderedPageBreak/>
              <w:t xml:space="preserve">as considered necessary to decide whether the Local Authority should take any action to safeguard or promote the child’s welfare (S.47(1)(b)). </w:t>
            </w:r>
          </w:p>
          <w:p w14:paraId="383FFD59" w14:textId="77777777" w:rsidR="00FB513A" w:rsidRPr="00FB513A" w:rsidRDefault="00FB513A" w:rsidP="00FB513A">
            <w:pPr>
              <w:rPr>
                <w:sz w:val="24"/>
                <w:szCs w:val="24"/>
              </w:rPr>
            </w:pPr>
          </w:p>
          <w:p w14:paraId="31533C2C" w14:textId="32D4619C" w:rsidR="00FB513A" w:rsidRDefault="00FB513A" w:rsidP="00FB513A">
            <w:pPr>
              <w:rPr>
                <w:sz w:val="24"/>
                <w:szCs w:val="24"/>
              </w:rPr>
            </w:pPr>
            <w:r w:rsidRPr="00FB513A">
              <w:rPr>
                <w:sz w:val="24"/>
                <w:szCs w:val="24"/>
              </w:rPr>
              <w:t>The S.47 investigation was tasked to me as the allocated social worker and it was undertaken in accordance with local Wales protocols, ensuring that it was completed within the correc</w:t>
            </w:r>
            <w:r w:rsidRPr="008E2C3B">
              <w:rPr>
                <w:sz w:val="24"/>
                <w:szCs w:val="24"/>
              </w:rPr>
              <w:t>t timescale, within 1 working day of the strategy discussion (Social Care Wales, 2026</w:t>
            </w:r>
            <w:r w:rsidR="008E2C3B" w:rsidRPr="008E2C3B">
              <w:rPr>
                <w:sz w:val="24"/>
                <w:szCs w:val="24"/>
              </w:rPr>
              <w:t>d</w:t>
            </w:r>
            <w:r w:rsidRPr="00FB513A">
              <w:rPr>
                <w:sz w:val="24"/>
                <w:szCs w:val="24"/>
              </w:rPr>
              <w:t>). To ensure effective practice, the S.47 investigation followed the two Wales safeguarding principles which are 1. Safeguarding and protecting is everybody’s responsibility and 2. A child-centred approach (</w:t>
            </w:r>
            <w:r w:rsidRPr="005D4323">
              <w:rPr>
                <w:sz w:val="24"/>
                <w:szCs w:val="24"/>
              </w:rPr>
              <w:t>Wales Safeguarding Procedures, 202</w:t>
            </w:r>
            <w:r w:rsidR="005D4323" w:rsidRPr="005D4323">
              <w:rPr>
                <w:sz w:val="24"/>
                <w:szCs w:val="24"/>
              </w:rPr>
              <w:t>5</w:t>
            </w:r>
            <w:r w:rsidRPr="005D4323">
              <w:rPr>
                <w:sz w:val="24"/>
                <w:szCs w:val="24"/>
              </w:rPr>
              <w:t>).</w:t>
            </w:r>
            <w:r w:rsidRPr="00FB513A">
              <w:rPr>
                <w:sz w:val="24"/>
                <w:szCs w:val="24"/>
              </w:rPr>
              <w:t xml:space="preserve"> It focused on the well-being and safety of the unborn child as well as identifying potential risk of significant harm (Social Care Wales, 2026a</w:t>
            </w:r>
            <w:r w:rsidR="00B732E3">
              <w:rPr>
                <w:sz w:val="24"/>
                <w:szCs w:val="24"/>
              </w:rPr>
              <w:t>; 2026f</w:t>
            </w:r>
            <w:r w:rsidRPr="00FB513A">
              <w:rPr>
                <w:sz w:val="24"/>
                <w:szCs w:val="24"/>
              </w:rPr>
              <w:t>). I understood that information sharing is central to good safeguarding practice and that when information is not shared in a timely and effective way, decisions about how to respond may be ill informed and can lead to poor safeguarding practice and leave children at risk of harm (</w:t>
            </w:r>
            <w:r w:rsidRPr="00435D95">
              <w:rPr>
                <w:sz w:val="24"/>
                <w:szCs w:val="24"/>
              </w:rPr>
              <w:t>Wales Safeguarding Procedures, 2021</w:t>
            </w:r>
            <w:r w:rsidRPr="00FB513A">
              <w:rPr>
                <w:sz w:val="24"/>
                <w:szCs w:val="24"/>
              </w:rPr>
              <w:t>). As a result, attempts were made to gather information promptly from various sources, including parents, wider family members and relevant agencies working with the family. This included Police, community midwife, health visitor and the substance misuse team, who have a duty to co-operate with social services enquiries (Social Care Wales, 2026</w:t>
            </w:r>
            <w:r w:rsidR="00890029">
              <w:rPr>
                <w:sz w:val="24"/>
                <w:szCs w:val="24"/>
              </w:rPr>
              <w:t>d</w:t>
            </w:r>
            <w:r w:rsidRPr="00FB513A">
              <w:rPr>
                <w:sz w:val="24"/>
                <w:szCs w:val="24"/>
              </w:rPr>
              <w:t>).</w:t>
            </w:r>
          </w:p>
          <w:p w14:paraId="03474CF1" w14:textId="77777777" w:rsidR="00FB513A" w:rsidRPr="00FB513A" w:rsidRDefault="00FB513A" w:rsidP="00FB513A">
            <w:pPr>
              <w:rPr>
                <w:sz w:val="24"/>
                <w:szCs w:val="24"/>
              </w:rPr>
            </w:pPr>
          </w:p>
          <w:p w14:paraId="2676053E" w14:textId="05049143" w:rsidR="00FB513A" w:rsidRDefault="00FB513A" w:rsidP="00FB513A">
            <w:pPr>
              <w:rPr>
                <w:sz w:val="24"/>
                <w:szCs w:val="24"/>
              </w:rPr>
            </w:pPr>
            <w:r w:rsidRPr="00FB513A">
              <w:rPr>
                <w:sz w:val="24"/>
                <w:szCs w:val="24"/>
              </w:rPr>
              <w:t>The S.47 investigation concluded that concerns were substantiated in relation to 6 and that he was judged at being at continuing risk of significant harm, triggering action for 6 to be discussed at Initial Child Protection Case Conference (ICPCC) pre-birth. The conference bought together family members and all practitioners involved with the child and family and it considered the evidence presented to the conference by each practitioner’s written report to make a decision about the likelihood of the child suffering abuse or harm in future and to decide whether the child was at continuing risk of significant harm and if any future action was required</w:t>
            </w:r>
            <w:r w:rsidR="0007126B">
              <w:rPr>
                <w:sz w:val="24"/>
                <w:szCs w:val="24"/>
              </w:rPr>
              <w:t xml:space="preserve"> (Social Care Wales, 2026f)</w:t>
            </w:r>
            <w:r w:rsidRPr="00FB513A">
              <w:rPr>
                <w:sz w:val="24"/>
                <w:szCs w:val="24"/>
              </w:rPr>
              <w:t>. Following the multi-agency discussion, a unanimous decision was made by the practitioners present that 6 was at on-going risk of harm and as a result, the decision was made to place his name on the child protection register upon birth under categories Neglect and Emotional harm. This meant that once born, I as the social worker had statutory duties to visit 6 every 10 working days, with at least one visits every 4 weeks taking place at his home (Social Care Wales, 2026a). Guidelines were followed, to ensure that an initial Core Group made up of family and practitioners involved with the child and family was undertaken within 10 working days of the ICPCC and thereafter at minimum once every 6 weeks (</w:t>
            </w:r>
            <w:r w:rsidR="001332A8">
              <w:rPr>
                <w:sz w:val="24"/>
                <w:szCs w:val="24"/>
              </w:rPr>
              <w:t>Social Care Wales, 2026a).</w:t>
            </w:r>
            <w:r w:rsidRPr="00FB513A">
              <w:rPr>
                <w:sz w:val="24"/>
                <w:szCs w:val="24"/>
              </w:rPr>
              <w:t xml:space="preserve"> A child protection plan was created collaboratively with family and agencies, focused on the understanding that working collaboratively with families influences service users’ engagement with social work practice (Weinstein, Wittington and Leiba, 2023; Mantell, 2009; Price, 2009) and their overall abilities to make and sustain positive change. </w:t>
            </w:r>
          </w:p>
          <w:p w14:paraId="613839A0" w14:textId="615F7771" w:rsidR="00FB513A" w:rsidRPr="00FB513A" w:rsidRDefault="00FB513A" w:rsidP="00FB513A">
            <w:pPr>
              <w:rPr>
                <w:sz w:val="24"/>
                <w:szCs w:val="24"/>
              </w:rPr>
            </w:pPr>
            <w:r w:rsidRPr="00FB513A">
              <w:rPr>
                <w:sz w:val="24"/>
                <w:szCs w:val="24"/>
              </w:rPr>
              <w:t xml:space="preserve"> </w:t>
            </w:r>
          </w:p>
          <w:p w14:paraId="48DED938" w14:textId="77777777" w:rsidR="00FB513A" w:rsidRDefault="00FB513A" w:rsidP="00FB513A">
            <w:pPr>
              <w:rPr>
                <w:sz w:val="24"/>
                <w:szCs w:val="24"/>
              </w:rPr>
            </w:pPr>
            <w:r w:rsidRPr="00FB513A">
              <w:rPr>
                <w:sz w:val="24"/>
                <w:szCs w:val="24"/>
              </w:rPr>
              <w:t xml:space="preserve">The case pre-birth proceeded through Public Law Outline (PLO) due to the level of concern. The PLO provides a template for case management of proceedings in England and Wales with a view of reducing delay and bringing cases within the statutory 26-week time limit (Courts and Tribunals Judiciary, 2026). The recommendation of PLO was for the Local Authority to instigate care proceedings of 6 upon birth, requesting to the Court an Interim Care Order (ICO) under Section 38 of the Children Act 1989, with the Local Authority’s </w:t>
            </w:r>
            <w:r w:rsidRPr="00FB513A">
              <w:rPr>
                <w:sz w:val="24"/>
                <w:szCs w:val="24"/>
              </w:rPr>
              <w:lastRenderedPageBreak/>
              <w:t>preferred care plan for 6 being a mother and baby fostering placement, whilst further assessments of parents and wider family were undertaken through means of a parenting and viability assessment. The PLO decision to pursue a mother and baby placement represented a thorough discussion with panel members, including myself, team manager, PLO chair, fostering team manager and Local Authority legal representative, to balance safeguarding 6 from exposure to harm with the opportunity for 4 and 5’s parenting capacity to care for 6 to be assessed. The placement was intended to provide opportunity within a structured and safe environment alongside foster carers to assess the parents’ abilities.</w:t>
            </w:r>
          </w:p>
          <w:p w14:paraId="4507A091" w14:textId="18B3E82E" w:rsidR="00FB513A" w:rsidRPr="00FB513A" w:rsidRDefault="00FB513A" w:rsidP="00FB513A">
            <w:pPr>
              <w:rPr>
                <w:sz w:val="24"/>
                <w:szCs w:val="24"/>
              </w:rPr>
            </w:pPr>
            <w:r w:rsidRPr="00FB513A">
              <w:rPr>
                <w:sz w:val="24"/>
                <w:szCs w:val="24"/>
              </w:rPr>
              <w:t xml:space="preserve"> </w:t>
            </w:r>
          </w:p>
          <w:p w14:paraId="50A7B4AA" w14:textId="77777777" w:rsidR="00FB513A" w:rsidRDefault="00FB513A" w:rsidP="00FB513A">
            <w:pPr>
              <w:rPr>
                <w:sz w:val="24"/>
                <w:szCs w:val="24"/>
              </w:rPr>
            </w:pPr>
            <w:r w:rsidRPr="00FB513A">
              <w:rPr>
                <w:sz w:val="24"/>
                <w:szCs w:val="24"/>
              </w:rPr>
              <w:t xml:space="preserve">Prior to the making of the ICO application, 4 and 5 were issued with Letter Before Proceedings, giving them opportunity to partake in a meeting with myself and my team manager alongside their chosen solicitor and the Local Authority solicitor, to understand the issues and have opportunity to respond. The ICO was granted during an initial Court hearing and 6’s care plan was approved. 6 was listed for triple tracking consideration, which means that all realistic options for the child should be explored. In this case, a placement in the sole and/or joint care of parents, family members and Adoption were considered. This meant that I had to work towards each placement option, delivering main focus on assessing the parents, by also co-working with a range of different professionals including the Child Guardian, Independent Reviewing Officer, Fostering Team and PLO members to reach the permanence recommendation that was deemed to be in the best interest of 6. </w:t>
            </w:r>
          </w:p>
          <w:p w14:paraId="3C918ABB" w14:textId="77777777" w:rsidR="00FB513A" w:rsidRPr="00FB513A" w:rsidRDefault="00FB513A" w:rsidP="00FB513A">
            <w:pPr>
              <w:rPr>
                <w:sz w:val="24"/>
                <w:szCs w:val="24"/>
              </w:rPr>
            </w:pPr>
          </w:p>
          <w:p w14:paraId="4CCABD5E" w14:textId="77777777" w:rsidR="00FB513A" w:rsidRDefault="00FB513A" w:rsidP="00FB513A">
            <w:pPr>
              <w:rPr>
                <w:sz w:val="24"/>
                <w:szCs w:val="24"/>
              </w:rPr>
            </w:pPr>
            <w:r w:rsidRPr="00FB513A">
              <w:rPr>
                <w:sz w:val="24"/>
                <w:szCs w:val="24"/>
              </w:rPr>
              <w:t>A Parent Assess parenting assessment of 4 and 5 was instructed of me by the Court. This framework is based on the Department of Health (2000) Assessment Framework and complies with case law and the Good Practice Guidance on Working with Parents with a Learning Disability (University of Bristol, 2021) and the Guidance for social workers for families where the parent has a learning disability (</w:t>
            </w:r>
            <w:r w:rsidRPr="001332A8">
              <w:rPr>
                <w:sz w:val="24"/>
                <w:szCs w:val="24"/>
              </w:rPr>
              <w:t>Welsh Government, 2023</w:t>
            </w:r>
            <w:r w:rsidRPr="00FB513A">
              <w:rPr>
                <w:sz w:val="24"/>
                <w:szCs w:val="24"/>
              </w:rPr>
              <w:t xml:space="preserve">). The assessment looks at how parents live, their daily living skills and any specific risk and how the child may be affected. A focus was delivered on observing parents caring for 6 jointly and by themselves.  </w:t>
            </w:r>
          </w:p>
          <w:p w14:paraId="000E6893" w14:textId="77777777" w:rsidR="00FB513A" w:rsidRPr="00FB513A" w:rsidRDefault="00FB513A" w:rsidP="00FB513A">
            <w:pPr>
              <w:rPr>
                <w:sz w:val="24"/>
                <w:szCs w:val="24"/>
              </w:rPr>
            </w:pPr>
          </w:p>
          <w:p w14:paraId="18CF904C" w14:textId="0229279B" w:rsidR="00FB513A" w:rsidRDefault="00FB513A" w:rsidP="00FB513A">
            <w:pPr>
              <w:rPr>
                <w:color w:val="000000" w:themeColor="text1"/>
                <w:sz w:val="24"/>
                <w:szCs w:val="24"/>
              </w:rPr>
            </w:pPr>
            <w:r w:rsidRPr="00FB513A">
              <w:rPr>
                <w:sz w:val="24"/>
                <w:szCs w:val="24"/>
              </w:rPr>
              <w:t xml:space="preserve">The </w:t>
            </w:r>
            <w:r w:rsidRPr="00FB513A">
              <w:rPr>
                <w:i/>
                <w:iCs/>
                <w:sz w:val="24"/>
                <w:szCs w:val="24"/>
                <w:u w:val="single"/>
              </w:rPr>
              <w:t>‘So What?’</w:t>
            </w:r>
            <w:r w:rsidRPr="00FB513A">
              <w:rPr>
                <w:sz w:val="24"/>
                <w:szCs w:val="24"/>
              </w:rPr>
              <w:t xml:space="preserve"> stage of reflection (Borton, 1970) prompts me to consider the significance of the ‘What?’ stage above from observation into analysis (McLeod, 2024). This assignment has already touched upon my understanding of how social service provision in Wales operates through the devolved legal and policy frameworks of the SSWBA 2014, Wales Safeguarding Procedures (2026), the Welsh Government’s More than Just Words framework (2015) and how it is influenced by wider UK legislation such as the Children Act 1989. Furthermore, I also understand that the provision in Wales is influenced by international human rights obligations. In particular, the United Nations Convention of the Rights of the Child 1989 (UNCRC) and the Human Rights Act 1989. </w:t>
            </w:r>
            <w:r w:rsidRPr="00FB513A">
              <w:rPr>
                <w:color w:val="000000" w:themeColor="text1"/>
                <w:sz w:val="24"/>
                <w:szCs w:val="24"/>
              </w:rPr>
              <w:t>UNICEF report the UNCRC to be the most widely ratified international human rights treaty in the world with it being a legally binding agreement that entered force on 2</w:t>
            </w:r>
            <w:r w:rsidRPr="00FB513A">
              <w:rPr>
                <w:color w:val="000000" w:themeColor="text1"/>
                <w:sz w:val="24"/>
                <w:szCs w:val="24"/>
                <w:vertAlign w:val="superscript"/>
              </w:rPr>
              <w:t>nd</w:t>
            </w:r>
            <w:r w:rsidRPr="00FB513A">
              <w:rPr>
                <w:color w:val="000000" w:themeColor="text1"/>
                <w:sz w:val="24"/>
                <w:szCs w:val="24"/>
              </w:rPr>
              <w:t xml:space="preserve"> of September 1990, meaning that the UK Government has an international obligation to uphold the rights contained within the Convention (no date). It has been signed by 196 countries as of the 12</w:t>
            </w:r>
            <w:r w:rsidRPr="00FB513A">
              <w:rPr>
                <w:color w:val="000000" w:themeColor="text1"/>
                <w:sz w:val="24"/>
                <w:szCs w:val="24"/>
                <w:vertAlign w:val="superscript"/>
              </w:rPr>
              <w:t>th</w:t>
            </w:r>
            <w:r w:rsidRPr="00FB513A">
              <w:rPr>
                <w:color w:val="000000" w:themeColor="text1"/>
                <w:sz w:val="24"/>
                <w:szCs w:val="24"/>
              </w:rPr>
              <w:t xml:space="preserve"> of July 2022 (</w:t>
            </w:r>
            <w:r w:rsidR="001332A8">
              <w:rPr>
                <w:color w:val="000000" w:themeColor="text1"/>
                <w:sz w:val="24"/>
                <w:szCs w:val="24"/>
              </w:rPr>
              <w:t>UNICEF, no date).</w:t>
            </w:r>
            <w:r w:rsidRPr="00FB513A">
              <w:rPr>
                <w:color w:val="000000" w:themeColor="text1"/>
                <w:sz w:val="24"/>
                <w:szCs w:val="24"/>
              </w:rPr>
              <w:t xml:space="preserve"> Wales became the first country in the UK to integrate the UNCRC into domestic law by developing </w:t>
            </w:r>
            <w:r w:rsidRPr="00BE44DF">
              <w:rPr>
                <w:color w:val="000000" w:themeColor="text1"/>
                <w:sz w:val="24"/>
                <w:szCs w:val="24"/>
              </w:rPr>
              <w:t>the Rights of Children and Young People (Wales) Measure 2011</w:t>
            </w:r>
            <w:r w:rsidRPr="00FB513A">
              <w:rPr>
                <w:color w:val="000000" w:themeColor="text1"/>
                <w:sz w:val="24"/>
                <w:szCs w:val="24"/>
              </w:rPr>
              <w:t xml:space="preserve"> that places a duty on the Welsh Ministers to have due regard to the rights and </w:t>
            </w:r>
            <w:r w:rsidRPr="00FB513A">
              <w:rPr>
                <w:color w:val="000000" w:themeColor="text1"/>
                <w:sz w:val="24"/>
                <w:szCs w:val="24"/>
              </w:rPr>
              <w:lastRenderedPageBreak/>
              <w:t>obligations in the UNCRC when making decisions of a strategic nature (Welsh Government, 2024).</w:t>
            </w:r>
          </w:p>
          <w:p w14:paraId="62241E91" w14:textId="77777777" w:rsidR="00FB513A" w:rsidRPr="00FB513A" w:rsidRDefault="00FB513A" w:rsidP="00FB513A">
            <w:pPr>
              <w:rPr>
                <w:sz w:val="24"/>
                <w:szCs w:val="24"/>
              </w:rPr>
            </w:pPr>
          </w:p>
          <w:p w14:paraId="3859EFE1" w14:textId="77777777" w:rsidR="00FB513A" w:rsidRDefault="00FB513A" w:rsidP="00FB513A">
            <w:pPr>
              <w:rPr>
                <w:sz w:val="24"/>
                <w:szCs w:val="24"/>
              </w:rPr>
            </w:pPr>
            <w:r w:rsidRPr="00FB513A">
              <w:rPr>
                <w:sz w:val="24"/>
                <w:szCs w:val="24"/>
              </w:rPr>
              <w:t xml:space="preserve">During the parenting assessment, I had to consider 4 and 5’s </w:t>
            </w:r>
            <w:r w:rsidRPr="00FB513A">
              <w:rPr>
                <w:color w:val="000000" w:themeColor="text1"/>
                <w:sz w:val="24"/>
                <w:szCs w:val="24"/>
              </w:rPr>
              <w:t xml:space="preserve">rights to freedom of thought, expression and conscience under Section 12 and 13 of the Human Rights Act 1989 and respect their responsibilities, rights and duties as parents in a manner consistent with their evolving capacities of 6 under Article 5 of the United Nations Convention on the Rights of the Child, 1989 (UNCRC). I had to balance this with 6’s rights under the UNCRC to ensure that his best interest was my primary consideration throughout under Article 3, that he had a standard of living adequate for his physical, mental, spiritual, moral and social development under Article 27, and that all appropriate legislative, administrative, social and educational measures were undertaken by state parties to protect the child from any physical or mental violence, injury, abuse, neglect, negligence treatment, maltreatment, exploitation including sexual abuse whilst in the care of his parents, legal guardian or any other person who was caring for the child under Article 19 (1989). </w:t>
            </w:r>
            <w:r w:rsidRPr="00FB513A">
              <w:rPr>
                <w:sz w:val="24"/>
                <w:szCs w:val="24"/>
              </w:rPr>
              <w:t>The case involved ethical tensions. There was clear conflict between supporting 4, 5 and 6’s right to a private family life and the Local Authority’s responsibility to protect 6 from harm. My role required me to maintain a child-centred approach by ensuring that best interest decisions were made, whilst also ensuring that 4 and 5’s voices and capabilities remained at the centre of the assessment process.</w:t>
            </w:r>
          </w:p>
          <w:p w14:paraId="6DDF8295" w14:textId="1EB59D22" w:rsidR="00FB513A" w:rsidRPr="00FB513A" w:rsidRDefault="00FB513A" w:rsidP="00FB513A">
            <w:pPr>
              <w:rPr>
                <w:sz w:val="24"/>
                <w:szCs w:val="24"/>
              </w:rPr>
            </w:pPr>
            <w:r w:rsidRPr="00FB513A">
              <w:rPr>
                <w:sz w:val="24"/>
                <w:szCs w:val="24"/>
              </w:rPr>
              <w:t xml:space="preserve"> </w:t>
            </w:r>
          </w:p>
          <w:p w14:paraId="32A17934" w14:textId="77777777" w:rsidR="00FB513A" w:rsidRDefault="00FB513A" w:rsidP="00FB513A">
            <w:pPr>
              <w:rPr>
                <w:sz w:val="24"/>
                <w:szCs w:val="24"/>
              </w:rPr>
            </w:pPr>
            <w:r w:rsidRPr="00FB513A">
              <w:rPr>
                <w:sz w:val="24"/>
                <w:szCs w:val="24"/>
              </w:rPr>
              <w:t xml:space="preserve">Social Care Wales guidance identifies the importance of exploring strengths, needs, risks and circumstances, analysing the nature and implications of identified risks and listening to the individual’s own account (2026c). This influenced my approach in the parenting assessment. Rather than focusing only on concerns, I delivered a focus on working collaboratively with 4 and 5 to assess their capacity to learn, their engagement with professionals, their ability to respond to feedback, their understanding of 6’s needs and the extent to which they could apply information and intervention in practice. The decision at ICPCC provided an important foundation for subsequent planning of 4 and 5’s parenting assessment. I recognised that 4 and 5’s parenting capacity should not be assumed incapable of change based on pre-birth concerns. I needed to distinguish between 4’s learning needs, the tailored support required for both parents based on the identified concerns, their vulnerabilities and the actual impact of these factors on their ability to meet 6’s needs. Support was tailored to parents collaboratively by relevant agencies to help them meet the needs of 6 by following Article 18 of the UNCRC 1989. </w:t>
            </w:r>
          </w:p>
          <w:p w14:paraId="55F47DDB" w14:textId="77777777" w:rsidR="00FB513A" w:rsidRPr="00FB513A" w:rsidRDefault="00FB513A" w:rsidP="00FB513A">
            <w:pPr>
              <w:rPr>
                <w:sz w:val="24"/>
                <w:szCs w:val="24"/>
              </w:rPr>
            </w:pPr>
          </w:p>
          <w:p w14:paraId="77B38918" w14:textId="77777777" w:rsidR="00FB513A" w:rsidRDefault="00FB513A" w:rsidP="00FB513A">
            <w:pPr>
              <w:rPr>
                <w:sz w:val="24"/>
                <w:szCs w:val="24"/>
              </w:rPr>
            </w:pPr>
            <w:r w:rsidRPr="00FB513A">
              <w:rPr>
                <w:sz w:val="24"/>
                <w:szCs w:val="24"/>
              </w:rPr>
              <w:t xml:space="preserve">One of the most significant complexities within this case was ensuring that 4’s learning needs did not become conflated with the assumption that she could not parent. I was aware from a cognitive assessment of her, that her learning needs affect her ability to understand, process, retain and respond to information. Knowing this, I was able to consider reasonable adjustments and communication approaches to ensure that a person-centred assessment was undertaken, to support her to demonstrate her abilities to parent. I did this by ensuring that both 4 and 5 were spoken to in their preferred language, had structured questioning, verbal explanations, repetition and discussions were re-phrased if needed. I checked both parents understanding throughout and they were given ample time to respond in discussions and were provided opportunity to ask questions. Visual prompts, worksheets and practical demonstrations were also used to support both parents’ understanding of </w:t>
            </w:r>
            <w:r w:rsidRPr="00FB513A">
              <w:rPr>
                <w:sz w:val="24"/>
                <w:szCs w:val="24"/>
              </w:rPr>
              <w:lastRenderedPageBreak/>
              <w:t xml:space="preserve">aspects of 6’s care. I ensured transparency between professionals was delivered about the level of adaptations needed for 4, to ensure that each practitioner working with the family were fully aware of how best to support her to learn, adapt and meet 6’s needs sufficiently. </w:t>
            </w:r>
          </w:p>
          <w:p w14:paraId="03A1CFBB" w14:textId="77777777" w:rsidR="00FB513A" w:rsidRPr="00FB513A" w:rsidRDefault="00FB513A" w:rsidP="00FB513A">
            <w:pPr>
              <w:rPr>
                <w:sz w:val="24"/>
                <w:szCs w:val="24"/>
              </w:rPr>
            </w:pPr>
          </w:p>
          <w:p w14:paraId="3D9F4951" w14:textId="3D2EB30A" w:rsidR="00FB513A" w:rsidRDefault="00FB513A" w:rsidP="00FB513A">
            <w:pPr>
              <w:rPr>
                <w:sz w:val="24"/>
                <w:szCs w:val="24"/>
              </w:rPr>
            </w:pPr>
            <w:r w:rsidRPr="00FB513A">
              <w:rPr>
                <w:sz w:val="24"/>
                <w:szCs w:val="24"/>
              </w:rPr>
              <w:t>Drawing upon child developmental theory, Erikson outlines eight stages of psychological development from infancy to adulthood (1950). Stage 1 is relevant to this case. Stage 1 is during infancy, where children rely entirely on their caregivers to meet their needs through support and consistency (McLeod, 2026). Erikson proposes that if a child’s caregiver is reliable, consistent and nurturing, providing their needs of food, comfort and affection consistently, the child will typically develop a sense of trust, believing the world is safe and that people are dependable and affectionate (</w:t>
            </w:r>
            <w:r w:rsidR="00BE44DF">
              <w:rPr>
                <w:sz w:val="24"/>
                <w:szCs w:val="24"/>
              </w:rPr>
              <w:t>McLeod, 2026</w:t>
            </w:r>
            <w:r w:rsidRPr="00FB513A">
              <w:rPr>
                <w:sz w:val="24"/>
                <w:szCs w:val="24"/>
              </w:rPr>
              <w:t xml:space="preserve">). I recognised that 6 was fully dependant on his caregivers to meet his needs because of his age. I understood that his crying needed to be interpreted as a form of communication, and this required me to assess whether 4 and 5 could recognise his cues and understand what need 6 was communicating. I considered that 4 and 5 were first time parents and had no prior experiences of parenting therefore opportunities for learning and assessing whether they could implement learning into practice was needed.  </w:t>
            </w:r>
          </w:p>
          <w:p w14:paraId="4284A91D" w14:textId="77777777" w:rsidR="00FB513A" w:rsidRPr="00FB513A" w:rsidRDefault="00FB513A" w:rsidP="00FB513A">
            <w:pPr>
              <w:rPr>
                <w:sz w:val="24"/>
                <w:szCs w:val="24"/>
              </w:rPr>
            </w:pPr>
          </w:p>
          <w:p w14:paraId="22CC7BF9" w14:textId="1862F3F5" w:rsidR="00FB513A" w:rsidRDefault="00FB513A" w:rsidP="00FB513A">
            <w:pPr>
              <w:rPr>
                <w:sz w:val="24"/>
                <w:szCs w:val="24"/>
              </w:rPr>
            </w:pPr>
            <w:r w:rsidRPr="00FB513A">
              <w:rPr>
                <w:sz w:val="24"/>
                <w:szCs w:val="24"/>
              </w:rPr>
              <w:t>Following observations and discussions with relevant agencies, it became apparent that 4 had developed a tendency to provide 6 with a bottle every time he cried, raising concern for over-feeding and him having become accustomed to being fed more regularly than what was advised by health professionals. Concerns were also for the lack of emotional warmth both parents were providing 6. Collaboratively, professionals agreed a tailored support plan to address this by means of further child development learning for parents as well as providing them with support around practical skills to find other ways of meeting 6’s needs without providing him a bottle when he was not due more milk. The parent’s progress was measured through observations, discussions with them and discussions with the foster carer, support worker and intensive family support worker. All agencies were concerned that 4 and 5 were not following guidance and as a result, not making positive changes in caring for 6. Referring to Erikson’s psychological development theory, this suggests that 6 was more likely to develop a sense of mistrust, insecurity and anxiety as parents were continuing to demonstrate low ability to provide consistent, adequate and affectionate care (</w:t>
            </w:r>
            <w:r w:rsidR="00BE44DF">
              <w:rPr>
                <w:sz w:val="24"/>
                <w:szCs w:val="24"/>
              </w:rPr>
              <w:t>McLeod, 2026).</w:t>
            </w:r>
            <w:r w:rsidRPr="00FB513A">
              <w:rPr>
                <w:sz w:val="24"/>
                <w:szCs w:val="24"/>
              </w:rPr>
              <w:t xml:space="preserve"> </w:t>
            </w:r>
          </w:p>
          <w:p w14:paraId="3F9D1095" w14:textId="77777777" w:rsidR="00FB513A" w:rsidRPr="00FB513A" w:rsidRDefault="00FB513A" w:rsidP="00FB513A">
            <w:pPr>
              <w:rPr>
                <w:sz w:val="24"/>
                <w:szCs w:val="24"/>
              </w:rPr>
            </w:pPr>
          </w:p>
          <w:p w14:paraId="19BCC73E" w14:textId="43BCAAE1" w:rsidR="00FB513A" w:rsidRDefault="00FB513A" w:rsidP="00FB513A">
            <w:pPr>
              <w:rPr>
                <w:sz w:val="24"/>
                <w:szCs w:val="24"/>
              </w:rPr>
            </w:pPr>
            <w:r w:rsidRPr="00FB513A">
              <w:rPr>
                <w:sz w:val="24"/>
                <w:szCs w:val="24"/>
              </w:rPr>
              <w:t>To support me to further understand the parents’ daily functioning, lived experienced and in considering whether 4 and 5’s ACES have any implications on their parenting capabilities, I refer to Bronfenbrenner’s ecological system theory (19</w:t>
            </w:r>
            <w:r w:rsidR="00551DED">
              <w:rPr>
                <w:sz w:val="24"/>
                <w:szCs w:val="24"/>
              </w:rPr>
              <w:t>7</w:t>
            </w:r>
            <w:r w:rsidRPr="00FB513A">
              <w:rPr>
                <w:sz w:val="24"/>
                <w:szCs w:val="24"/>
              </w:rPr>
              <w:t>9). This theory proposes that human development is influenced by an individual’s environment (Lehrer et al., 202</w:t>
            </w:r>
            <w:r w:rsidR="00EE3C3D">
              <w:rPr>
                <w:sz w:val="24"/>
                <w:szCs w:val="24"/>
              </w:rPr>
              <w:t>3</w:t>
            </w:r>
            <w:r w:rsidRPr="00FB513A">
              <w:rPr>
                <w:sz w:val="24"/>
                <w:szCs w:val="24"/>
              </w:rPr>
              <w:t xml:space="preserve">) and that human behaviour is a product of the interaction over time between growing individuals and their environment (Greene, 2010). Research proposes that children who are exposed to more adversity in childhood, including experiencing ACES have an increased likelihood of being negatively impacted in future (Devaney, Frederick and Spratt, 2021). ACES are said to be programmed into the child’s brain and can have lifelong implications involving behaviours dysfunctions, inability managing emotions, difficulty identifying appropriate coping mechanisms and increased anxiety disorders (Benson, 2020). Both 4 and 5 have experienced instability in their secure living environments as children and in adolescence </w:t>
            </w:r>
            <w:r w:rsidRPr="00FB513A">
              <w:rPr>
                <w:sz w:val="24"/>
                <w:szCs w:val="24"/>
              </w:rPr>
              <w:lastRenderedPageBreak/>
              <w:t xml:space="preserve">and have witnessed and encountered domestic violence and substance misuse. 4 experienced the absence of a primary caregiver and reports that her mother had no attachment towards her.  Bowlby’s attachment theory (1969) proposes that early relationships with primary caregivers contribute to the development of an internal working model through which children develop expectations about themselves, others and relationship.  </w:t>
            </w:r>
          </w:p>
          <w:p w14:paraId="05EE6E99" w14:textId="77777777" w:rsidR="00FB513A" w:rsidRPr="00FB513A" w:rsidRDefault="00FB513A" w:rsidP="00FB513A">
            <w:pPr>
              <w:rPr>
                <w:sz w:val="24"/>
                <w:szCs w:val="24"/>
              </w:rPr>
            </w:pPr>
          </w:p>
          <w:p w14:paraId="7A344972" w14:textId="77777777" w:rsidR="00FB513A" w:rsidRDefault="00FB513A" w:rsidP="00FB513A">
            <w:pPr>
              <w:rPr>
                <w:sz w:val="24"/>
                <w:szCs w:val="24"/>
              </w:rPr>
            </w:pPr>
            <w:r w:rsidRPr="00FB513A">
              <w:rPr>
                <w:sz w:val="24"/>
                <w:szCs w:val="24"/>
              </w:rPr>
              <w:t xml:space="preserve">Understanding the parents’ histories was important in how their past experiences may have influenced their ability to form a secure relationship with 6, respond sensitively and appropriately to his needs and provide consistent, emotionally available care. The available information suggests that 4 and 5’s experiences of childhood adversity may have influenced their emotional development, expectations of relationships and understanding of caregiving. I acknowledged the importance not to assume that exposure to ACES consequently results in a negative assessment and that parents are unable to care for their child(ren), as some parents can demonstrate resilience and develop positive parenting capacities despite adversity. Rather, understanding this information helped me to explore how past adversity interacts with current circumstances. </w:t>
            </w:r>
          </w:p>
          <w:p w14:paraId="0331220A" w14:textId="77777777" w:rsidR="00FB513A" w:rsidRPr="00FB513A" w:rsidRDefault="00FB513A" w:rsidP="00FB513A">
            <w:pPr>
              <w:rPr>
                <w:sz w:val="24"/>
                <w:szCs w:val="24"/>
              </w:rPr>
            </w:pPr>
          </w:p>
          <w:p w14:paraId="2E3A56B6" w14:textId="7CCCD916" w:rsidR="00FB513A" w:rsidRDefault="00FB513A" w:rsidP="00FB513A">
            <w:pPr>
              <w:rPr>
                <w:sz w:val="24"/>
                <w:szCs w:val="24"/>
              </w:rPr>
            </w:pPr>
            <w:r w:rsidRPr="00FB513A">
              <w:rPr>
                <w:sz w:val="24"/>
                <w:szCs w:val="24"/>
              </w:rPr>
              <w:t>The case became increasingly complex when 4 left the mother and baby placement on several occasions. This challenge required me to consider whether 4 was demonstrating inability to parent or whether there were any wider contextual factors had contributed to this action. Applying Bronfenbrenner’s ecological system theory (19</w:t>
            </w:r>
            <w:r w:rsidR="00551DED">
              <w:rPr>
                <w:sz w:val="24"/>
                <w:szCs w:val="24"/>
              </w:rPr>
              <w:t>7</w:t>
            </w:r>
            <w:r w:rsidRPr="00FB513A">
              <w:rPr>
                <w:sz w:val="24"/>
                <w:szCs w:val="24"/>
              </w:rPr>
              <w:t>9), I recognised the importance considering 4’s individual needs, engagement with professionals, the level of support provided and the demands of the placement. This reinforced the need for my professional judgement to remain analytical and evidence-based rather on relying on single events to determine the outcome of 4’s parental capacity. Shortly after 4 having left the placement, the placement ended following 6 having sustained injuries. This created significant professional dilemma as the mother and baby placement was trusted to be a safe environment for 4 and 6 but 6’s safety had been compromised. A strategy discussion was undertaken, following Section 3 of the Wales Safeguarding Procedures (Social Care Wales, 2026</w:t>
            </w:r>
            <w:r w:rsidR="00BE44DF">
              <w:rPr>
                <w:sz w:val="24"/>
                <w:szCs w:val="24"/>
              </w:rPr>
              <w:t>d</w:t>
            </w:r>
            <w:r w:rsidRPr="00FB513A">
              <w:rPr>
                <w:sz w:val="24"/>
                <w:szCs w:val="24"/>
              </w:rPr>
              <w:t xml:space="preserve">), recommending a single agency S.47 investigation and a child protection medical assessment (Children Act, 1989 (S.47(b)), which is a detailed examination by a specialist paediatrician to identify any signs of harm, document injuries and inform safeguarding decisions. Considering 6’s safety as a priority, arrangements were made for him to be placed elsewhere in the interim, without 4, as she had already left the placement.  </w:t>
            </w:r>
          </w:p>
          <w:p w14:paraId="42F295E5" w14:textId="0EF37E20" w:rsidR="00FB513A" w:rsidRPr="00FB513A" w:rsidRDefault="00FB513A" w:rsidP="00FB513A">
            <w:pPr>
              <w:rPr>
                <w:sz w:val="24"/>
                <w:szCs w:val="24"/>
              </w:rPr>
            </w:pPr>
            <w:r w:rsidRPr="00FB513A">
              <w:rPr>
                <w:sz w:val="24"/>
                <w:szCs w:val="24"/>
              </w:rPr>
              <w:t xml:space="preserve">  </w:t>
            </w:r>
          </w:p>
          <w:p w14:paraId="6F6D5937" w14:textId="77777777" w:rsidR="00FB513A" w:rsidRDefault="00FB513A" w:rsidP="00FB513A">
            <w:pPr>
              <w:rPr>
                <w:sz w:val="24"/>
                <w:szCs w:val="24"/>
              </w:rPr>
            </w:pPr>
            <w:r w:rsidRPr="00FB513A">
              <w:rPr>
                <w:sz w:val="24"/>
                <w:szCs w:val="24"/>
              </w:rPr>
              <w:t xml:space="preserve">The breakdown of the placement represented significant changes to 4’s assessment. I had to balance between 6’s needs for safety and permanence, 4’s right to be given genuine opportunity to develop her parenting capacity during the assessment period, proportionality, professional judgement and evidence-based decision making. Having sought advice from my team manager and Local Authority solicitor, it was agreed that the assessment of 4 would continue from a community-based perspective, promoting a high-level of contact, whilst the Local Authority considered a second mother and baby placement. The breakdown left me questioning whether the matching process had been sufficiently robust and whether 4 was afforded with meaningful opportunity to demonstrate her capacity to care for 6. </w:t>
            </w:r>
          </w:p>
          <w:p w14:paraId="7514ACE3" w14:textId="77777777" w:rsidR="00FB513A" w:rsidRPr="00FB513A" w:rsidRDefault="00FB513A" w:rsidP="00FB513A">
            <w:pPr>
              <w:rPr>
                <w:sz w:val="24"/>
                <w:szCs w:val="24"/>
              </w:rPr>
            </w:pPr>
          </w:p>
          <w:p w14:paraId="510489D1" w14:textId="77777777" w:rsidR="00FB513A" w:rsidRDefault="00FB513A" w:rsidP="00FB513A">
            <w:pPr>
              <w:rPr>
                <w:sz w:val="24"/>
                <w:szCs w:val="24"/>
              </w:rPr>
            </w:pPr>
            <w:r w:rsidRPr="00FB513A">
              <w:rPr>
                <w:sz w:val="24"/>
                <w:szCs w:val="24"/>
              </w:rPr>
              <w:lastRenderedPageBreak/>
              <w:t>The ‘</w:t>
            </w:r>
            <w:r w:rsidRPr="00FB513A">
              <w:rPr>
                <w:i/>
                <w:iCs/>
                <w:sz w:val="24"/>
                <w:szCs w:val="24"/>
                <w:u w:val="single"/>
              </w:rPr>
              <w:t>Now What?’</w:t>
            </w:r>
            <w:r w:rsidRPr="00FB513A">
              <w:rPr>
                <w:sz w:val="24"/>
                <w:szCs w:val="24"/>
              </w:rPr>
              <w:t xml:space="preserve"> stage of reflection (Borton, 1970) propels reflection into action. It prompts me to draw upon the insights from the ‘What?’ and ‘So What?’ stages, focusing now on developing steps for improvements, future application of learning and professional growth (McLeod, 2024).</w:t>
            </w:r>
          </w:p>
          <w:p w14:paraId="7A1E1109" w14:textId="77777777" w:rsidR="00FB513A" w:rsidRPr="00FB513A" w:rsidRDefault="00FB513A" w:rsidP="00FB513A">
            <w:pPr>
              <w:rPr>
                <w:sz w:val="24"/>
                <w:szCs w:val="24"/>
              </w:rPr>
            </w:pPr>
          </w:p>
          <w:p w14:paraId="3627F410" w14:textId="77777777" w:rsidR="00FB513A" w:rsidRDefault="00FB513A" w:rsidP="00FB513A">
            <w:pPr>
              <w:rPr>
                <w:sz w:val="24"/>
                <w:szCs w:val="24"/>
              </w:rPr>
            </w:pPr>
            <w:r w:rsidRPr="00FB513A">
              <w:rPr>
                <w:sz w:val="24"/>
                <w:szCs w:val="24"/>
              </w:rPr>
              <w:t xml:space="preserve">Reflecting on my practice, I recognised that this case challenged me to move beyond gathering information and towards analysing what the information meant for 6’s safety and permanence needs. I developed the challenging awareness of the potential consequences of my professional judgement. A positive assessment could support 6 to remain with birth family whereas a negative recommendation could contribute to a recommendation for alternative permanence through means of wider family or adoption should wider family assessments conclude negative. I was focused on ensuring that my assessment was child-focused and had provided 4 and 5 with fair opportunity to demonstrate their abilities.  </w:t>
            </w:r>
          </w:p>
          <w:p w14:paraId="51665C4A" w14:textId="77777777" w:rsidR="00FB513A" w:rsidRPr="00FB513A" w:rsidRDefault="00FB513A" w:rsidP="00FB513A">
            <w:pPr>
              <w:rPr>
                <w:sz w:val="24"/>
                <w:szCs w:val="24"/>
              </w:rPr>
            </w:pPr>
          </w:p>
          <w:p w14:paraId="35CADB30" w14:textId="77777777" w:rsidR="00FB513A" w:rsidRDefault="00FB513A" w:rsidP="00FB513A">
            <w:pPr>
              <w:rPr>
                <w:sz w:val="24"/>
                <w:szCs w:val="24"/>
              </w:rPr>
            </w:pPr>
            <w:r w:rsidRPr="00FB513A">
              <w:rPr>
                <w:sz w:val="24"/>
                <w:szCs w:val="24"/>
              </w:rPr>
              <w:t xml:space="preserve">This case has highlighted the importance of multi-disciplinary working. The complexity of the case meant that I could not undertake this assessment alone. Having kept in regular communication with relevant professionals throughout enabled me to regularly review whether the support in place was sufficient to the parental level of need and in assessing whether parents had the ability to implement learning from tailored support into practice, whether they were unable, or unwilling. I had to consider whether areas of needs were capable of being addressed through further support or whether they presented a pattern of difficulties that were unlikely going to change sufficiently within 6’s Court timescale. Collaborative working was central to my professional judgement and in testing my hypothesis. </w:t>
            </w:r>
          </w:p>
          <w:p w14:paraId="21ECDE0D" w14:textId="77777777" w:rsidR="00FB513A" w:rsidRPr="00FB513A" w:rsidRDefault="00FB513A" w:rsidP="00FB513A">
            <w:pPr>
              <w:rPr>
                <w:sz w:val="24"/>
                <w:szCs w:val="24"/>
              </w:rPr>
            </w:pPr>
          </w:p>
          <w:p w14:paraId="42477DF4" w14:textId="77777777" w:rsidR="00FB513A" w:rsidRPr="00FB513A" w:rsidRDefault="00FB513A" w:rsidP="00FB513A">
            <w:pPr>
              <w:rPr>
                <w:color w:val="000000" w:themeColor="text1"/>
                <w:sz w:val="24"/>
                <w:szCs w:val="24"/>
              </w:rPr>
            </w:pPr>
            <w:r w:rsidRPr="00FB513A">
              <w:rPr>
                <w:color w:val="000000" w:themeColor="text1"/>
                <w:sz w:val="24"/>
                <w:szCs w:val="24"/>
              </w:rPr>
              <w:t xml:space="preserve">Professional views differed between the Local Authority and 4’s solicitor after the mother and baby placement ended. 4’s solicitor became increasingly critical of the Local Authority particularly because the mother and baby placement had been identified as the preferred care plan and was intended to provide 4 with opportunity to demonstrate her parenting capacity within a supported environment. This made me feel challenged in my professional role, particularly because I had been involved in the assessments and had advocated for 4 to be provided with appropriate opportunities and support to demonstrate her capabilities to parent and meet the needs of 6. However, rather than viewing the solicitor’s challenge as a criticism of my practice, I recognised the importance of considering whether there was evidence to support the concerns being raised and whether alternative interpretations of the placement breakdown had been sufficiently explored. The challenge from 4’s solicitor strengthened by awareness to remaining open to alternative hypothesis and supported me to scrutinise my analysis and overall, it enabled be to strengthen my professional judgement. </w:t>
            </w:r>
          </w:p>
          <w:p w14:paraId="4BB7D859" w14:textId="77777777" w:rsidR="00FB513A" w:rsidRPr="00FB513A" w:rsidRDefault="00FB513A" w:rsidP="00FB513A">
            <w:pPr>
              <w:rPr>
                <w:color w:val="000000" w:themeColor="text1"/>
                <w:sz w:val="24"/>
                <w:szCs w:val="24"/>
              </w:rPr>
            </w:pPr>
          </w:p>
          <w:p w14:paraId="66F3BEF2" w14:textId="77777777" w:rsidR="00FB513A" w:rsidRDefault="00FB513A" w:rsidP="00FB513A">
            <w:pPr>
              <w:rPr>
                <w:color w:val="000000" w:themeColor="text1"/>
                <w:sz w:val="24"/>
                <w:szCs w:val="24"/>
              </w:rPr>
            </w:pPr>
            <w:r w:rsidRPr="00FB513A">
              <w:rPr>
                <w:color w:val="000000" w:themeColor="text1"/>
                <w:sz w:val="24"/>
                <w:szCs w:val="24"/>
              </w:rPr>
              <w:t xml:space="preserve">This prompted me to critically reflect on whether the ending of the mother and baby placement could be </w:t>
            </w:r>
            <w:r w:rsidRPr="00FB513A">
              <w:rPr>
                <w:sz w:val="24"/>
                <w:szCs w:val="24"/>
              </w:rPr>
              <w:t xml:space="preserve">interpreted </w:t>
            </w:r>
            <w:r w:rsidRPr="00FB513A">
              <w:rPr>
                <w:color w:val="000000" w:themeColor="text1"/>
                <w:sz w:val="24"/>
                <w:szCs w:val="24"/>
              </w:rPr>
              <w:t xml:space="preserve">as a failure, rather than evidencing parental capacity. </w:t>
            </w:r>
          </w:p>
          <w:p w14:paraId="4301BA25" w14:textId="77777777" w:rsidR="00FB513A" w:rsidRPr="00FB513A" w:rsidRDefault="00FB513A" w:rsidP="00FB513A">
            <w:pPr>
              <w:rPr>
                <w:color w:val="000000" w:themeColor="text1"/>
                <w:sz w:val="24"/>
                <w:szCs w:val="24"/>
              </w:rPr>
            </w:pPr>
          </w:p>
          <w:p w14:paraId="2FF14A58" w14:textId="77777777" w:rsidR="00FB513A" w:rsidRDefault="00FB513A" w:rsidP="00FB513A">
            <w:pPr>
              <w:rPr>
                <w:color w:val="000000" w:themeColor="text1"/>
                <w:sz w:val="24"/>
                <w:szCs w:val="24"/>
              </w:rPr>
            </w:pPr>
            <w:r w:rsidRPr="00FB513A">
              <w:rPr>
                <w:color w:val="000000" w:themeColor="text1"/>
                <w:sz w:val="24"/>
                <w:szCs w:val="24"/>
              </w:rPr>
              <w:t xml:space="preserve">Despite the challenges noted, the assessment continued from a community-based perspective and 4 was provided with further opportunity to demonstrate her parenting capacity. This enabled me to distinguish between what 4 was able to demonstrate when </w:t>
            </w:r>
            <w:r w:rsidRPr="00FB513A">
              <w:rPr>
                <w:color w:val="000000" w:themeColor="text1"/>
                <w:sz w:val="24"/>
                <w:szCs w:val="24"/>
              </w:rPr>
              <w:lastRenderedPageBreak/>
              <w:t xml:space="preserve">more intensive support was available at the mother and baby placement and what she was able to sustain independently at supervised contact sessions. This strengthened my professional judgement because the final assessment did not rely on the breakdown of the placement as a single determination factor, it considered cumulative evidence gathered throughout the assessment period. </w:t>
            </w:r>
          </w:p>
          <w:p w14:paraId="547CD64F" w14:textId="77777777" w:rsidR="00FB513A" w:rsidRPr="00FB513A" w:rsidRDefault="00FB513A" w:rsidP="00FB513A">
            <w:pPr>
              <w:rPr>
                <w:color w:val="000000" w:themeColor="text1"/>
                <w:sz w:val="24"/>
                <w:szCs w:val="24"/>
              </w:rPr>
            </w:pPr>
          </w:p>
          <w:p w14:paraId="56BDD22E" w14:textId="77777777" w:rsidR="00FB513A" w:rsidRDefault="00FB513A" w:rsidP="00FB513A">
            <w:pPr>
              <w:rPr>
                <w:color w:val="000000" w:themeColor="text1"/>
                <w:sz w:val="24"/>
                <w:szCs w:val="24"/>
              </w:rPr>
            </w:pPr>
            <w:r w:rsidRPr="00FB513A">
              <w:rPr>
                <w:color w:val="000000" w:themeColor="text1"/>
                <w:sz w:val="24"/>
                <w:szCs w:val="24"/>
              </w:rPr>
              <w:t xml:space="preserve">The sole and joint assessments of 4 and 5 concluded that their capabilities were insufficient to meet 6’s needs safely and consistently within the timescale available to him. This recommendation was made with support of my manager having used supervision as a regular platform to balance my assessment. The recommendation was accepted within the PLO process and presented to the Court. </w:t>
            </w:r>
          </w:p>
          <w:p w14:paraId="4A7190D1" w14:textId="77777777" w:rsidR="00FB513A" w:rsidRPr="00FB513A" w:rsidRDefault="00FB513A" w:rsidP="00FB513A">
            <w:pPr>
              <w:rPr>
                <w:color w:val="000000" w:themeColor="text1"/>
                <w:sz w:val="24"/>
                <w:szCs w:val="24"/>
              </w:rPr>
            </w:pPr>
          </w:p>
          <w:p w14:paraId="4B35221A" w14:textId="77777777" w:rsidR="00FB513A" w:rsidRPr="00FB513A" w:rsidRDefault="00FB513A" w:rsidP="00FB513A">
            <w:pPr>
              <w:rPr>
                <w:sz w:val="24"/>
                <w:szCs w:val="24"/>
              </w:rPr>
            </w:pPr>
            <w:r w:rsidRPr="00FB513A">
              <w:rPr>
                <w:sz w:val="24"/>
                <w:szCs w:val="24"/>
              </w:rPr>
              <w:t xml:space="preserve">Overall, this case significantly enhanced my understanding of professional judgement within complex safeguarding practice. Applying Borton’s (1970) reflective model enabled me to move beyond describing events to critically analysing factors that influenced by decision making and identifying how this learning will inform future practice. I developed greater appreciation of the interaction between parental history, learning needs, support networks and wider systems when assessing parenting capacity. The experienced reinforced the importance of remaining child-centred whilst ensuring assessments were fair, evidence based and provided meaningful opportunities for positive change. Going forward, I will continue using supervision, reflection and collaborative practice to support balanced professional judgement. </w:t>
            </w:r>
          </w:p>
          <w:p w14:paraId="7BC5208A" w14:textId="77777777" w:rsidR="00113BA9" w:rsidRDefault="00113BA9" w:rsidP="00113BA9">
            <w:pPr>
              <w:rPr>
                <w:sz w:val="24"/>
                <w:szCs w:val="24"/>
              </w:rPr>
            </w:pPr>
          </w:p>
          <w:p w14:paraId="4498CE49" w14:textId="225784A2" w:rsidR="00FB513A" w:rsidRPr="00113BA9" w:rsidRDefault="00FB513A" w:rsidP="00113BA9">
            <w:pPr>
              <w:rPr>
                <w:sz w:val="24"/>
                <w:szCs w:val="24"/>
              </w:rPr>
            </w:pPr>
            <w:r>
              <w:rPr>
                <w:sz w:val="24"/>
                <w:szCs w:val="24"/>
              </w:rPr>
              <w:t>(4,4</w:t>
            </w:r>
            <w:r w:rsidR="0007126B">
              <w:rPr>
                <w:sz w:val="24"/>
                <w:szCs w:val="24"/>
              </w:rPr>
              <w:t>13</w:t>
            </w:r>
            <w:r>
              <w:rPr>
                <w:sz w:val="24"/>
                <w:szCs w:val="24"/>
              </w:rPr>
              <w:t xml:space="preserve"> words). </w:t>
            </w:r>
          </w:p>
          <w:p w14:paraId="547E5261" w14:textId="77777777" w:rsidR="00113BA9" w:rsidRPr="00113BA9" w:rsidRDefault="00113BA9" w:rsidP="00113BA9">
            <w:pPr>
              <w:rPr>
                <w:sz w:val="24"/>
                <w:szCs w:val="24"/>
              </w:rPr>
            </w:pPr>
          </w:p>
          <w:p w14:paraId="1225D23D" w14:textId="4FFF3138" w:rsidR="00D3203C" w:rsidRPr="00113BA9" w:rsidRDefault="00D3203C" w:rsidP="00FF7EBB">
            <w:pPr>
              <w:jc w:val="both"/>
              <w:rPr>
                <w:i/>
                <w:sz w:val="24"/>
                <w:szCs w:val="24"/>
              </w:rPr>
            </w:pPr>
          </w:p>
          <w:p w14:paraId="0C1020FE" w14:textId="61CE561C" w:rsidR="00D3203C" w:rsidRPr="00113BA9"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57057" w14:textId="77777777" w:rsidR="00696F30" w:rsidRDefault="00696F30">
      <w:r>
        <w:separator/>
      </w:r>
    </w:p>
  </w:endnote>
  <w:endnote w:type="continuationSeparator" w:id="0">
    <w:p w14:paraId="5E586F61" w14:textId="77777777" w:rsidR="00696F30" w:rsidRDefault="00696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7770B" w14:textId="77777777" w:rsidR="00696F30" w:rsidRDefault="00696F30">
      <w:r>
        <w:separator/>
      </w:r>
    </w:p>
  </w:footnote>
  <w:footnote w:type="continuationSeparator" w:id="0">
    <w:p w14:paraId="1F3761C2" w14:textId="77777777" w:rsidR="00696F30" w:rsidRDefault="00696F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38D"/>
    <w:rsid w:val="00043543"/>
    <w:rsid w:val="00045B87"/>
    <w:rsid w:val="00045C07"/>
    <w:rsid w:val="00045C40"/>
    <w:rsid w:val="00046861"/>
    <w:rsid w:val="00054A07"/>
    <w:rsid w:val="00055D43"/>
    <w:rsid w:val="00056FAC"/>
    <w:rsid w:val="00057751"/>
    <w:rsid w:val="00062E39"/>
    <w:rsid w:val="00064063"/>
    <w:rsid w:val="0006581A"/>
    <w:rsid w:val="0007126B"/>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3BA9"/>
    <w:rsid w:val="00114F52"/>
    <w:rsid w:val="00130119"/>
    <w:rsid w:val="00132812"/>
    <w:rsid w:val="001332A8"/>
    <w:rsid w:val="001347F8"/>
    <w:rsid w:val="001359EE"/>
    <w:rsid w:val="00137BB5"/>
    <w:rsid w:val="00137E05"/>
    <w:rsid w:val="001447F6"/>
    <w:rsid w:val="001451F2"/>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5D95"/>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1DED"/>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323"/>
    <w:rsid w:val="005D4A1E"/>
    <w:rsid w:val="005D4F72"/>
    <w:rsid w:val="005E13EA"/>
    <w:rsid w:val="005E17F1"/>
    <w:rsid w:val="005E7CC5"/>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30"/>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5403"/>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5566"/>
    <w:rsid w:val="007F10BD"/>
    <w:rsid w:val="007F312E"/>
    <w:rsid w:val="007F3F7E"/>
    <w:rsid w:val="007F4BA4"/>
    <w:rsid w:val="00813CEC"/>
    <w:rsid w:val="0081534C"/>
    <w:rsid w:val="00816CE7"/>
    <w:rsid w:val="008171E4"/>
    <w:rsid w:val="008208EA"/>
    <w:rsid w:val="00822B44"/>
    <w:rsid w:val="008230F1"/>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0029"/>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2C3B"/>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A7670"/>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5F22"/>
    <w:rsid w:val="00B47734"/>
    <w:rsid w:val="00B50FBA"/>
    <w:rsid w:val="00B558EB"/>
    <w:rsid w:val="00B577D3"/>
    <w:rsid w:val="00B60466"/>
    <w:rsid w:val="00B6548F"/>
    <w:rsid w:val="00B71A32"/>
    <w:rsid w:val="00B732E3"/>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6AC6"/>
    <w:rsid w:val="00BB7F6D"/>
    <w:rsid w:val="00BB7FD2"/>
    <w:rsid w:val="00BC04FA"/>
    <w:rsid w:val="00BC1C22"/>
    <w:rsid w:val="00BC460B"/>
    <w:rsid w:val="00BC4ED3"/>
    <w:rsid w:val="00BC5725"/>
    <w:rsid w:val="00BC6060"/>
    <w:rsid w:val="00BD30B1"/>
    <w:rsid w:val="00BE0F7B"/>
    <w:rsid w:val="00BE10C2"/>
    <w:rsid w:val="00BE44DF"/>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879D8"/>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3C3D"/>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13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113B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322105@student.uwtsd@ac.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4534</Words>
  <Characters>25846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Mali Gwenllian Dafydd (PLANT)</cp:lastModifiedBy>
  <cp:revision>9</cp:revision>
  <cp:lastPrinted>2020-02-11T19:20:00Z</cp:lastPrinted>
  <dcterms:created xsi:type="dcterms:W3CDTF">2026-09-15T08:33:00Z</dcterms:created>
  <dcterms:modified xsi:type="dcterms:W3CDTF">2026-10-04T20:30:00Z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