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color w:val="4472C4" w:themeColor="accent1"/>
        </w:rPr>
        <w:id w:val="-1761208613"/>
        <w:docPartObj>
          <w:docPartGallery w:val="Cover Pages"/>
          <w:docPartUnique/>
        </w:docPartObj>
      </w:sdtPr>
      <w:sdtEndPr>
        <w:rPr>
          <w:rFonts w:eastAsiaTheme="minorHAnsi" w:cstheme="minorHAnsi"/>
          <w:color w:val="auto"/>
          <w:shd w:val="clear" w:color="auto" w:fill="FFFFFF"/>
          <w:lang w:val="en-GB"/>
        </w:rPr>
      </w:sdtEndPr>
      <w:sdtContent>
        <w:p w:rsidR="008F52FD" w:rsidRDefault="008F52FD" w14:paraId="45B04C95" w14:textId="30C9DF2C">
          <w:pPr>
            <w:pStyle w:val="NoSpacing"/>
            <w:spacing w:before="1540" w:after="240"/>
            <w:jc w:val="center"/>
            <w:rPr>
              <w:color w:val="4472C4" w:themeColor="accent1"/>
            </w:rPr>
          </w:pPr>
          <w:r>
            <w:rPr>
              <w:noProof/>
              <w:color w:val="4472C4" w:themeColor="accent1"/>
            </w:rPr>
            <w:drawing>
              <wp:inline distT="0" distB="0" distL="0" distR="0" wp14:anchorId="317C5E04" wp14:editId="0B2F93F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color w:val="4472C4" w:themeColor="accent1"/>
              <w:sz w:val="52"/>
              <w:szCs w:val="52"/>
            </w:rPr>
            <w:alias w:val="Title"/>
            <w:tag w:val=""/>
            <w:id w:val="1735040861"/>
            <w:placeholder>
              <w:docPart w:val="7AA98CD9562E462694F0A484B6D45A35"/>
            </w:placeholder>
            <w:dataBinding w:prefixMappings="xmlns:ns0='http://purl.org/dc/elements/1.1/' xmlns:ns1='http://schemas.openxmlformats.org/package/2006/metadata/core-properties' " w:xpath="/ns1:coreProperties[1]/ns0:title[1]" w:storeItemID="{6C3C8BC8-F283-45AE-878A-BAB7291924A1}"/>
            <w:text/>
          </w:sdtPr>
          <w:sdtContent>
            <w:p w:rsidRPr="00D25C11" w:rsidR="008F52FD" w:rsidRDefault="00D25C11" w14:paraId="1776BE5B" w14:textId="5F5DF8D0">
              <w:pPr>
                <w:pStyle w:val="NoSpacing"/>
                <w:pBdr>
                  <w:top w:val="single" w:color="4472C4" w:themeColor="accent1" w:sz="6" w:space="6"/>
                  <w:bottom w:val="single" w:color="4472C4" w:themeColor="accent1" w:sz="6" w:space="6"/>
                </w:pBdr>
                <w:spacing w:after="240"/>
                <w:jc w:val="center"/>
                <w:rPr>
                  <w:rFonts w:asciiTheme="majorHAnsi" w:hAnsiTheme="majorHAnsi" w:eastAsiaTheme="majorEastAsia" w:cstheme="majorBidi"/>
                  <w:caps/>
                  <w:color w:val="4472C4" w:themeColor="accent1"/>
                  <w:sz w:val="52"/>
                  <w:szCs w:val="52"/>
                </w:rPr>
              </w:pPr>
              <w:r w:rsidRPr="00D25C11">
                <w:rPr>
                  <w:rFonts w:ascii="Arial" w:hAnsi="Arial" w:cs="Arial"/>
                  <w:b/>
                  <w:bCs/>
                  <w:color w:val="4472C4" w:themeColor="accent1"/>
                  <w:sz w:val="52"/>
                  <w:szCs w:val="52"/>
                </w:rPr>
                <w:t>Consent and its role in cases involving battery</w:t>
              </w:r>
            </w:p>
          </w:sdtContent>
        </w:sdt>
        <w:sdt>
          <w:sdtPr>
            <w:rPr>
              <w:rFonts w:ascii="Arial" w:hAnsi="Arial" w:cs="Arial"/>
              <w:b/>
              <w:color w:val="4472C4" w:themeColor="accent1"/>
            </w:rPr>
            <w:alias w:val="Subtitle"/>
            <w:tag w:val=""/>
            <w:id w:val="328029620"/>
            <w:placeholder>
              <w:docPart w:val="8CE4FF52988A460BBBEA75B2FE999AAD"/>
            </w:placeholder>
            <w:dataBinding w:prefixMappings="xmlns:ns0='http://purl.org/dc/elements/1.1/' xmlns:ns1='http://schemas.openxmlformats.org/package/2006/metadata/core-properties' " w:xpath="/ns1:coreProperties[1]/ns0:subject[1]" w:storeItemID="{6C3C8BC8-F283-45AE-878A-BAB7291924A1}"/>
            <w:text/>
          </w:sdtPr>
          <w:sdtContent>
            <w:p w:rsidRPr="00115F93" w:rsidR="008F52FD" w:rsidRDefault="00115F93" w14:paraId="417174D0" w14:textId="62D6EF70">
              <w:pPr>
                <w:pStyle w:val="NoSpacing"/>
                <w:jc w:val="center"/>
                <w:rPr>
                  <w:color w:val="4472C4" w:themeColor="accent1"/>
                  <w:sz w:val="28"/>
                  <w:szCs w:val="28"/>
                </w:rPr>
              </w:pPr>
              <w:r w:rsidRPr="00115F93">
                <w:rPr>
                  <w:rFonts w:ascii="Arial" w:hAnsi="Arial" w:cs="Arial"/>
                  <w:b/>
                  <w:color w:val="4472C4" w:themeColor="accent1"/>
                </w:rPr>
                <w:t>BMPL4009</w:t>
              </w:r>
            </w:p>
          </w:sdtContent>
        </w:sdt>
        <w:p w:rsidR="008F52FD" w:rsidRDefault="008F52FD" w14:paraId="389B1B8A" w14:textId="7777777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752" behindDoc="0" locked="0" layoutInCell="1" allowOverlap="1" wp14:anchorId="3B4C8D1A" wp14:editId="02CDE98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8F52FD" w:rsidRDefault="00115F93" w14:paraId="54A54C03" w14:textId="18CBE720">
                                    <w:pPr>
                                      <w:pStyle w:val="NoSpacing"/>
                                      <w:spacing w:after="40"/>
                                      <w:jc w:val="center"/>
                                      <w:rPr>
                                        <w:caps/>
                                        <w:color w:val="4472C4" w:themeColor="accent1"/>
                                        <w:sz w:val="28"/>
                                        <w:szCs w:val="28"/>
                                      </w:rPr>
                                    </w:pPr>
                                    <w:r>
                                      <w:rPr>
                                        <w:caps/>
                                        <w:color w:val="4472C4" w:themeColor="accent1"/>
                                        <w:sz w:val="28"/>
                                        <w:szCs w:val="28"/>
                                      </w:rPr>
                                      <w:t xml:space="preserve">Chelsey poulton </w:t>
                                    </w:r>
                                  </w:p>
                                </w:sdtContent>
                              </w:sdt>
                              <w:p w:rsidRPr="00C509E5" w:rsidR="008F52FD" w:rsidRDefault="00115F93" w14:paraId="6462022E" w14:textId="30ADB308">
                                <w:pPr>
                                  <w:pStyle w:val="NoSpacing"/>
                                  <w:jc w:val="center"/>
                                  <w:rPr>
                                    <w:bCs/>
                                    <w:color w:val="4472C4" w:themeColor="accent1"/>
                                  </w:rPr>
                                </w:pPr>
                                <w:sdt>
                                  <w:sdtPr>
                                    <w:rPr>
                                      <w:rFonts w:ascii="Arial" w:hAnsi="Arial" w:cs="Arial"/>
                                      <w:bC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C509E5">
                                      <w:rPr>
                                        <w:rFonts w:ascii="Arial" w:hAnsi="Arial" w:cs="Arial"/>
                                        <w:bCs/>
                                        <w:color w:val="4472C4" w:themeColor="accent1"/>
                                      </w:rPr>
                                      <w:t>BMPL4009</w:t>
                                    </w:r>
                                  </w:sdtContent>
                                </w:sdt>
                              </w:p>
                              <w:p w:rsidRPr="00C509E5" w:rsidR="008F52FD" w:rsidRDefault="00C509E5" w14:paraId="1EFA788D" w14:textId="11ACF79C">
                                <w:pPr>
                                  <w:pStyle w:val="NoSpacing"/>
                                  <w:jc w:val="center"/>
                                  <w:rPr>
                                    <w:bCs/>
                                    <w:color w:val="4472C4" w:themeColor="accent1"/>
                                  </w:rPr>
                                </w:pPr>
                                <w:sdt>
                                  <w:sdtPr>
                                    <w:rPr>
                                      <w:rFonts w:ascii="Arial" w:hAnsi="Arial" w:cs="Arial"/>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C509E5">
                                      <w:rPr>
                                        <w:rFonts w:ascii="Arial" w:hAnsi="Arial" w:cs="Arial"/>
                                        <w:bCs/>
                                        <w:color w:val="4472C4" w:themeColor="accent1"/>
                                      </w:rPr>
                                      <w:t>Criminal law</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3B4C8D1A">
                    <v:stroke joinstyle="miter"/>
                    <v:path gradientshapeok="t" o:connecttype="rect"/>
                  </v:shapetype>
                  <v:shape id="Text Box 44"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8F52FD" w:rsidRDefault="00115F93" w14:paraId="54A54C03" w14:textId="18CBE720">
                              <w:pPr>
                                <w:pStyle w:val="NoSpacing"/>
                                <w:spacing w:after="40"/>
                                <w:jc w:val="center"/>
                                <w:rPr>
                                  <w:caps/>
                                  <w:color w:val="4472C4" w:themeColor="accent1"/>
                                  <w:sz w:val="28"/>
                                  <w:szCs w:val="28"/>
                                </w:rPr>
                              </w:pPr>
                              <w:r>
                                <w:rPr>
                                  <w:caps/>
                                  <w:color w:val="4472C4" w:themeColor="accent1"/>
                                  <w:sz w:val="28"/>
                                  <w:szCs w:val="28"/>
                                </w:rPr>
                                <w:t xml:space="preserve">Chelsey poulton </w:t>
                              </w:r>
                            </w:p>
                          </w:sdtContent>
                        </w:sdt>
                        <w:p w:rsidRPr="00C509E5" w:rsidR="008F52FD" w:rsidRDefault="00115F93" w14:paraId="6462022E" w14:textId="30ADB308">
                          <w:pPr>
                            <w:pStyle w:val="NoSpacing"/>
                            <w:jc w:val="center"/>
                            <w:rPr>
                              <w:bCs/>
                              <w:color w:val="4472C4" w:themeColor="accent1"/>
                            </w:rPr>
                          </w:pPr>
                          <w:sdt>
                            <w:sdtPr>
                              <w:rPr>
                                <w:rFonts w:ascii="Arial" w:hAnsi="Arial" w:cs="Arial"/>
                                <w:bC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C509E5">
                                <w:rPr>
                                  <w:rFonts w:ascii="Arial" w:hAnsi="Arial" w:cs="Arial"/>
                                  <w:bCs/>
                                  <w:color w:val="4472C4" w:themeColor="accent1"/>
                                </w:rPr>
                                <w:t>BMPL4009</w:t>
                              </w:r>
                            </w:sdtContent>
                          </w:sdt>
                        </w:p>
                        <w:p w:rsidRPr="00C509E5" w:rsidR="008F52FD" w:rsidRDefault="00C509E5" w14:paraId="1EFA788D" w14:textId="11ACF79C">
                          <w:pPr>
                            <w:pStyle w:val="NoSpacing"/>
                            <w:jc w:val="center"/>
                            <w:rPr>
                              <w:bCs/>
                              <w:color w:val="4472C4" w:themeColor="accent1"/>
                            </w:rPr>
                          </w:pPr>
                          <w:sdt>
                            <w:sdtPr>
                              <w:rPr>
                                <w:rFonts w:ascii="Arial" w:hAnsi="Arial" w:cs="Arial"/>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C509E5">
                                <w:rPr>
                                  <w:rFonts w:ascii="Arial" w:hAnsi="Arial" w:cs="Arial"/>
                                  <w:bCs/>
                                  <w:color w:val="4472C4" w:themeColor="accent1"/>
                                </w:rPr>
                                <w:t>Criminal law</w:t>
                              </w:r>
                            </w:sdtContent>
                          </w:sdt>
                        </w:p>
                      </w:txbxContent>
                    </v:textbox>
                    <w10:wrap anchorx="margin" anchory="page"/>
                  </v:shape>
                </w:pict>
              </mc:Fallback>
            </mc:AlternateContent>
          </w:r>
          <w:r>
            <w:rPr>
              <w:noProof/>
              <w:color w:val="4472C4" w:themeColor="accent1"/>
            </w:rPr>
            <w:drawing>
              <wp:inline distT="0" distB="0" distL="0" distR="0" wp14:anchorId="308493AB" wp14:editId="6921E6B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F52FD" w:rsidRDefault="008F52FD" w14:paraId="5EC07AC7" w14:textId="4B0BAF50">
          <w:pPr>
            <w:rPr>
              <w:rFonts w:cstheme="minorHAnsi"/>
              <w:shd w:val="clear" w:color="auto" w:fill="FFFFFF"/>
            </w:rPr>
          </w:pPr>
          <w:r>
            <w:rPr>
              <w:rFonts w:cstheme="minorHAnsi"/>
              <w:shd w:val="clear" w:color="auto" w:fill="FFFFFF"/>
            </w:rPr>
            <w:br w:type="page"/>
          </w:r>
        </w:p>
      </w:sdtContent>
    </w:sdt>
    <w:p w:rsidR="00EC4E33" w:rsidP="00571D1F" w:rsidRDefault="00EC4E33" w14:paraId="72EBE4AD" w14:textId="5AB7F861">
      <w:pPr>
        <w:spacing w:line="360" w:lineRule="auto"/>
      </w:pPr>
      <w:r>
        <w:lastRenderedPageBreak/>
        <w:t xml:space="preserve">  Consent is a less common form of defence in a case where defendants are charged with battery, that’s why this paper will delve into what consent is and its concept and importance in cases involving battery.  Focusing on the role consent plays, this paper will look at some cases and explain how the ethical aspects of criminal law play into consent and the influence it has on battery cases within the UK itself.  Furthermore, it explains the pivotal turning point for battery cases using verbal threats and non-physical actions and the outcome of the case, but before going onto all that it will firstly explain what consent and battery are and the </w:t>
      </w:r>
      <w:r w:rsidR="00B27941">
        <w:t>roles,</w:t>
      </w:r>
      <w:r>
        <w:t xml:space="preserve"> they both play within the legal system and cases.</w:t>
      </w:r>
    </w:p>
    <w:p w:rsidR="00976832" w:rsidP="4AD07A55" w:rsidRDefault="00EC4E33" w14:paraId="489B6BAA" w14:textId="5F1098DE">
      <w:pPr>
        <w:spacing w:line="360" w:lineRule="auto"/>
        <w:rPr>
          <w:rFonts w:cs="Calibri" w:cstheme="minorAscii"/>
          <w:shd w:val="clear" w:color="auto" w:fill="FFFFFF"/>
        </w:rPr>
      </w:pPr>
      <w:r w:rsidR="2E3CE72C">
        <w:rPr/>
        <w:t xml:space="preserve">  </w:t>
      </w:r>
      <w:r w:rsidR="00EC4E33">
        <w:rPr/>
        <w:t xml:space="preserve">Consent is to give assent or approval, or in simple terms its giving permission for something to happen (Cabridge Dictionary 2023)</w:t>
      </w:r>
      <w:r w:rsidR="00EC4E33">
        <w:rPr/>
        <w:t xml:space="preserve">. </w:t>
      </w:r>
      <w:r w:rsidR="001749F1">
        <w:rPr/>
        <w:t xml:space="preserve"> </w:t>
      </w:r>
      <w:r w:rsidR="00EC4E33">
        <w:rPr/>
        <w:t xml:space="preserve">An example of consent would </w:t>
      </w:r>
      <w:bookmarkStart w:name="_Int_7bxjZlnE" w:id="1854197355"/>
      <w:r w:rsidR="00B27941">
        <w:rPr/>
        <w:t>be</w:t>
      </w:r>
      <w:r w:rsidR="00EC4E33">
        <w:rPr/>
        <w:t xml:space="preserve"> someone who is</w:t>
      </w:r>
      <w:bookmarkEnd w:id="1854197355"/>
      <w:r w:rsidR="00EC4E33">
        <w:rPr/>
        <w:t xml:space="preserve"> free and able to decide for themselves in that precise moment in time.  Consent itself </w:t>
      </w:r>
      <w:r w:rsidR="00AC1624">
        <w:rPr/>
        <w:t>cannot be given by someone who is not of sound mind, or someone is not at the rightful age of consent (Brookes 1995) and within the UK that is 16 (</w:t>
      </w:r>
      <w:r w:rsidR="00AC1624">
        <w:rPr/>
        <w:t>Lawstuff</w:t>
      </w:r>
      <w:r w:rsidR="00AC1624">
        <w:rPr/>
        <w:t xml:space="preserve"> 2023).</w:t>
      </w:r>
      <w:r w:rsidR="001749F1">
        <w:rPr/>
        <w:t xml:space="preserve">  </w:t>
      </w:r>
      <w:r w:rsidR="00AC1624">
        <w:rPr/>
        <w:t xml:space="preserve">Consent is a key role within law and human rights because </w:t>
      </w:r>
      <w:r w:rsidR="00B27941">
        <w:rPr/>
        <w:t>it outlines</w:t>
      </w:r>
      <w:r w:rsidR="00AC1624">
        <w:rPr/>
        <w:t xml:space="preserve"> the differences, for example consent is the difference between a permitted sexual relationship and rape and another example would be medical treatment and battery (Miller and </w:t>
      </w:r>
      <w:r w:rsidRPr="4AD07A55" w:rsidR="00AC1624">
        <w:rPr>
          <w:rFonts w:cs="Calibri" w:cstheme="minorAscii"/>
          <w:shd w:val="clear" w:color="auto" w:fill="FFFFFF"/>
        </w:rPr>
        <w:t>Wertheimer 201</w:t>
      </w:r>
      <w:r w:rsidRPr="4AD07A55" w:rsidR="00AC1624">
        <w:rPr>
          <w:rFonts w:cs="Calibri" w:cstheme="minorAscii"/>
          <w:shd w:val="clear" w:color="auto" w:fill="FFFFFF"/>
        </w:rPr>
        <w:t>0).</w:t>
      </w:r>
      <w:r w:rsidRPr="4AD07A55" w:rsidR="001749F1">
        <w:rPr>
          <w:rFonts w:cs="Calibri" w:cstheme="minorAscii"/>
          <w:shd w:val="clear" w:color="auto" w:fill="FFFFFF"/>
        </w:rPr>
        <w:t xml:space="preserve">  </w:t>
      </w:r>
      <w:r w:rsidRPr="4AD07A55" w:rsidR="00AC1624">
        <w:rPr>
          <w:rFonts w:cs="Calibri" w:cstheme="minorAscii"/>
          <w:shd w:val="clear" w:color="auto" w:fill="FFFFFF"/>
        </w:rPr>
        <w:t>A Prime example between the difference of medical treatment and battery would be in the case of Devi V West Midlands RHA</w:t>
      </w:r>
      <w:r w:rsidRPr="4AD07A55" w:rsidR="00B27941">
        <w:rPr>
          <w:rFonts w:cs="Calibri" w:cstheme="minorAscii"/>
          <w:shd w:val="clear" w:color="auto" w:fill="FFFFFF"/>
        </w:rPr>
        <w:t xml:space="preserve"> (1980)</w:t>
      </w:r>
      <w:r w:rsidRPr="4AD07A55" w:rsidR="00AC1624">
        <w:rPr>
          <w:rFonts w:cs="Calibri" w:cstheme="minorAscii"/>
          <w:shd w:val="clear" w:color="auto" w:fill="FFFFFF"/>
        </w:rPr>
        <w:t xml:space="preserve">.  The doctor in this case removed the woman’s uterus and was held </w:t>
      </w:r>
      <w:r w:rsidRPr="4AD07A55" w:rsidR="00B27941">
        <w:rPr>
          <w:rFonts w:cs="Calibri" w:cstheme="minorAscii"/>
          <w:shd w:val="clear" w:color="auto" w:fill="FFFFFF"/>
        </w:rPr>
        <w:t>criminally</w:t>
      </w:r>
      <w:r w:rsidRPr="4AD07A55" w:rsidR="00AC1624">
        <w:rPr>
          <w:rFonts w:cs="Calibri" w:cstheme="minorAscii"/>
          <w:shd w:val="clear" w:color="auto" w:fill="FFFFFF"/>
        </w:rPr>
        <w:t xml:space="preserve"> liable for battery under section 39 of the offences against a </w:t>
      </w:r>
      <w:r w:rsidRPr="4AD07A55" w:rsidR="7B020F83">
        <w:rPr>
          <w:rFonts w:cs="Calibri" w:cstheme="minorAscii"/>
          <w:shd w:val="clear" w:color="auto" w:fill="FFFFFF"/>
        </w:rPr>
        <w:t xml:space="preserve">person's</w:t>
      </w:r>
      <w:r w:rsidRPr="4AD07A55" w:rsidR="00AC1624">
        <w:rPr>
          <w:rFonts w:cs="Calibri" w:cstheme="minorAscii"/>
          <w:shd w:val="clear" w:color="auto" w:fill="FFFFFF"/>
        </w:rPr>
        <w:t xml:space="preserve"> act</w:t>
      </w:r>
      <w:r w:rsidRPr="4AD07A55" w:rsidR="00B27941">
        <w:rPr>
          <w:rFonts w:cs="Calibri" w:cstheme="minorAscii"/>
          <w:shd w:val="clear" w:color="auto" w:fill="FFFFFF"/>
        </w:rPr>
        <w:t xml:space="preserve"> 1861 and he </w:t>
      </w:r>
      <w:r w:rsidRPr="4AD07A55" w:rsidR="00B27941">
        <w:rPr>
          <w:rFonts w:cs="Calibri" w:cstheme="minorAscii"/>
          <w:shd w:val="clear" w:color="auto" w:fill="FFFFFF"/>
        </w:rPr>
        <w:t xml:space="preserve">ultimately ended</w:t>
      </w:r>
      <w:r w:rsidRPr="4AD07A55" w:rsidR="00B27941">
        <w:rPr>
          <w:rFonts w:cs="Calibri" w:cstheme="minorAscii"/>
          <w:shd w:val="clear" w:color="auto" w:fill="FFFFFF"/>
        </w:rPr>
        <w:t xml:space="preserve"> up with 20 years in prison because of this.</w:t>
      </w:r>
      <w:r w:rsidRPr="4AD07A55" w:rsidR="001749F1">
        <w:rPr>
          <w:rFonts w:cs="Calibri" w:cstheme="minorAscii"/>
          <w:shd w:val="clear" w:color="auto" w:fill="FFFFFF"/>
        </w:rPr>
        <w:t xml:space="preserve">  </w:t>
      </w:r>
      <w:r w:rsidRPr="4AD07A55" w:rsidR="00B27941">
        <w:rPr>
          <w:rFonts w:cs="Calibri" w:cstheme="minorAscii"/>
          <w:shd w:val="clear" w:color="auto" w:fill="FFFFFF"/>
        </w:rPr>
        <w:t>This in one of few cases with this outcome but it just goes to show the importance of consent.</w:t>
      </w:r>
      <w:r w:rsidRPr="4AD07A55" w:rsidR="001749F1">
        <w:rPr>
          <w:rFonts w:cs="Calibri" w:cstheme="minorAscii"/>
          <w:shd w:val="clear" w:color="auto" w:fill="FFFFFF"/>
        </w:rPr>
        <w:t xml:space="preserve">  </w:t>
      </w:r>
      <w:r w:rsidRPr="4AD07A55" w:rsidR="00B27941">
        <w:rPr>
          <w:rFonts w:cs="Calibri" w:cstheme="minorAscii"/>
          <w:shd w:val="clear" w:color="auto" w:fill="FFFFFF"/>
        </w:rPr>
        <w:t>There are several types of consent including Explicit consent, Implied consent, opt-in consent and opt-out consent but the importance of Informed and voluntary consent is vital.</w:t>
      </w:r>
      <w:r w:rsidRPr="4AD07A55" w:rsidR="001749F1">
        <w:rPr>
          <w:rFonts w:cs="Calibri" w:cstheme="minorAscii"/>
          <w:shd w:val="clear" w:color="auto" w:fill="FFFFFF"/>
        </w:rPr>
        <w:t xml:space="preserve">  </w:t>
      </w:r>
      <w:r w:rsidRPr="4AD07A55" w:rsidR="00B27941">
        <w:rPr>
          <w:rFonts w:cs="Calibri" w:cstheme="minorAscii"/>
          <w:shd w:val="clear" w:color="auto" w:fill="FFFFFF"/>
        </w:rPr>
        <w:t>Referring back to Devi V West Midlands RHA (1980), if the doctor would have disclosed all the information and given the victim an explanation of all the possible risks</w:t>
      </w:r>
      <w:r w:rsidRPr="4AD07A55" w:rsidR="00976832">
        <w:rPr>
          <w:rFonts w:cs="Calibri" w:cstheme="minorAscii"/>
          <w:shd w:val="clear" w:color="auto" w:fill="FFFFFF"/>
        </w:rPr>
        <w:t xml:space="preserve"> and outcomes</w:t>
      </w:r>
      <w:r w:rsidRPr="4AD07A55" w:rsidR="00B27941">
        <w:rPr>
          <w:rFonts w:cs="Calibri" w:cstheme="minorAscii"/>
          <w:shd w:val="clear" w:color="auto" w:fill="FFFFFF"/>
        </w:rPr>
        <w:t xml:space="preserve"> and the victim still expressed that they wanted to proceed that there would be considered as valid consent or informed voluntary consent as the victim had all the facts and was not pressured into giving the consent.</w:t>
      </w:r>
      <w:r w:rsidRPr="4AD07A55" w:rsidR="001749F1">
        <w:rPr>
          <w:rFonts w:cs="Calibri" w:cstheme="minorAscii"/>
          <w:shd w:val="clear" w:color="auto" w:fill="FFFFFF"/>
        </w:rPr>
        <w:t xml:space="preserve">  So,</w:t>
      </w:r>
      <w:r w:rsidRPr="4AD07A55" w:rsidR="00976832">
        <w:rPr>
          <w:rFonts w:cs="Calibri" w:cstheme="minorAscii"/>
          <w:shd w:val="clear" w:color="auto" w:fill="FFFFFF"/>
        </w:rPr>
        <w:t xml:space="preserve"> because the victim was unable to give a valid form of consent to her uterus being removed then that is why the doctor himself was held liable for battery.</w:t>
      </w:r>
      <w:r w:rsidRPr="4AD07A55" w:rsidR="001749F1">
        <w:rPr>
          <w:rFonts w:cs="Calibri" w:cstheme="minorAscii"/>
          <w:shd w:val="clear" w:color="auto" w:fill="FFFFFF"/>
        </w:rPr>
        <w:t xml:space="preserve">  </w:t>
      </w:r>
      <w:r w:rsidRPr="4AD07A55" w:rsidR="00976832">
        <w:rPr>
          <w:rFonts w:cs="Calibri" w:cstheme="minorAscii"/>
          <w:shd w:val="clear" w:color="auto" w:fill="FFFFFF"/>
        </w:rPr>
        <w:t xml:space="preserve">When a healthcare worker is obtaining </w:t>
      </w:r>
      <w:r w:rsidRPr="4AD07A55" w:rsidR="12620F68">
        <w:rPr>
          <w:rFonts w:cs="Calibri" w:cstheme="minorAscii"/>
          <w:shd w:val="clear" w:color="auto" w:fill="FFFFFF"/>
        </w:rPr>
        <w:t>consent,</w:t>
      </w:r>
      <w:r w:rsidRPr="4AD07A55" w:rsidR="00976832">
        <w:rPr>
          <w:rFonts w:cs="Calibri" w:cstheme="minorAscii"/>
          <w:shd w:val="clear" w:color="auto" w:fill="FFFFFF"/>
        </w:rPr>
        <w:t xml:space="preserve"> the consent is only valid if the person is of sound mind and is of legal age (16), the healthcare provider also has a duty of</w:t>
      </w:r>
      <w:r w:rsidRPr="4AD07A55" w:rsidR="0CBBF135">
        <w:rPr>
          <w:rFonts w:cs="Calibri" w:cstheme="minorAscii"/>
          <w:shd w:val="clear" w:color="auto" w:fill="FFFFFF"/>
        </w:rPr>
        <w:t xml:space="preserve"> care</w:t>
      </w:r>
      <w:r w:rsidRPr="4AD07A55" w:rsidR="00976832">
        <w:rPr>
          <w:rFonts w:cs="Calibri" w:cstheme="minorAscii"/>
          <w:shd w:val="clear" w:color="auto" w:fill="FFFFFF"/>
        </w:rPr>
        <w:t xml:space="preserve"> to foresee the potential risks that are involved in the care or </w:t>
      </w:r>
      <w:r w:rsidRPr="4AD07A55" w:rsidR="5C419366">
        <w:rPr>
          <w:rFonts w:cs="Calibri" w:cstheme="minorAscii"/>
          <w:shd w:val="clear" w:color="auto" w:fill="FFFFFF"/>
        </w:rPr>
        <w:t xml:space="preserve">procedure,</w:t>
      </w:r>
      <w:r w:rsidRPr="4AD07A55" w:rsidR="00976832">
        <w:rPr>
          <w:rFonts w:cs="Calibri" w:cstheme="minorAscii"/>
          <w:shd w:val="clear" w:color="auto" w:fill="FFFFFF"/>
        </w:rPr>
        <w:t xml:space="preserve"> and they must prepare the patient for these potential outcomes</w:t>
      </w:r>
      <w:r w:rsidRPr="4AD07A55" w:rsidR="0082141D">
        <w:rPr>
          <w:rFonts w:cs="Calibri" w:cstheme="minorAscii"/>
          <w:shd w:val="clear" w:color="auto" w:fill="FFFFFF"/>
        </w:rPr>
        <w:t>.  I</w:t>
      </w:r>
      <w:r w:rsidRPr="4AD07A55" w:rsidR="00976832">
        <w:rPr>
          <w:rFonts w:cs="Calibri" w:cstheme="minorAscii"/>
          <w:shd w:val="clear" w:color="auto" w:fill="FFFFFF"/>
        </w:rPr>
        <w:t xml:space="preserve">f none of this protocol is </w:t>
      </w:r>
      <w:r w:rsidRPr="4AD07A55" w:rsidR="0AD326F6">
        <w:rPr>
          <w:rFonts w:cs="Calibri" w:cstheme="minorAscii"/>
          <w:shd w:val="clear" w:color="auto" w:fill="FFFFFF"/>
        </w:rPr>
        <w:t>followed,</w:t>
      </w:r>
      <w:r w:rsidRPr="4AD07A55" w:rsidR="00976832">
        <w:rPr>
          <w:rFonts w:cs="Calibri" w:cstheme="minorAscii"/>
          <w:shd w:val="clear" w:color="auto" w:fill="FFFFFF"/>
        </w:rPr>
        <w:t xml:space="preserve"> then and informed voluntary consent is not given (Collee 2016)</w:t>
      </w:r>
      <w:r w:rsidRPr="4AD07A55" w:rsidR="1F4B673C">
        <w:rPr>
          <w:rFonts w:cs="Calibri" w:cstheme="minorAscii"/>
          <w:shd w:val="clear" w:color="auto" w:fill="FFFFFF"/>
        </w:rPr>
        <w:t xml:space="preserve"> leading to the outcome becoming battery</w:t>
      </w:r>
      <w:r w:rsidRPr="4AD07A55" w:rsidR="00976832">
        <w:rPr>
          <w:rFonts w:cs="Calibri" w:cstheme="minorAscii"/>
          <w:shd w:val="clear" w:color="auto" w:fill="FFFFFF"/>
        </w:rPr>
        <w:t xml:space="preserve">.</w:t>
      </w:r>
    </w:p>
    <w:p w:rsidR="00B62BD5" w:rsidP="4AD07A55" w:rsidRDefault="00976832" w14:paraId="31CF7BD5" w14:textId="7F3F84D1">
      <w:pPr>
        <w:spacing w:line="360" w:lineRule="auto"/>
        <w:rPr>
          <w:rFonts w:cs="Calibri" w:cstheme="minorAscii"/>
          <w:shd w:val="clear" w:color="auto" w:fill="FFFFFF"/>
        </w:rPr>
      </w:pPr>
      <w:r w:rsidRPr="4AD07A55" w:rsidR="00976832">
        <w:rPr>
          <w:rFonts w:cs="Calibri" w:cstheme="minorAscii"/>
          <w:shd w:val="clear" w:color="auto" w:fill="FFFFFF"/>
        </w:rPr>
        <w:t xml:space="preserve">  Battery is when a person intentionally and recklessly uses unlawful force on to another person as </w:t>
      </w:r>
      <w:r w:rsidRPr="4AD07A55" w:rsidR="00976832">
        <w:rPr>
          <w:rFonts w:cs="Calibri" w:cstheme="minorAscii"/>
          <w:shd w:val="clear" w:color="auto" w:fill="FFFFFF"/>
        </w:rPr>
        <w:t xml:space="preserve">stated</w:t>
      </w:r>
      <w:r w:rsidRPr="4AD07A55" w:rsidR="00976832">
        <w:rPr>
          <w:rFonts w:cs="Calibri" w:cstheme="minorAscii"/>
          <w:shd w:val="clear" w:color="auto" w:fill="FFFFFF"/>
        </w:rPr>
        <w:t xml:space="preserve"> in the R V Gladstone Williams (1984) case, but the R V Burstow (1997) case differs in opinion </w:t>
      </w:r>
      <w:r w:rsidRPr="4AD07A55" w:rsidR="00976832">
        <w:rPr>
          <w:rFonts w:cs="Calibri" w:cstheme="minorAscii"/>
          <w:shd w:val="clear" w:color="auto" w:fill="FFFFFF"/>
        </w:rPr>
        <w:t>stating</w:t>
      </w:r>
      <w:r w:rsidRPr="4AD07A55" w:rsidR="00976832">
        <w:rPr>
          <w:rFonts w:cs="Calibri" w:cstheme="minorAscii"/>
          <w:shd w:val="clear" w:color="auto" w:fill="FFFFFF"/>
        </w:rPr>
        <w:t xml:space="preserve"> not all battery charges come with a physical act itself but a mental one</w:t>
      </w:r>
      <w:r w:rsidRPr="4AD07A55" w:rsidR="00976832">
        <w:rPr>
          <w:rFonts w:cs="Calibri" w:cstheme="minorAscii"/>
          <w:shd w:val="clear" w:color="auto" w:fill="FFFFFF"/>
        </w:rPr>
        <w:lastRenderedPageBreak/>
        <w:t>.</w:t>
      </w:r>
      <w:r w:rsidRPr="4AD07A55" w:rsidR="0082141D">
        <w:rPr>
          <w:rFonts w:cs="Calibri" w:cstheme="minorAscii"/>
          <w:shd w:val="clear" w:color="auto" w:fill="FFFFFF"/>
        </w:rPr>
        <w:t xml:space="preserve">  </w:t>
      </w:r>
      <w:r w:rsidRPr="4AD07A55" w:rsidR="00F72D22">
        <w:rPr>
          <w:rFonts w:cs="Calibri" w:cstheme="minorAscii"/>
          <w:shd w:val="clear" w:color="auto" w:fill="FFFFFF"/>
        </w:rPr>
        <w:t xml:space="preserve">The victim in the case of R V Burstow </w:t>
      </w:r>
      <w:r w:rsidRPr="4AD07A55" w:rsidR="00F72D22">
        <w:rPr>
          <w:rFonts w:cs="Calibri" w:cstheme="minorAscii"/>
          <w:shd w:val="clear" w:color="auto" w:fill="FFFFFF"/>
        </w:rPr>
        <w:t>truly believed</w:t>
      </w:r>
      <w:r w:rsidRPr="4AD07A55" w:rsidR="00F72D22">
        <w:rPr>
          <w:rFonts w:cs="Calibri" w:cstheme="minorAscii"/>
          <w:shd w:val="clear" w:color="auto" w:fill="FFFFFF"/>
        </w:rPr>
        <w:t xml:space="preserve"> that she was in immediate danger, so the actus reus was not present here at all in this case as no act itself was present</w:t>
      </w:r>
      <w:r w:rsidRPr="4AD07A55" w:rsidR="00F72D22">
        <w:rPr>
          <w:rFonts w:cs="Calibri" w:cstheme="minorAscii"/>
          <w:shd w:val="clear" w:color="auto" w:fill="FFFFFF"/>
        </w:rPr>
        <w:t>.</w:t>
      </w:r>
      <w:r w:rsidRPr="4AD07A55" w:rsidR="0082141D">
        <w:rPr>
          <w:rFonts w:cs="Calibri" w:cstheme="minorAscii"/>
          <w:shd w:val="clear" w:color="auto" w:fill="FFFFFF"/>
        </w:rPr>
        <w:t xml:space="preserve">  </w:t>
      </w:r>
      <w:r w:rsidRPr="4AD07A55" w:rsidR="00F72D22">
        <w:rPr>
          <w:rFonts w:cs="Calibri" w:cstheme="minorAscii"/>
          <w:shd w:val="clear" w:color="auto" w:fill="FFFFFF"/>
        </w:rPr>
        <w:t xml:space="preserve">The actus reus is the application on unlawful physical force, </w:t>
      </w:r>
      <w:r w:rsidRPr="4AD07A55" w:rsidR="00F72D22">
        <w:rPr>
          <w:rFonts w:cs="Calibri" w:cstheme="minorAscii"/>
          <w:shd w:val="clear" w:color="auto" w:fill="FFFFFF"/>
        </w:rPr>
        <w:t>whereas</w:t>
      </w:r>
      <w:r w:rsidRPr="4AD07A55" w:rsidR="00F72D22">
        <w:rPr>
          <w:rFonts w:cs="Calibri" w:cstheme="minorAscii"/>
          <w:shd w:val="clear" w:color="auto" w:fill="FFFFFF"/>
        </w:rPr>
        <w:t xml:space="preserve"> the </w:t>
      </w:r>
      <w:r w:rsidRPr="4AD07A55" w:rsidR="00F72D22">
        <w:rPr>
          <w:rFonts w:cs="Calibri" w:cstheme="minorAscii"/>
          <w:shd w:val="clear" w:color="auto" w:fill="FFFFFF"/>
        </w:rPr>
        <w:t>mens</w:t>
      </w:r>
      <w:r w:rsidRPr="4AD07A55" w:rsidR="29E5A8DB">
        <w:rPr>
          <w:rFonts w:cs="Calibri" w:cstheme="minorAscii"/>
          <w:shd w:val="clear" w:color="auto" w:fill="FFFFFF"/>
        </w:rPr>
        <w:t xml:space="preserve"> </w:t>
      </w:r>
      <w:r w:rsidRPr="4AD07A55" w:rsidR="00F72D22">
        <w:rPr>
          <w:rFonts w:cs="Calibri" w:cstheme="minorAscii"/>
          <w:shd w:val="clear" w:color="auto" w:fill="FFFFFF"/>
        </w:rPr>
        <w:t>r</w:t>
      </w:r>
      <w:r w:rsidRPr="4AD07A55" w:rsidR="00F72D22">
        <w:rPr>
          <w:rFonts w:cs="Calibri" w:cstheme="minorAscii"/>
          <w:shd w:val="clear" w:color="auto" w:fill="FFFFFF"/>
        </w:rPr>
        <w:t>eus is the intention the defendant has behind the crime or wrongdoing.</w:t>
      </w:r>
      <w:r w:rsidRPr="4AD07A55" w:rsidR="0082141D">
        <w:rPr>
          <w:rFonts w:cs="Calibri" w:cstheme="minorAscii"/>
          <w:shd w:val="clear" w:color="auto" w:fill="FFFFFF"/>
        </w:rPr>
        <w:t xml:space="preserve">  </w:t>
      </w:r>
      <w:r w:rsidRPr="4AD07A55" w:rsidR="00F72D22">
        <w:rPr>
          <w:rFonts w:cs="Calibri" w:cstheme="minorAscii"/>
          <w:shd w:val="clear" w:color="auto" w:fill="FFFFFF"/>
        </w:rPr>
        <w:t xml:space="preserve">This was </w:t>
      </w:r>
      <w:r w:rsidRPr="4AD07A55" w:rsidR="00F72D22">
        <w:rPr>
          <w:rFonts w:cs="Calibri" w:cstheme="minorAscii"/>
          <w:shd w:val="clear" w:color="auto" w:fill="FFFFFF"/>
        </w:rPr>
        <w:t xml:space="preserve">very similar</w:t>
      </w:r>
      <w:r w:rsidRPr="4AD07A55" w:rsidR="00F72D22">
        <w:rPr>
          <w:rFonts w:cs="Calibri" w:cstheme="minorAscii"/>
          <w:shd w:val="clear" w:color="auto" w:fill="FFFFFF"/>
        </w:rPr>
        <w:t xml:space="preserve"> to the case of R V Constanza (1997), this </w:t>
      </w:r>
      <w:bookmarkStart w:name="_Int_0ILnRjsb" w:id="314239203"/>
      <w:r w:rsidRPr="4AD07A55" w:rsidR="00F72D22">
        <w:rPr>
          <w:rFonts w:cs="Calibri" w:cstheme="minorAscii"/>
          <w:shd w:val="clear" w:color="auto" w:fill="FFFFFF"/>
        </w:rPr>
        <w:t>particular case</w:t>
      </w:r>
      <w:bookmarkEnd w:id="314239203"/>
      <w:r w:rsidRPr="4AD07A55" w:rsidR="00F72D22">
        <w:rPr>
          <w:rFonts w:cs="Calibri" w:cstheme="minorAscii"/>
          <w:shd w:val="clear" w:color="auto" w:fill="FFFFFF"/>
        </w:rPr>
        <w:t xml:space="preserve"> is a historical moment as until this case it was unclear if words and only words could result in a</w:t>
      </w:r>
      <w:r w:rsidRPr="4AD07A55" w:rsidR="0C728333">
        <w:rPr>
          <w:rFonts w:cs="Calibri" w:cstheme="minorAscii"/>
          <w:shd w:val="clear" w:color="auto" w:fill="FFFFFF"/>
        </w:rPr>
        <w:t xml:space="preserve"> criminal</w:t>
      </w:r>
      <w:r w:rsidRPr="4AD07A55" w:rsidR="00F72D22">
        <w:rPr>
          <w:rFonts w:cs="Calibri" w:cstheme="minorAscii"/>
          <w:shd w:val="clear" w:color="auto" w:fill="FFFFFF"/>
        </w:rPr>
        <w:t xml:space="preserve"> conviction (Taylor 2018).</w:t>
      </w:r>
      <w:r w:rsidRPr="4AD07A55" w:rsidR="0082141D">
        <w:rPr>
          <w:rFonts w:cs="Calibri" w:cstheme="minorAscii"/>
          <w:shd w:val="clear" w:color="auto" w:fill="FFFFFF"/>
        </w:rPr>
        <w:t xml:space="preserve">  </w:t>
      </w:r>
      <w:r w:rsidRPr="4AD07A55" w:rsidR="00F72D22">
        <w:rPr>
          <w:rFonts w:cs="Calibri" w:cstheme="minorAscii"/>
          <w:shd w:val="clear" w:color="auto" w:fill="FFFFFF"/>
        </w:rPr>
        <w:t xml:space="preserve">This victim was stalked and harassed for a period 8 months or more believing she was in </w:t>
      </w:r>
      <w:bookmarkStart w:name="_Int_Hpm3BLXM" w:id="1158684634"/>
      <w:r w:rsidRPr="4AD07A55" w:rsidR="143C7C19">
        <w:rPr>
          <w:rFonts w:cs="Calibri" w:cstheme="minorAscii"/>
          <w:shd w:val="clear" w:color="auto" w:fill="FFFFFF"/>
        </w:rPr>
        <w:t xml:space="preserve">serious</w:t>
      </w:r>
      <w:r w:rsidRPr="4AD07A55" w:rsidR="00F72D22">
        <w:rPr>
          <w:rFonts w:cs="Calibri" w:cstheme="minorAscii"/>
          <w:shd w:val="clear" w:color="auto" w:fill="FFFFFF"/>
        </w:rPr>
        <w:t xml:space="preserve"> danger</w:t>
      </w:r>
      <w:bookmarkEnd w:id="1158684634"/>
      <w:r w:rsidRPr="4AD07A55" w:rsidR="00F72D22">
        <w:rPr>
          <w:rFonts w:cs="Calibri" w:cstheme="minorAscii"/>
          <w:shd w:val="clear" w:color="auto" w:fill="FFFFFF"/>
        </w:rPr>
        <w:t xml:space="preserve">, so although there was no actual action (</w:t>
      </w:r>
      <w:r w:rsidRPr="4AD07A55" w:rsidR="219E5688">
        <w:rPr>
          <w:rFonts w:cs="Calibri" w:cstheme="minorAscii"/>
          <w:shd w:val="clear" w:color="auto" w:fill="FFFFFF"/>
        </w:rPr>
        <w:t xml:space="preserve">actus </w:t>
      </w:r>
      <w:r w:rsidRPr="4AD07A55" w:rsidR="00F72D22">
        <w:rPr>
          <w:rFonts w:cs="Calibri" w:cstheme="minorAscii"/>
          <w:shd w:val="clear" w:color="auto" w:fill="FFFFFF"/>
        </w:rPr>
        <w:t xml:space="preserve">rea) there was most certainly a level of intent and blameworthiness leading </w:t>
      </w:r>
      <w:r w:rsidRPr="4AD07A55" w:rsidR="00B62BD5">
        <w:rPr>
          <w:rFonts w:cs="Calibri" w:cstheme="minorAscii"/>
          <w:shd w:val="clear" w:color="auto" w:fill="FFFFFF"/>
        </w:rPr>
        <w:t>to</w:t>
      </w:r>
      <w:r w:rsidRPr="4AD07A55" w:rsidR="00F72D22">
        <w:rPr>
          <w:rFonts w:cs="Calibri" w:cstheme="minorAscii"/>
          <w:shd w:val="clear" w:color="auto" w:fill="FFFFFF"/>
        </w:rPr>
        <w:t xml:space="preserve"> the </w:t>
      </w:r>
      <w:r w:rsidRPr="4AD07A55" w:rsidR="00B62BD5">
        <w:rPr>
          <w:rFonts w:cs="Calibri" w:cstheme="minorAscii"/>
          <w:shd w:val="clear" w:color="auto" w:fill="FFFFFF"/>
        </w:rPr>
        <w:t>defendant’s</w:t>
      </w:r>
      <w:r w:rsidRPr="4AD07A55" w:rsidR="00F72D22">
        <w:rPr>
          <w:rFonts w:cs="Calibri" w:cstheme="minorAscii"/>
          <w:shd w:val="clear" w:color="auto" w:fill="FFFFFF"/>
        </w:rPr>
        <w:t xml:space="preserve"> conviction.</w:t>
      </w:r>
      <w:r w:rsidRPr="4AD07A55" w:rsidR="009165AF">
        <w:rPr>
          <w:rFonts w:cs="Calibri" w:cstheme="minorAscii"/>
          <w:shd w:val="clear" w:color="auto" w:fill="FFFFFF"/>
        </w:rPr>
        <w:t xml:space="preserve">  </w:t>
      </w:r>
      <w:r w:rsidRPr="4AD07A55" w:rsidR="1254E775">
        <w:rPr>
          <w:rFonts w:cs="Calibri" w:cstheme="minorAscii"/>
          <w:shd w:val="clear" w:color="auto" w:fill="FFFFFF"/>
        </w:rPr>
        <w:t>It is</w:t>
      </w:r>
      <w:r w:rsidRPr="4AD07A55" w:rsidR="00B62BD5">
        <w:rPr>
          <w:rFonts w:cs="Calibri" w:cstheme="minorAscii"/>
          <w:shd w:val="clear" w:color="auto" w:fill="FFFFFF"/>
        </w:rPr>
        <w:t xml:space="preserve"> important to explain while looking at battery that this particular crime comes under the non-fatal offences act of 1861 but as </w:t>
      </w:r>
      <w:r w:rsidRPr="4AD07A55" w:rsidR="009165AF">
        <w:rPr>
          <w:rFonts w:cs="Calibri" w:cstheme="minorAscii"/>
          <w:shd w:val="clear" w:color="auto" w:fill="FFFFFF"/>
        </w:rPr>
        <w:t>McDonald</w:t>
      </w:r>
      <w:r w:rsidRPr="4AD07A55" w:rsidR="00B62BD5">
        <w:rPr>
          <w:rFonts w:cs="Calibri" w:cstheme="minorAscii"/>
          <w:shd w:val="clear" w:color="auto" w:fill="FFFFFF"/>
        </w:rPr>
        <w:t xml:space="preserve"> (2018) suggests there is </w:t>
      </w:r>
      <w:r w:rsidRPr="4AD07A55" w:rsidR="009165AF">
        <w:rPr>
          <w:rFonts w:cs="Calibri" w:cstheme="minorAscii"/>
          <w:shd w:val="clear" w:color="auto" w:fill="FFFFFF"/>
        </w:rPr>
        <w:t>technically</w:t>
      </w:r>
      <w:r w:rsidRPr="4AD07A55" w:rsidR="00B62BD5">
        <w:rPr>
          <w:rFonts w:cs="Calibri" w:cstheme="minorAscii"/>
          <w:shd w:val="clear" w:color="auto" w:fill="FFFFFF"/>
        </w:rPr>
        <w:t xml:space="preserve"> ‘no statutory definition of battery’ so in order to prosecute anyone or get a conviction it must be brought back to case law, but as battery is under section 39 of the offence against the person act it is knows as being an open act as it is forever changing to keep it present within today’s society.</w:t>
      </w:r>
      <w:r w:rsidRPr="4AD07A55" w:rsidR="009165AF">
        <w:rPr>
          <w:rFonts w:cs="Calibri" w:cstheme="minorAscii"/>
          <w:shd w:val="clear" w:color="auto" w:fill="FFFFFF"/>
        </w:rPr>
        <w:t xml:space="preserve">  </w:t>
      </w:r>
      <w:r w:rsidRPr="4AD07A55" w:rsidR="00B62BD5">
        <w:rPr>
          <w:rFonts w:cs="Calibri" w:cstheme="minorAscii"/>
          <w:shd w:val="clear" w:color="auto" w:fill="FFFFFF"/>
        </w:rPr>
        <w:t xml:space="preserve">For </w:t>
      </w:r>
      <w:r w:rsidRPr="4AD07A55" w:rsidR="00BC1AFB">
        <w:rPr>
          <w:rFonts w:cs="Calibri" w:cstheme="minorAscii"/>
          <w:shd w:val="clear" w:color="auto" w:fill="FFFFFF"/>
        </w:rPr>
        <w:t>example,</w:t>
      </w:r>
      <w:r w:rsidRPr="4AD07A55" w:rsidR="00B62BD5">
        <w:rPr>
          <w:rFonts w:cs="Calibri" w:cstheme="minorAscii"/>
          <w:shd w:val="clear" w:color="auto" w:fill="FFFFFF"/>
        </w:rPr>
        <w:t xml:space="preserve"> one of the newest changes</w:t>
      </w:r>
      <w:r w:rsidRPr="4AD07A55" w:rsidR="26B97A36">
        <w:rPr>
          <w:rFonts w:cs="Calibri" w:cstheme="minorAscii"/>
          <w:shd w:val="clear" w:color="auto" w:fill="FFFFFF"/>
        </w:rPr>
        <w:t xml:space="preserve"> to this</w:t>
      </w:r>
      <w:r w:rsidRPr="4AD07A55" w:rsidR="00B62BD5">
        <w:rPr>
          <w:rFonts w:cs="Calibri" w:cstheme="minorAscii"/>
          <w:shd w:val="clear" w:color="auto" w:fill="FFFFFF"/>
        </w:rPr>
        <w:t xml:space="preserve"> is</w:t>
      </w:r>
      <w:r w:rsidRPr="4AD07A55" w:rsidR="26BDBE1F">
        <w:rPr>
          <w:rFonts w:cs="Calibri" w:cstheme="minorAscii"/>
          <w:shd w:val="clear" w:color="auto" w:fill="FFFFFF"/>
        </w:rPr>
        <w:t xml:space="preserve">, </w:t>
      </w:r>
      <w:r w:rsidRPr="4AD07A55" w:rsidR="00BC1AFB">
        <w:rPr>
          <w:rFonts w:cs="Calibri" w:cstheme="minorAscii"/>
          <w:shd w:val="clear" w:color="auto" w:fill="FFFFFF"/>
        </w:rPr>
        <w:t xml:space="preserve">the offence against a person is now incorporating the charging standard (CPS 2023).  </w:t>
      </w:r>
      <w:r w:rsidRPr="4AD07A55" w:rsidR="00B62BD5">
        <w:rPr>
          <w:rFonts w:cs="Calibri" w:cstheme="minorAscii"/>
          <w:shd w:val="clear" w:color="auto" w:fill="FFFFFF"/>
        </w:rPr>
        <w:t xml:space="preserve">  </w:t>
      </w:r>
    </w:p>
    <w:p w:rsidR="00D2544D" w:rsidP="4AD07A55" w:rsidRDefault="00B62BD5" w14:paraId="507CBCB0" w14:textId="104B7698">
      <w:pPr>
        <w:spacing w:line="360" w:lineRule="auto"/>
        <w:rPr>
          <w:rFonts w:cs="Calibri" w:cstheme="minorAscii"/>
          <w:shd w:val="clear" w:color="auto" w:fill="FFFFFF"/>
        </w:rPr>
      </w:pPr>
      <w:r w:rsidRPr="4AD07A55" w:rsidR="00B62BD5">
        <w:rPr>
          <w:rFonts w:cs="Calibri" w:cstheme="minorAscii"/>
          <w:shd w:val="clear" w:color="auto" w:fill="FFFFFF"/>
        </w:rPr>
        <w:t xml:space="preserve">  Again, looking into actus reus</w:t>
      </w:r>
      <w:r w:rsidRPr="4AD07A55" w:rsidR="00BC1AFB">
        <w:rPr>
          <w:rFonts w:cs="Calibri" w:cstheme="minorAscii"/>
          <w:shd w:val="clear" w:color="auto" w:fill="FFFFFF"/>
        </w:rPr>
        <w:t xml:space="preserve"> and </w:t>
      </w:r>
      <w:r w:rsidRPr="4AD07A55" w:rsidR="00BC1AFB">
        <w:rPr>
          <w:rFonts w:cs="Calibri" w:cstheme="minorAscii"/>
          <w:shd w:val="clear" w:color="auto" w:fill="FFFFFF"/>
        </w:rPr>
        <w:t xml:space="preserve">mens</w:t>
      </w:r>
      <w:r w:rsidRPr="4AD07A55" w:rsidR="00BC1AFB">
        <w:rPr>
          <w:rFonts w:cs="Calibri" w:cstheme="minorAscii"/>
          <w:shd w:val="clear" w:color="auto" w:fill="FFFFFF"/>
        </w:rPr>
        <w:t xml:space="preserve"> reus</w:t>
      </w:r>
      <w:r w:rsidRPr="4AD07A55" w:rsidR="00B62BD5">
        <w:rPr>
          <w:rFonts w:cs="Calibri" w:cstheme="minorAscii"/>
          <w:shd w:val="clear" w:color="auto" w:fill="FFFFFF"/>
        </w:rPr>
        <w:t xml:space="preserve"> it is breaking down the crime into parts</w:t>
      </w:r>
      <w:r w:rsidRPr="4AD07A55" w:rsidR="00BC1AFB">
        <w:rPr>
          <w:rFonts w:cs="Calibri" w:cstheme="minorAscii"/>
          <w:shd w:val="clear" w:color="auto" w:fill="FFFFFF"/>
        </w:rPr>
        <w:t>,</w:t>
      </w:r>
      <w:r w:rsidRPr="4AD07A55" w:rsidR="00B62BD5">
        <w:rPr>
          <w:rFonts w:cs="Calibri" w:cstheme="minorAscii"/>
          <w:shd w:val="clear" w:color="auto" w:fill="FFFFFF"/>
        </w:rPr>
        <w:t xml:space="preserve"> and th</w:t>
      </w:r>
      <w:r w:rsidRPr="4AD07A55" w:rsidR="00BC1AFB">
        <w:rPr>
          <w:rFonts w:cs="Calibri" w:cstheme="minorAscii"/>
          <w:shd w:val="clear" w:color="auto" w:fill="FFFFFF"/>
        </w:rPr>
        <w:t xml:space="preserve">e </w:t>
      </w:r>
      <w:r w:rsidRPr="4AD07A55" w:rsidR="00B62BD5">
        <w:rPr>
          <w:rFonts w:cs="Calibri" w:cstheme="minorAscii"/>
          <w:shd w:val="clear" w:color="auto" w:fill="FFFFFF"/>
        </w:rPr>
        <w:t>part</w:t>
      </w:r>
      <w:r w:rsidRPr="4AD07A55" w:rsidR="00BC1AFB">
        <w:rPr>
          <w:rFonts w:cs="Calibri" w:cstheme="minorAscii"/>
          <w:shd w:val="clear" w:color="auto" w:fill="FFFFFF"/>
        </w:rPr>
        <w:t xml:space="preserve"> of actus reus</w:t>
      </w:r>
      <w:r w:rsidRPr="4AD07A55" w:rsidR="00B62BD5">
        <w:rPr>
          <w:rFonts w:cs="Calibri" w:cstheme="minorAscii"/>
          <w:shd w:val="clear" w:color="auto" w:fill="FFFFFF"/>
        </w:rPr>
        <w:t xml:space="preserve"> is giving the description of the defendant’s action itself and their intention to apply force unlawfully and if that force is applied if it was reckless in anyway (Robinson 1993).</w:t>
      </w:r>
      <w:r w:rsidRPr="4AD07A55" w:rsidR="00753B94">
        <w:rPr>
          <w:rFonts w:cs="Calibri" w:cstheme="minorAscii"/>
          <w:shd w:val="clear" w:color="auto" w:fill="FFFFFF"/>
        </w:rPr>
        <w:t xml:space="preserve"> T</w:t>
      </w:r>
      <w:r w:rsidRPr="4AD07A55" w:rsidR="00BC1AFB">
        <w:rPr>
          <w:rFonts w:cs="Calibri" w:cstheme="minorAscii"/>
          <w:shd w:val="clear" w:color="auto" w:fill="FFFFFF"/>
        </w:rPr>
        <w:t xml:space="preserve">he </w:t>
      </w:r>
      <w:r w:rsidRPr="4AD07A55" w:rsidR="00BC1AFB">
        <w:rPr>
          <w:rFonts w:cs="Calibri" w:cstheme="minorAscii"/>
          <w:shd w:val="clear" w:color="auto" w:fill="FFFFFF"/>
        </w:rPr>
        <w:t>mens</w:t>
      </w:r>
      <w:r w:rsidRPr="4AD07A55" w:rsidR="00BC1AFB">
        <w:rPr>
          <w:rFonts w:cs="Calibri" w:cstheme="minorAscii"/>
          <w:shd w:val="clear" w:color="auto" w:fill="FFFFFF"/>
        </w:rPr>
        <w:t xml:space="preserve"> reus is describing the defendants menta</w:t>
      </w:r>
      <w:r w:rsidRPr="4AD07A55" w:rsidR="2052E3D2">
        <w:rPr>
          <w:rFonts w:cs="Calibri" w:cstheme="minorAscii"/>
          <w:shd w:val="clear" w:color="auto" w:fill="FFFFFF"/>
        </w:rPr>
        <w:t>l</w:t>
      </w:r>
      <w:r w:rsidRPr="4AD07A55" w:rsidR="00BC1AFB">
        <w:rPr>
          <w:rFonts w:cs="Calibri" w:cstheme="minorAscii"/>
          <w:shd w:val="clear" w:color="auto" w:fill="FFFFFF"/>
        </w:rPr>
        <w:t xml:space="preserve"> state and their level of blameworthiness and intent (Herring 2022).</w:t>
      </w:r>
      <w:r w:rsidRPr="4AD07A55" w:rsidR="00753B94">
        <w:rPr>
          <w:rFonts w:cs="Calibri" w:cstheme="minorAscii"/>
          <w:shd w:val="clear" w:color="auto" w:fill="FFFFFF"/>
        </w:rPr>
        <w:t xml:space="preserve">  </w:t>
      </w:r>
      <w:r w:rsidRPr="4AD07A55" w:rsidR="00BC1AFB">
        <w:rPr>
          <w:rFonts w:cs="Calibri" w:cstheme="minorAscii"/>
          <w:shd w:val="clear" w:color="auto" w:fill="FFFFFF"/>
        </w:rPr>
        <w:t>Breaking this down a little more the meaning of application of unlawful physical force is, the application of force does not need to be direct like in the DPP V K (a minor) (1990) case.</w:t>
      </w:r>
      <w:r w:rsidRPr="4AD07A55" w:rsidR="00753B94">
        <w:rPr>
          <w:rFonts w:cs="Calibri" w:cstheme="minorAscii"/>
          <w:shd w:val="clear" w:color="auto" w:fill="FFFFFF"/>
        </w:rPr>
        <w:t xml:space="preserve">  </w:t>
      </w:r>
      <w:r w:rsidRPr="4AD07A55" w:rsidR="00BC1AFB">
        <w:rPr>
          <w:rFonts w:cs="Calibri" w:cstheme="minorAscii"/>
          <w:shd w:val="clear" w:color="auto" w:fill="FFFFFF"/>
        </w:rPr>
        <w:t>Then there is unlawful, so if the person in question had every reason to believe they ha</w:t>
      </w:r>
      <w:r w:rsidRPr="4AD07A55" w:rsidR="4D496BDF">
        <w:rPr>
          <w:rFonts w:cs="Calibri" w:cstheme="minorAscii"/>
          <w:shd w:val="clear" w:color="auto" w:fill="FFFFFF"/>
        </w:rPr>
        <w:t>d</w:t>
      </w:r>
      <w:r w:rsidRPr="4AD07A55" w:rsidR="00BC1AFB">
        <w:rPr>
          <w:rFonts w:cs="Calibri" w:cstheme="minorAscii"/>
          <w:shd w:val="clear" w:color="auto" w:fill="FFFFFF"/>
        </w:rPr>
        <w:t xml:space="preserve"> a lawful reason to use </w:t>
      </w:r>
      <w:r w:rsidRPr="4AD07A55" w:rsidR="0ED497E8">
        <w:rPr>
          <w:rFonts w:cs="Calibri" w:cstheme="minorAscii"/>
          <w:shd w:val="clear" w:color="auto" w:fill="FFFFFF"/>
        </w:rPr>
        <w:t xml:space="preserve">such </w:t>
      </w:r>
      <w:r w:rsidRPr="4AD07A55" w:rsidR="00BC1AFB">
        <w:rPr>
          <w:rFonts w:cs="Calibri" w:cstheme="minorAscii"/>
          <w:shd w:val="clear" w:color="auto" w:fill="FFFFFF"/>
        </w:rPr>
        <w:t>forced and this was proved this then would not amount to battery like in the case of R V Wilson.</w:t>
      </w:r>
      <w:r w:rsidRPr="4AD07A55" w:rsidR="00753B94">
        <w:rPr>
          <w:rFonts w:cs="Calibri" w:cstheme="minorAscii"/>
          <w:shd w:val="clear" w:color="auto" w:fill="FFFFFF"/>
        </w:rPr>
        <w:t xml:space="preserve">  </w:t>
      </w:r>
      <w:r w:rsidRPr="4AD07A55" w:rsidR="00BC1AFB">
        <w:rPr>
          <w:rFonts w:cs="Calibri" w:cstheme="minorAscii"/>
          <w:shd w:val="clear" w:color="auto" w:fill="FFFFFF"/>
        </w:rPr>
        <w:t xml:space="preserve">This links back to consent itself</w:t>
      </w:r>
      <w:r w:rsidRPr="4AD07A55" w:rsidR="08C2226C">
        <w:rPr>
          <w:rFonts w:cs="Calibri" w:cstheme="minorAscii"/>
          <w:shd w:val="clear" w:color="auto" w:fill="FFFFFF"/>
        </w:rPr>
        <w:t xml:space="preserve"> but </w:t>
      </w:r>
      <w:r w:rsidRPr="4AD07A55" w:rsidR="00BC1AFB">
        <w:rPr>
          <w:rFonts w:cs="Calibri" w:cstheme="minorAscii"/>
          <w:shd w:val="clear" w:color="auto" w:fill="FFFFFF"/>
        </w:rPr>
        <w:t xml:space="preserve">physical force as it suggests could mean </w:t>
      </w:r>
      <w:r w:rsidRPr="4AD07A55" w:rsidR="00BC1AFB">
        <w:rPr>
          <w:rFonts w:cs="Calibri" w:cstheme="minorAscii"/>
          <w:shd w:val="clear" w:color="auto" w:fill="FFFFFF"/>
        </w:rPr>
        <w:t xml:space="preserve">a high level</w:t>
      </w:r>
      <w:r w:rsidRPr="4AD07A55" w:rsidR="00BC1AFB">
        <w:rPr>
          <w:rFonts w:cs="Calibri" w:cstheme="minorAscii"/>
          <w:shd w:val="clear" w:color="auto" w:fill="FFFFFF"/>
        </w:rPr>
        <w:t xml:space="preserve"> of force nonetheless any form of physical contact will be </w:t>
      </w:r>
      <w:r w:rsidRPr="4AD07A55" w:rsidR="001749F1">
        <w:rPr>
          <w:rFonts w:cs="Calibri" w:cstheme="minorAscii"/>
          <w:shd w:val="clear" w:color="auto" w:fill="FFFFFF"/>
        </w:rPr>
        <w:t>sufficient</w:t>
      </w:r>
      <w:r w:rsidRPr="4AD07A55" w:rsidR="00BC1AFB">
        <w:rPr>
          <w:rFonts w:cs="Calibri" w:cstheme="minorAscii"/>
          <w:shd w:val="clear" w:color="auto" w:fill="FFFFFF"/>
        </w:rPr>
        <w:t>.</w:t>
      </w:r>
    </w:p>
    <w:p w:rsidR="00436F77" w:rsidP="4AD07A55" w:rsidRDefault="00BC3ABC" w14:paraId="2EC85A96" w14:textId="2DD39103">
      <w:pPr>
        <w:spacing w:line="360" w:lineRule="auto"/>
        <w:rPr>
          <w:rFonts w:cs="Calibri" w:cstheme="minorAscii"/>
          <w:shd w:val="clear" w:color="auto" w:fill="FFFFFF"/>
        </w:rPr>
      </w:pPr>
      <w:r w:rsidRPr="4AD07A55" w:rsidR="00BC3ABC">
        <w:rPr>
          <w:rFonts w:cs="Calibri" w:cstheme="minorAscii"/>
          <w:shd w:val="clear" w:color="auto" w:fill="FFFFFF"/>
        </w:rPr>
        <w:t xml:space="preserve">  Given that </w:t>
      </w:r>
      <w:r w:rsidRPr="4AD07A55" w:rsidR="00BC5D91">
        <w:rPr>
          <w:rFonts w:cs="Calibri" w:cstheme="minorAscii"/>
          <w:shd w:val="clear" w:color="auto" w:fill="FFFFFF"/>
        </w:rPr>
        <w:t>consent is such a large thing</w:t>
      </w:r>
      <w:r w:rsidRPr="4AD07A55" w:rsidR="006D1046">
        <w:rPr>
          <w:rFonts w:cs="Calibri" w:cstheme="minorAscii"/>
          <w:shd w:val="clear" w:color="auto" w:fill="FFFFFF"/>
        </w:rPr>
        <w:t xml:space="preserve"> in the court of law</w:t>
      </w:r>
      <w:r w:rsidRPr="4AD07A55" w:rsidR="00BC5D91">
        <w:rPr>
          <w:rFonts w:cs="Calibri" w:cstheme="minorAscii"/>
          <w:shd w:val="clear" w:color="auto" w:fill="FFFFFF"/>
        </w:rPr>
        <w:t xml:space="preserve">, it is rarely used as a defence in battery </w:t>
      </w:r>
      <w:r w:rsidRPr="4AD07A55" w:rsidR="00C10B79">
        <w:rPr>
          <w:rFonts w:cs="Calibri" w:cstheme="minorAscii"/>
          <w:shd w:val="clear" w:color="auto" w:fill="FFFFFF"/>
        </w:rPr>
        <w:t>cases,</w:t>
      </w:r>
      <w:r w:rsidRPr="4AD07A55" w:rsidR="00BC5D91">
        <w:rPr>
          <w:rFonts w:cs="Calibri" w:cstheme="minorAscii"/>
          <w:shd w:val="clear" w:color="auto" w:fill="FFFFFF"/>
        </w:rPr>
        <w:t xml:space="preserve"> </w:t>
      </w:r>
      <w:r w:rsidRPr="4AD07A55" w:rsidR="00161245">
        <w:rPr>
          <w:rFonts w:cs="Calibri" w:cstheme="minorAscii"/>
          <w:shd w:val="clear" w:color="auto" w:fill="FFFFFF"/>
        </w:rPr>
        <w:t>but it cannot be used as a defence in cases such a murder and the more serious crimes (UK parliament 2023)</w:t>
      </w:r>
      <w:r w:rsidRPr="4AD07A55" w:rsidR="006D1046">
        <w:rPr>
          <w:rFonts w:cs="Calibri" w:cstheme="minorAscii"/>
          <w:shd w:val="clear" w:color="auto" w:fill="FFFFFF"/>
        </w:rPr>
        <w:t>.</w:t>
      </w:r>
      <w:r w:rsidRPr="4AD07A55" w:rsidR="00571D1F">
        <w:rPr>
          <w:rFonts w:cs="Calibri" w:cstheme="minorAscii"/>
          <w:shd w:val="clear" w:color="auto" w:fill="FFFFFF"/>
        </w:rPr>
        <w:t xml:space="preserve">  </w:t>
      </w:r>
      <w:r w:rsidRPr="4AD07A55" w:rsidR="00F25591">
        <w:rPr>
          <w:rFonts w:cs="Calibri" w:cstheme="minorAscii"/>
          <w:shd w:val="clear" w:color="auto" w:fill="FFFFFF"/>
        </w:rPr>
        <w:t xml:space="preserve">It is </w:t>
      </w:r>
      <w:r w:rsidRPr="4AD07A55" w:rsidR="006237C5">
        <w:rPr>
          <w:rFonts w:cs="Calibri" w:cstheme="minorAscii"/>
          <w:shd w:val="clear" w:color="auto" w:fill="FFFFFF"/>
        </w:rPr>
        <w:t>rarely</w:t>
      </w:r>
      <w:r w:rsidRPr="4AD07A55" w:rsidR="00F25591">
        <w:rPr>
          <w:rFonts w:cs="Calibri" w:cstheme="minorAscii"/>
          <w:shd w:val="clear" w:color="auto" w:fill="FFFFFF"/>
        </w:rPr>
        <w:t xml:space="preserve"> used </w:t>
      </w:r>
      <w:r w:rsidRPr="4AD07A55" w:rsidR="00C10B79">
        <w:rPr>
          <w:rFonts w:cs="Calibri" w:cstheme="minorAscii"/>
          <w:shd w:val="clear" w:color="auto" w:fill="FFFFFF"/>
        </w:rPr>
        <w:t xml:space="preserve">as a defence </w:t>
      </w:r>
      <w:r w:rsidRPr="4AD07A55" w:rsidR="00F25591">
        <w:rPr>
          <w:rFonts w:cs="Calibri" w:cstheme="minorAscii"/>
          <w:shd w:val="clear" w:color="auto" w:fill="FFFFFF"/>
        </w:rPr>
        <w:t>because</w:t>
      </w:r>
      <w:r w:rsidRPr="4AD07A55" w:rsidR="00C10B79">
        <w:rPr>
          <w:rFonts w:cs="Calibri" w:cstheme="minorAscii"/>
          <w:shd w:val="clear" w:color="auto" w:fill="FFFFFF"/>
        </w:rPr>
        <w:t xml:space="preserve"> of such a fine line </w:t>
      </w:r>
      <w:r w:rsidRPr="4AD07A55" w:rsidR="003874A8">
        <w:rPr>
          <w:rFonts w:cs="Calibri" w:cstheme="minorAscii"/>
          <w:shd w:val="clear" w:color="auto" w:fill="FFFFFF"/>
        </w:rPr>
        <w:t>between consent</w:t>
      </w:r>
      <w:r w:rsidRPr="4AD07A55" w:rsidR="00D6074B">
        <w:rPr>
          <w:rFonts w:cs="Calibri" w:cstheme="minorAscii"/>
          <w:shd w:val="clear" w:color="auto" w:fill="FFFFFF"/>
        </w:rPr>
        <w:t xml:space="preserve"> and </w:t>
      </w:r>
      <w:r w:rsidRPr="4AD07A55" w:rsidR="2309196F">
        <w:rPr>
          <w:rFonts w:cs="Calibri" w:cstheme="minorAscii"/>
          <w:shd w:val="clear" w:color="auto" w:fill="FFFFFF"/>
        </w:rPr>
        <w:t xml:space="preserve">the crime itself </w:t>
      </w:r>
      <w:r w:rsidRPr="4AD07A55" w:rsidR="2309196F">
        <w:rPr>
          <w:rFonts w:cs="Calibri" w:cstheme="minorAscii"/>
          <w:shd w:val="clear" w:color="auto" w:fill="FFFFFF"/>
        </w:rPr>
        <w:t xml:space="preserve">sometimes</w:t>
      </w:r>
      <w:r w:rsidRPr="4AD07A55" w:rsidR="003874A8">
        <w:rPr>
          <w:rFonts w:cs="Calibri" w:cstheme="minorAscii"/>
          <w:shd w:val="clear" w:color="auto" w:fill="FFFFFF"/>
        </w:rPr>
        <w:t>. This is recognised</w:t>
      </w:r>
      <w:r w:rsidRPr="4AD07A55" w:rsidR="00D6074B">
        <w:rPr>
          <w:rFonts w:cs="Calibri" w:cstheme="minorAscii"/>
          <w:shd w:val="clear" w:color="auto" w:fill="FFFFFF"/>
        </w:rPr>
        <w:t xml:space="preserve"> and </w:t>
      </w:r>
      <w:r w:rsidRPr="4AD07A55" w:rsidR="00D6074B">
        <w:rPr>
          <w:rFonts w:cs="Calibri" w:cstheme="minorAscii"/>
          <w:shd w:val="clear" w:color="auto" w:fill="FFFFFF"/>
        </w:rPr>
        <w:t xml:space="preserve">evidenced</w:t>
      </w:r>
      <w:r w:rsidRPr="4AD07A55" w:rsidR="003874A8">
        <w:rPr>
          <w:rFonts w:cs="Calibri" w:cstheme="minorAscii"/>
          <w:shd w:val="clear" w:color="auto" w:fill="FFFFFF"/>
        </w:rPr>
        <w:t xml:space="preserve"> </w:t>
      </w:r>
      <w:r w:rsidRPr="4AD07A55" w:rsidR="002D1C29">
        <w:rPr>
          <w:rFonts w:cs="Calibri" w:cstheme="minorAscii"/>
          <w:shd w:val="clear" w:color="auto" w:fill="FFFFFF"/>
        </w:rPr>
        <w:t>in the cases of R V Brown (199</w:t>
      </w:r>
      <w:r w:rsidRPr="4AD07A55" w:rsidR="00232976">
        <w:rPr>
          <w:rFonts w:cs="Calibri" w:cstheme="minorAscii"/>
          <w:shd w:val="clear" w:color="auto" w:fill="FFFFFF"/>
        </w:rPr>
        <w:t>4</w:t>
      </w:r>
      <w:r w:rsidRPr="4AD07A55" w:rsidR="002D1C29">
        <w:rPr>
          <w:rFonts w:cs="Calibri" w:cstheme="minorAscii"/>
          <w:shd w:val="clear" w:color="auto" w:fill="FFFFFF"/>
        </w:rPr>
        <w:t>) and R V Wilson (1996)</w:t>
      </w:r>
      <w:r w:rsidRPr="4AD07A55" w:rsidR="00D27A7A">
        <w:rPr>
          <w:rFonts w:cs="Calibri" w:cstheme="minorAscii"/>
          <w:shd w:val="clear" w:color="auto" w:fill="FFFFFF"/>
        </w:rPr>
        <w:t xml:space="preserve">.  These cases were quite different in the </w:t>
      </w:r>
      <w:r w:rsidRPr="4AD07A55" w:rsidR="001C2099">
        <w:rPr>
          <w:rFonts w:cs="Calibri" w:cstheme="minorAscii"/>
          <w:shd w:val="clear" w:color="auto" w:fill="FFFFFF"/>
        </w:rPr>
        <w:t>facts,</w:t>
      </w:r>
      <w:r w:rsidRPr="4AD07A55" w:rsidR="00D27A7A">
        <w:rPr>
          <w:rFonts w:cs="Calibri" w:cstheme="minorAscii"/>
          <w:shd w:val="clear" w:color="auto" w:fill="FFFFFF"/>
        </w:rPr>
        <w:t xml:space="preserve"> </w:t>
      </w:r>
      <w:r w:rsidRPr="4AD07A55" w:rsidR="002228C8">
        <w:rPr>
          <w:rFonts w:cs="Calibri" w:cstheme="minorAscii"/>
          <w:shd w:val="clear" w:color="auto" w:fill="FFFFFF"/>
        </w:rPr>
        <w:t>but the</w:t>
      </w:r>
      <w:r w:rsidRPr="4AD07A55" w:rsidR="00523A27">
        <w:rPr>
          <w:rFonts w:cs="Calibri" w:cstheme="minorAscii"/>
          <w:shd w:val="clear" w:color="auto" w:fill="FFFFFF"/>
        </w:rPr>
        <w:t xml:space="preserve"> one similarity is </w:t>
      </w:r>
      <w:r w:rsidRPr="4AD07A55" w:rsidR="00D27A7A">
        <w:rPr>
          <w:rFonts w:cs="Calibri" w:cstheme="minorAscii"/>
          <w:shd w:val="clear" w:color="auto" w:fill="FFFFFF"/>
        </w:rPr>
        <w:t xml:space="preserve">both defendants used consent as a </w:t>
      </w:r>
      <w:r w:rsidRPr="4AD07A55" w:rsidR="00523A27">
        <w:rPr>
          <w:rFonts w:cs="Calibri" w:cstheme="minorAscii"/>
          <w:shd w:val="clear" w:color="auto" w:fill="FFFFFF"/>
        </w:rPr>
        <w:t xml:space="preserve">defence and had </w:t>
      </w:r>
      <w:r w:rsidRPr="4AD07A55" w:rsidR="00523A27">
        <w:rPr>
          <w:rFonts w:cs="Calibri" w:cstheme="minorAscii"/>
          <w:shd w:val="clear" w:color="auto" w:fill="FFFFFF"/>
        </w:rPr>
        <w:t>very different</w:t>
      </w:r>
      <w:r w:rsidRPr="4AD07A55" w:rsidR="00523A27">
        <w:rPr>
          <w:rFonts w:cs="Calibri" w:cstheme="minorAscii"/>
          <w:shd w:val="clear" w:color="auto" w:fill="FFFFFF"/>
        </w:rPr>
        <w:t xml:space="preserve"> outcomes</w:t>
      </w:r>
      <w:r w:rsidRPr="4AD07A55" w:rsidR="00F45EAB">
        <w:rPr>
          <w:rFonts w:cs="Calibri" w:cstheme="minorAscii"/>
          <w:shd w:val="clear" w:color="auto" w:fill="FFFFFF"/>
        </w:rPr>
        <w:t xml:space="preserve">, but these </w:t>
      </w:r>
      <w:r w:rsidRPr="4AD07A55" w:rsidR="00A3203F">
        <w:rPr>
          <w:rFonts w:cs="Calibri" w:cstheme="minorAscii"/>
          <w:shd w:val="clear" w:color="auto" w:fill="FFFFFF"/>
        </w:rPr>
        <w:t>two cases both come from a form of relationship/sexual consent.</w:t>
      </w:r>
      <w:r w:rsidRPr="4AD07A55" w:rsidR="00571D1F">
        <w:rPr>
          <w:rFonts w:cs="Calibri" w:cstheme="minorAscii"/>
          <w:shd w:val="clear" w:color="auto" w:fill="FFFFFF"/>
        </w:rPr>
        <w:t xml:space="preserve">  </w:t>
      </w:r>
      <w:r w:rsidRPr="4AD07A55" w:rsidR="002228C8">
        <w:rPr>
          <w:rFonts w:cs="Calibri" w:cstheme="minorAscii"/>
          <w:shd w:val="clear" w:color="auto" w:fill="FFFFFF"/>
        </w:rPr>
        <w:t>The role of</w:t>
      </w:r>
      <w:r w:rsidRPr="4AD07A55" w:rsidR="00523A27">
        <w:rPr>
          <w:rFonts w:cs="Calibri" w:cstheme="minorAscii"/>
          <w:shd w:val="clear" w:color="auto" w:fill="FFFFFF"/>
        </w:rPr>
        <w:t xml:space="preserve"> </w:t>
      </w:r>
      <w:r w:rsidRPr="4AD07A55" w:rsidR="002228C8">
        <w:rPr>
          <w:rFonts w:cs="Calibri" w:cstheme="minorAscii"/>
          <w:shd w:val="clear" w:color="auto" w:fill="FFFFFF"/>
        </w:rPr>
        <w:t xml:space="preserve">consent </w:t>
      </w:r>
      <w:r w:rsidRPr="4AD07A55" w:rsidR="00F91849">
        <w:rPr>
          <w:rFonts w:cs="Calibri" w:cstheme="minorAscii"/>
          <w:shd w:val="clear" w:color="auto" w:fill="FFFFFF"/>
        </w:rPr>
        <w:t xml:space="preserve">in battery cases can come from all areas of life </w:t>
      </w:r>
      <w:r w:rsidRPr="4AD07A55" w:rsidR="00B37254">
        <w:rPr>
          <w:rFonts w:cs="Calibri" w:cstheme="minorAscii"/>
          <w:shd w:val="clear" w:color="auto" w:fill="FFFFFF"/>
        </w:rPr>
        <w:t xml:space="preserve">from contact sport to horse play. </w:t>
      </w:r>
      <w:r w:rsidRPr="4AD07A55" w:rsidR="00B37254">
        <w:rPr>
          <w:rFonts w:cs="Calibri" w:cstheme="minorAscii"/>
          <w:shd w:val="clear" w:color="auto" w:fill="FFFFFF"/>
        </w:rPr>
        <w:t xml:space="preserve">All of these are recognised to have a fine line </w:t>
      </w:r>
      <w:r w:rsidRPr="4AD07A55" w:rsidR="00257A0E">
        <w:rPr>
          <w:rFonts w:cs="Calibri" w:cstheme="minorAscii"/>
          <w:shd w:val="clear" w:color="auto" w:fill="FFFFFF"/>
        </w:rPr>
        <w:t xml:space="preserve">between consent and battery but are all </w:t>
      </w:r>
      <w:r w:rsidRPr="4AD07A55" w:rsidR="008530C8">
        <w:rPr>
          <w:rFonts w:cs="Calibri" w:cstheme="minorAscii"/>
          <w:shd w:val="clear" w:color="auto" w:fill="FFFFFF"/>
        </w:rPr>
        <w:t>thought of as valid consent, just like in the case of R V</w:t>
      </w:r>
      <w:r w:rsidRPr="4AD07A55" w:rsidR="008C22E6">
        <w:rPr>
          <w:rFonts w:cs="Calibri" w:cstheme="minorAscii"/>
          <w:shd w:val="clear" w:color="auto" w:fill="FFFFFF"/>
        </w:rPr>
        <w:t xml:space="preserve"> Wilson.</w:t>
      </w:r>
      <w:r w:rsidRPr="4AD07A55" w:rsidR="00571D1F">
        <w:rPr>
          <w:rFonts w:cs="Calibri" w:cstheme="minorAscii"/>
          <w:shd w:val="clear" w:color="auto" w:fill="FFFFFF"/>
        </w:rPr>
        <w:t xml:space="preserve">  </w:t>
      </w:r>
      <w:r w:rsidRPr="4AD07A55" w:rsidR="008C22E6">
        <w:rPr>
          <w:rFonts w:cs="Calibri" w:cstheme="minorAscii"/>
          <w:shd w:val="clear" w:color="auto" w:fill="FFFFFF"/>
        </w:rPr>
        <w:t xml:space="preserve">This is made </w:t>
      </w:r>
      <w:r w:rsidRPr="4AD07A55" w:rsidR="008C22E6">
        <w:rPr>
          <w:rFonts w:cs="Calibri" w:cstheme="minorAscii"/>
          <w:shd w:val="clear" w:color="auto" w:fill="FFFFFF"/>
        </w:rPr>
        <w:t xml:space="preserve">evident</w:t>
      </w:r>
      <w:r w:rsidRPr="4AD07A55" w:rsidR="008C22E6">
        <w:rPr>
          <w:rFonts w:cs="Calibri" w:cstheme="minorAscii"/>
          <w:shd w:val="clear" w:color="auto" w:fill="FFFFFF"/>
        </w:rPr>
        <w:lastRenderedPageBreak/>
        <w:t xml:space="preserve"> as valid consent as there was no </w:t>
      </w:r>
      <w:r w:rsidRPr="4AD07A55" w:rsidR="006D2AAB">
        <w:rPr>
          <w:rFonts w:cs="Calibri" w:cstheme="minorAscii"/>
          <w:shd w:val="clear" w:color="auto" w:fill="FFFFFF"/>
        </w:rPr>
        <w:t>aggressive intent like there was in</w:t>
      </w:r>
      <w:r w:rsidRPr="4AD07A55" w:rsidR="003F354D">
        <w:rPr>
          <w:rFonts w:cs="Calibri" w:cstheme="minorAscii"/>
          <w:shd w:val="clear" w:color="auto" w:fill="FFFFFF"/>
        </w:rPr>
        <w:t xml:space="preserve"> the case of R V Brown</w:t>
      </w:r>
      <w:r w:rsidRPr="4AD07A55" w:rsidR="00BB5467">
        <w:rPr>
          <w:rFonts w:cs="Calibri" w:cstheme="minorAscii"/>
          <w:shd w:val="clear" w:color="auto" w:fill="FFFFFF"/>
        </w:rPr>
        <w:t xml:space="preserve">, so because </w:t>
      </w:r>
      <w:r w:rsidRPr="4AD07A55" w:rsidR="0054465D">
        <w:rPr>
          <w:rFonts w:cs="Calibri" w:cstheme="minorAscii"/>
          <w:shd w:val="clear" w:color="auto" w:fill="FFFFFF"/>
        </w:rPr>
        <w:t>the line is so fine and there is no guarantee of a positive outcome the defendant rarely goes down the line of consent as a defence.</w:t>
      </w:r>
    </w:p>
    <w:p w:rsidR="00A71FE3" w:rsidP="4AD07A55" w:rsidRDefault="00436F77" w14:paraId="235B7976" w14:textId="353E48CD">
      <w:pPr>
        <w:spacing w:line="360" w:lineRule="auto"/>
        <w:rPr>
          <w:rFonts w:cs="Calibri" w:cstheme="minorAscii"/>
          <w:shd w:val="clear" w:color="auto" w:fill="FFFFFF"/>
        </w:rPr>
      </w:pPr>
      <w:r w:rsidRPr="4AD07A55" w:rsidR="00436F77">
        <w:rPr>
          <w:rFonts w:cs="Calibri" w:cstheme="minorAscii"/>
          <w:shd w:val="clear" w:color="auto" w:fill="FFFFFF"/>
        </w:rPr>
        <w:t xml:space="preserve">  </w:t>
      </w:r>
      <w:r w:rsidRPr="4AD07A55" w:rsidR="003C4C30">
        <w:rPr>
          <w:rFonts w:cs="Calibri" w:cstheme="minorAscii"/>
          <w:shd w:val="clear" w:color="auto" w:fill="FFFFFF"/>
        </w:rPr>
        <w:t xml:space="preserve">In criminal law the biggest grey area of consent is sexual consent, because although </w:t>
      </w:r>
      <w:r w:rsidRPr="4AD07A55" w:rsidR="00CE2B97">
        <w:rPr>
          <w:rFonts w:cs="Calibri" w:cstheme="minorAscii"/>
          <w:shd w:val="clear" w:color="auto" w:fill="FFFFFF"/>
        </w:rPr>
        <w:t xml:space="preserve">it is easy to teach young adults about sex and sexual activities there is still no </w:t>
      </w:r>
      <w:r w:rsidRPr="4AD07A55" w:rsidR="00286F21">
        <w:rPr>
          <w:rFonts w:cs="Calibri" w:cstheme="minorAscii"/>
          <w:shd w:val="clear" w:color="auto" w:fill="FFFFFF"/>
        </w:rPr>
        <w:t>agreement on how to define consent itself</w:t>
      </w:r>
      <w:r w:rsidRPr="4AD07A55" w:rsidR="00286F21">
        <w:rPr>
          <w:rFonts w:cs="Calibri" w:cstheme="minorAscii"/>
          <w:shd w:val="clear" w:color="auto" w:fill="FFFFFF"/>
        </w:rPr>
        <w:t>.</w:t>
      </w:r>
      <w:r w:rsidRPr="4AD07A55" w:rsidR="00571D1F">
        <w:rPr>
          <w:rFonts w:cs="Calibri" w:cstheme="minorAscii"/>
          <w:shd w:val="clear" w:color="auto" w:fill="FFFFFF"/>
        </w:rPr>
        <w:t xml:space="preserve">  </w:t>
      </w:r>
      <w:r w:rsidRPr="4AD07A55" w:rsidR="00286F21">
        <w:rPr>
          <w:rFonts w:cs="Calibri" w:cstheme="minorAscii"/>
          <w:shd w:val="clear" w:color="auto" w:fill="FFFFFF"/>
        </w:rPr>
        <w:t xml:space="preserve">The message to be passed on is not only </w:t>
      </w:r>
      <w:r w:rsidRPr="4AD07A55" w:rsidR="00AE7425">
        <w:rPr>
          <w:rFonts w:cs="Calibri" w:cstheme="minorAscii"/>
          <w:shd w:val="clear" w:color="auto" w:fill="FFFFFF"/>
        </w:rPr>
        <w:t>about teaching consent but also how to interpret consent and non-consent (Setty 2023)</w:t>
      </w:r>
      <w:r w:rsidRPr="4AD07A55" w:rsidR="00AE7425">
        <w:rPr>
          <w:rFonts w:cs="Calibri" w:cstheme="minorAscii"/>
          <w:shd w:val="clear" w:color="auto" w:fill="FFFFFF"/>
        </w:rPr>
        <w:t>.</w:t>
      </w:r>
      <w:r w:rsidRPr="4AD07A55" w:rsidR="00571D1F">
        <w:rPr>
          <w:rFonts w:cs="Calibri" w:cstheme="minorAscii"/>
          <w:shd w:val="clear" w:color="auto" w:fill="FFFFFF"/>
        </w:rPr>
        <w:t xml:space="preserve">  </w:t>
      </w:r>
      <w:r w:rsidRPr="4AD07A55" w:rsidR="0006654F">
        <w:rPr>
          <w:rFonts w:cs="Calibri" w:cstheme="minorAscii"/>
          <w:shd w:val="clear" w:color="auto" w:fill="FFFFFF"/>
        </w:rPr>
        <w:t xml:space="preserve">Moving away from sexual consent the next biggest </w:t>
      </w:r>
      <w:r w:rsidRPr="4AD07A55" w:rsidR="004D2082">
        <w:rPr>
          <w:rFonts w:cs="Calibri" w:cstheme="minorAscii"/>
          <w:shd w:val="clear" w:color="auto" w:fill="FFFFFF"/>
        </w:rPr>
        <w:t>controversy c</w:t>
      </w:r>
      <w:r w:rsidRPr="4AD07A55" w:rsidR="00C80EEB">
        <w:rPr>
          <w:rFonts w:cs="Calibri" w:cstheme="minorAscii"/>
          <w:shd w:val="clear" w:color="auto" w:fill="FFFFFF"/>
        </w:rPr>
        <w:t>a</w:t>
      </w:r>
      <w:r w:rsidRPr="4AD07A55" w:rsidR="004D2082">
        <w:rPr>
          <w:rFonts w:cs="Calibri" w:cstheme="minorAscii"/>
          <w:shd w:val="clear" w:color="auto" w:fill="FFFFFF"/>
        </w:rPr>
        <w:t>me surrounding the case of R V B</w:t>
      </w:r>
      <w:r w:rsidRPr="4AD07A55" w:rsidR="004E3CF2">
        <w:rPr>
          <w:rFonts w:cs="Calibri" w:cstheme="minorAscii"/>
          <w:shd w:val="clear" w:color="auto" w:fill="FFFFFF"/>
        </w:rPr>
        <w:t>M</w:t>
      </w:r>
      <w:r w:rsidRPr="4AD07A55" w:rsidR="004D2082">
        <w:rPr>
          <w:rFonts w:cs="Calibri" w:cstheme="minorAscii"/>
          <w:shd w:val="clear" w:color="auto" w:fill="FFFFFF"/>
        </w:rPr>
        <w:t xml:space="preserve"> (2018)</w:t>
      </w:r>
      <w:r w:rsidRPr="4AD07A55" w:rsidR="00AB2FBD">
        <w:rPr>
          <w:rFonts w:cs="Calibri" w:cstheme="minorAscii"/>
          <w:shd w:val="clear" w:color="auto" w:fill="FFFFFF"/>
        </w:rPr>
        <w:t xml:space="preserve">, this case is the most recent prime example </w:t>
      </w:r>
      <w:r w:rsidRPr="4AD07A55" w:rsidR="00986317">
        <w:rPr>
          <w:rFonts w:cs="Calibri" w:cstheme="minorAscii"/>
          <w:shd w:val="clear" w:color="auto" w:fill="FFFFFF"/>
        </w:rPr>
        <w:t>of grey area of consent in the body modification world.</w:t>
      </w:r>
      <w:r w:rsidRPr="4AD07A55" w:rsidR="00520741">
        <w:rPr>
          <w:rFonts w:cs="Calibri" w:cstheme="minorAscii"/>
          <w:shd w:val="clear" w:color="auto" w:fill="FFFFFF"/>
        </w:rPr>
        <w:t xml:space="preserve"> </w:t>
      </w:r>
      <w:r w:rsidRPr="4AD07A55" w:rsidR="00FC4FA0">
        <w:rPr>
          <w:rFonts w:cs="Calibri" w:cstheme="minorAscii"/>
          <w:shd w:val="clear" w:color="auto" w:fill="FFFFFF"/>
        </w:rPr>
        <w:t>So,</w:t>
      </w:r>
      <w:r w:rsidRPr="4AD07A55" w:rsidR="00520741">
        <w:rPr>
          <w:rFonts w:cs="Calibri" w:cstheme="minorAscii"/>
          <w:shd w:val="clear" w:color="auto" w:fill="FFFFFF"/>
        </w:rPr>
        <w:t xml:space="preserve"> although </w:t>
      </w:r>
      <w:r w:rsidRPr="4AD07A55" w:rsidR="00F97295">
        <w:rPr>
          <w:rFonts w:cs="Calibri" w:cstheme="minorAscii"/>
          <w:shd w:val="clear" w:color="auto" w:fill="FFFFFF"/>
        </w:rPr>
        <w:t>‘DR EVIL’ got consent from all his clients for their modifications he was found guilty of wounding with intent</w:t>
      </w:r>
      <w:r w:rsidRPr="4AD07A55" w:rsidR="00D259D1">
        <w:rPr>
          <w:rFonts w:cs="Calibri" w:cstheme="minorAscii"/>
          <w:shd w:val="clear" w:color="auto" w:fill="FFFFFF"/>
        </w:rPr>
        <w:t xml:space="preserve"> and consent was decided as no defence in this case</w:t>
      </w:r>
      <w:r w:rsidRPr="4AD07A55" w:rsidR="006F29EB">
        <w:rPr>
          <w:rFonts w:cs="Calibri" w:cstheme="minorAscii"/>
          <w:shd w:val="clear" w:color="auto" w:fill="FFFFFF"/>
        </w:rPr>
        <w:t xml:space="preserve"> </w:t>
      </w:r>
      <w:r w:rsidRPr="4AD07A55" w:rsidR="00061F09">
        <w:rPr>
          <w:rFonts w:cs="Calibri" w:cstheme="minorAscii"/>
          <w:shd w:val="clear" w:color="auto" w:fill="FFFFFF"/>
        </w:rPr>
        <w:t>because like in the case of R V Brown (1994) there was intent to harm</w:t>
      </w:r>
      <w:r w:rsidRPr="4AD07A55" w:rsidR="0073798E">
        <w:rPr>
          <w:rFonts w:cs="Calibri" w:cstheme="minorAscii"/>
          <w:shd w:val="clear" w:color="auto" w:fill="FFFFFF"/>
        </w:rPr>
        <w:t>.</w:t>
      </w:r>
      <w:r w:rsidRPr="4AD07A55" w:rsidR="00FC4FA0">
        <w:rPr>
          <w:rFonts w:cs="Calibri" w:cstheme="minorAscii"/>
          <w:shd w:val="clear" w:color="auto" w:fill="FFFFFF"/>
        </w:rPr>
        <w:t xml:space="preserve">  </w:t>
      </w:r>
      <w:r w:rsidRPr="4AD07A55" w:rsidR="00FC4FA0">
        <w:rPr>
          <w:rFonts w:cs="Calibri" w:cstheme="minorAscii"/>
          <w:shd w:val="clear" w:color="auto" w:fill="FFFFFF"/>
        </w:rPr>
        <w:t xml:space="preserve">A</w:t>
      </w:r>
      <w:r w:rsidRPr="4AD07A55" w:rsidR="0073798E">
        <w:rPr>
          <w:rFonts w:cs="Calibri" w:cstheme="minorAscii"/>
          <w:shd w:val="clear" w:color="auto" w:fill="FFFFFF"/>
        </w:rPr>
        <w:t xml:space="preserve">s well as the grey area of consent there is also need for consideration of the ethical </w:t>
      </w:r>
      <w:r w:rsidRPr="4AD07A55" w:rsidR="00FC4FA0">
        <w:rPr>
          <w:rFonts w:cs="Calibri" w:cstheme="minorAscii"/>
          <w:shd w:val="clear" w:color="auto" w:fill="FFFFFF"/>
        </w:rPr>
        <w:t>requirements</w:t>
      </w:r>
      <w:r w:rsidRPr="4AD07A55" w:rsidR="009E2AF5">
        <w:rPr>
          <w:rFonts w:cs="Calibri" w:cstheme="minorAscii"/>
          <w:shd w:val="clear" w:color="auto" w:fill="FFFFFF"/>
        </w:rPr>
        <w:t>.</w:t>
      </w:r>
      <w:r w:rsidRPr="4AD07A55" w:rsidR="00C644F3">
        <w:rPr>
          <w:rFonts w:cs="Calibri" w:cstheme="minorAscii"/>
          <w:shd w:val="clear" w:color="auto" w:fill="FFFFFF"/>
        </w:rPr>
        <w:t xml:space="preserve">  </w:t>
      </w:r>
      <w:r w:rsidRPr="4AD07A55" w:rsidR="00466597">
        <w:rPr>
          <w:rFonts w:cs="Calibri" w:cstheme="minorAscii"/>
          <w:shd w:val="clear" w:color="auto" w:fill="FFFFFF"/>
        </w:rPr>
        <w:t>The best example of an ethical value is in the case of Re V M (1999)</w:t>
      </w:r>
      <w:r w:rsidRPr="4AD07A55" w:rsidR="00466597">
        <w:rPr>
          <w:rFonts w:cs="Calibri" w:cstheme="minorAscii"/>
          <w:shd w:val="clear" w:color="auto" w:fill="FFFFFF"/>
        </w:rPr>
        <w:t>.</w:t>
      </w:r>
      <w:r w:rsidRPr="4AD07A55" w:rsidR="00466597">
        <w:rPr>
          <w:rFonts w:cs="Calibri" w:cstheme="minorAscii"/>
          <w:shd w:val="clear" w:color="auto" w:fill="FFFFFF"/>
        </w:rPr>
        <w:t xml:space="preserve">  </w:t>
      </w:r>
      <w:r w:rsidRPr="4AD07A55" w:rsidR="009E2AF5">
        <w:rPr>
          <w:rFonts w:cs="Calibri" w:cstheme="minorAscii"/>
          <w:shd w:val="clear" w:color="auto" w:fill="FFFFFF"/>
        </w:rPr>
        <w:t xml:space="preserve">Informed consent is an ethical legal requirement in case </w:t>
      </w:r>
      <w:r w:rsidRPr="4AD07A55" w:rsidR="00FC4FA0">
        <w:rPr>
          <w:rFonts w:cs="Calibri" w:cstheme="minorAscii"/>
          <w:shd w:val="clear" w:color="auto" w:fill="FFFFFF"/>
        </w:rPr>
        <w:t>studies because</w:t>
      </w:r>
      <w:r w:rsidRPr="4AD07A55" w:rsidR="00181BD8">
        <w:rPr>
          <w:rFonts w:cs="Calibri" w:cstheme="minorAscii"/>
          <w:shd w:val="clear" w:color="auto" w:fill="FFFFFF"/>
        </w:rPr>
        <w:t xml:space="preserve"> the concept of consent is even in the ethical values section of the </w:t>
      </w:r>
      <w:r w:rsidRPr="4AD07A55" w:rsidR="00FC4FA0">
        <w:rPr>
          <w:rFonts w:cs="Calibri" w:cstheme="minorAscii"/>
          <w:shd w:val="clear" w:color="auto" w:fill="FFFFFF"/>
        </w:rPr>
        <w:t>Nuremberg</w:t>
      </w:r>
      <w:r w:rsidRPr="4AD07A55" w:rsidR="00181BD8">
        <w:rPr>
          <w:rFonts w:cs="Calibri" w:cstheme="minorAscii"/>
          <w:shd w:val="clear" w:color="auto" w:fill="FFFFFF"/>
        </w:rPr>
        <w:t xml:space="preserve"> code and th</w:t>
      </w:r>
      <w:r w:rsidRPr="4AD07A55" w:rsidR="00FC4FA0">
        <w:rPr>
          <w:rFonts w:cs="Calibri" w:cstheme="minorAscii"/>
          <w:shd w:val="clear" w:color="auto" w:fill="FFFFFF"/>
        </w:rPr>
        <w:t>e declaration of the Helsinki</w:t>
      </w:r>
      <w:r w:rsidRPr="4AD07A55" w:rsidR="007529DD">
        <w:rPr>
          <w:rFonts w:cs="Calibri" w:cstheme="minorAscii"/>
          <w:shd w:val="clear" w:color="auto" w:fill="FFFFFF"/>
        </w:rPr>
        <w:t xml:space="preserve"> (Nijhawan Et Al 2013)</w:t>
      </w:r>
      <w:r w:rsidRPr="4AD07A55" w:rsidR="007529DD">
        <w:rPr>
          <w:rFonts w:cs="Calibri" w:cstheme="minorAscii"/>
          <w:shd w:val="clear" w:color="auto" w:fill="FFFFFF"/>
        </w:rPr>
        <w:t xml:space="preserve">.</w:t>
      </w:r>
      <w:r w:rsidRPr="4AD07A55" w:rsidR="004025F8">
        <w:rPr>
          <w:rFonts w:cs="Calibri" w:cstheme="minorAscii"/>
          <w:shd w:val="clear" w:color="auto" w:fill="FFFFFF"/>
        </w:rPr>
        <w:t xml:space="preserve">  </w:t>
      </w:r>
      <w:r w:rsidRPr="4AD07A55" w:rsidR="004025F8">
        <w:rPr>
          <w:rFonts w:cs="Calibri" w:cstheme="minorAscii"/>
          <w:shd w:val="clear" w:color="auto" w:fill="FFFFFF"/>
        </w:rPr>
        <w:t xml:space="preserve">Looking at</w:t>
      </w:r>
      <w:r w:rsidRPr="4AD07A55" w:rsidR="00A609E4">
        <w:rPr>
          <w:rFonts w:cs="Calibri" w:cstheme="minorAscii"/>
          <w:shd w:val="clear" w:color="auto" w:fill="FFFFFF"/>
        </w:rPr>
        <w:t xml:space="preserve"> these codes the concept of consent comes from the ethical values </w:t>
      </w:r>
      <w:r w:rsidRPr="4AD07A55" w:rsidR="00980439">
        <w:rPr>
          <w:rFonts w:cs="Calibri" w:cstheme="minorAscii"/>
          <w:shd w:val="clear" w:color="auto" w:fill="FFFFFF"/>
        </w:rPr>
        <w:t xml:space="preserve">of a </w:t>
      </w:r>
      <w:r w:rsidRPr="4AD07A55" w:rsidR="0089793E">
        <w:rPr>
          <w:rFonts w:cs="Calibri" w:cstheme="minorAscii"/>
          <w:shd w:val="clear" w:color="auto" w:fill="FFFFFF"/>
        </w:rPr>
        <w:t>person’s</w:t>
      </w:r>
      <w:r w:rsidRPr="4AD07A55" w:rsidR="00980439">
        <w:rPr>
          <w:rFonts w:cs="Calibri" w:cstheme="minorAscii"/>
          <w:shd w:val="clear" w:color="auto" w:fill="FFFFFF"/>
        </w:rPr>
        <w:t xml:space="preserve"> anatomy (</w:t>
      </w:r>
      <w:r w:rsidRPr="4AD07A55" w:rsidR="009D2BD3">
        <w:rPr>
          <w:rFonts w:cs="Calibri" w:cstheme="minorAscii"/>
          <w:shd w:val="clear" w:color="auto" w:fill="FFFFFF"/>
        </w:rPr>
        <w:t>Madhava-Menon 2000).</w:t>
      </w:r>
      <w:r w:rsidRPr="4AD07A55" w:rsidR="00466597">
        <w:rPr>
          <w:rFonts w:cs="Calibri" w:cstheme="minorAscii"/>
          <w:shd w:val="clear" w:color="auto" w:fill="FFFFFF"/>
        </w:rPr>
        <w:t xml:space="preserve"> </w:t>
      </w:r>
    </w:p>
    <w:p w:rsidR="005356F8" w:rsidP="4AD07A55" w:rsidRDefault="00A71FE3" w14:paraId="49D1722B" w14:textId="535FEEF9">
      <w:pPr>
        <w:spacing w:line="360" w:lineRule="auto"/>
        <w:rPr>
          <w:rFonts w:cs="Calibri" w:cstheme="minorAscii"/>
          <w:shd w:val="clear" w:color="auto" w:fill="FFFFFF"/>
        </w:rPr>
      </w:pPr>
      <w:r w:rsidRPr="4AD07A55" w:rsidR="00A71FE3">
        <w:rPr>
          <w:rFonts w:cs="Calibri" w:cstheme="minorAscii"/>
          <w:shd w:val="clear" w:color="auto" w:fill="FFFFFF"/>
        </w:rPr>
        <w:t xml:space="preserve">  The defence of </w:t>
      </w:r>
      <w:r w:rsidRPr="4AD07A55" w:rsidR="00BB1D7E">
        <w:rPr>
          <w:rFonts w:cs="Calibri" w:cstheme="minorAscii"/>
          <w:shd w:val="clear" w:color="auto" w:fill="FFFFFF"/>
        </w:rPr>
        <w:t xml:space="preserve">consent i</w:t>
      </w:r>
      <w:r w:rsidRPr="4AD07A55" w:rsidR="3090C6AD">
        <w:rPr>
          <w:rFonts w:cs="Calibri" w:cstheme="minorAscii"/>
          <w:shd w:val="clear" w:color="auto" w:fill="FFFFFF"/>
        </w:rPr>
        <w:t xml:space="preserve">n</w:t>
      </w:r>
      <w:r w:rsidRPr="4AD07A55" w:rsidR="00BB1D7E">
        <w:rPr>
          <w:rFonts w:cs="Calibri" w:cstheme="minorAscii"/>
          <w:shd w:val="clear" w:color="auto" w:fill="FFFFFF"/>
        </w:rPr>
        <w:t xml:space="preserve"> criminal law may pre-empt the defendant </w:t>
      </w:r>
      <w:r w:rsidRPr="4AD07A55" w:rsidR="00440126">
        <w:rPr>
          <w:rFonts w:cs="Calibri" w:cstheme="minorAscii"/>
          <w:shd w:val="clear" w:color="auto" w:fill="FFFFFF"/>
        </w:rPr>
        <w:t xml:space="preserve">from being held liable for the crime </w:t>
      </w:r>
      <w:r w:rsidRPr="4AD07A55" w:rsidR="009D692F">
        <w:rPr>
          <w:rFonts w:cs="Calibri" w:cstheme="minorAscii"/>
          <w:shd w:val="clear" w:color="auto" w:fill="FFFFFF"/>
        </w:rPr>
        <w:t xml:space="preserve">committed, but only if the defendant can </w:t>
      </w:r>
      <w:r w:rsidRPr="4AD07A55" w:rsidR="009D692F">
        <w:rPr>
          <w:rFonts w:cs="Calibri" w:cstheme="minorAscii"/>
          <w:shd w:val="clear" w:color="auto" w:fill="FFFFFF"/>
        </w:rPr>
        <w:t xml:space="preserve">provide</w:t>
      </w:r>
      <w:r w:rsidRPr="4AD07A55" w:rsidR="009D692F">
        <w:rPr>
          <w:rFonts w:cs="Calibri" w:cstheme="minorAscii"/>
          <w:shd w:val="clear" w:color="auto" w:fill="FFFFFF"/>
        </w:rPr>
        <w:t xml:space="preserve"> </w:t>
      </w:r>
      <w:r w:rsidRPr="4AD07A55" w:rsidR="009D692F">
        <w:rPr>
          <w:rFonts w:cs="Calibri" w:cstheme="minorAscii"/>
          <w:shd w:val="clear" w:color="auto" w:fill="FFFFFF"/>
        </w:rPr>
        <w:t xml:space="preserve">significant evidence</w:t>
      </w:r>
      <w:r w:rsidRPr="4AD07A55" w:rsidR="009D692F">
        <w:rPr>
          <w:rFonts w:cs="Calibri" w:cstheme="minorAscii"/>
          <w:shd w:val="clear" w:color="auto" w:fill="FFFFFF"/>
        </w:rPr>
        <w:t xml:space="preserve"> </w:t>
      </w:r>
      <w:r w:rsidRPr="4AD07A55" w:rsidR="00355752">
        <w:rPr>
          <w:rFonts w:cs="Calibri" w:cstheme="minorAscii"/>
          <w:shd w:val="clear" w:color="auto" w:fill="FFFFFF"/>
        </w:rPr>
        <w:t xml:space="preserve">that the victim gave </w:t>
      </w:r>
      <w:r w:rsidRPr="4AD07A55" w:rsidR="00773F83">
        <w:rPr>
          <w:rFonts w:cs="Calibri" w:cstheme="minorAscii"/>
          <w:shd w:val="clear" w:color="auto" w:fill="FFFFFF"/>
        </w:rPr>
        <w:t>adequate consent.</w:t>
      </w:r>
      <w:r w:rsidRPr="4AD07A55" w:rsidR="00C644F3">
        <w:rPr>
          <w:rFonts w:cs="Calibri" w:cstheme="minorAscii"/>
          <w:shd w:val="clear" w:color="auto" w:fill="FFFFFF"/>
        </w:rPr>
        <w:t xml:space="preserve">  </w:t>
      </w:r>
      <w:r w:rsidRPr="4AD07A55" w:rsidR="00773F83">
        <w:rPr>
          <w:rFonts w:cs="Calibri" w:cstheme="minorAscii"/>
          <w:shd w:val="clear" w:color="auto" w:fill="FFFFFF"/>
        </w:rPr>
        <w:t xml:space="preserve">The defence of </w:t>
      </w:r>
      <w:r w:rsidRPr="4AD07A55" w:rsidR="00730562">
        <w:rPr>
          <w:rFonts w:cs="Calibri" w:cstheme="minorAscii"/>
          <w:shd w:val="clear" w:color="auto" w:fill="FFFFFF"/>
        </w:rPr>
        <w:t xml:space="preserve">consent is to try and diminish the </w:t>
      </w:r>
      <w:r w:rsidRPr="4AD07A55" w:rsidR="31A2B460">
        <w:rPr>
          <w:rFonts w:cs="Calibri" w:cstheme="minorAscii"/>
          <w:shd w:val="clear" w:color="auto" w:fill="FFFFFF"/>
        </w:rPr>
        <w:t>element</w:t>
      </w:r>
      <w:r w:rsidRPr="4AD07A55" w:rsidR="00730562">
        <w:rPr>
          <w:rFonts w:cs="Calibri" w:cstheme="minorAscii"/>
          <w:shd w:val="clear" w:color="auto" w:fill="FFFFFF"/>
        </w:rPr>
        <w:t xml:space="preserve"> of Actus Reus within the crime itself</w:t>
      </w:r>
      <w:r w:rsidRPr="4AD07A55" w:rsidR="00616707">
        <w:rPr>
          <w:rFonts w:cs="Calibri" w:cstheme="minorAscii"/>
          <w:shd w:val="clear" w:color="auto" w:fill="FFFFFF"/>
        </w:rPr>
        <w:t xml:space="preserve">, therefore causing the crime itself to be lawful as </w:t>
      </w:r>
      <w:r w:rsidRPr="4AD07A55" w:rsidR="04FF57FF">
        <w:rPr>
          <w:rFonts w:cs="Calibri" w:cstheme="minorAscii"/>
          <w:shd w:val="clear" w:color="auto" w:fill="FFFFFF"/>
        </w:rPr>
        <w:t>opposed</w:t>
      </w:r>
      <w:r w:rsidRPr="4AD07A55" w:rsidR="00616707">
        <w:rPr>
          <w:rFonts w:cs="Calibri" w:cstheme="minorAscii"/>
          <w:shd w:val="clear" w:color="auto" w:fill="FFFFFF"/>
        </w:rPr>
        <w:t xml:space="preserve"> to unlawful (Simm</w:t>
      </w:r>
      <w:r w:rsidRPr="4AD07A55" w:rsidR="00FA3DA7">
        <w:rPr>
          <w:rFonts w:cs="Calibri" w:cstheme="minorAscii"/>
          <w:shd w:val="clear" w:color="auto" w:fill="FFFFFF"/>
        </w:rPr>
        <w:t>ons 2022)</w:t>
      </w:r>
      <w:r w:rsidRPr="4AD07A55" w:rsidR="006C42F7">
        <w:rPr>
          <w:rFonts w:cs="Calibri" w:cstheme="minorAscii"/>
          <w:shd w:val="clear" w:color="auto" w:fill="FFFFFF"/>
        </w:rPr>
        <w:t>.</w:t>
      </w:r>
      <w:r w:rsidRPr="4AD07A55" w:rsidR="00C644F3">
        <w:rPr>
          <w:rFonts w:cs="Calibri" w:cstheme="minorAscii"/>
          <w:shd w:val="clear" w:color="auto" w:fill="FFFFFF"/>
        </w:rPr>
        <w:t xml:space="preserve">  </w:t>
      </w:r>
      <w:r w:rsidRPr="4AD07A55" w:rsidR="006F614B">
        <w:rPr>
          <w:rFonts w:cs="Calibri" w:cstheme="minorAscii"/>
          <w:shd w:val="clear" w:color="auto" w:fill="FFFFFF"/>
        </w:rPr>
        <w:t xml:space="preserve">As already suggested in this paper consent </w:t>
      </w:r>
      <w:r w:rsidRPr="4AD07A55" w:rsidR="5D0CF220">
        <w:rPr>
          <w:rFonts w:cs="Calibri" w:cstheme="minorAscii"/>
          <w:shd w:val="clear" w:color="auto" w:fill="FFFFFF"/>
        </w:rPr>
        <w:t xml:space="preserve">cannot</w:t>
      </w:r>
      <w:r w:rsidRPr="4AD07A55" w:rsidR="006F614B">
        <w:rPr>
          <w:rFonts w:cs="Calibri" w:cstheme="minorAscii"/>
          <w:shd w:val="clear" w:color="auto" w:fill="FFFFFF"/>
        </w:rPr>
        <w:t xml:space="preserve"> be used in the case of murder but in cases like </w:t>
      </w:r>
      <w:r w:rsidRPr="4AD07A55" w:rsidR="004F462E">
        <w:rPr>
          <w:rFonts w:cs="Calibri" w:cstheme="minorAscii"/>
          <w:shd w:val="clear" w:color="auto" w:fill="FFFFFF"/>
        </w:rPr>
        <w:t>Lawrence V MPC where theft was the crime</w:t>
      </w:r>
      <w:r w:rsidRPr="4AD07A55" w:rsidR="69D04960">
        <w:rPr>
          <w:rFonts w:cs="Calibri" w:cstheme="minorAscii"/>
          <w:shd w:val="clear" w:color="auto" w:fill="FFFFFF"/>
        </w:rPr>
        <w:t xml:space="preserve"> it can be investigated with </w:t>
      </w:r>
      <w:r w:rsidRPr="4AD07A55" w:rsidR="523F87FA">
        <w:rPr>
          <w:rFonts w:cs="Calibri" w:cstheme="minorAscii"/>
          <w:shd w:val="clear" w:color="auto" w:fill="FFFFFF"/>
        </w:rPr>
        <w:t>consent</w:t>
      </w:r>
      <w:r w:rsidRPr="4AD07A55" w:rsidR="69D04960">
        <w:rPr>
          <w:rFonts w:cs="Calibri" w:cstheme="minorAscii"/>
          <w:shd w:val="clear" w:color="auto" w:fill="FFFFFF"/>
        </w:rPr>
        <w:t xml:space="preserve"> as a defence</w:t>
      </w:r>
      <w:r w:rsidRPr="4AD07A55" w:rsidR="004F462E">
        <w:rPr>
          <w:rFonts w:cs="Calibri" w:cstheme="minorAscii"/>
          <w:shd w:val="clear" w:color="auto" w:fill="FFFFFF"/>
        </w:rPr>
        <w:t>.</w:t>
      </w:r>
    </w:p>
    <w:p w:rsidR="005356F8" w:rsidP="4AD07A55" w:rsidRDefault="005356F8" w14:paraId="0DDC5A0B" w14:textId="11F26176" w14:noSpellErr="1">
      <w:pPr>
        <w:spacing w:line="360" w:lineRule="auto"/>
        <w:rPr>
          <w:rFonts w:cs="Calibri" w:cstheme="minorAscii"/>
          <w:shd w:val="clear" w:color="auto" w:fill="FFFFFF"/>
        </w:rPr>
      </w:pPr>
      <w:r w:rsidRPr="4AD07A55" w:rsidR="005356F8">
        <w:rPr>
          <w:rFonts w:cs="Calibri" w:cstheme="minorAscii"/>
          <w:shd w:val="clear" w:color="auto" w:fill="FFFFFF"/>
        </w:rPr>
        <w:t xml:space="preserve">  To conclude</w:t>
      </w:r>
      <w:r w:rsidRPr="4AD07A55" w:rsidR="00EE22AB">
        <w:rPr>
          <w:rFonts w:cs="Calibri" w:cstheme="minorAscii"/>
          <w:shd w:val="clear" w:color="auto" w:fill="FFFFFF"/>
        </w:rPr>
        <w:t xml:space="preserve">, looking back </w:t>
      </w:r>
      <w:r w:rsidRPr="4AD07A55" w:rsidR="004B5A9C">
        <w:rPr>
          <w:rFonts w:cs="Calibri" w:cstheme="minorAscii"/>
          <w:shd w:val="clear" w:color="auto" w:fill="FFFFFF"/>
        </w:rPr>
        <w:t>throughout</w:t>
      </w:r>
      <w:r w:rsidRPr="4AD07A55" w:rsidR="00EE22AB">
        <w:rPr>
          <w:rFonts w:cs="Calibri" w:cstheme="minorAscii"/>
          <w:shd w:val="clear" w:color="auto" w:fill="FFFFFF"/>
        </w:rPr>
        <w:t xml:space="preserve"> this paper</w:t>
      </w:r>
      <w:r w:rsidRPr="4AD07A55" w:rsidR="004B5A9C">
        <w:rPr>
          <w:rFonts w:cs="Calibri" w:cstheme="minorAscii"/>
          <w:shd w:val="clear" w:color="auto" w:fill="FFFFFF"/>
        </w:rPr>
        <w:t xml:space="preserve"> and evaluating the evidence provided</w:t>
      </w:r>
      <w:r w:rsidRPr="4AD07A55" w:rsidR="00DC0CB6">
        <w:rPr>
          <w:rFonts w:cs="Calibri" w:cstheme="minorAscii"/>
          <w:shd w:val="clear" w:color="auto" w:fill="FFFFFF"/>
        </w:rPr>
        <w:t xml:space="preserve"> it is </w:t>
      </w:r>
      <w:r w:rsidRPr="4AD07A55" w:rsidR="00DC0CB6">
        <w:rPr>
          <w:rFonts w:cs="Calibri" w:cstheme="minorAscii"/>
          <w:shd w:val="clear" w:color="auto" w:fill="FFFFFF"/>
        </w:rPr>
        <w:t xml:space="preserve">evident</w:t>
      </w:r>
      <w:r w:rsidRPr="4AD07A55" w:rsidR="00DC0CB6">
        <w:rPr>
          <w:rFonts w:cs="Calibri" w:cstheme="minorAscii"/>
          <w:shd w:val="clear" w:color="auto" w:fill="FFFFFF"/>
        </w:rPr>
        <w:t xml:space="preserve"> that consent </w:t>
      </w:r>
      <w:r w:rsidRPr="4AD07A55" w:rsidR="007C0401">
        <w:rPr>
          <w:rFonts w:cs="Calibri" w:cstheme="minorAscii"/>
          <w:shd w:val="clear" w:color="auto" w:fill="FFFFFF"/>
        </w:rPr>
        <w:t>as a defence is forever evolving</w:t>
      </w:r>
      <w:r w:rsidRPr="4AD07A55" w:rsidR="007C0401">
        <w:rPr>
          <w:rFonts w:cs="Calibri" w:cstheme="minorAscii"/>
          <w:shd w:val="clear" w:color="auto" w:fill="FFFFFF"/>
        </w:rPr>
        <w:t>.</w:t>
      </w:r>
      <w:r w:rsidRPr="4AD07A55" w:rsidR="00C644F3">
        <w:rPr>
          <w:rFonts w:cs="Calibri" w:cstheme="minorAscii"/>
          <w:shd w:val="clear" w:color="auto" w:fill="FFFFFF"/>
        </w:rPr>
        <w:t xml:space="preserve">  </w:t>
      </w:r>
      <w:r w:rsidRPr="4AD07A55" w:rsidR="007C0401">
        <w:rPr>
          <w:rFonts w:cs="Calibri" w:cstheme="minorAscii"/>
          <w:shd w:val="clear" w:color="auto" w:fill="FFFFFF"/>
        </w:rPr>
        <w:t xml:space="preserve">There are still large grey areas </w:t>
      </w:r>
      <w:r w:rsidRPr="4AD07A55" w:rsidR="005C0E65">
        <w:rPr>
          <w:rFonts w:cs="Calibri" w:cstheme="minorAscii"/>
          <w:shd w:val="clear" w:color="auto" w:fill="FFFFFF"/>
        </w:rPr>
        <w:t>that are continuing to cause issues in criminal law for the defendant and victims alike</w:t>
      </w:r>
      <w:r w:rsidRPr="4AD07A55" w:rsidR="00420849">
        <w:rPr>
          <w:rFonts w:cs="Calibri" w:cstheme="minorAscii"/>
          <w:shd w:val="clear" w:color="auto" w:fill="FFFFFF"/>
        </w:rPr>
        <w:t xml:space="preserve">, as </w:t>
      </w:r>
      <w:r w:rsidRPr="4AD07A55" w:rsidR="007261DA">
        <w:rPr>
          <w:rFonts w:cs="Calibri" w:cstheme="minorAscii"/>
          <w:shd w:val="clear" w:color="auto" w:fill="FFFFFF"/>
        </w:rPr>
        <w:t>evidenced</w:t>
      </w:r>
      <w:r w:rsidRPr="4AD07A55" w:rsidR="00420849">
        <w:rPr>
          <w:rFonts w:cs="Calibri" w:cstheme="minorAscii"/>
          <w:shd w:val="clear" w:color="auto" w:fill="FFFFFF"/>
        </w:rPr>
        <w:t xml:space="preserve"> in R V Bm (2018)</w:t>
      </w:r>
      <w:r w:rsidRPr="4AD07A55" w:rsidR="007261DA">
        <w:rPr>
          <w:rFonts w:cs="Calibri" w:cstheme="minorAscii"/>
          <w:shd w:val="clear" w:color="auto" w:fill="FFFFFF"/>
        </w:rPr>
        <w:t xml:space="preserve"> and because of this consent is proven to be </w:t>
      </w:r>
      <w:r w:rsidRPr="4AD07A55" w:rsidR="00C00AEB">
        <w:rPr>
          <w:rFonts w:cs="Calibri" w:cstheme="minorAscii"/>
          <w:shd w:val="clear" w:color="auto" w:fill="FFFFFF"/>
        </w:rPr>
        <w:t>rarely</w:t>
      </w:r>
      <w:r w:rsidRPr="4AD07A55" w:rsidR="007261DA">
        <w:rPr>
          <w:rFonts w:cs="Calibri" w:cstheme="minorAscii"/>
          <w:shd w:val="clear" w:color="auto" w:fill="FFFFFF"/>
        </w:rPr>
        <w:t xml:space="preserve"> used in the court of law</w:t>
      </w:r>
      <w:r w:rsidRPr="4AD07A55" w:rsidR="003014DA">
        <w:rPr>
          <w:rFonts w:cs="Calibri" w:cstheme="minorAscii"/>
          <w:shd w:val="clear" w:color="auto" w:fill="FFFFFF"/>
        </w:rPr>
        <w:t>.</w:t>
      </w:r>
      <w:r w:rsidRPr="4AD07A55" w:rsidR="00C644F3">
        <w:rPr>
          <w:rFonts w:cs="Calibri" w:cstheme="minorAscii"/>
          <w:shd w:val="clear" w:color="auto" w:fill="FFFFFF"/>
        </w:rPr>
        <w:t xml:space="preserve">  </w:t>
      </w:r>
      <w:r w:rsidRPr="4AD07A55" w:rsidR="003014DA">
        <w:rPr>
          <w:rFonts w:cs="Calibri" w:cstheme="minorAscii"/>
          <w:shd w:val="clear" w:color="auto" w:fill="FFFFFF"/>
        </w:rPr>
        <w:t xml:space="preserve">As </w:t>
      </w:r>
      <w:r w:rsidRPr="4AD07A55" w:rsidR="003014DA">
        <w:rPr>
          <w:rFonts w:cs="Calibri" w:cstheme="minorAscii"/>
          <w:shd w:val="clear" w:color="auto" w:fill="FFFFFF"/>
        </w:rPr>
        <w:t>evidenced</w:t>
      </w:r>
      <w:r w:rsidRPr="4AD07A55" w:rsidR="003014DA">
        <w:rPr>
          <w:rFonts w:cs="Calibri" w:cstheme="minorAscii"/>
          <w:shd w:val="clear" w:color="auto" w:fill="FFFFFF"/>
        </w:rPr>
        <w:t xml:space="preserve"> in this paper</w:t>
      </w:r>
      <w:r w:rsidRPr="4AD07A55" w:rsidR="00D82056">
        <w:rPr>
          <w:rFonts w:cs="Calibri" w:cstheme="minorAscii"/>
          <w:shd w:val="clear" w:color="auto" w:fill="FFFFFF"/>
        </w:rPr>
        <w:t xml:space="preserve"> in the case of R V Const</w:t>
      </w:r>
      <w:r w:rsidRPr="4AD07A55" w:rsidR="00C86605">
        <w:rPr>
          <w:rFonts w:cs="Calibri" w:cstheme="minorAscii"/>
          <w:shd w:val="clear" w:color="auto" w:fill="FFFFFF"/>
        </w:rPr>
        <w:t>anza (1997)</w:t>
      </w:r>
      <w:r w:rsidRPr="4AD07A55" w:rsidR="003014DA">
        <w:rPr>
          <w:rFonts w:cs="Calibri" w:cstheme="minorAscii"/>
          <w:shd w:val="clear" w:color="auto" w:fill="FFFFFF"/>
        </w:rPr>
        <w:t xml:space="preserve"> battery itself is also evolving </w:t>
      </w:r>
      <w:r w:rsidRPr="4AD07A55" w:rsidR="00D82056">
        <w:rPr>
          <w:rFonts w:cs="Calibri" w:cstheme="minorAscii"/>
          <w:shd w:val="clear" w:color="auto" w:fill="FFFFFF"/>
        </w:rPr>
        <w:t>with the times</w:t>
      </w:r>
      <w:r w:rsidRPr="4AD07A55" w:rsidR="00C00AEB">
        <w:rPr>
          <w:rFonts w:cs="Calibri" w:cstheme="minorAscii"/>
          <w:shd w:val="clear" w:color="auto" w:fill="FFFFFF"/>
        </w:rPr>
        <w:t xml:space="preserve"> with this case being the pivotal turning point</w:t>
      </w:r>
      <w:r w:rsidRPr="4AD07A55" w:rsidR="00C00AEB">
        <w:rPr>
          <w:rFonts w:cs="Calibri" w:cstheme="minorAscii"/>
          <w:shd w:val="clear" w:color="auto" w:fill="FFFFFF"/>
        </w:rPr>
        <w:t xml:space="preserve">.</w:t>
      </w:r>
      <w:r w:rsidRPr="4AD07A55" w:rsidR="00C644F3">
        <w:rPr>
          <w:rFonts w:cs="Calibri" w:cstheme="minorAscii"/>
          <w:shd w:val="clear" w:color="auto" w:fill="FFFFFF"/>
        </w:rPr>
        <w:t xml:space="preserve">  </w:t>
      </w:r>
      <w:r w:rsidRPr="4AD07A55" w:rsidR="00C644F3">
        <w:rPr>
          <w:rFonts w:cs="Calibri" w:cstheme="minorAscii"/>
          <w:shd w:val="clear" w:color="auto" w:fill="FFFFFF"/>
        </w:rPr>
        <w:t xml:space="preserve">I</w:t>
      </w:r>
      <w:r w:rsidRPr="4AD07A55" w:rsidR="00683A96">
        <w:rPr>
          <w:rFonts w:cs="Calibri" w:cstheme="minorAscii"/>
          <w:shd w:val="clear" w:color="auto" w:fill="FFFFFF"/>
        </w:rPr>
        <w:t xml:space="preserve">t is obviously paramount that these laws change with </w:t>
      </w:r>
      <w:r w:rsidRPr="4AD07A55" w:rsidR="003E739F">
        <w:rPr>
          <w:rFonts w:cs="Calibri" w:cstheme="minorAscii"/>
          <w:shd w:val="clear" w:color="auto" w:fill="FFFFFF"/>
        </w:rPr>
        <w:t xml:space="preserve">the times </w:t>
      </w:r>
      <w:bookmarkStart w:name="_Int_kOxiQMsN" w:id="1099113474"/>
      <w:r w:rsidRPr="4AD07A55" w:rsidR="003E739F">
        <w:rPr>
          <w:rFonts w:cs="Calibri" w:cstheme="minorAscii"/>
          <w:shd w:val="clear" w:color="auto" w:fill="FFFFFF"/>
        </w:rPr>
        <w:t>and also</w:t>
      </w:r>
      <w:bookmarkEnd w:id="1099113474"/>
      <w:r w:rsidRPr="4AD07A55" w:rsidR="003E739F">
        <w:rPr>
          <w:rFonts w:cs="Calibri" w:cstheme="minorAscii"/>
          <w:shd w:val="clear" w:color="auto" w:fill="FFFFFF"/>
        </w:rPr>
        <w:t xml:space="preserve"> take into consideration </w:t>
      </w:r>
      <w:r w:rsidRPr="4AD07A55" w:rsidR="000A1804">
        <w:rPr>
          <w:rFonts w:cs="Calibri" w:cstheme="minorAscii"/>
          <w:shd w:val="clear" w:color="auto" w:fill="FFFFFF"/>
        </w:rPr>
        <w:t xml:space="preserve">the ethical values when looking at the concept of consent itself and the role </w:t>
      </w:r>
      <w:r w:rsidRPr="4AD07A55" w:rsidR="00E57F43">
        <w:rPr>
          <w:rFonts w:cs="Calibri" w:cstheme="minorAscii"/>
          <w:shd w:val="clear" w:color="auto" w:fill="FFFFFF"/>
        </w:rPr>
        <w:t>it has in cases within the UK</w:t>
      </w:r>
      <w:r w:rsidRPr="4AD07A55" w:rsidR="00E57F43">
        <w:rPr>
          <w:rFonts w:cs="Calibri" w:cstheme="minorAscii"/>
          <w:shd w:val="clear" w:color="auto" w:fill="FFFFFF"/>
        </w:rPr>
        <w:t>.</w:t>
      </w:r>
      <w:r w:rsidRPr="4AD07A55" w:rsidR="00C644F3">
        <w:rPr>
          <w:rFonts w:cs="Calibri" w:cstheme="minorAscii"/>
          <w:shd w:val="clear" w:color="auto" w:fill="FFFFFF"/>
        </w:rPr>
        <w:t xml:space="preserve">  </w:t>
      </w:r>
      <w:r w:rsidRPr="4AD07A55" w:rsidR="00E57F43">
        <w:rPr>
          <w:rFonts w:cs="Calibri" w:cstheme="minorAscii"/>
          <w:shd w:val="clear" w:color="auto" w:fill="FFFFFF"/>
        </w:rPr>
        <w:t xml:space="preserve">As without taking human rights into consideration </w:t>
      </w:r>
      <w:r w:rsidRPr="4AD07A55" w:rsidR="00C644F3">
        <w:rPr>
          <w:rFonts w:cs="Calibri" w:cstheme="minorAscii"/>
          <w:shd w:val="clear" w:color="auto" w:fill="FFFFFF"/>
        </w:rPr>
        <w:t xml:space="preserve">it poses the question how can anyone consent at all</w:t>
      </w:r>
      <w:r w:rsidRPr="4AD07A55" w:rsidR="00C644F3">
        <w:rPr>
          <w:rFonts w:cs="Calibri" w:cstheme="minorAscii"/>
          <w:shd w:val="clear" w:color="auto" w:fill="FFFFFF"/>
        </w:rPr>
        <w:t xml:space="preserve">? </w:t>
      </w:r>
      <w:r w:rsidRPr="4AD07A55" w:rsidR="00C00AEB">
        <w:rPr>
          <w:rFonts w:cs="Calibri" w:cstheme="minorAscii"/>
          <w:shd w:val="clear" w:color="auto" w:fill="FFFFFF"/>
        </w:rPr>
        <w:t xml:space="preserve"> </w:t>
      </w:r>
      <w:r w:rsidRPr="4AD07A55" w:rsidR="00C00AEB">
        <w:rPr>
          <w:rFonts w:cs="Calibri" w:cstheme="minorAscii"/>
          <w:shd w:val="clear" w:color="auto" w:fill="FFFFFF"/>
        </w:rPr>
        <w:t xml:space="preserve"> </w:t>
      </w:r>
      <w:r w:rsidRPr="4AD07A55" w:rsidR="00D82056">
        <w:rPr>
          <w:rFonts w:cs="Calibri" w:cstheme="minorAscii"/>
          <w:shd w:val="clear" w:color="auto" w:fill="FFFFFF"/>
        </w:rPr>
        <w:t xml:space="preserve"> </w:t>
      </w:r>
      <w:r w:rsidRPr="4AD07A55" w:rsidR="005C0E65">
        <w:rPr>
          <w:rFonts w:cs="Calibri" w:cstheme="minorAscii"/>
          <w:shd w:val="clear" w:color="auto" w:fill="FFFFFF"/>
        </w:rPr>
        <w:t xml:space="preserve"> </w:t>
      </w:r>
      <w:r w:rsidRPr="4AD07A55" w:rsidR="00EE22AB">
        <w:rPr>
          <w:rFonts w:cs="Calibri" w:cstheme="minorAscii"/>
          <w:shd w:val="clear" w:color="auto" w:fill="FFFFFF"/>
        </w:rPr>
        <w:t xml:space="preserve"> </w:t>
      </w:r>
      <w:r w:rsidRPr="4AD07A55" w:rsidR="004F462E">
        <w:rPr>
          <w:rFonts w:cs="Calibri" w:cstheme="minorAscii"/>
          <w:shd w:val="clear" w:color="auto" w:fill="FFFFFF"/>
        </w:rPr>
        <w:t xml:space="preserve"> </w:t>
      </w:r>
    </w:p>
    <w:p w:rsidR="008137AD" w:rsidRDefault="009D2BD3" w14:paraId="7D882F12" w14:textId="2B0F87E0">
      <w:pPr>
        <w:rPr>
          <w:rFonts w:cstheme="minorHAnsi"/>
          <w:shd w:val="clear" w:color="auto" w:fill="FFFFFF"/>
        </w:rPr>
      </w:pPr>
      <w:r w:rsidRPr="4AD07A55" w:rsidR="009D2BD3">
        <w:rPr>
          <w:rFonts w:cs="Calibri" w:cstheme="minorAscii"/>
          <w:shd w:val="clear" w:color="auto" w:fill="FFFFFF"/>
        </w:rPr>
        <w:t xml:space="preserve"> </w:t>
      </w:r>
    </w:p>
    <w:p w:rsidR="4AD07A55" w:rsidP="4AD07A55" w:rsidRDefault="4AD07A55" w14:paraId="415C6FF2" w14:textId="21504DB9">
      <w:pPr>
        <w:rPr>
          <w:rStyle w:val="Emphasis"/>
          <w:rFonts w:cs="Calibri" w:cstheme="minorAscii"/>
          <w:b w:val="1"/>
          <w:bCs w:val="1"/>
          <w:i w:val="0"/>
          <w:iCs w:val="0"/>
          <w:sz w:val="24"/>
          <w:szCs w:val="24"/>
          <w:u w:val="single"/>
        </w:rPr>
      </w:pPr>
    </w:p>
    <w:p w:rsidR="4AD07A55" w:rsidP="4AD07A55" w:rsidRDefault="4AD07A55" w14:paraId="38B51A8F" w14:textId="7E632729">
      <w:pPr>
        <w:rPr>
          <w:rStyle w:val="Emphasis"/>
          <w:rFonts w:cs="Calibri" w:cstheme="minorAscii"/>
          <w:b w:val="1"/>
          <w:bCs w:val="1"/>
          <w:i w:val="0"/>
          <w:iCs w:val="0"/>
          <w:sz w:val="24"/>
          <w:szCs w:val="24"/>
          <w:u w:val="single"/>
        </w:rPr>
      </w:pPr>
    </w:p>
    <w:p w:rsidR="4AD07A55" w:rsidP="4AD07A55" w:rsidRDefault="4AD07A55" w14:paraId="613CA53E" w14:textId="029CB9C3">
      <w:pPr>
        <w:rPr>
          <w:rStyle w:val="Emphasis"/>
          <w:rFonts w:cs="Calibri" w:cstheme="minorAscii"/>
          <w:b w:val="1"/>
          <w:bCs w:val="1"/>
          <w:i w:val="0"/>
          <w:iCs w:val="0"/>
          <w:sz w:val="24"/>
          <w:szCs w:val="24"/>
          <w:u w:val="single"/>
        </w:rPr>
      </w:pPr>
    </w:p>
    <w:p w:rsidR="4AD07A55" w:rsidP="4AD07A55" w:rsidRDefault="4AD07A55" w14:paraId="56489AD4" w14:textId="47F3A6EC">
      <w:pPr>
        <w:rPr>
          <w:rStyle w:val="Emphasis"/>
          <w:rFonts w:cs="Calibri" w:cstheme="minorAscii"/>
          <w:b w:val="1"/>
          <w:bCs w:val="1"/>
          <w:i w:val="0"/>
          <w:iCs w:val="0"/>
          <w:sz w:val="24"/>
          <w:szCs w:val="24"/>
          <w:u w:val="single"/>
        </w:rPr>
      </w:pPr>
    </w:p>
    <w:p w:rsidR="4AD07A55" w:rsidP="4AD07A55" w:rsidRDefault="4AD07A55" w14:paraId="0EE30FA9" w14:textId="30F2C522">
      <w:pPr>
        <w:rPr>
          <w:rStyle w:val="Emphasis"/>
          <w:rFonts w:cs="Calibri" w:cstheme="minorAscii"/>
          <w:b w:val="1"/>
          <w:bCs w:val="1"/>
          <w:i w:val="0"/>
          <w:iCs w:val="0"/>
          <w:sz w:val="24"/>
          <w:szCs w:val="24"/>
          <w:u w:val="single"/>
        </w:rPr>
      </w:pPr>
    </w:p>
    <w:p w:rsidR="4AD07A55" w:rsidP="4AD07A55" w:rsidRDefault="4AD07A55" w14:paraId="735F965A" w14:textId="4D5DEF74">
      <w:pPr>
        <w:rPr>
          <w:rStyle w:val="Emphasis"/>
          <w:rFonts w:cs="Calibri" w:cstheme="minorAscii"/>
          <w:b w:val="1"/>
          <w:bCs w:val="1"/>
          <w:i w:val="0"/>
          <w:iCs w:val="0"/>
          <w:sz w:val="24"/>
          <w:szCs w:val="24"/>
          <w:u w:val="single"/>
        </w:rPr>
      </w:pPr>
    </w:p>
    <w:p w:rsidR="4AD07A55" w:rsidP="4AD07A55" w:rsidRDefault="4AD07A55" w14:paraId="0666BBB0" w14:textId="50391FD9">
      <w:pPr>
        <w:rPr>
          <w:rStyle w:val="Emphasis"/>
          <w:rFonts w:cs="Calibri" w:cstheme="minorAscii"/>
          <w:b w:val="1"/>
          <w:bCs w:val="1"/>
          <w:i w:val="0"/>
          <w:iCs w:val="0"/>
          <w:sz w:val="24"/>
          <w:szCs w:val="24"/>
          <w:u w:val="single"/>
        </w:rPr>
      </w:pPr>
    </w:p>
    <w:p w:rsidR="4AD07A55" w:rsidP="4AD07A55" w:rsidRDefault="4AD07A55" w14:paraId="1BD648EF" w14:textId="36D9E549">
      <w:pPr>
        <w:rPr>
          <w:rStyle w:val="Emphasis"/>
          <w:rFonts w:cs="Calibri" w:cstheme="minorAscii"/>
          <w:b w:val="1"/>
          <w:bCs w:val="1"/>
          <w:i w:val="0"/>
          <w:iCs w:val="0"/>
          <w:sz w:val="24"/>
          <w:szCs w:val="24"/>
          <w:u w:val="single"/>
        </w:rPr>
      </w:pPr>
    </w:p>
    <w:p w:rsidR="4AD07A55" w:rsidP="4AD07A55" w:rsidRDefault="4AD07A55" w14:paraId="46951412" w14:textId="7936BF0F">
      <w:pPr>
        <w:rPr>
          <w:rStyle w:val="Emphasis"/>
          <w:rFonts w:cs="Calibri" w:cstheme="minorAscii"/>
          <w:b w:val="1"/>
          <w:bCs w:val="1"/>
          <w:i w:val="0"/>
          <w:iCs w:val="0"/>
          <w:sz w:val="24"/>
          <w:szCs w:val="24"/>
          <w:u w:val="single"/>
        </w:rPr>
      </w:pPr>
    </w:p>
    <w:p w:rsidR="4AD07A55" w:rsidP="4AD07A55" w:rsidRDefault="4AD07A55" w14:paraId="13E14080" w14:textId="3C50DA25">
      <w:pPr>
        <w:rPr>
          <w:rStyle w:val="Emphasis"/>
          <w:rFonts w:cs="Calibri" w:cstheme="minorAscii"/>
          <w:b w:val="1"/>
          <w:bCs w:val="1"/>
          <w:i w:val="0"/>
          <w:iCs w:val="0"/>
          <w:sz w:val="24"/>
          <w:szCs w:val="24"/>
          <w:u w:val="single"/>
        </w:rPr>
      </w:pPr>
    </w:p>
    <w:p w:rsidR="4AD07A55" w:rsidP="4AD07A55" w:rsidRDefault="4AD07A55" w14:paraId="10FA05F9" w14:textId="35D1352F">
      <w:pPr>
        <w:rPr>
          <w:rStyle w:val="Emphasis"/>
          <w:rFonts w:cs="Calibri" w:cstheme="minorAscii"/>
          <w:b w:val="1"/>
          <w:bCs w:val="1"/>
          <w:i w:val="0"/>
          <w:iCs w:val="0"/>
          <w:sz w:val="24"/>
          <w:szCs w:val="24"/>
          <w:u w:val="single"/>
        </w:rPr>
      </w:pPr>
    </w:p>
    <w:p w:rsidR="4AD07A55" w:rsidP="4AD07A55" w:rsidRDefault="4AD07A55" w14:paraId="580A3E68" w14:textId="3F71EA43">
      <w:pPr>
        <w:rPr>
          <w:rStyle w:val="Emphasis"/>
          <w:rFonts w:cs="Calibri" w:cstheme="minorAscii"/>
          <w:b w:val="1"/>
          <w:bCs w:val="1"/>
          <w:i w:val="0"/>
          <w:iCs w:val="0"/>
          <w:sz w:val="24"/>
          <w:szCs w:val="24"/>
          <w:u w:val="single"/>
        </w:rPr>
      </w:pPr>
    </w:p>
    <w:p w:rsidR="4AD07A55" w:rsidP="4AD07A55" w:rsidRDefault="4AD07A55" w14:paraId="0CC4DE5B" w14:textId="65F79A45">
      <w:pPr>
        <w:rPr>
          <w:rStyle w:val="Emphasis"/>
          <w:rFonts w:cs="Calibri" w:cstheme="minorAscii"/>
          <w:b w:val="1"/>
          <w:bCs w:val="1"/>
          <w:i w:val="0"/>
          <w:iCs w:val="0"/>
          <w:sz w:val="24"/>
          <w:szCs w:val="24"/>
          <w:u w:val="single"/>
        </w:rPr>
      </w:pPr>
    </w:p>
    <w:p w:rsidR="4AD07A55" w:rsidP="4AD07A55" w:rsidRDefault="4AD07A55" w14:paraId="3CB1E554" w14:textId="7289C607">
      <w:pPr>
        <w:rPr>
          <w:rStyle w:val="Emphasis"/>
          <w:rFonts w:cs="Calibri" w:cstheme="minorAscii"/>
          <w:b w:val="1"/>
          <w:bCs w:val="1"/>
          <w:i w:val="0"/>
          <w:iCs w:val="0"/>
          <w:sz w:val="24"/>
          <w:szCs w:val="24"/>
          <w:u w:val="single"/>
        </w:rPr>
      </w:pPr>
    </w:p>
    <w:p w:rsidR="4AD07A55" w:rsidP="4AD07A55" w:rsidRDefault="4AD07A55" w14:paraId="226C40B4" w14:textId="2F9BD9C8">
      <w:pPr>
        <w:rPr>
          <w:rStyle w:val="Emphasis"/>
          <w:rFonts w:cs="Calibri" w:cstheme="minorAscii"/>
          <w:b w:val="1"/>
          <w:bCs w:val="1"/>
          <w:i w:val="0"/>
          <w:iCs w:val="0"/>
          <w:sz w:val="24"/>
          <w:szCs w:val="24"/>
          <w:u w:val="single"/>
        </w:rPr>
      </w:pPr>
    </w:p>
    <w:p w:rsidR="4AD07A55" w:rsidP="4AD07A55" w:rsidRDefault="4AD07A55" w14:paraId="1A3A0D2F" w14:textId="64877440">
      <w:pPr>
        <w:rPr>
          <w:rStyle w:val="Emphasis"/>
          <w:rFonts w:cs="Calibri" w:cstheme="minorAscii"/>
          <w:b w:val="1"/>
          <w:bCs w:val="1"/>
          <w:i w:val="0"/>
          <w:iCs w:val="0"/>
          <w:sz w:val="24"/>
          <w:szCs w:val="24"/>
          <w:u w:val="single"/>
        </w:rPr>
      </w:pPr>
    </w:p>
    <w:p w:rsidR="4AD07A55" w:rsidP="4AD07A55" w:rsidRDefault="4AD07A55" w14:paraId="11090119" w14:textId="6F6E8A0D">
      <w:pPr>
        <w:rPr>
          <w:rStyle w:val="Emphasis"/>
          <w:rFonts w:cs="Calibri" w:cstheme="minorAscii"/>
          <w:b w:val="1"/>
          <w:bCs w:val="1"/>
          <w:i w:val="0"/>
          <w:iCs w:val="0"/>
          <w:sz w:val="24"/>
          <w:szCs w:val="24"/>
          <w:u w:val="single"/>
        </w:rPr>
      </w:pPr>
    </w:p>
    <w:p w:rsidR="4AD07A55" w:rsidP="4AD07A55" w:rsidRDefault="4AD07A55" w14:paraId="706547FA" w14:textId="4A81355F">
      <w:pPr>
        <w:rPr>
          <w:rStyle w:val="Emphasis"/>
          <w:rFonts w:cs="Calibri" w:cstheme="minorAscii"/>
          <w:b w:val="1"/>
          <w:bCs w:val="1"/>
          <w:i w:val="0"/>
          <w:iCs w:val="0"/>
          <w:sz w:val="24"/>
          <w:szCs w:val="24"/>
          <w:u w:val="single"/>
        </w:rPr>
      </w:pPr>
    </w:p>
    <w:p w:rsidR="4AD07A55" w:rsidP="4AD07A55" w:rsidRDefault="4AD07A55" w14:paraId="57C5115F" w14:textId="41AD1851">
      <w:pPr>
        <w:rPr>
          <w:rStyle w:val="Emphasis"/>
          <w:rFonts w:cs="Calibri" w:cstheme="minorAscii"/>
          <w:b w:val="1"/>
          <w:bCs w:val="1"/>
          <w:i w:val="0"/>
          <w:iCs w:val="0"/>
          <w:sz w:val="24"/>
          <w:szCs w:val="24"/>
          <w:u w:val="single"/>
        </w:rPr>
      </w:pPr>
    </w:p>
    <w:p w:rsidR="4AD07A55" w:rsidP="4AD07A55" w:rsidRDefault="4AD07A55" w14:paraId="69228F50" w14:textId="2EC7A203">
      <w:pPr>
        <w:rPr>
          <w:rStyle w:val="Emphasis"/>
          <w:rFonts w:cs="Calibri" w:cstheme="minorAscii"/>
          <w:b w:val="1"/>
          <w:bCs w:val="1"/>
          <w:i w:val="0"/>
          <w:iCs w:val="0"/>
          <w:sz w:val="24"/>
          <w:szCs w:val="24"/>
          <w:u w:val="single"/>
        </w:rPr>
      </w:pPr>
    </w:p>
    <w:p w:rsidR="4AD07A55" w:rsidP="4AD07A55" w:rsidRDefault="4AD07A55" w14:paraId="0AC986B4" w14:textId="10843CE6">
      <w:pPr>
        <w:rPr>
          <w:rStyle w:val="Emphasis"/>
          <w:rFonts w:cs="Calibri" w:cstheme="minorAscii"/>
          <w:b w:val="1"/>
          <w:bCs w:val="1"/>
          <w:i w:val="0"/>
          <w:iCs w:val="0"/>
          <w:sz w:val="24"/>
          <w:szCs w:val="24"/>
          <w:u w:val="single"/>
        </w:rPr>
      </w:pPr>
    </w:p>
    <w:p w:rsidR="4AD07A55" w:rsidP="4AD07A55" w:rsidRDefault="4AD07A55" w14:paraId="29523CC4" w14:textId="3A801A13">
      <w:pPr>
        <w:rPr>
          <w:rStyle w:val="Emphasis"/>
          <w:rFonts w:cs="Calibri" w:cstheme="minorAscii"/>
          <w:b w:val="1"/>
          <w:bCs w:val="1"/>
          <w:i w:val="0"/>
          <w:iCs w:val="0"/>
          <w:sz w:val="24"/>
          <w:szCs w:val="24"/>
          <w:u w:val="single"/>
        </w:rPr>
      </w:pPr>
    </w:p>
    <w:p w:rsidR="4AD07A55" w:rsidP="4AD07A55" w:rsidRDefault="4AD07A55" w14:paraId="573E1E77" w14:textId="2003182A">
      <w:pPr>
        <w:rPr>
          <w:rStyle w:val="Emphasis"/>
          <w:rFonts w:cs="Calibri" w:cstheme="minorAscii"/>
          <w:b w:val="1"/>
          <w:bCs w:val="1"/>
          <w:i w:val="0"/>
          <w:iCs w:val="0"/>
          <w:sz w:val="24"/>
          <w:szCs w:val="24"/>
          <w:u w:val="single"/>
        </w:rPr>
      </w:pPr>
    </w:p>
    <w:p w:rsidR="4AD07A55" w:rsidP="4AD07A55" w:rsidRDefault="4AD07A55" w14:paraId="0F426A35" w14:textId="05D6BA48">
      <w:pPr>
        <w:rPr>
          <w:rStyle w:val="Emphasis"/>
          <w:rFonts w:cs="Calibri" w:cstheme="minorAscii"/>
          <w:b w:val="1"/>
          <w:bCs w:val="1"/>
          <w:i w:val="0"/>
          <w:iCs w:val="0"/>
          <w:sz w:val="24"/>
          <w:szCs w:val="24"/>
          <w:u w:val="single"/>
        </w:rPr>
      </w:pPr>
    </w:p>
    <w:p w:rsidR="4AD07A55" w:rsidP="4AD07A55" w:rsidRDefault="4AD07A55" w14:paraId="6690DCE2" w14:textId="6032B0CF">
      <w:pPr>
        <w:rPr>
          <w:rStyle w:val="Emphasis"/>
          <w:rFonts w:cs="Calibri" w:cstheme="minorAscii"/>
          <w:b w:val="1"/>
          <w:bCs w:val="1"/>
          <w:i w:val="0"/>
          <w:iCs w:val="0"/>
          <w:sz w:val="24"/>
          <w:szCs w:val="24"/>
          <w:u w:val="single"/>
        </w:rPr>
      </w:pPr>
    </w:p>
    <w:p w:rsidR="4AD07A55" w:rsidP="4AD07A55" w:rsidRDefault="4AD07A55" w14:paraId="0221FB4C" w14:textId="62E3C31F">
      <w:pPr>
        <w:rPr>
          <w:rStyle w:val="Emphasis"/>
          <w:rFonts w:cs="Calibri" w:cstheme="minorAscii"/>
          <w:b w:val="1"/>
          <w:bCs w:val="1"/>
          <w:i w:val="0"/>
          <w:iCs w:val="0"/>
          <w:sz w:val="24"/>
          <w:szCs w:val="24"/>
          <w:u w:val="single"/>
        </w:rPr>
      </w:pPr>
    </w:p>
    <w:p w:rsidRPr="00755C19" w:rsidR="004B1E98" w:rsidP="004B1E98" w:rsidRDefault="004B1E98" w14:paraId="729BD9D4" w14:textId="77777777">
      <w:pPr>
        <w:rPr>
          <w:rStyle w:val="Emphasis"/>
          <w:rFonts w:cstheme="minorHAnsi"/>
          <w:b/>
          <w:bCs/>
          <w:i w:val="0"/>
          <w:iCs w:val="0"/>
          <w:sz w:val="24"/>
          <w:szCs w:val="24"/>
          <w:u w:val="single"/>
          <w:shd w:val="clear" w:color="auto" w:fill="FFFFFF"/>
        </w:rPr>
      </w:pPr>
      <w:r w:rsidRPr="00755C19">
        <w:rPr>
          <w:rStyle w:val="Emphasis"/>
          <w:rFonts w:cstheme="minorHAnsi"/>
          <w:b/>
          <w:bCs/>
          <w:i w:val="0"/>
          <w:iCs w:val="0"/>
          <w:sz w:val="24"/>
          <w:szCs w:val="24"/>
          <w:u w:val="single"/>
          <w:shd w:val="clear" w:color="auto" w:fill="FFFFFF"/>
        </w:rPr>
        <w:lastRenderedPageBreak/>
        <w:t>Case list</w:t>
      </w:r>
    </w:p>
    <w:p w:rsidRPr="00755C19" w:rsidR="004B1E98" w:rsidP="004B1E98" w:rsidRDefault="004B1E98" w14:paraId="60008011" w14:textId="77777777">
      <w:pPr>
        <w:rPr>
          <w:sz w:val="24"/>
          <w:szCs w:val="24"/>
          <w:shd w:val="clear" w:color="auto" w:fill="FFFFFF"/>
        </w:rPr>
      </w:pPr>
      <w:hyperlink w:tgtFrame="_blank" w:history="1" r:id="rId10">
        <w:r w:rsidRPr="00755C19">
          <w:rPr>
            <w:rStyle w:val="Emphasis"/>
            <w:rFonts w:cstheme="minorHAnsi"/>
            <w:i w:val="0"/>
            <w:iCs w:val="0"/>
            <w:sz w:val="24"/>
            <w:szCs w:val="24"/>
            <w:shd w:val="clear" w:color="auto" w:fill="FFFFFF"/>
          </w:rPr>
          <w:t>R v Gladstone Williams</w:t>
        </w:r>
      </w:hyperlink>
      <w:r w:rsidRPr="00755C19">
        <w:rPr>
          <w:sz w:val="24"/>
          <w:szCs w:val="24"/>
          <w:shd w:val="clear" w:color="auto" w:fill="FFFFFF"/>
        </w:rPr>
        <w:t>  (1984) 78 Cr App R 276</w:t>
      </w:r>
    </w:p>
    <w:p w:rsidRPr="00755C19" w:rsidR="004B1E98" w:rsidP="004B1E98" w:rsidRDefault="004B1E98" w14:paraId="0E3DF54E" w14:textId="77777777">
      <w:pPr>
        <w:rPr>
          <w:rStyle w:val="Strong"/>
          <w:rFonts w:cstheme="minorHAnsi"/>
          <w:sz w:val="24"/>
          <w:szCs w:val="24"/>
          <w:shd w:val="clear" w:color="auto" w:fill="FFFFFF"/>
        </w:rPr>
      </w:pPr>
      <w:r w:rsidRPr="00755C19">
        <w:rPr>
          <w:rStyle w:val="Strong"/>
          <w:rFonts w:cstheme="minorHAnsi"/>
          <w:sz w:val="24"/>
          <w:szCs w:val="24"/>
          <w:shd w:val="clear" w:color="auto" w:fill="FFFFFF"/>
        </w:rPr>
        <w:t xml:space="preserve">R v Constanza </w:t>
      </w:r>
      <w:r w:rsidRPr="00755C19">
        <w:rPr>
          <w:rStyle w:val="Strong"/>
          <w:rFonts w:cstheme="minorHAnsi"/>
          <w:b w:val="0"/>
          <w:bCs w:val="0"/>
          <w:sz w:val="24"/>
          <w:szCs w:val="24"/>
          <w:shd w:val="clear" w:color="auto" w:fill="FFFFFF"/>
        </w:rPr>
        <w:t>(</w:t>
      </w:r>
      <w:r w:rsidRPr="00755C19">
        <w:rPr>
          <w:rStyle w:val="Strong"/>
          <w:rFonts w:cstheme="minorHAnsi"/>
          <w:sz w:val="24"/>
          <w:szCs w:val="24"/>
          <w:shd w:val="clear" w:color="auto" w:fill="FFFFFF"/>
        </w:rPr>
        <w:t>1997</w:t>
      </w:r>
      <w:r w:rsidRPr="00755C19">
        <w:rPr>
          <w:rStyle w:val="Strong"/>
          <w:rFonts w:cstheme="minorHAnsi"/>
          <w:b w:val="0"/>
          <w:bCs w:val="0"/>
          <w:sz w:val="24"/>
          <w:szCs w:val="24"/>
          <w:shd w:val="clear" w:color="auto" w:fill="FFFFFF"/>
        </w:rPr>
        <w:t>)</w:t>
      </w:r>
      <w:r w:rsidRPr="00755C19">
        <w:rPr>
          <w:rStyle w:val="Strong"/>
          <w:rFonts w:cstheme="minorHAnsi"/>
          <w:sz w:val="24"/>
          <w:szCs w:val="24"/>
          <w:shd w:val="clear" w:color="auto" w:fill="FFFFFF"/>
        </w:rPr>
        <w:t xml:space="preserve"> Crim LR 576</w:t>
      </w:r>
    </w:p>
    <w:p w:rsidRPr="00755C19" w:rsidR="004B1E98" w:rsidP="004B1E98" w:rsidRDefault="004B1E98" w14:paraId="79F85EBD" w14:textId="77777777">
      <w:pPr>
        <w:rPr>
          <w:rStyle w:val="Strong"/>
          <w:rFonts w:cstheme="minorHAnsi"/>
          <w:sz w:val="24"/>
          <w:szCs w:val="24"/>
          <w:shd w:val="clear" w:color="auto" w:fill="FFFFFF"/>
        </w:rPr>
      </w:pPr>
      <w:r w:rsidRPr="00755C19">
        <w:rPr>
          <w:rStyle w:val="Emphasis"/>
          <w:rFonts w:cstheme="minorHAnsi"/>
          <w:i w:val="0"/>
          <w:iCs w:val="0"/>
          <w:sz w:val="24"/>
          <w:szCs w:val="24"/>
          <w:shd w:val="clear" w:color="auto" w:fill="FFFFFF"/>
        </w:rPr>
        <w:t>DPP v K (a minor)</w:t>
      </w:r>
      <w:r w:rsidRPr="00755C19">
        <w:rPr>
          <w:rStyle w:val="Strong"/>
          <w:rFonts w:cstheme="minorHAnsi"/>
          <w:b w:val="0"/>
          <w:bCs w:val="0"/>
          <w:sz w:val="24"/>
          <w:szCs w:val="24"/>
          <w:shd w:val="clear" w:color="auto" w:fill="FFFFFF"/>
        </w:rPr>
        <w:t xml:space="preserve"> (</w:t>
      </w:r>
      <w:r w:rsidRPr="00755C19">
        <w:rPr>
          <w:rStyle w:val="Strong"/>
          <w:rFonts w:cstheme="minorHAnsi"/>
          <w:sz w:val="24"/>
          <w:szCs w:val="24"/>
          <w:shd w:val="clear" w:color="auto" w:fill="FFFFFF"/>
        </w:rPr>
        <w:t>1990</w:t>
      </w:r>
      <w:r w:rsidRPr="00755C19">
        <w:rPr>
          <w:rStyle w:val="Strong"/>
          <w:rFonts w:cstheme="minorHAnsi"/>
          <w:b w:val="0"/>
          <w:bCs w:val="0"/>
          <w:sz w:val="24"/>
          <w:szCs w:val="24"/>
          <w:shd w:val="clear" w:color="auto" w:fill="FFFFFF"/>
        </w:rPr>
        <w:t>)</w:t>
      </w:r>
      <w:r w:rsidRPr="00755C19">
        <w:rPr>
          <w:rStyle w:val="Strong"/>
          <w:rFonts w:cstheme="minorHAnsi"/>
          <w:sz w:val="24"/>
          <w:szCs w:val="24"/>
          <w:shd w:val="clear" w:color="auto" w:fill="FFFFFF"/>
        </w:rPr>
        <w:t xml:space="preserve"> 1 WLR 1067</w:t>
      </w:r>
    </w:p>
    <w:p w:rsidRPr="00755C19" w:rsidR="004B1E98" w:rsidP="004B1E98" w:rsidRDefault="004B1E98" w14:paraId="48577BB6" w14:textId="77777777">
      <w:pPr>
        <w:rPr>
          <w:rStyle w:val="Strong"/>
          <w:rFonts w:cstheme="minorHAnsi"/>
          <w:sz w:val="24"/>
          <w:szCs w:val="24"/>
          <w:shd w:val="clear" w:color="auto" w:fill="FFFFFF"/>
        </w:rPr>
      </w:pPr>
      <w:r w:rsidRPr="00755C19">
        <w:rPr>
          <w:rStyle w:val="Strong"/>
          <w:rFonts w:cstheme="minorHAnsi"/>
          <w:sz w:val="24"/>
          <w:szCs w:val="24"/>
          <w:shd w:val="clear" w:color="auto" w:fill="FFFFFF"/>
        </w:rPr>
        <w:t xml:space="preserve">R v Wilson </w:t>
      </w:r>
      <w:r w:rsidRPr="00755C19">
        <w:rPr>
          <w:rStyle w:val="Strong"/>
          <w:rFonts w:cstheme="minorHAnsi"/>
          <w:b w:val="0"/>
          <w:bCs w:val="0"/>
          <w:sz w:val="24"/>
          <w:szCs w:val="24"/>
          <w:shd w:val="clear" w:color="auto" w:fill="FFFFFF"/>
        </w:rPr>
        <w:t>(</w:t>
      </w:r>
      <w:r w:rsidRPr="00755C19">
        <w:rPr>
          <w:rStyle w:val="Strong"/>
          <w:rFonts w:cstheme="minorHAnsi"/>
          <w:sz w:val="24"/>
          <w:szCs w:val="24"/>
          <w:shd w:val="clear" w:color="auto" w:fill="FFFFFF"/>
        </w:rPr>
        <w:t>1996</w:t>
      </w:r>
      <w:r w:rsidRPr="00755C19">
        <w:rPr>
          <w:rStyle w:val="Strong"/>
          <w:rFonts w:cstheme="minorHAnsi"/>
          <w:b w:val="0"/>
          <w:bCs w:val="0"/>
          <w:sz w:val="24"/>
          <w:szCs w:val="24"/>
          <w:shd w:val="clear" w:color="auto" w:fill="FFFFFF"/>
        </w:rPr>
        <w:t>)</w:t>
      </w:r>
      <w:r w:rsidRPr="00755C19">
        <w:rPr>
          <w:rStyle w:val="Strong"/>
          <w:rFonts w:cstheme="minorHAnsi"/>
          <w:sz w:val="24"/>
          <w:szCs w:val="24"/>
          <w:shd w:val="clear" w:color="auto" w:fill="FFFFFF"/>
        </w:rPr>
        <w:t xml:space="preserve"> 2 Cr. App. R. 241</w:t>
      </w:r>
    </w:p>
    <w:p w:rsidRPr="00755C19" w:rsidR="004B1E98" w:rsidP="004B1E98" w:rsidRDefault="004B1E98" w14:paraId="5F31C31E" w14:textId="77777777">
      <w:pPr>
        <w:rPr>
          <w:rStyle w:val="Strong"/>
          <w:rFonts w:cstheme="minorHAnsi"/>
          <w:sz w:val="24"/>
          <w:szCs w:val="24"/>
          <w:shd w:val="clear" w:color="auto" w:fill="FFFFFF"/>
        </w:rPr>
      </w:pPr>
      <w:r w:rsidRPr="00755C19">
        <w:rPr>
          <w:rStyle w:val="Strong"/>
          <w:rFonts w:cstheme="minorHAnsi"/>
          <w:sz w:val="24"/>
          <w:szCs w:val="24"/>
          <w:shd w:val="clear" w:color="auto" w:fill="FFFFFF"/>
        </w:rPr>
        <w:t xml:space="preserve"> R v Brown </w:t>
      </w:r>
      <w:r w:rsidRPr="00755C19">
        <w:rPr>
          <w:rStyle w:val="Strong"/>
          <w:rFonts w:cstheme="minorHAnsi"/>
          <w:b w:val="0"/>
          <w:bCs w:val="0"/>
          <w:sz w:val="24"/>
          <w:szCs w:val="24"/>
          <w:shd w:val="clear" w:color="auto" w:fill="FFFFFF"/>
        </w:rPr>
        <w:t>(</w:t>
      </w:r>
      <w:r w:rsidRPr="00755C19">
        <w:rPr>
          <w:rStyle w:val="Strong"/>
          <w:rFonts w:cstheme="minorHAnsi"/>
          <w:sz w:val="24"/>
          <w:szCs w:val="24"/>
          <w:shd w:val="clear" w:color="auto" w:fill="FFFFFF"/>
        </w:rPr>
        <w:t>1994</w:t>
      </w:r>
      <w:r w:rsidRPr="00755C19">
        <w:rPr>
          <w:rStyle w:val="Strong"/>
          <w:rFonts w:cstheme="minorHAnsi"/>
          <w:b w:val="0"/>
          <w:bCs w:val="0"/>
          <w:sz w:val="24"/>
          <w:szCs w:val="24"/>
          <w:shd w:val="clear" w:color="auto" w:fill="FFFFFF"/>
        </w:rPr>
        <w:t>)</w:t>
      </w:r>
      <w:r w:rsidRPr="00755C19">
        <w:rPr>
          <w:rStyle w:val="Strong"/>
          <w:rFonts w:cstheme="minorHAnsi"/>
          <w:sz w:val="24"/>
          <w:szCs w:val="24"/>
          <w:shd w:val="clear" w:color="auto" w:fill="FFFFFF"/>
        </w:rPr>
        <w:t xml:space="preserve"> 1 AC 212</w:t>
      </w:r>
    </w:p>
    <w:p w:rsidRPr="00755C19" w:rsidR="004B1E98" w:rsidP="004B1E98" w:rsidRDefault="004B1E98" w14:paraId="1317331D" w14:textId="77777777">
      <w:pPr>
        <w:rPr>
          <w:sz w:val="24"/>
          <w:szCs w:val="24"/>
          <w:shd w:val="clear" w:color="auto" w:fill="FFFFFF"/>
        </w:rPr>
      </w:pPr>
      <w:r w:rsidRPr="00755C19">
        <w:rPr>
          <w:sz w:val="24"/>
          <w:szCs w:val="24"/>
          <w:shd w:val="clear" w:color="auto" w:fill="FFFFFF"/>
        </w:rPr>
        <w:t>R v BM (2018) EWCA Crim 560</w:t>
      </w:r>
    </w:p>
    <w:p w:rsidR="004B1E98" w:rsidP="004B1E98" w:rsidRDefault="004B1E98" w14:paraId="7C109182" w14:textId="77777777">
      <w:pPr>
        <w:rPr>
          <w:sz w:val="24"/>
          <w:szCs w:val="24"/>
          <w:shd w:val="clear" w:color="auto" w:fill="FFFFFF"/>
        </w:rPr>
      </w:pPr>
      <w:r w:rsidRPr="00755C19">
        <w:rPr>
          <w:sz w:val="24"/>
          <w:szCs w:val="24"/>
          <w:shd w:val="clear" w:color="auto" w:fill="FFFFFF"/>
        </w:rPr>
        <w:t>Re</w:t>
      </w:r>
      <w:r>
        <w:rPr>
          <w:sz w:val="24"/>
          <w:szCs w:val="24"/>
          <w:shd w:val="clear" w:color="auto" w:fill="FFFFFF"/>
        </w:rPr>
        <w:t xml:space="preserve"> V</w:t>
      </w:r>
      <w:r w:rsidRPr="00755C19">
        <w:rPr>
          <w:sz w:val="24"/>
          <w:szCs w:val="24"/>
          <w:shd w:val="clear" w:color="auto" w:fill="FFFFFF"/>
        </w:rPr>
        <w:t xml:space="preserve"> M (1999) 2 FLR 1079</w:t>
      </w:r>
    </w:p>
    <w:p w:rsidRPr="00755C19" w:rsidR="004B1E98" w:rsidP="004B1E98" w:rsidRDefault="004B1E98" w14:paraId="22AB2E5A" w14:textId="77777777">
      <w:pPr>
        <w:rPr>
          <w:sz w:val="24"/>
          <w:szCs w:val="24"/>
          <w:shd w:val="clear" w:color="auto" w:fill="FFFFFF"/>
        </w:rPr>
      </w:pPr>
      <w:r w:rsidRPr="00755C19">
        <w:rPr>
          <w:rFonts w:cstheme="minorHAnsi"/>
          <w:sz w:val="24"/>
          <w:szCs w:val="24"/>
        </w:rPr>
        <w:t>Devi V West Midlands RHA</w:t>
      </w:r>
      <w:r>
        <w:rPr>
          <w:rFonts w:cstheme="minorHAnsi"/>
          <w:sz w:val="24"/>
          <w:szCs w:val="24"/>
        </w:rPr>
        <w:t xml:space="preserve"> (1980) </w:t>
      </w:r>
    </w:p>
    <w:p w:rsidRPr="00CE4AC9" w:rsidR="004B1E98" w:rsidP="004B1E98" w:rsidRDefault="004B1E98" w14:paraId="1C1DEB92" w14:textId="77777777">
      <w:pPr>
        <w:rPr>
          <w:rFonts w:cstheme="minorHAnsi"/>
          <w:sz w:val="24"/>
          <w:szCs w:val="24"/>
        </w:rPr>
      </w:pPr>
    </w:p>
    <w:p w:rsidRPr="00755C19" w:rsidR="004B1E98" w:rsidP="004B1E98" w:rsidRDefault="004B1E98" w14:paraId="42E2EE58" w14:textId="77777777">
      <w:pPr>
        <w:rPr>
          <w:rStyle w:val="Strong"/>
          <w:rFonts w:cstheme="minorHAnsi"/>
          <w:sz w:val="24"/>
          <w:szCs w:val="24"/>
          <w:u w:val="single"/>
          <w:shd w:val="clear" w:color="auto" w:fill="FFFFFF"/>
        </w:rPr>
      </w:pPr>
      <w:r w:rsidRPr="00755C19">
        <w:rPr>
          <w:rStyle w:val="Strong"/>
          <w:rFonts w:cstheme="minorHAnsi"/>
          <w:sz w:val="24"/>
          <w:szCs w:val="24"/>
          <w:u w:val="single"/>
          <w:shd w:val="clear" w:color="auto" w:fill="FFFFFF"/>
        </w:rPr>
        <w:t xml:space="preserve">Reference list </w:t>
      </w:r>
    </w:p>
    <w:p w:rsidRPr="00755C19" w:rsidR="004B1E98" w:rsidP="004B1E98" w:rsidRDefault="004B1E98" w14:paraId="16DE898D" w14:textId="77777777">
      <w:pPr>
        <w:rPr>
          <w:rFonts w:cstheme="minorHAnsi"/>
          <w:sz w:val="24"/>
          <w:szCs w:val="24"/>
          <w:shd w:val="clear" w:color="auto" w:fill="FFFFFF"/>
        </w:rPr>
      </w:pPr>
      <w:r w:rsidRPr="00755C19">
        <w:rPr>
          <w:rFonts w:cstheme="minorHAnsi"/>
          <w:sz w:val="24"/>
          <w:szCs w:val="24"/>
          <w:shd w:val="clear" w:color="auto" w:fill="FFFFFF"/>
        </w:rPr>
        <w:t>Brookes, H. (1995) Criminal law: consent in the criminal law: a consultation paper. London: HMSO</w:t>
      </w:r>
    </w:p>
    <w:p w:rsidRPr="00755C19" w:rsidR="004B1E98" w:rsidP="004B1E98" w:rsidRDefault="004B1E98" w14:paraId="724FA90E" w14:textId="77777777">
      <w:pPr>
        <w:rPr>
          <w:rStyle w:val="Strong"/>
          <w:rFonts w:cstheme="minorHAnsi"/>
          <w:b w:val="0"/>
          <w:bCs w:val="0"/>
          <w:sz w:val="24"/>
          <w:szCs w:val="24"/>
        </w:rPr>
      </w:pPr>
      <w:r w:rsidRPr="00755C19">
        <w:rPr>
          <w:rFonts w:cstheme="minorHAnsi"/>
          <w:sz w:val="24"/>
          <w:szCs w:val="24"/>
        </w:rPr>
        <w:t>Cambridge Dictionary (2023) Available at: dictionary.cambridge.org/dictionary/</w:t>
      </w:r>
      <w:proofErr w:type="spellStart"/>
      <w:r w:rsidRPr="00755C19">
        <w:rPr>
          <w:rFonts w:cstheme="minorHAnsi"/>
          <w:sz w:val="24"/>
          <w:szCs w:val="24"/>
        </w:rPr>
        <w:t>english</w:t>
      </w:r>
      <w:proofErr w:type="spellEnd"/>
      <w:r w:rsidRPr="00755C19">
        <w:rPr>
          <w:rFonts w:cstheme="minorHAnsi"/>
          <w:sz w:val="24"/>
          <w:szCs w:val="24"/>
        </w:rPr>
        <w:t>/consent (Accessed 26</w:t>
      </w:r>
      <w:r w:rsidRPr="00755C19">
        <w:rPr>
          <w:rFonts w:cstheme="minorHAnsi"/>
          <w:sz w:val="24"/>
          <w:szCs w:val="24"/>
          <w:vertAlign w:val="superscript"/>
        </w:rPr>
        <w:t>th</w:t>
      </w:r>
      <w:r w:rsidRPr="00755C19">
        <w:rPr>
          <w:rFonts w:cstheme="minorHAnsi"/>
          <w:sz w:val="24"/>
          <w:szCs w:val="24"/>
        </w:rPr>
        <w:t xml:space="preserve"> October 2023)</w:t>
      </w:r>
    </w:p>
    <w:p w:rsidRPr="00755C19" w:rsidR="004B1E98" w:rsidP="004B1E98" w:rsidRDefault="004B1E98" w14:paraId="75157F2F" w14:textId="77777777">
      <w:pPr>
        <w:rPr>
          <w:rFonts w:cstheme="minorHAnsi"/>
          <w:sz w:val="24"/>
          <w:szCs w:val="24"/>
          <w:shd w:val="clear" w:color="auto" w:fill="FFFFFF"/>
        </w:rPr>
      </w:pPr>
      <w:r w:rsidRPr="00755C19">
        <w:rPr>
          <w:rFonts w:cstheme="minorHAnsi"/>
          <w:sz w:val="24"/>
          <w:szCs w:val="24"/>
          <w:shd w:val="clear" w:color="auto" w:fill="FFFFFF"/>
        </w:rPr>
        <w:t xml:space="preserve">Collee, G.G. (2016) ‘Valid consent – A pathway to improved care’, British journal of anaesthesia: BJA, 117(3), pp. 274–275. Available at: </w:t>
      </w:r>
      <w:hyperlink w:history="1" r:id="rId11">
        <w:r w:rsidRPr="00755C19">
          <w:rPr>
            <w:rStyle w:val="Hyperlink"/>
            <w:rFonts w:cstheme="minorHAnsi"/>
            <w:color w:val="auto"/>
            <w:sz w:val="24"/>
            <w:szCs w:val="24"/>
            <w:shd w:val="clear" w:color="auto" w:fill="FFFFFF"/>
          </w:rPr>
          <w:t>https://doi.org/10.1093/bja/aew253</w:t>
        </w:r>
      </w:hyperlink>
      <w:r w:rsidRPr="00755C19">
        <w:rPr>
          <w:rFonts w:cstheme="minorHAnsi"/>
          <w:sz w:val="24"/>
          <w:szCs w:val="24"/>
          <w:shd w:val="clear" w:color="auto" w:fill="FFFFFF"/>
        </w:rPr>
        <w:t>.</w:t>
      </w:r>
    </w:p>
    <w:p w:rsidRPr="00755C19" w:rsidR="004B1E98" w:rsidP="004B1E98" w:rsidRDefault="004B1E98" w14:paraId="54BD2D14" w14:textId="77777777">
      <w:pPr>
        <w:rPr>
          <w:rFonts w:cstheme="minorHAnsi"/>
          <w:sz w:val="24"/>
          <w:szCs w:val="24"/>
        </w:rPr>
      </w:pPr>
      <w:r w:rsidRPr="00755C19">
        <w:rPr>
          <w:rFonts w:cstheme="minorHAnsi"/>
          <w:sz w:val="24"/>
          <w:szCs w:val="24"/>
        </w:rPr>
        <w:t xml:space="preserve">CPS.Gov(2023) Offences against the Person, incorporating the Charging Standard. Available at: </w:t>
      </w:r>
      <w:hyperlink w:history="1" r:id="rId12">
        <w:r w:rsidRPr="00755C19">
          <w:rPr>
            <w:rStyle w:val="Hyperlink"/>
            <w:rFonts w:cstheme="minorHAnsi"/>
            <w:color w:val="auto"/>
            <w:sz w:val="24"/>
            <w:szCs w:val="24"/>
          </w:rPr>
          <w:t>www.cps.gov.uk/legal-guidance/offences-against-person-incorporating-charging-standard</w:t>
        </w:r>
      </w:hyperlink>
      <w:r w:rsidRPr="00755C19">
        <w:rPr>
          <w:rFonts w:cstheme="minorHAnsi"/>
          <w:sz w:val="24"/>
          <w:szCs w:val="24"/>
        </w:rPr>
        <w:t xml:space="preserve"> (Accessed 26th October 2023)</w:t>
      </w:r>
    </w:p>
    <w:p w:rsidRPr="00755C19" w:rsidR="004B1E98" w:rsidP="004B1E98" w:rsidRDefault="004B1E98" w14:paraId="78772D9B" w14:textId="77777777">
      <w:pPr>
        <w:rPr>
          <w:rFonts w:cstheme="minorHAnsi"/>
          <w:sz w:val="24"/>
          <w:szCs w:val="24"/>
        </w:rPr>
      </w:pPr>
      <w:r w:rsidRPr="00755C19">
        <w:rPr>
          <w:rFonts w:cstheme="minorHAnsi"/>
          <w:sz w:val="24"/>
          <w:szCs w:val="24"/>
        </w:rPr>
        <w:t xml:space="preserve">Devi V West Midlands RHA (1980) C.L.Y. 687 Available at: </w:t>
      </w:r>
      <w:hyperlink w:history="1" r:id="rId13">
        <w:r w:rsidRPr="00755C19">
          <w:rPr>
            <w:rStyle w:val="Hyperlink"/>
            <w:rFonts w:cstheme="minorHAnsi"/>
            <w:color w:val="auto"/>
            <w:sz w:val="24"/>
            <w:szCs w:val="24"/>
          </w:rPr>
          <w:t>http://www.ukcen.net/ethical_issues/consent/legal_considerations</w:t>
        </w:r>
      </w:hyperlink>
      <w:r w:rsidRPr="00755C19">
        <w:rPr>
          <w:rFonts w:cstheme="minorHAnsi"/>
          <w:sz w:val="24"/>
          <w:szCs w:val="24"/>
        </w:rPr>
        <w:t xml:space="preserve"> (Accessed 26th October 2023)</w:t>
      </w:r>
    </w:p>
    <w:p w:rsidR="004B1E98" w:rsidP="004B1E98" w:rsidRDefault="004B1E98" w14:paraId="0F1D8F3E" w14:textId="77777777">
      <w:pPr>
        <w:rPr>
          <w:rFonts w:cstheme="minorHAnsi"/>
          <w:sz w:val="24"/>
          <w:szCs w:val="24"/>
          <w:shd w:val="clear" w:color="auto" w:fill="FFFFFF"/>
        </w:rPr>
      </w:pPr>
      <w:r w:rsidRPr="00755C19">
        <w:rPr>
          <w:rFonts w:cstheme="minorHAnsi"/>
          <w:sz w:val="24"/>
          <w:szCs w:val="24"/>
          <w:shd w:val="clear" w:color="auto" w:fill="FFFFFF"/>
        </w:rPr>
        <w:t xml:space="preserve">Herring, J. (2022) Criminal </w:t>
      </w:r>
      <w:proofErr w:type="gramStart"/>
      <w:r w:rsidRPr="00755C19">
        <w:rPr>
          <w:rFonts w:cstheme="minorHAnsi"/>
          <w:sz w:val="24"/>
          <w:szCs w:val="24"/>
          <w:shd w:val="clear" w:color="auto" w:fill="FFFFFF"/>
        </w:rPr>
        <w:t>law :</w:t>
      </w:r>
      <w:proofErr w:type="gramEnd"/>
      <w:r w:rsidRPr="00755C19">
        <w:rPr>
          <w:rFonts w:cstheme="minorHAnsi"/>
          <w:sz w:val="24"/>
          <w:szCs w:val="24"/>
          <w:shd w:val="clear" w:color="auto" w:fill="FFFFFF"/>
        </w:rPr>
        <w:t xml:space="preserve"> text, cases, and materials . 10</w:t>
      </w:r>
      <w:r w:rsidRPr="00755C19">
        <w:rPr>
          <w:rFonts w:cstheme="minorHAnsi"/>
          <w:sz w:val="24"/>
          <w:szCs w:val="24"/>
          <w:shd w:val="clear" w:color="auto" w:fill="FFFFFF"/>
          <w:vertAlign w:val="superscript"/>
        </w:rPr>
        <w:t>th</w:t>
      </w:r>
      <w:r w:rsidRPr="00755C19">
        <w:rPr>
          <w:rFonts w:cstheme="minorHAnsi"/>
          <w:sz w:val="24"/>
          <w:szCs w:val="24"/>
          <w:shd w:val="clear" w:color="auto" w:fill="FFFFFF"/>
        </w:rPr>
        <w:t xml:space="preserve"> ed. Oxford</w:t>
      </w:r>
      <w:r>
        <w:rPr>
          <w:rFonts w:cstheme="minorHAnsi"/>
          <w:sz w:val="24"/>
          <w:szCs w:val="24"/>
          <w:shd w:val="clear" w:color="auto" w:fill="FFFFFF"/>
        </w:rPr>
        <w:t xml:space="preserve">, </w:t>
      </w:r>
      <w:r w:rsidRPr="00755C19">
        <w:rPr>
          <w:rFonts w:cstheme="minorHAnsi"/>
          <w:sz w:val="24"/>
          <w:szCs w:val="24"/>
          <w:shd w:val="clear" w:color="auto" w:fill="FFFFFF"/>
        </w:rPr>
        <w:t>University Press</w:t>
      </w:r>
    </w:p>
    <w:p w:rsidRPr="00755C19" w:rsidR="004B1E98" w:rsidP="004B1E98" w:rsidRDefault="004B1E98" w14:paraId="7C0D01C8" w14:textId="77777777">
      <w:pPr>
        <w:rPr>
          <w:rFonts w:cstheme="minorHAnsi"/>
          <w:sz w:val="24"/>
          <w:szCs w:val="24"/>
          <w:shd w:val="clear" w:color="auto" w:fill="FFFFFF"/>
        </w:rPr>
      </w:pPr>
      <w:r>
        <w:rPr>
          <w:rFonts w:cstheme="minorHAnsi"/>
          <w:sz w:val="24"/>
          <w:szCs w:val="24"/>
          <w:shd w:val="clear" w:color="auto" w:fill="FFFFFF"/>
        </w:rPr>
        <w:t xml:space="preserve">Lawstuff (2023) Age of consent: Lawstuff. Available at: </w:t>
      </w:r>
      <w:r w:rsidRPr="000D1168">
        <w:rPr>
          <w:rFonts w:cstheme="minorHAnsi"/>
          <w:sz w:val="24"/>
          <w:szCs w:val="24"/>
          <w:shd w:val="clear" w:color="auto" w:fill="FFFFFF"/>
        </w:rPr>
        <w:t>lawstuff.org.uk/police-and-law/age-of-consent/</w:t>
      </w:r>
      <w:r>
        <w:rPr>
          <w:rFonts w:cstheme="minorHAnsi"/>
          <w:sz w:val="24"/>
          <w:szCs w:val="24"/>
          <w:shd w:val="clear" w:color="auto" w:fill="FFFFFF"/>
        </w:rPr>
        <w:t xml:space="preserve"> (Accessed 26</w:t>
      </w:r>
      <w:r w:rsidRPr="003F2E9A">
        <w:rPr>
          <w:rFonts w:cstheme="minorHAnsi"/>
          <w:sz w:val="24"/>
          <w:szCs w:val="24"/>
          <w:shd w:val="clear" w:color="auto" w:fill="FFFFFF"/>
          <w:vertAlign w:val="superscript"/>
        </w:rPr>
        <w:t>th</w:t>
      </w:r>
      <w:r>
        <w:rPr>
          <w:rFonts w:cstheme="minorHAnsi"/>
          <w:sz w:val="24"/>
          <w:szCs w:val="24"/>
          <w:shd w:val="clear" w:color="auto" w:fill="FFFFFF"/>
        </w:rPr>
        <w:t xml:space="preserve"> October 2023) </w:t>
      </w:r>
    </w:p>
    <w:p w:rsidRPr="00755C19" w:rsidR="004B1E98" w:rsidP="004B1E98" w:rsidRDefault="004B1E98" w14:paraId="1A0A41B5" w14:textId="77777777">
      <w:pPr>
        <w:rPr>
          <w:rFonts w:cstheme="minorHAnsi"/>
          <w:sz w:val="24"/>
          <w:szCs w:val="24"/>
          <w:shd w:val="clear" w:color="auto" w:fill="FFFFFF"/>
        </w:rPr>
      </w:pPr>
      <w:r w:rsidRPr="00755C19">
        <w:rPr>
          <w:rFonts w:cstheme="minorHAnsi"/>
          <w:sz w:val="24"/>
          <w:szCs w:val="24"/>
          <w:shd w:val="clear" w:color="auto" w:fill="FFFFFF"/>
        </w:rPr>
        <w:t>Macdonald, S.K. (2018) Text, cases, and materials on criminal law. Second edition. Harlow, England</w:t>
      </w:r>
      <w:r>
        <w:rPr>
          <w:rFonts w:cstheme="minorHAnsi"/>
          <w:sz w:val="24"/>
          <w:szCs w:val="24"/>
          <w:shd w:val="clear" w:color="auto" w:fill="FFFFFF"/>
        </w:rPr>
        <w:t>,</w:t>
      </w:r>
      <w:r w:rsidRPr="00755C19">
        <w:rPr>
          <w:rFonts w:cstheme="minorHAnsi"/>
          <w:sz w:val="24"/>
          <w:szCs w:val="24"/>
          <w:shd w:val="clear" w:color="auto" w:fill="FFFFFF"/>
        </w:rPr>
        <w:t xml:space="preserve"> Pearson Education Limited.</w:t>
      </w:r>
    </w:p>
    <w:p w:rsidRPr="00755C19" w:rsidR="004B1E98" w:rsidP="004B1E98" w:rsidRDefault="004B1E98" w14:paraId="16876D89" w14:textId="77777777">
      <w:pPr>
        <w:rPr>
          <w:rFonts w:cstheme="minorHAnsi"/>
          <w:sz w:val="24"/>
          <w:szCs w:val="24"/>
          <w:shd w:val="clear" w:color="auto" w:fill="FFFFFF"/>
        </w:rPr>
      </w:pPr>
      <w:r w:rsidRPr="00755C19">
        <w:rPr>
          <w:rFonts w:cstheme="minorHAnsi"/>
          <w:sz w:val="24"/>
          <w:szCs w:val="24"/>
          <w:shd w:val="clear" w:color="auto" w:fill="FFFFFF"/>
        </w:rPr>
        <w:t>Madhava Menon, N.R., (2000) Medical ethics and health care-issues and perspectives. Karnataka Med J, 71, pp.2-9. (Accessed 26</w:t>
      </w:r>
      <w:r w:rsidRPr="00755C19">
        <w:rPr>
          <w:rFonts w:cstheme="minorHAnsi"/>
          <w:sz w:val="24"/>
          <w:szCs w:val="24"/>
          <w:shd w:val="clear" w:color="auto" w:fill="FFFFFF"/>
          <w:vertAlign w:val="superscript"/>
        </w:rPr>
        <w:t>th</w:t>
      </w:r>
      <w:r w:rsidRPr="00755C19">
        <w:rPr>
          <w:rFonts w:cstheme="minorHAnsi"/>
          <w:sz w:val="24"/>
          <w:szCs w:val="24"/>
          <w:shd w:val="clear" w:color="auto" w:fill="FFFFFF"/>
        </w:rPr>
        <w:t xml:space="preserve"> October 2023)</w:t>
      </w:r>
    </w:p>
    <w:p w:rsidRPr="00755C19" w:rsidR="004B1E98" w:rsidP="004B1E98" w:rsidRDefault="004B1E98" w14:paraId="6481DDC2" w14:textId="77777777">
      <w:pPr>
        <w:rPr>
          <w:rFonts w:cstheme="minorHAnsi"/>
          <w:sz w:val="24"/>
          <w:szCs w:val="24"/>
          <w:shd w:val="clear" w:color="auto" w:fill="FFFFFF"/>
        </w:rPr>
      </w:pPr>
      <w:r w:rsidRPr="00755C19">
        <w:rPr>
          <w:rFonts w:cstheme="minorHAnsi"/>
          <w:sz w:val="24"/>
          <w:szCs w:val="24"/>
          <w:shd w:val="clear" w:color="auto" w:fill="FFFFFF"/>
        </w:rPr>
        <w:t xml:space="preserve">Miller, F.G. and Wertheimer, A. (2010) The ethics of consent theory and practice. New </w:t>
      </w:r>
      <w:proofErr w:type="gramStart"/>
      <w:r w:rsidRPr="00755C19">
        <w:rPr>
          <w:rFonts w:cstheme="minorHAnsi"/>
          <w:sz w:val="24"/>
          <w:szCs w:val="24"/>
          <w:shd w:val="clear" w:color="auto" w:fill="FFFFFF"/>
        </w:rPr>
        <w:t>York :</w:t>
      </w:r>
      <w:proofErr w:type="gramEnd"/>
      <w:r w:rsidRPr="00755C19">
        <w:rPr>
          <w:rFonts w:cstheme="minorHAnsi"/>
          <w:sz w:val="24"/>
          <w:szCs w:val="24"/>
          <w:shd w:val="clear" w:color="auto" w:fill="FFFFFF"/>
        </w:rPr>
        <w:t xml:space="preserve"> Oxford University Press. </w:t>
      </w:r>
    </w:p>
    <w:p w:rsidRPr="00755C19" w:rsidR="004B1E98" w:rsidP="004B1E98" w:rsidRDefault="004B1E98" w14:paraId="65255622" w14:textId="77777777">
      <w:pPr>
        <w:rPr>
          <w:rFonts w:cstheme="minorHAnsi"/>
          <w:sz w:val="24"/>
          <w:szCs w:val="24"/>
          <w:shd w:val="clear" w:color="auto" w:fill="FFFFFF"/>
        </w:rPr>
      </w:pPr>
      <w:r w:rsidRPr="00755C19">
        <w:rPr>
          <w:rFonts w:cstheme="minorHAnsi"/>
          <w:sz w:val="24"/>
          <w:szCs w:val="24"/>
          <w:shd w:val="clear" w:color="auto" w:fill="FFFFFF"/>
        </w:rPr>
        <w:lastRenderedPageBreak/>
        <w:t xml:space="preserve">Nijhawan, L.P., </w:t>
      </w:r>
      <w:proofErr w:type="spellStart"/>
      <w:r w:rsidRPr="00755C19">
        <w:rPr>
          <w:rFonts w:cstheme="minorHAnsi"/>
          <w:sz w:val="24"/>
          <w:szCs w:val="24"/>
          <w:shd w:val="clear" w:color="auto" w:fill="FFFFFF"/>
        </w:rPr>
        <w:t>Janodia</w:t>
      </w:r>
      <w:proofErr w:type="spellEnd"/>
      <w:r w:rsidRPr="00755C19">
        <w:rPr>
          <w:rFonts w:cstheme="minorHAnsi"/>
          <w:sz w:val="24"/>
          <w:szCs w:val="24"/>
          <w:shd w:val="clear" w:color="auto" w:fill="FFFFFF"/>
        </w:rPr>
        <w:t xml:space="preserve">, M. D., </w:t>
      </w:r>
      <w:proofErr w:type="spellStart"/>
      <w:r w:rsidRPr="00755C19">
        <w:rPr>
          <w:rFonts w:cstheme="minorHAnsi"/>
          <w:sz w:val="24"/>
          <w:szCs w:val="24"/>
          <w:shd w:val="clear" w:color="auto" w:fill="FFFFFF"/>
        </w:rPr>
        <w:t>Muddukrishna</w:t>
      </w:r>
      <w:proofErr w:type="spellEnd"/>
      <w:r w:rsidRPr="00755C19">
        <w:rPr>
          <w:rFonts w:cstheme="minorHAnsi"/>
          <w:sz w:val="24"/>
          <w:szCs w:val="24"/>
          <w:shd w:val="clear" w:color="auto" w:fill="FFFFFF"/>
        </w:rPr>
        <w:t xml:space="preserve">, B. S., Bhat, K. M., </w:t>
      </w:r>
      <w:proofErr w:type="spellStart"/>
      <w:r w:rsidRPr="00755C19">
        <w:rPr>
          <w:rFonts w:cstheme="minorHAnsi"/>
          <w:sz w:val="24"/>
          <w:szCs w:val="24"/>
          <w:shd w:val="clear" w:color="auto" w:fill="FFFFFF"/>
        </w:rPr>
        <w:t>Bairy</w:t>
      </w:r>
      <w:proofErr w:type="spellEnd"/>
      <w:r w:rsidRPr="00755C19">
        <w:rPr>
          <w:rFonts w:cstheme="minorHAnsi"/>
          <w:sz w:val="24"/>
          <w:szCs w:val="24"/>
          <w:shd w:val="clear" w:color="auto" w:fill="FFFFFF"/>
        </w:rPr>
        <w:t xml:space="preserve">, K. L., Udupa, N. and </w:t>
      </w:r>
      <w:proofErr w:type="spellStart"/>
      <w:r w:rsidRPr="00755C19">
        <w:rPr>
          <w:rFonts w:cstheme="minorHAnsi"/>
          <w:sz w:val="24"/>
          <w:szCs w:val="24"/>
          <w:shd w:val="clear" w:color="auto" w:fill="FFFFFF"/>
        </w:rPr>
        <w:t>Musmade</w:t>
      </w:r>
      <w:proofErr w:type="spellEnd"/>
      <w:r w:rsidRPr="00755C19">
        <w:rPr>
          <w:rFonts w:cstheme="minorHAnsi"/>
          <w:sz w:val="24"/>
          <w:szCs w:val="24"/>
          <w:shd w:val="clear" w:color="auto" w:fill="FFFFFF"/>
        </w:rPr>
        <w:t xml:space="preserve">, P. B. (2013) Informed consent: Issues and challenges. J Adv Pharm Technol Res. 4(3):134-40. </w:t>
      </w:r>
      <w:proofErr w:type="spellStart"/>
      <w:r w:rsidRPr="00755C19">
        <w:rPr>
          <w:rFonts w:cstheme="minorHAnsi"/>
          <w:sz w:val="24"/>
          <w:szCs w:val="24"/>
          <w:shd w:val="clear" w:color="auto" w:fill="FFFFFF"/>
        </w:rPr>
        <w:t>doi</w:t>
      </w:r>
      <w:proofErr w:type="spellEnd"/>
      <w:r w:rsidRPr="00755C19">
        <w:rPr>
          <w:rFonts w:cstheme="minorHAnsi"/>
          <w:sz w:val="24"/>
          <w:szCs w:val="24"/>
          <w:shd w:val="clear" w:color="auto" w:fill="FFFFFF"/>
        </w:rPr>
        <w:t>: 10.4103/2231-4040.116779 (Accessed 26</w:t>
      </w:r>
      <w:r w:rsidRPr="00755C19">
        <w:rPr>
          <w:rFonts w:cstheme="minorHAnsi"/>
          <w:sz w:val="24"/>
          <w:szCs w:val="24"/>
          <w:shd w:val="clear" w:color="auto" w:fill="FFFFFF"/>
          <w:vertAlign w:val="superscript"/>
        </w:rPr>
        <w:t>th</w:t>
      </w:r>
      <w:r w:rsidRPr="00755C19">
        <w:rPr>
          <w:rFonts w:cstheme="minorHAnsi"/>
          <w:sz w:val="24"/>
          <w:szCs w:val="24"/>
          <w:shd w:val="clear" w:color="auto" w:fill="FFFFFF"/>
        </w:rPr>
        <w:t xml:space="preserve"> October 2023)</w:t>
      </w:r>
    </w:p>
    <w:p w:rsidRPr="00755C19" w:rsidR="004B1E98" w:rsidP="004B1E98" w:rsidRDefault="004B1E98" w14:paraId="64663D73" w14:textId="77777777">
      <w:pPr>
        <w:rPr>
          <w:rFonts w:cstheme="minorHAnsi"/>
          <w:sz w:val="24"/>
          <w:szCs w:val="24"/>
        </w:rPr>
      </w:pPr>
      <w:r w:rsidRPr="00755C19">
        <w:rPr>
          <w:rFonts w:cstheme="minorHAnsi"/>
          <w:sz w:val="24"/>
          <w:szCs w:val="24"/>
        </w:rPr>
        <w:t xml:space="preserve">Robinson, P. (1993) ‘Should the Criminal Law Abandon the Actus Reus/Mens Rea Distinction?’ in S. Shute, J. Gardner, and J. </w:t>
      </w:r>
      <w:proofErr w:type="spellStart"/>
      <w:r w:rsidRPr="00755C19">
        <w:rPr>
          <w:rFonts w:cstheme="minorHAnsi"/>
          <w:sz w:val="24"/>
          <w:szCs w:val="24"/>
        </w:rPr>
        <w:t>Horder</w:t>
      </w:r>
      <w:proofErr w:type="spellEnd"/>
      <w:r w:rsidRPr="00755C19">
        <w:rPr>
          <w:rFonts w:cstheme="minorHAnsi"/>
          <w:sz w:val="24"/>
          <w:szCs w:val="24"/>
        </w:rPr>
        <w:t xml:space="preserve"> (eds) Action and Value in Criminal Law Oxford: OUP</w:t>
      </w:r>
      <w:r>
        <w:rPr>
          <w:rFonts w:cstheme="minorHAnsi"/>
          <w:sz w:val="24"/>
          <w:szCs w:val="24"/>
        </w:rPr>
        <w:t xml:space="preserve"> </w:t>
      </w:r>
    </w:p>
    <w:p w:rsidRPr="00755C19" w:rsidR="004B1E98" w:rsidP="004B1E98" w:rsidRDefault="004B1E98" w14:paraId="41506295" w14:textId="77777777">
      <w:pPr>
        <w:rPr>
          <w:rStyle w:val="doilink"/>
          <w:rFonts w:cstheme="minorHAnsi"/>
          <w:sz w:val="24"/>
          <w:szCs w:val="24"/>
        </w:rPr>
      </w:pPr>
      <w:r w:rsidRPr="00755C19">
        <w:rPr>
          <w:rStyle w:val="authorname"/>
          <w:rFonts w:cstheme="minorHAnsi"/>
          <w:sz w:val="24"/>
          <w:szCs w:val="24"/>
        </w:rPr>
        <w:t>Setty, E.</w:t>
      </w:r>
      <w:r w:rsidRPr="00755C19">
        <w:rPr>
          <w:rFonts w:cstheme="minorHAnsi"/>
          <w:sz w:val="24"/>
          <w:szCs w:val="24"/>
        </w:rPr>
        <w:t> </w:t>
      </w:r>
      <w:r w:rsidRPr="00755C19">
        <w:rPr>
          <w:rStyle w:val="date"/>
          <w:rFonts w:cstheme="minorHAnsi"/>
          <w:sz w:val="24"/>
          <w:szCs w:val="24"/>
        </w:rPr>
        <w:t>(2023)</w:t>
      </w:r>
      <w:r w:rsidRPr="00755C19">
        <w:rPr>
          <w:rFonts w:cstheme="minorHAnsi"/>
          <w:sz w:val="24"/>
          <w:szCs w:val="24"/>
        </w:rPr>
        <w:t> </w:t>
      </w:r>
      <w:r w:rsidRPr="00755C19">
        <w:rPr>
          <w:rStyle w:val="arttitle"/>
          <w:rFonts w:cstheme="minorHAnsi"/>
          <w:sz w:val="24"/>
          <w:szCs w:val="24"/>
        </w:rPr>
        <w:t>Young people and sexual consent: contextualising ‘miscommunication’ amid ‘grey areas’ of ambiguity and ambivalence,</w:t>
      </w:r>
      <w:r w:rsidRPr="00755C19">
        <w:rPr>
          <w:rFonts w:cstheme="minorHAnsi"/>
          <w:sz w:val="24"/>
          <w:szCs w:val="24"/>
        </w:rPr>
        <w:t> </w:t>
      </w:r>
      <w:r w:rsidRPr="00755C19">
        <w:rPr>
          <w:rStyle w:val="serialtitle"/>
          <w:rFonts w:cstheme="minorHAnsi"/>
          <w:sz w:val="24"/>
          <w:szCs w:val="24"/>
        </w:rPr>
        <w:t>Sex Education,</w:t>
      </w:r>
      <w:r w:rsidRPr="00755C19">
        <w:rPr>
          <w:rFonts w:cstheme="minorHAnsi"/>
          <w:sz w:val="24"/>
          <w:szCs w:val="24"/>
        </w:rPr>
        <w:t> </w:t>
      </w:r>
      <w:r w:rsidRPr="00755C19">
        <w:rPr>
          <w:rStyle w:val="doilink"/>
          <w:rFonts w:cstheme="minorHAnsi"/>
          <w:sz w:val="24"/>
          <w:szCs w:val="24"/>
        </w:rPr>
        <w:t>DOI: </w:t>
      </w:r>
      <w:hyperlink w:history="1" r:id="rId14">
        <w:r w:rsidRPr="00755C19">
          <w:rPr>
            <w:rStyle w:val="Hyperlink"/>
            <w:rFonts w:cstheme="minorHAnsi"/>
            <w:color w:val="auto"/>
            <w:sz w:val="24"/>
            <w:szCs w:val="24"/>
          </w:rPr>
          <w:t>10.1080/14681811.2023.2259321</w:t>
        </w:r>
      </w:hyperlink>
    </w:p>
    <w:p w:rsidRPr="00755C19" w:rsidR="004B1E98" w:rsidP="004B1E98" w:rsidRDefault="004B1E98" w14:paraId="43E2C6FE" w14:textId="77777777">
      <w:pPr>
        <w:rPr>
          <w:rFonts w:cstheme="minorHAnsi"/>
          <w:sz w:val="24"/>
          <w:szCs w:val="24"/>
          <w:shd w:val="clear" w:color="auto" w:fill="FFFFFF"/>
        </w:rPr>
      </w:pPr>
      <w:r w:rsidRPr="00755C19">
        <w:rPr>
          <w:rFonts w:cstheme="minorHAnsi"/>
          <w:sz w:val="24"/>
          <w:szCs w:val="24"/>
          <w:shd w:val="clear" w:color="auto" w:fill="FFFFFF"/>
        </w:rPr>
        <w:t>Simons, K.W. (2022) ‘The Conceptual Structure of Consent in Criminal Law’. Available at: escholarship.org/uc/item/1j02425x (Accessed 26</w:t>
      </w:r>
      <w:r w:rsidRPr="00755C19">
        <w:rPr>
          <w:rFonts w:cstheme="minorHAnsi"/>
          <w:sz w:val="24"/>
          <w:szCs w:val="24"/>
          <w:shd w:val="clear" w:color="auto" w:fill="FFFFFF"/>
          <w:vertAlign w:val="superscript"/>
        </w:rPr>
        <w:t>th</w:t>
      </w:r>
      <w:r w:rsidRPr="00755C19">
        <w:rPr>
          <w:rFonts w:cstheme="minorHAnsi"/>
          <w:sz w:val="24"/>
          <w:szCs w:val="24"/>
          <w:shd w:val="clear" w:color="auto" w:fill="FFFFFF"/>
        </w:rPr>
        <w:t xml:space="preserve"> October 2023)</w:t>
      </w:r>
    </w:p>
    <w:p w:rsidR="004B1E98" w:rsidP="004B1E98" w:rsidRDefault="004B1E98" w14:paraId="6DF8E872" w14:textId="77777777">
      <w:pPr>
        <w:rPr>
          <w:rFonts w:cstheme="minorHAnsi"/>
          <w:sz w:val="24"/>
          <w:szCs w:val="24"/>
          <w:shd w:val="clear" w:color="auto" w:fill="FFFFFF"/>
        </w:rPr>
      </w:pPr>
      <w:r w:rsidRPr="00755C19">
        <w:rPr>
          <w:rFonts w:cstheme="minorHAnsi"/>
          <w:sz w:val="24"/>
          <w:szCs w:val="24"/>
          <w:shd w:val="clear" w:color="auto" w:fill="FFFFFF"/>
        </w:rPr>
        <w:t>Taylor, L. (2018) Elliott and Quinn</w:t>
      </w:r>
      <w:r w:rsidRPr="00755C19">
        <w:rPr>
          <w:rFonts w:cstheme="minorHAnsi"/>
          <w:sz w:val="24"/>
          <w:szCs w:val="24"/>
          <w:shd w:val="clear" w:color="auto" w:fill="FFFFFF"/>
          <w:vertAlign w:val="superscript"/>
        </w:rPr>
        <w:t>1</w:t>
      </w:r>
      <w:r w:rsidRPr="00755C19">
        <w:rPr>
          <w:rFonts w:cstheme="minorHAnsi"/>
          <w:sz w:val="24"/>
          <w:szCs w:val="24"/>
          <w:shd w:val="clear" w:color="auto" w:fill="FFFFFF"/>
        </w:rPr>
        <w:t>s criminal law. 12</w:t>
      </w:r>
      <w:r w:rsidRPr="00755C19">
        <w:rPr>
          <w:rFonts w:cstheme="minorHAnsi"/>
          <w:sz w:val="24"/>
          <w:szCs w:val="24"/>
          <w:shd w:val="clear" w:color="auto" w:fill="FFFFFF"/>
          <w:vertAlign w:val="superscript"/>
        </w:rPr>
        <w:t>th</w:t>
      </w:r>
      <w:r w:rsidRPr="00755C19">
        <w:rPr>
          <w:rFonts w:cstheme="minorHAnsi"/>
          <w:sz w:val="24"/>
          <w:szCs w:val="24"/>
          <w:shd w:val="clear" w:color="auto" w:fill="FFFFFF"/>
        </w:rPr>
        <w:t xml:space="preserve"> ed. New York, United States: Pearson Education Limited.</w:t>
      </w:r>
    </w:p>
    <w:p w:rsidRPr="00755C19" w:rsidR="004B1E98" w:rsidP="004B1E98" w:rsidRDefault="004B1E98" w14:paraId="00FA4605" w14:textId="77777777">
      <w:pPr>
        <w:rPr>
          <w:rFonts w:cstheme="minorHAnsi"/>
          <w:sz w:val="24"/>
          <w:szCs w:val="24"/>
          <w:shd w:val="clear" w:color="auto" w:fill="FFFFFF"/>
        </w:rPr>
      </w:pPr>
      <w:r>
        <w:rPr>
          <w:rFonts w:cstheme="minorHAnsi"/>
          <w:sz w:val="24"/>
          <w:szCs w:val="24"/>
          <w:shd w:val="clear" w:color="auto" w:fill="FFFFFF"/>
        </w:rPr>
        <w:t xml:space="preserve">UK Parliament (2023) </w:t>
      </w:r>
      <w:r>
        <w:t xml:space="preserve">Consent Defences and the Criminal Justice System Research Briefing – England and Wales, Available at: </w:t>
      </w:r>
      <w:r w:rsidRPr="003C4CCD">
        <w:t>publications.parliament.uk/pa/cm5801/cmpublic/DomesticAbuse/memo/DAB73.pdf</w:t>
      </w:r>
      <w:r>
        <w:t xml:space="preserve"> (accessed 26</w:t>
      </w:r>
      <w:r w:rsidRPr="003C4CCD">
        <w:rPr>
          <w:vertAlign w:val="superscript"/>
        </w:rPr>
        <w:t>th</w:t>
      </w:r>
      <w:r>
        <w:t xml:space="preserve"> October 2023) </w:t>
      </w:r>
    </w:p>
    <w:p w:rsidR="00BC3ABC" w:rsidRDefault="008137AD" w14:paraId="7B17C4B2" w14:textId="704D7751">
      <w:pPr>
        <w:rPr>
          <w:rFonts w:cstheme="minorHAnsi"/>
          <w:shd w:val="clear" w:color="auto" w:fill="FFFFFF"/>
        </w:rPr>
      </w:pPr>
      <w:r>
        <w:rPr>
          <w:rFonts w:cstheme="minorHAnsi"/>
          <w:shd w:val="clear" w:color="auto" w:fill="FFFFFF"/>
        </w:rPr>
        <w:t xml:space="preserve">  </w:t>
      </w:r>
      <w:r w:rsidR="0089793E">
        <w:rPr>
          <w:rFonts w:cstheme="minorHAnsi"/>
          <w:shd w:val="clear" w:color="auto" w:fill="FFFFFF"/>
        </w:rPr>
        <w:t xml:space="preserve"> </w:t>
      </w:r>
      <w:r w:rsidR="009D2BD3">
        <w:rPr>
          <w:rFonts w:cstheme="minorHAnsi"/>
          <w:shd w:val="clear" w:color="auto" w:fill="FFFFFF"/>
        </w:rPr>
        <w:t xml:space="preserve"> </w:t>
      </w:r>
      <w:r w:rsidR="00FC4FA0">
        <w:rPr>
          <w:rFonts w:cstheme="minorHAnsi"/>
          <w:shd w:val="clear" w:color="auto" w:fill="FFFFFF"/>
        </w:rPr>
        <w:t xml:space="preserve"> </w:t>
      </w:r>
      <w:r w:rsidR="00D259D1">
        <w:rPr>
          <w:rFonts w:cstheme="minorHAnsi"/>
          <w:shd w:val="clear" w:color="auto" w:fill="FFFFFF"/>
        </w:rPr>
        <w:t xml:space="preserve"> </w:t>
      </w:r>
    </w:p>
    <w:p w:rsidR="00EC4E33" w:rsidRDefault="001749F1" w14:paraId="79137A8C" w14:textId="039BD74A">
      <w:r>
        <w:rPr>
          <w:rFonts w:cstheme="minorHAnsi"/>
          <w:shd w:val="clear" w:color="auto" w:fill="FFFFFF"/>
        </w:rPr>
        <w:t xml:space="preserve">  </w:t>
      </w:r>
      <w:r w:rsidR="00BC1AFB">
        <w:rPr>
          <w:rFonts w:cstheme="minorHAnsi"/>
          <w:shd w:val="clear" w:color="auto" w:fill="FFFFFF"/>
        </w:rPr>
        <w:t xml:space="preserve">     </w:t>
      </w:r>
      <w:r w:rsidR="00B62BD5">
        <w:rPr>
          <w:rFonts w:cstheme="minorHAnsi"/>
          <w:shd w:val="clear" w:color="auto" w:fill="FFFFFF"/>
        </w:rPr>
        <w:t xml:space="preserve">  </w:t>
      </w:r>
      <w:r w:rsidR="00F72D22">
        <w:rPr>
          <w:rFonts w:cstheme="minorHAnsi"/>
          <w:shd w:val="clear" w:color="auto" w:fill="FFFFFF"/>
        </w:rPr>
        <w:t xml:space="preserve">   </w:t>
      </w:r>
      <w:r w:rsidR="00976832">
        <w:rPr>
          <w:rFonts w:cstheme="minorHAnsi"/>
          <w:shd w:val="clear" w:color="auto" w:fill="FFFFFF"/>
        </w:rPr>
        <w:t xml:space="preserve">      </w:t>
      </w:r>
      <w:r w:rsidR="00B27941">
        <w:rPr>
          <w:rFonts w:cstheme="minorHAnsi"/>
          <w:shd w:val="clear" w:color="auto" w:fill="FFFFFF"/>
        </w:rPr>
        <w:t xml:space="preserve">     </w:t>
      </w:r>
      <w:r w:rsidR="00AC1624">
        <w:rPr>
          <w:rFonts w:cstheme="minorHAnsi"/>
          <w:shd w:val="clear" w:color="auto" w:fill="FFFFFF"/>
        </w:rPr>
        <w:t xml:space="preserve"> </w:t>
      </w:r>
    </w:p>
    <w:p w:rsidR="0077459D" w:rsidRDefault="00EC4E33" w14:paraId="5C419070" w14:textId="3B3EC040">
      <w:r>
        <w:t xml:space="preserve">     </w:t>
      </w:r>
    </w:p>
    <w:sectPr w:rsidR="0077459D" w:rsidSect="008F52FD">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ypnpCXlvsG9C54" int2:id="LviphGgn">
      <int2:state int2:type="AugLoop_Text_Critique" int2:value="Rejected"/>
    </int2:textHash>
    <int2:textHash int2:hashCode="0C1gSCItSlb/4W" int2:id="5Kft1FWz">
      <int2:state int2:type="AugLoop_Text_Critique" int2:value="Rejected"/>
    </int2:textHash>
    <int2:bookmark int2:bookmarkName="_Int_kOxiQMsN" int2:invalidationBookmarkName="" int2:hashCode="oDKeFME1Nby2NZ" int2:id="qdSeAwm4">
      <int2:state int2:type="AugLoop_Text_Critique" int2:value="Rejected"/>
    </int2:bookmark>
    <int2:bookmark int2:bookmarkName="_Int_Hpm3BLXM" int2:invalidationBookmarkName="" int2:hashCode="4iDKXU0dAYHdJY" int2:id="iSEXgf0X">
      <int2:state int2:type="AugLoop_Text_Critique" int2:value="Rejected"/>
    </int2:bookmark>
    <int2:bookmark int2:bookmarkName="_Int_0ILnRjsb" int2:invalidationBookmarkName="" int2:hashCode="+WY/bSHT0ohr7x" int2:id="0DCab7Ds">
      <int2:state int2:type="AugLoop_Text_Critique" int2:value="Rejected"/>
    </int2:bookmark>
    <int2:bookmark int2:bookmarkName="_Int_7bxjZlnE" int2:invalidationBookmarkName="" int2:hashCode="6pQmjs6wXC5aM7" int2:id="i9CsemJ4">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E33"/>
    <w:rsid w:val="00061F09"/>
    <w:rsid w:val="0006654F"/>
    <w:rsid w:val="000A1804"/>
    <w:rsid w:val="000C5331"/>
    <w:rsid w:val="00115F93"/>
    <w:rsid w:val="00161245"/>
    <w:rsid w:val="001749F1"/>
    <w:rsid w:val="00181BD8"/>
    <w:rsid w:val="001C2099"/>
    <w:rsid w:val="002228C8"/>
    <w:rsid w:val="00232976"/>
    <w:rsid w:val="00257A0E"/>
    <w:rsid w:val="00286F21"/>
    <w:rsid w:val="002D1C29"/>
    <w:rsid w:val="003014DA"/>
    <w:rsid w:val="00355752"/>
    <w:rsid w:val="003874A8"/>
    <w:rsid w:val="003C4C30"/>
    <w:rsid w:val="003E739F"/>
    <w:rsid w:val="003F354D"/>
    <w:rsid w:val="004025F8"/>
    <w:rsid w:val="00420849"/>
    <w:rsid w:val="00436F77"/>
    <w:rsid w:val="00440126"/>
    <w:rsid w:val="00466597"/>
    <w:rsid w:val="004B1E98"/>
    <w:rsid w:val="004B5A9C"/>
    <w:rsid w:val="004D2082"/>
    <w:rsid w:val="004E3CF2"/>
    <w:rsid w:val="004F462E"/>
    <w:rsid w:val="00520741"/>
    <w:rsid w:val="00523A27"/>
    <w:rsid w:val="005356F8"/>
    <w:rsid w:val="0054465D"/>
    <w:rsid w:val="00571D1F"/>
    <w:rsid w:val="005C0E65"/>
    <w:rsid w:val="006135E9"/>
    <w:rsid w:val="00616707"/>
    <w:rsid w:val="006237C5"/>
    <w:rsid w:val="00683A96"/>
    <w:rsid w:val="006C42F7"/>
    <w:rsid w:val="006D1046"/>
    <w:rsid w:val="006D2AAB"/>
    <w:rsid w:val="006F29EB"/>
    <w:rsid w:val="006F614B"/>
    <w:rsid w:val="007261DA"/>
    <w:rsid w:val="00730562"/>
    <w:rsid w:val="0073798E"/>
    <w:rsid w:val="007529DD"/>
    <w:rsid w:val="00753B94"/>
    <w:rsid w:val="00773F83"/>
    <w:rsid w:val="0077459D"/>
    <w:rsid w:val="007C0401"/>
    <w:rsid w:val="008137AD"/>
    <w:rsid w:val="0082141D"/>
    <w:rsid w:val="008530C8"/>
    <w:rsid w:val="0089793E"/>
    <w:rsid w:val="008C22E6"/>
    <w:rsid w:val="008F52FD"/>
    <w:rsid w:val="009165AF"/>
    <w:rsid w:val="00976832"/>
    <w:rsid w:val="00980439"/>
    <w:rsid w:val="00986317"/>
    <w:rsid w:val="009D2BD3"/>
    <w:rsid w:val="009D692F"/>
    <w:rsid w:val="009E2AF5"/>
    <w:rsid w:val="00A3203F"/>
    <w:rsid w:val="00A609E4"/>
    <w:rsid w:val="00A71FE3"/>
    <w:rsid w:val="00AB2FBD"/>
    <w:rsid w:val="00AC1624"/>
    <w:rsid w:val="00AE7425"/>
    <w:rsid w:val="00B27941"/>
    <w:rsid w:val="00B37254"/>
    <w:rsid w:val="00B62BD5"/>
    <w:rsid w:val="00BB1D7E"/>
    <w:rsid w:val="00BB5467"/>
    <w:rsid w:val="00BC1AFB"/>
    <w:rsid w:val="00BC3ABC"/>
    <w:rsid w:val="00BC5D91"/>
    <w:rsid w:val="00C00AEB"/>
    <w:rsid w:val="00C10B79"/>
    <w:rsid w:val="00C509E5"/>
    <w:rsid w:val="00C644F3"/>
    <w:rsid w:val="00C80EEB"/>
    <w:rsid w:val="00C86605"/>
    <w:rsid w:val="00CE2B97"/>
    <w:rsid w:val="00D2544D"/>
    <w:rsid w:val="00D259D1"/>
    <w:rsid w:val="00D25C11"/>
    <w:rsid w:val="00D27A7A"/>
    <w:rsid w:val="00D47769"/>
    <w:rsid w:val="00D6074B"/>
    <w:rsid w:val="00D82056"/>
    <w:rsid w:val="00DC0CB6"/>
    <w:rsid w:val="00E57F43"/>
    <w:rsid w:val="00E61E72"/>
    <w:rsid w:val="00EC4E33"/>
    <w:rsid w:val="00EE22AB"/>
    <w:rsid w:val="00F25591"/>
    <w:rsid w:val="00F45EAB"/>
    <w:rsid w:val="00F72D22"/>
    <w:rsid w:val="00F91849"/>
    <w:rsid w:val="00F97295"/>
    <w:rsid w:val="00FA3DA7"/>
    <w:rsid w:val="00FC4FA0"/>
    <w:rsid w:val="03150EEF"/>
    <w:rsid w:val="04FF57FF"/>
    <w:rsid w:val="08C2226C"/>
    <w:rsid w:val="0AD326F6"/>
    <w:rsid w:val="0C728333"/>
    <w:rsid w:val="0CBBF135"/>
    <w:rsid w:val="0ED497E8"/>
    <w:rsid w:val="0F2A6EA6"/>
    <w:rsid w:val="1254E775"/>
    <w:rsid w:val="12620F68"/>
    <w:rsid w:val="143C7C19"/>
    <w:rsid w:val="173D6E11"/>
    <w:rsid w:val="1A750ED3"/>
    <w:rsid w:val="1E7EF7FE"/>
    <w:rsid w:val="1F481B4F"/>
    <w:rsid w:val="1F4B673C"/>
    <w:rsid w:val="201AC85F"/>
    <w:rsid w:val="2052E3D2"/>
    <w:rsid w:val="219E5688"/>
    <w:rsid w:val="228020B8"/>
    <w:rsid w:val="2309196F"/>
    <w:rsid w:val="26B97A36"/>
    <w:rsid w:val="26BDBE1F"/>
    <w:rsid w:val="29E5A8DB"/>
    <w:rsid w:val="2C0DDAA1"/>
    <w:rsid w:val="2E3CE72C"/>
    <w:rsid w:val="3090C6AD"/>
    <w:rsid w:val="31A2B460"/>
    <w:rsid w:val="370AEEB8"/>
    <w:rsid w:val="4A69D5FE"/>
    <w:rsid w:val="4AD07A55"/>
    <w:rsid w:val="4D496BDF"/>
    <w:rsid w:val="4E439709"/>
    <w:rsid w:val="4FA3EB78"/>
    <w:rsid w:val="51F01B74"/>
    <w:rsid w:val="523F87FA"/>
    <w:rsid w:val="56C38C97"/>
    <w:rsid w:val="57A4C1A9"/>
    <w:rsid w:val="5C419366"/>
    <w:rsid w:val="5D0CF220"/>
    <w:rsid w:val="69D04960"/>
    <w:rsid w:val="715B2D3D"/>
    <w:rsid w:val="7B020F83"/>
    <w:rsid w:val="7B3A1F16"/>
    <w:rsid w:val="7CA5CD6A"/>
    <w:rsid w:val="7E31F590"/>
    <w:rsid w:val="7EB3C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717F0"/>
  <w15:chartTrackingRefBased/>
  <w15:docId w15:val="{70E50709-DE4B-4BDC-865B-BEF53773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8F52FD"/>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8F52FD"/>
    <w:rPr>
      <w:rFonts w:eastAsiaTheme="minorEastAsia"/>
      <w:lang w:val="en-US"/>
    </w:rPr>
  </w:style>
  <w:style w:type="character" w:styleId="Strong">
    <w:name w:val="Strong"/>
    <w:basedOn w:val="DefaultParagraphFont"/>
    <w:uiPriority w:val="22"/>
    <w:qFormat/>
    <w:rsid w:val="004B1E98"/>
    <w:rPr>
      <w:b/>
      <w:bCs/>
    </w:rPr>
  </w:style>
  <w:style w:type="character" w:styleId="Hyperlink">
    <w:name w:val="Hyperlink"/>
    <w:basedOn w:val="DefaultParagraphFont"/>
    <w:uiPriority w:val="99"/>
    <w:unhideWhenUsed/>
    <w:rsid w:val="004B1E98"/>
    <w:rPr>
      <w:color w:val="0563C1" w:themeColor="hyperlink"/>
      <w:u w:val="single"/>
    </w:rPr>
  </w:style>
  <w:style w:type="character" w:styleId="Emphasis">
    <w:name w:val="Emphasis"/>
    <w:basedOn w:val="DefaultParagraphFont"/>
    <w:uiPriority w:val="20"/>
    <w:qFormat/>
    <w:rsid w:val="004B1E98"/>
    <w:rPr>
      <w:i/>
      <w:iCs/>
    </w:rPr>
  </w:style>
  <w:style w:type="character" w:styleId="authorname" w:customStyle="1">
    <w:name w:val="authorname"/>
    <w:basedOn w:val="DefaultParagraphFont"/>
    <w:rsid w:val="004B1E98"/>
  </w:style>
  <w:style w:type="character" w:styleId="date" w:customStyle="1">
    <w:name w:val="date"/>
    <w:basedOn w:val="DefaultParagraphFont"/>
    <w:rsid w:val="004B1E98"/>
  </w:style>
  <w:style w:type="character" w:styleId="arttitle" w:customStyle="1">
    <w:name w:val="art_title"/>
    <w:basedOn w:val="DefaultParagraphFont"/>
    <w:rsid w:val="004B1E98"/>
  </w:style>
  <w:style w:type="character" w:styleId="serialtitle" w:customStyle="1">
    <w:name w:val="serial_title"/>
    <w:basedOn w:val="DefaultParagraphFont"/>
    <w:rsid w:val="004B1E98"/>
  </w:style>
  <w:style w:type="character" w:styleId="doilink" w:customStyle="1">
    <w:name w:val="doi_link"/>
    <w:basedOn w:val="DefaultParagraphFont"/>
    <w:rsid w:val="004B1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www.ukcen.net/ethical_issues/consent/legal_consideration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cps.gov.uk/legal-guidance/offences-against-person-incorporating-charging-standard"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doi.org/10.1093/bja/aew253"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https://www.bailii.org/ew/cases/EWCA/Crim/1983/4.html" TargetMode="External" Id="rId10" /><Relationship Type="http://schemas.openxmlformats.org/officeDocument/2006/relationships/customXml" Target="../customXml/item4.xml" Id="rId4" /><Relationship Type="http://schemas.openxmlformats.org/officeDocument/2006/relationships/image" Target="media/image2.png" Id="rId9" /><Relationship Type="http://schemas.openxmlformats.org/officeDocument/2006/relationships/hyperlink" Target="https://doi.org/10.1080/14681811.2023.2259321" TargetMode="External" Id="rId14" /><Relationship Type="http://schemas.microsoft.com/office/2020/10/relationships/intelligence" Target="intelligence2.xml" Id="R6a66a15f37e64c00"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A98CD9562E462694F0A484B6D45A35"/>
        <w:category>
          <w:name w:val="General"/>
          <w:gallery w:val="placeholder"/>
        </w:category>
        <w:types>
          <w:type w:val="bbPlcHdr"/>
        </w:types>
        <w:behaviors>
          <w:behavior w:val="content"/>
        </w:behaviors>
        <w:guid w:val="{79B2F0F6-134A-48BB-8E26-F50BA64D8B77}"/>
      </w:docPartPr>
      <w:docPartBody>
        <w:p w:rsidR="00977CBC" w:rsidRDefault="00977CBC" w:rsidP="00977CBC">
          <w:pPr>
            <w:pStyle w:val="7AA98CD9562E462694F0A484B6D45A35"/>
          </w:pPr>
          <w:r>
            <w:rPr>
              <w:rFonts w:asciiTheme="majorHAnsi" w:eastAsiaTheme="majorEastAsia" w:hAnsiTheme="majorHAnsi" w:cstheme="majorBidi"/>
              <w:caps/>
              <w:color w:val="4472C4" w:themeColor="accent1"/>
              <w:sz w:val="80"/>
              <w:szCs w:val="80"/>
            </w:rPr>
            <w:t>[Document title]</w:t>
          </w:r>
        </w:p>
      </w:docPartBody>
    </w:docPart>
    <w:docPart>
      <w:docPartPr>
        <w:name w:val="8CE4FF52988A460BBBEA75B2FE999AAD"/>
        <w:category>
          <w:name w:val="General"/>
          <w:gallery w:val="placeholder"/>
        </w:category>
        <w:types>
          <w:type w:val="bbPlcHdr"/>
        </w:types>
        <w:behaviors>
          <w:behavior w:val="content"/>
        </w:behaviors>
        <w:guid w:val="{1DF86029-8E40-4118-9E43-D177FBA95FDB}"/>
      </w:docPartPr>
      <w:docPartBody>
        <w:p w:rsidR="00977CBC" w:rsidRDefault="00977CBC" w:rsidP="00977CBC">
          <w:pPr>
            <w:pStyle w:val="8CE4FF52988A460BBBEA75B2FE999AA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CBC"/>
    <w:rsid w:val="00977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A98CD9562E462694F0A484B6D45A35">
    <w:name w:val="7AA98CD9562E462694F0A484B6D45A35"/>
    <w:rsid w:val="00977CBC"/>
  </w:style>
  <w:style w:type="paragraph" w:customStyle="1" w:styleId="8CE4FF52988A460BBBEA75B2FE999AAD">
    <w:name w:val="8CE4FF52988A460BBBEA75B2FE999AAD"/>
    <w:rsid w:val="00977C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Chelsey poulton </PublishDate>
  <Abstract/>
  <CompanyAddress>Criminal law</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3ccea089db30944052b64aa33a9a458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a0cf8d61a5fc631527ace101bd4cd9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24748E-03FA-4D71-9495-58225D29CB69}">
  <ds:schemaRefs>
    <ds:schemaRef ds:uri="http://purl.org/dc/elements/1.1/"/>
    <ds:schemaRef ds:uri="http://schemas.microsoft.com/office/2006/documentManagement/types"/>
    <ds:schemaRef ds:uri="http://purl.org/dc/terms/"/>
    <ds:schemaRef ds:uri="f54e4810-f1f5-4bce-aa8e-e4722dc561be"/>
    <ds:schemaRef ds:uri="http://schemas.microsoft.com/office/infopath/2007/PartnerControls"/>
    <ds:schemaRef ds:uri="http://purl.org/dc/dcmitype/"/>
    <ds:schemaRef ds:uri="http://schemas.openxmlformats.org/package/2006/metadata/core-properties"/>
    <ds:schemaRef ds:uri="7b23fa32-4003-4364-bee1-595462966394"/>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42FA751-1BD9-4009-B95E-6F16330D4EC6}">
  <ds:schemaRefs>
    <ds:schemaRef ds:uri="http://schemas.microsoft.com/sharepoint/v3/contenttype/forms"/>
  </ds:schemaRefs>
</ds:datastoreItem>
</file>

<file path=customXml/itemProps4.xml><?xml version="1.0" encoding="utf-8"?>
<ds:datastoreItem xmlns:ds="http://schemas.openxmlformats.org/officeDocument/2006/customXml" ds:itemID="{70FC617E-4E8A-492D-891E-EC98D6413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BMPL4009</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Chelsey Poulton (2007838)</dc:creator>
  <keywords/>
  <dc:description/>
  <lastModifiedBy>Chelsey Poulton (2007838)</lastModifiedBy>
  <revision>3</revision>
  <dcterms:created xsi:type="dcterms:W3CDTF">2023-10-27T19:37:00.0000000Z</dcterms:created>
  <dcterms:modified xsi:type="dcterms:W3CDTF">2023-11-10T12:25:13.6914931Z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