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B6B8C" w14:textId="04CA1140" w:rsidR="00FB242D" w:rsidRPr="00FB242D" w:rsidRDefault="00FB242D" w:rsidP="00FB242D">
      <w:pPr>
        <w:jc w:val="both"/>
        <w:rPr>
          <w:rFonts w:ascii="Arial" w:hAnsi="Arial" w:cs="Arial"/>
        </w:rPr>
      </w:pPr>
      <w:r w:rsidRPr="00FB242D">
        <w:rPr>
          <w:rFonts w:ascii="Arial" w:hAnsi="Arial" w:cs="Arial"/>
        </w:rPr>
        <w:t>Name: Cameron Roberts</w:t>
      </w:r>
    </w:p>
    <w:p w14:paraId="5EBD2B68" w14:textId="7DB7F71D" w:rsidR="00FB242D" w:rsidRPr="00FB242D" w:rsidRDefault="00FB242D" w:rsidP="00FB242D">
      <w:pPr>
        <w:jc w:val="both"/>
        <w:rPr>
          <w:rFonts w:ascii="Arial" w:hAnsi="Arial" w:cs="Arial"/>
        </w:rPr>
      </w:pPr>
      <w:r w:rsidRPr="00FB242D">
        <w:rPr>
          <w:rFonts w:ascii="Arial" w:hAnsi="Arial" w:cs="Arial"/>
        </w:rPr>
        <w:t>Lecturer: Robyn Griffiths</w:t>
      </w:r>
    </w:p>
    <w:p w14:paraId="525DB653" w14:textId="4A738078" w:rsidR="00FB242D" w:rsidRPr="00FB242D" w:rsidRDefault="00FB242D" w:rsidP="00FB242D">
      <w:pPr>
        <w:jc w:val="both"/>
        <w:rPr>
          <w:rFonts w:ascii="Arial" w:hAnsi="Arial" w:cs="Arial"/>
        </w:rPr>
      </w:pPr>
      <w:r w:rsidRPr="00FB242D">
        <w:rPr>
          <w:rFonts w:ascii="Arial" w:hAnsi="Arial" w:cs="Arial"/>
        </w:rPr>
        <w:t>Module code: BMBM4011</w:t>
      </w:r>
    </w:p>
    <w:p w14:paraId="43F02B8E" w14:textId="77777777" w:rsidR="00FB242D" w:rsidRPr="00FB242D" w:rsidRDefault="00FB242D" w:rsidP="00FB242D">
      <w:pPr>
        <w:jc w:val="both"/>
        <w:rPr>
          <w:rFonts w:ascii="Arial" w:hAnsi="Arial" w:cs="Arial"/>
        </w:rPr>
      </w:pPr>
    </w:p>
    <w:p w14:paraId="5EDE857C" w14:textId="15034BF4" w:rsidR="00FB242D" w:rsidRPr="00FB242D" w:rsidRDefault="00FB242D" w:rsidP="00FB242D">
      <w:pPr>
        <w:pStyle w:val="NormalWeb"/>
        <w:jc w:val="both"/>
        <w:rPr>
          <w:rFonts w:ascii="Arial" w:hAnsi="Arial" w:cs="Arial"/>
          <w:color w:val="000000"/>
        </w:rPr>
      </w:pPr>
      <w:r w:rsidRPr="00FB242D">
        <w:rPr>
          <w:rFonts w:ascii="Arial" w:hAnsi="Arial" w:cs="Arial"/>
          <w:color w:val="000000"/>
        </w:rPr>
        <w:t>Cycle Link</w:t>
      </w:r>
      <w:r w:rsidRPr="00FB242D">
        <w:rPr>
          <w:rFonts w:ascii="Arial" w:hAnsi="Arial" w:cs="Arial"/>
          <w:color w:val="000000"/>
        </w:rPr>
        <w:t xml:space="preserve"> is an innovative new sustainable last-mile delivery service that operates in Cardiff and South Wales. This company is transitioning from utilizing diesel powered vans to cargo bikes, electric tricycles, and </w:t>
      </w:r>
      <w:r w:rsidRPr="00FB242D">
        <w:rPr>
          <w:rFonts w:ascii="Arial" w:hAnsi="Arial" w:cs="Arial"/>
          <w:color w:val="000000"/>
        </w:rPr>
        <w:t>neighbourhood</w:t>
      </w:r>
      <w:r w:rsidRPr="00FB242D">
        <w:rPr>
          <w:rFonts w:ascii="Arial" w:hAnsi="Arial" w:cs="Arial"/>
          <w:color w:val="000000"/>
        </w:rPr>
        <w:t xml:space="preserve"> micro-hubs. As opposed to regular delivery companies, this model incorporates circularity into all aspects: by utilizing existing space as </w:t>
      </w:r>
      <w:r w:rsidRPr="00FB242D">
        <w:rPr>
          <w:rFonts w:ascii="Arial" w:hAnsi="Arial" w:cs="Arial"/>
          <w:color w:val="000000"/>
        </w:rPr>
        <w:t>neighbourhood</w:t>
      </w:r>
      <w:r w:rsidRPr="00FB242D">
        <w:rPr>
          <w:rFonts w:ascii="Arial" w:hAnsi="Arial" w:cs="Arial"/>
          <w:color w:val="000000"/>
        </w:rPr>
        <w:t xml:space="preserve"> micro-hubs; by purchasing remanufactured vehicles; by employing and training employees in the local area; and by providing fair wages and opportunities for career advancement to promote employee retention and long-term commitment.</w:t>
      </w:r>
      <w:r w:rsidRPr="00FB242D">
        <w:rPr>
          <w:rFonts w:ascii="Arial" w:hAnsi="Arial" w:cs="Arial"/>
          <w:color w:val="000000"/>
        </w:rPr>
        <w:t xml:space="preserve"> </w:t>
      </w:r>
      <w:r w:rsidRPr="00FB242D">
        <w:rPr>
          <w:rFonts w:ascii="Arial" w:hAnsi="Arial" w:cs="Arial"/>
          <w:color w:val="000000"/>
        </w:rPr>
        <w:t xml:space="preserve">The business plan outlines how </w:t>
      </w:r>
      <w:r w:rsidRPr="00FB242D">
        <w:rPr>
          <w:rFonts w:ascii="Arial" w:hAnsi="Arial" w:cs="Arial"/>
          <w:color w:val="000000"/>
        </w:rPr>
        <w:t>Cycle Link</w:t>
      </w:r>
      <w:r w:rsidRPr="00FB242D">
        <w:rPr>
          <w:rFonts w:ascii="Arial" w:hAnsi="Arial" w:cs="Arial"/>
          <w:color w:val="000000"/>
        </w:rPr>
        <w:t xml:space="preserve"> will address increasing operational cost; increasingly stringent environmental regulations; and consumer demand for environmentally friendly, reliable deliveries. The company utilizes a Lean Testing and Improvement Cycle to reduce risk during launch, with identifiable </w:t>
      </w:r>
      <w:r w:rsidRPr="00FB242D">
        <w:rPr>
          <w:rFonts w:ascii="Arial" w:hAnsi="Arial" w:cs="Arial"/>
          <w:color w:val="000000"/>
        </w:rPr>
        <w:t>timelines</w:t>
      </w:r>
      <w:r w:rsidRPr="00FB242D">
        <w:rPr>
          <w:rFonts w:ascii="Arial" w:hAnsi="Arial" w:cs="Arial"/>
          <w:color w:val="000000"/>
        </w:rPr>
        <w:t xml:space="preserve"> for proving viability for the next two years. In addition to the Business Model Canvas and accompanying visual aids used to describe how value is provided to customers, partners, employees, and communities, the financial projections provide a forecast of when the company will reach </w:t>
      </w:r>
      <w:r w:rsidRPr="00FB242D">
        <w:rPr>
          <w:rFonts w:ascii="Arial" w:hAnsi="Arial" w:cs="Arial"/>
          <w:color w:val="000000"/>
        </w:rPr>
        <w:t>break-even and</w:t>
      </w:r>
      <w:r w:rsidRPr="00FB242D">
        <w:rPr>
          <w:rFonts w:ascii="Arial" w:hAnsi="Arial" w:cs="Arial"/>
          <w:color w:val="000000"/>
        </w:rPr>
        <w:t xml:space="preserve"> achieve consistent growth afterward. The primary objective of </w:t>
      </w:r>
      <w:r w:rsidRPr="00FB242D">
        <w:rPr>
          <w:rFonts w:ascii="Arial" w:hAnsi="Arial" w:cs="Arial"/>
          <w:color w:val="000000"/>
        </w:rPr>
        <w:t>Cycle Link</w:t>
      </w:r>
      <w:r w:rsidRPr="00FB242D">
        <w:rPr>
          <w:rFonts w:ascii="Arial" w:hAnsi="Arial" w:cs="Arial"/>
          <w:color w:val="000000"/>
        </w:rPr>
        <w:t xml:space="preserve"> is to provide long term sustainability through multiple revenue streams; through operationally resilient practices; and through socially and environmentally responsible practices.</w:t>
      </w:r>
    </w:p>
    <w:p w14:paraId="205FADCC" w14:textId="347BED9F"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Last mile delivery is the fast growing and least efficient part of the UK logistics market. In Cardiff, last mile delivery has grown at 42 percent in 2020 alone and is now the primary cause of traffic congestion, poor air quality, excessive noise and parking problems. All current models operate with high levels of gig economy </w:t>
      </w:r>
      <w:r w:rsidRPr="00FB242D">
        <w:rPr>
          <w:rFonts w:ascii="Arial" w:hAnsi="Arial" w:cs="Arial"/>
          <w:color w:val="000000"/>
        </w:rPr>
        <w:t>labour</w:t>
      </w:r>
      <w:r w:rsidRPr="00FB242D">
        <w:rPr>
          <w:rFonts w:ascii="Arial" w:hAnsi="Arial" w:cs="Arial"/>
          <w:color w:val="000000"/>
        </w:rPr>
        <w:t xml:space="preserve"> turnover ranging from 30-40 percent annually and require significant amounts of packaging which cannot be recovered after use. The cost of operating delivery vehicles has significantly increased over recent years due to sharp increases in fuel </w:t>
      </w:r>
      <w:r w:rsidRPr="00FB242D">
        <w:rPr>
          <w:rFonts w:ascii="Arial" w:hAnsi="Arial" w:cs="Arial"/>
          <w:color w:val="000000"/>
        </w:rPr>
        <w:t>prices,</w:t>
      </w:r>
      <w:r w:rsidRPr="00FB242D">
        <w:rPr>
          <w:rFonts w:ascii="Arial" w:hAnsi="Arial" w:cs="Arial"/>
          <w:color w:val="000000"/>
        </w:rPr>
        <w:t xml:space="preserve"> insurance premiums for delivery vehicles, and regulatory compliance costs will continue to rise in line with the introduction of Clean Air Zones (CAZs) and Extended Producer Responsibility (EPR) rules relating to packaging waste. At the same time consumers and businesses alike are increasingly demanding that companies meet their commitments to reducing carbon emissions, improve working conditions through ethical employment practices, and provide greater transparency in supply chain management. Currently there are few viable alternative delivery options available: National carriers offer some small-scale bicycle-based delivery services but do not include these within a broader joined up delivery model; Independent Operators do not have sufficient scale or resilience to compete effectively; Public Sector Trials frequently cease when seed-funding dries up. Currently, there is no company delivering environmentally friendly solutions using circular operations and providing stable employment opportunities while also being financially sustainable. As such most sustainable delivery solutions are considered as 'bolt-on' additions rather than the core service function and therefore they continue to be peripheral and subject to either budgetary reductions or operational adjustments. </w:t>
      </w:r>
      <w:r w:rsidRPr="00FB242D">
        <w:rPr>
          <w:rFonts w:ascii="Arial" w:hAnsi="Arial" w:cs="Arial"/>
          <w:color w:val="000000"/>
        </w:rPr>
        <w:t>Cycle link</w:t>
      </w:r>
      <w:r w:rsidRPr="00FB242D">
        <w:rPr>
          <w:rFonts w:ascii="Arial" w:hAnsi="Arial" w:cs="Arial"/>
          <w:color w:val="000000"/>
        </w:rPr>
        <w:t xml:space="preserve"> is an end-to-end circular delivery solution that replaces rather than supplements traditional </w:t>
      </w:r>
      <w:r w:rsidRPr="00FB242D">
        <w:rPr>
          <w:rFonts w:ascii="Arial" w:hAnsi="Arial" w:cs="Arial"/>
          <w:color w:val="000000"/>
        </w:rPr>
        <w:t>van-based</w:t>
      </w:r>
      <w:r w:rsidRPr="00FB242D">
        <w:rPr>
          <w:rFonts w:ascii="Arial" w:hAnsi="Arial" w:cs="Arial"/>
          <w:color w:val="000000"/>
        </w:rPr>
        <w:t xml:space="preserve"> </w:t>
      </w:r>
      <w:r w:rsidRPr="00FB242D">
        <w:rPr>
          <w:rFonts w:ascii="Arial" w:hAnsi="Arial" w:cs="Arial"/>
          <w:color w:val="000000"/>
        </w:rPr>
        <w:lastRenderedPageBreak/>
        <w:t xml:space="preserve">delivery methods. Zero Emission Fleet - </w:t>
      </w:r>
      <w:r w:rsidRPr="00FB242D">
        <w:rPr>
          <w:rFonts w:ascii="Arial" w:hAnsi="Arial" w:cs="Arial"/>
          <w:color w:val="000000"/>
        </w:rPr>
        <w:t>Cycle link</w:t>
      </w:r>
      <w:r w:rsidRPr="00FB242D">
        <w:rPr>
          <w:rFonts w:ascii="Arial" w:hAnsi="Arial" w:cs="Arial"/>
          <w:color w:val="000000"/>
        </w:rPr>
        <w:t xml:space="preserve"> operates a fleet of zero emission cargo bicycles and electric tricycles. These vehicles will be maintained and refurbished at local workshops to ensure that the vehicles remain operational for extended periods of time prior to replacement. Micro-Hub Network - </w:t>
      </w:r>
      <w:r w:rsidRPr="00FB242D">
        <w:rPr>
          <w:rFonts w:ascii="Arial" w:hAnsi="Arial" w:cs="Arial"/>
          <w:color w:val="000000"/>
        </w:rPr>
        <w:t>Cycle link’s</w:t>
      </w:r>
      <w:r w:rsidRPr="00FB242D">
        <w:rPr>
          <w:rFonts w:ascii="Arial" w:hAnsi="Arial" w:cs="Arial"/>
          <w:color w:val="000000"/>
        </w:rPr>
        <w:t xml:space="preserve"> micro hub network uses existing empty retail unit space, community </w:t>
      </w:r>
      <w:r w:rsidRPr="00FB242D">
        <w:rPr>
          <w:rFonts w:ascii="Arial" w:hAnsi="Arial" w:cs="Arial"/>
          <w:color w:val="000000"/>
        </w:rPr>
        <w:t>centre</w:t>
      </w:r>
      <w:r w:rsidRPr="00FB242D">
        <w:rPr>
          <w:rFonts w:ascii="Arial" w:hAnsi="Arial" w:cs="Arial"/>
          <w:color w:val="000000"/>
        </w:rPr>
        <w:t xml:space="preserve"> space and underutilized carpark space to enable goods to be transferred without requiring additional land purchases or substantial capital expenditures. Circular Logistics - </w:t>
      </w:r>
      <w:r w:rsidRPr="00FB242D">
        <w:rPr>
          <w:rFonts w:ascii="Arial" w:hAnsi="Arial" w:cs="Arial"/>
          <w:color w:val="000000"/>
        </w:rPr>
        <w:t>Cycle link</w:t>
      </w:r>
      <w:r w:rsidRPr="00FB242D">
        <w:rPr>
          <w:rFonts w:ascii="Arial" w:hAnsi="Arial" w:cs="Arial"/>
          <w:color w:val="000000"/>
        </w:rPr>
        <w:t xml:space="preserve"> will utilize reusable crate systems to transport goods and partner with suppliers to sort packaging materials on site. Additionally, </w:t>
      </w:r>
      <w:r w:rsidRPr="00FB242D">
        <w:rPr>
          <w:rFonts w:ascii="Arial" w:hAnsi="Arial" w:cs="Arial"/>
          <w:color w:val="000000"/>
        </w:rPr>
        <w:t>Cycle link</w:t>
      </w:r>
      <w:r w:rsidRPr="00FB242D">
        <w:rPr>
          <w:rFonts w:ascii="Arial" w:hAnsi="Arial" w:cs="Arial"/>
          <w:color w:val="000000"/>
        </w:rPr>
        <w:t xml:space="preserve"> will enter into partnership agreements with organizations who specialize in repairing and reusing all types of equipment utilized throughout its operations. Stable Employment - </w:t>
      </w:r>
      <w:r w:rsidRPr="00FB242D">
        <w:rPr>
          <w:rFonts w:ascii="Arial" w:hAnsi="Arial" w:cs="Arial"/>
          <w:color w:val="000000"/>
        </w:rPr>
        <w:t>Cycle link</w:t>
      </w:r>
      <w:r w:rsidRPr="00FB242D">
        <w:rPr>
          <w:rFonts w:ascii="Arial" w:hAnsi="Arial" w:cs="Arial"/>
          <w:color w:val="000000"/>
        </w:rPr>
        <w:t xml:space="preserve"> will employ staff utilizing </w:t>
      </w:r>
      <w:r w:rsidRPr="00FB242D">
        <w:rPr>
          <w:rFonts w:ascii="Arial" w:hAnsi="Arial" w:cs="Arial"/>
          <w:color w:val="000000"/>
        </w:rPr>
        <w:t>contract-based</w:t>
      </w:r>
      <w:r w:rsidRPr="00FB242D">
        <w:rPr>
          <w:rFonts w:ascii="Arial" w:hAnsi="Arial" w:cs="Arial"/>
          <w:color w:val="000000"/>
        </w:rPr>
        <w:t xml:space="preserve"> employment arrangements offering employees a minimum number of guaranteed hours per week along with training pathways and </w:t>
      </w:r>
      <w:r w:rsidRPr="00FB242D">
        <w:rPr>
          <w:rFonts w:ascii="Arial" w:hAnsi="Arial" w:cs="Arial"/>
          <w:color w:val="000000"/>
        </w:rPr>
        <w:t>profit-sharing</w:t>
      </w:r>
      <w:r w:rsidRPr="00FB242D">
        <w:rPr>
          <w:rFonts w:ascii="Arial" w:hAnsi="Arial" w:cs="Arial"/>
          <w:color w:val="000000"/>
        </w:rPr>
        <w:t xml:space="preserve"> provisions to minimize employee turnover rates and develop long term expertise among its </w:t>
      </w:r>
      <w:r w:rsidRPr="00FB242D">
        <w:rPr>
          <w:rFonts w:ascii="Arial" w:hAnsi="Arial" w:cs="Arial"/>
          <w:color w:val="000000"/>
        </w:rPr>
        <w:t>workforces</w:t>
      </w:r>
      <w:r w:rsidRPr="00FB242D">
        <w:rPr>
          <w:rFonts w:ascii="Arial" w:hAnsi="Arial" w:cs="Arial"/>
          <w:color w:val="000000"/>
        </w:rPr>
        <w:t>.</w:t>
      </w:r>
    </w:p>
    <w:tbl>
      <w:tblPr>
        <w:tblW w:w="11760" w:type="dxa"/>
        <w:tblInd w:w="-1371" w:type="dxa"/>
        <w:tblCellMar>
          <w:top w:w="15" w:type="dxa"/>
          <w:left w:w="15" w:type="dxa"/>
          <w:bottom w:w="15" w:type="dxa"/>
          <w:right w:w="15" w:type="dxa"/>
        </w:tblCellMar>
        <w:tblLook w:val="04A0" w:firstRow="1" w:lastRow="0" w:firstColumn="1" w:lastColumn="0" w:noHBand="0" w:noVBand="1"/>
      </w:tblPr>
      <w:tblGrid>
        <w:gridCol w:w="2354"/>
        <w:gridCol w:w="9406"/>
      </w:tblGrid>
      <w:tr w:rsidR="00FB242D" w:rsidRPr="00FB242D" w14:paraId="2271DC1A" w14:textId="77777777" w:rsidTr="00FB242D">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0EE9F6"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Stakeholder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3279A7"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Core Value</w:t>
            </w:r>
          </w:p>
        </w:tc>
      </w:tr>
      <w:tr w:rsidR="00FB242D" w:rsidRPr="00FB242D" w14:paraId="259588FC"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15A286"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E-retailers &amp; businesses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08905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Lower congestion charges, carbon reporting compliance, reliable same-day service, stronger brand alignment with ethical consumers</w:t>
            </w:r>
          </w:p>
        </w:tc>
      </w:tr>
      <w:tr w:rsidR="00FB242D" w:rsidRPr="00FB242D" w14:paraId="5A168F88" w14:textId="77777777" w:rsidTr="00FB242D">
        <w:trPr>
          <w:trHeight w:val="791"/>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B4F44D"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Households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0D161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Reduced street clutter, lower noise, safer streets, flexible delivery options and reduced carbon footprint</w:t>
            </w:r>
          </w:p>
        </w:tc>
      </w:tr>
      <w:tr w:rsidR="00FB242D" w:rsidRPr="00FB242D" w14:paraId="2A1D0EFD"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8D404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Staff</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E8B96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Secure income, skills development, career progression and a voice in service design</w:t>
            </w:r>
          </w:p>
        </w:tc>
      </w:tr>
      <w:tr w:rsidR="00FB242D" w:rsidRPr="00FB242D" w14:paraId="3A1D05C8"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D4DBB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Local Council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FD290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Improved air quality, fewer traffic incidents, support for empty high street units and progress against net-zero targets</w:t>
            </w:r>
          </w:p>
        </w:tc>
      </w:tr>
    </w:tbl>
    <w:p w14:paraId="18573E0E" w14:textId="0A324EBE"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The term "Sustainability" is used here to mean establishing an organization that </w:t>
      </w:r>
      <w:r w:rsidRPr="00FB242D">
        <w:rPr>
          <w:rFonts w:ascii="Arial" w:hAnsi="Arial" w:cs="Arial"/>
          <w:color w:val="000000"/>
        </w:rPr>
        <w:t>can</w:t>
      </w:r>
      <w:r w:rsidRPr="00FB242D">
        <w:rPr>
          <w:rFonts w:ascii="Arial" w:hAnsi="Arial" w:cs="Arial"/>
          <w:color w:val="000000"/>
        </w:rPr>
        <w:t xml:space="preserve"> remain viable, effective and relevant over time, rather than achieving short-term goals. The framework for this strategy has been based around four interconnected pillars. Each pillar provides the foundation for the others to help protect against changes in the </w:t>
      </w:r>
      <w:r w:rsidRPr="00FB242D">
        <w:rPr>
          <w:rFonts w:ascii="Arial" w:hAnsi="Arial" w:cs="Arial"/>
          <w:color w:val="000000"/>
        </w:rPr>
        <w:t>marketplace</w:t>
      </w:r>
      <w:r w:rsidRPr="00FB242D">
        <w:rPr>
          <w:rFonts w:ascii="Arial" w:hAnsi="Arial" w:cs="Arial"/>
          <w:color w:val="000000"/>
        </w:rPr>
        <w:t>, cost increases and regulatory risks.</w:t>
      </w:r>
    </w:p>
    <w:p w14:paraId="65F45794" w14:textId="2089068F" w:rsidR="00FB242D" w:rsidRPr="00FB242D" w:rsidRDefault="00FB242D" w:rsidP="00FB242D">
      <w:pPr>
        <w:pStyle w:val="NormalWeb"/>
        <w:jc w:val="both"/>
        <w:rPr>
          <w:rFonts w:ascii="Arial" w:hAnsi="Arial" w:cs="Arial"/>
          <w:color w:val="000000"/>
        </w:rPr>
      </w:pPr>
      <w:r w:rsidRPr="00FB242D">
        <w:rPr>
          <w:rFonts w:ascii="Arial" w:hAnsi="Arial" w:cs="Arial"/>
          <w:color w:val="000000"/>
        </w:rPr>
        <w:t>1: circular model and operationally resilient</w:t>
      </w:r>
      <w:r w:rsidRPr="00FB242D">
        <w:rPr>
          <w:rFonts w:ascii="Arial" w:hAnsi="Arial" w:cs="Arial"/>
          <w:color w:val="000000"/>
        </w:rPr>
        <w:br/>
        <w:t xml:space="preserve">It is imperative to avoid dependence on unstable, volatile supply chains and/or one-time funding. </w:t>
      </w:r>
      <w:r w:rsidRPr="00FB242D">
        <w:rPr>
          <w:rFonts w:ascii="Arial" w:hAnsi="Arial" w:cs="Arial"/>
          <w:color w:val="000000"/>
        </w:rPr>
        <w:t>Cycle Link’s</w:t>
      </w:r>
      <w:r w:rsidRPr="00FB242D">
        <w:rPr>
          <w:rFonts w:ascii="Arial" w:hAnsi="Arial" w:cs="Arial"/>
          <w:color w:val="000000"/>
        </w:rPr>
        <w:t xml:space="preserve"> circular model eliminates many of the risks associated with cost shocks and regulatory shock:</w:t>
      </w:r>
    </w:p>
    <w:p w14:paraId="69D0C751" w14:textId="53637E8A"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 Vehicles purchased from manufacturers of refurbished Vehicles. All Vehicles are maintained by </w:t>
      </w:r>
      <w:r w:rsidRPr="00FB242D">
        <w:rPr>
          <w:rFonts w:ascii="Arial" w:hAnsi="Arial" w:cs="Arial"/>
          <w:color w:val="000000"/>
        </w:rPr>
        <w:t>Cycle Link</w:t>
      </w:r>
      <w:r w:rsidRPr="00FB242D">
        <w:rPr>
          <w:rFonts w:ascii="Arial" w:hAnsi="Arial" w:cs="Arial"/>
          <w:color w:val="000000"/>
        </w:rPr>
        <w:t xml:space="preserve"> in-house by our </w:t>
      </w:r>
      <w:r w:rsidRPr="00FB242D">
        <w:rPr>
          <w:rFonts w:ascii="Arial" w:hAnsi="Arial" w:cs="Arial"/>
          <w:color w:val="000000"/>
        </w:rPr>
        <w:t>fully trained</w:t>
      </w:r>
      <w:r w:rsidRPr="00FB242D">
        <w:rPr>
          <w:rFonts w:ascii="Arial" w:hAnsi="Arial" w:cs="Arial"/>
          <w:color w:val="000000"/>
        </w:rPr>
        <w:t xml:space="preserve"> staff. Any parts replaced due to wear &amp; tear are either repaired, or recycled, increasing the lifespan of Vehicles by 3-4 times compared to those Vehicles used by competitors and reducing replacement costs by approximately 60% during a five-year period.</w:t>
      </w:r>
    </w:p>
    <w:p w14:paraId="097B669D"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lastRenderedPageBreak/>
        <w:t>• hubs utilize existing unused/underutilized space. Flexible rolling lease arrangements of 3-6 months provide the ability to rapidly increase/decrease the size of the fleet/hub(s), relocate hubs, etc. In direct relation to changes in demand.</w:t>
      </w:r>
    </w:p>
    <w:p w14:paraId="5E1C55FF" w14:textId="10787C2C"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 packaging is collected from customers, cleaned and re-used. Single-use materials are reduced as much as possible. Unavoidable waste is sent to local recycling facilities instead of landfills. These actions will allow </w:t>
      </w:r>
      <w:r w:rsidRPr="00FB242D">
        <w:rPr>
          <w:rFonts w:ascii="Arial" w:hAnsi="Arial" w:cs="Arial"/>
          <w:color w:val="000000"/>
        </w:rPr>
        <w:t>Cycle Link</w:t>
      </w:r>
      <w:r w:rsidRPr="00FB242D">
        <w:rPr>
          <w:rFonts w:ascii="Arial" w:hAnsi="Arial" w:cs="Arial"/>
          <w:color w:val="000000"/>
        </w:rPr>
        <w:t xml:space="preserve"> to comply with EPR regulations that require producers to fund packaging recovery beginning </w:t>
      </w:r>
      <w:r w:rsidRPr="00FB242D">
        <w:rPr>
          <w:rFonts w:ascii="Arial" w:hAnsi="Arial" w:cs="Arial"/>
          <w:color w:val="000000"/>
        </w:rPr>
        <w:t>January</w:t>
      </w:r>
      <w:r w:rsidRPr="00FB242D">
        <w:rPr>
          <w:rFonts w:ascii="Arial" w:hAnsi="Arial" w:cs="Arial"/>
          <w:color w:val="000000"/>
        </w:rPr>
        <w:t xml:space="preserve"> 1st, 2027.</w:t>
      </w:r>
    </w:p>
    <w:p w14:paraId="001C03FD"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energy required to power hubs and electric vehicle charging is procured from local renewable suppliers. On-site solar panels will be installed at each hub location in year two, thereby protecting against potential increases in energy prices.</w:t>
      </w:r>
    </w:p>
    <w:p w14:paraId="4DD1A70C" w14:textId="31EA6BFD"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Additionally, the operational resilience built into this circular model also allows </w:t>
      </w:r>
      <w:r w:rsidRPr="00FB242D">
        <w:rPr>
          <w:rFonts w:ascii="Arial" w:hAnsi="Arial" w:cs="Arial"/>
          <w:color w:val="000000"/>
        </w:rPr>
        <w:t>Cycle Link</w:t>
      </w:r>
      <w:r w:rsidRPr="00FB242D">
        <w:rPr>
          <w:rFonts w:ascii="Arial" w:hAnsi="Arial" w:cs="Arial"/>
          <w:color w:val="000000"/>
        </w:rPr>
        <w:t xml:space="preserve"> to proactively address potential regulatory compliance issues. As Wales begins to implement stricter CAZ charges and net-zero requirements for public sector contractors, </w:t>
      </w:r>
      <w:r w:rsidRPr="00FB242D">
        <w:rPr>
          <w:rFonts w:ascii="Arial" w:hAnsi="Arial" w:cs="Arial"/>
          <w:color w:val="000000"/>
        </w:rPr>
        <w:t>Cycle Link</w:t>
      </w:r>
      <w:r w:rsidRPr="00FB242D">
        <w:rPr>
          <w:rFonts w:ascii="Arial" w:hAnsi="Arial" w:cs="Arial"/>
          <w:color w:val="000000"/>
        </w:rPr>
        <w:t xml:space="preserve"> will already meet or exceed these requirements, thus eliminating potential financial penalties and positioning them as the preferred provider of transportation services within their respective markets.</w:t>
      </w:r>
    </w:p>
    <w:p w14:paraId="7F0262A8" w14:textId="42563CD4" w:rsidR="00FB242D" w:rsidRPr="00FB242D" w:rsidRDefault="00FB242D" w:rsidP="00FB242D">
      <w:pPr>
        <w:pStyle w:val="NormalWeb"/>
        <w:jc w:val="both"/>
        <w:rPr>
          <w:rFonts w:ascii="Arial" w:hAnsi="Arial" w:cs="Arial"/>
          <w:color w:val="000000"/>
        </w:rPr>
      </w:pPr>
      <w:r w:rsidRPr="00FB242D">
        <w:rPr>
          <w:rFonts w:ascii="Arial" w:hAnsi="Arial" w:cs="Arial"/>
          <w:color w:val="000000"/>
        </w:rPr>
        <w:t>2: multiple revenue streams and market positioning</w:t>
      </w:r>
      <w:r w:rsidRPr="00FB242D">
        <w:rPr>
          <w:rFonts w:ascii="Arial" w:hAnsi="Arial" w:cs="Arial"/>
          <w:color w:val="000000"/>
        </w:rPr>
        <w:br/>
        <w:t xml:space="preserve">One of the most common causes of early failure for start-ups is relying too heavily on one client or revenue source. Therefore, </w:t>
      </w:r>
      <w:r w:rsidRPr="00FB242D">
        <w:rPr>
          <w:rFonts w:ascii="Arial" w:hAnsi="Arial" w:cs="Arial"/>
          <w:color w:val="000000"/>
        </w:rPr>
        <w:t>Cycle Link</w:t>
      </w:r>
      <w:r w:rsidRPr="00FB242D">
        <w:rPr>
          <w:rFonts w:ascii="Arial" w:hAnsi="Arial" w:cs="Arial"/>
          <w:color w:val="000000"/>
        </w:rPr>
        <w:t xml:space="preserve"> plans to develop three separate yet equally viable revenue streams. None of the revenue streams will represent more than 50% of </w:t>
      </w:r>
      <w:r w:rsidRPr="00FB242D">
        <w:rPr>
          <w:rFonts w:ascii="Arial" w:hAnsi="Arial" w:cs="Arial"/>
          <w:color w:val="000000"/>
        </w:rPr>
        <w:t>Cycle Link’s</w:t>
      </w:r>
      <w:r w:rsidRPr="00FB242D">
        <w:rPr>
          <w:rFonts w:ascii="Arial" w:hAnsi="Arial" w:cs="Arial"/>
          <w:color w:val="000000"/>
        </w:rPr>
        <w:t xml:space="preserve"> total annual revenue at any point in time:</w:t>
      </w:r>
    </w:p>
    <w:p w14:paraId="198FB375" w14:textId="75746A34"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 commercial delivery services: parcels/groceries/small goods delivered for independent retail stores, local e-commerce companies and regional distributors. This represents </w:t>
      </w:r>
      <w:r w:rsidRPr="00FB242D">
        <w:rPr>
          <w:rFonts w:ascii="Arial" w:hAnsi="Arial" w:cs="Arial"/>
          <w:color w:val="000000"/>
        </w:rPr>
        <w:t>Cycle Link’s</w:t>
      </w:r>
      <w:r w:rsidRPr="00FB242D">
        <w:rPr>
          <w:rFonts w:ascii="Arial" w:hAnsi="Arial" w:cs="Arial"/>
          <w:color w:val="000000"/>
        </w:rPr>
        <w:t xml:space="preserve"> primary source of revenue from day one, expanding upon volume and creating an established presence within the </w:t>
      </w:r>
      <w:r w:rsidRPr="00FB242D">
        <w:rPr>
          <w:rFonts w:ascii="Arial" w:hAnsi="Arial" w:cs="Arial"/>
          <w:color w:val="000000"/>
        </w:rPr>
        <w:t>marketplace</w:t>
      </w:r>
      <w:r w:rsidRPr="00FB242D">
        <w:rPr>
          <w:rFonts w:ascii="Arial" w:hAnsi="Arial" w:cs="Arial"/>
          <w:color w:val="000000"/>
        </w:rPr>
        <w:t>.</w:t>
      </w:r>
    </w:p>
    <w:p w14:paraId="26F8F3B8"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community services: secure drop/pick-up points/returns handling/small local removals. Building upon community-based services will enhance daily foot traffic, foster loyalty among consumers and ensure consistent revenue regardless of fluctuations in commercial deliveries.</w:t>
      </w:r>
    </w:p>
    <w:p w14:paraId="37AAB422" w14:textId="5EFF64B3" w:rsidR="00FB242D" w:rsidRPr="00FB242D" w:rsidRDefault="00FB242D" w:rsidP="00FB242D">
      <w:pPr>
        <w:pStyle w:val="NormalWeb"/>
        <w:jc w:val="both"/>
        <w:rPr>
          <w:rFonts w:ascii="Arial" w:hAnsi="Arial" w:cs="Arial"/>
          <w:color w:val="000000"/>
        </w:rPr>
      </w:pPr>
      <w:r w:rsidRPr="00FB242D">
        <w:rPr>
          <w:rFonts w:ascii="Arial" w:hAnsi="Arial" w:cs="Arial"/>
          <w:color w:val="000000"/>
        </w:rPr>
        <w:t>Cycle Link’s</w:t>
      </w:r>
      <w:r w:rsidRPr="00FB242D">
        <w:rPr>
          <w:rFonts w:ascii="Arial" w:hAnsi="Arial" w:cs="Arial"/>
          <w:color w:val="000000"/>
        </w:rPr>
        <w:t xml:space="preserve"> pricing structure will offer competitive pricing to diesel alternatives while including congestion charges/fines/reputational risk within overall costs. Premium pricing will be offered to businesses interested in utilizing zero-carbon certified delivery options as part of their Sustainability initiatives. As volumes grow, so do the natural economy-of-scale reductions in unit costs resulting in a sustainable margin reserve without compromise regarding quality or employee compensation.</w:t>
      </w:r>
    </w:p>
    <w:p w14:paraId="2ACD5179" w14:textId="6388BE4A" w:rsidR="00FB242D" w:rsidRPr="00FB242D" w:rsidRDefault="00FB242D" w:rsidP="00FB242D">
      <w:pPr>
        <w:pStyle w:val="NormalWeb"/>
        <w:jc w:val="both"/>
        <w:rPr>
          <w:rFonts w:ascii="Arial" w:hAnsi="Arial" w:cs="Arial"/>
          <w:color w:val="000000"/>
        </w:rPr>
      </w:pPr>
      <w:r w:rsidRPr="00FB242D">
        <w:rPr>
          <w:rFonts w:ascii="Arial" w:hAnsi="Arial" w:cs="Arial"/>
          <w:color w:val="000000"/>
        </w:rPr>
        <w:t>3: employees and organizational resiliency</w:t>
      </w:r>
      <w:r w:rsidRPr="00FB242D">
        <w:rPr>
          <w:rFonts w:ascii="Arial" w:hAnsi="Arial" w:cs="Arial"/>
          <w:color w:val="000000"/>
        </w:rPr>
        <w:br/>
        <w:t xml:space="preserve">A delivery network relies solely on its employees. Gig-economy models have experienced high levels of turnover resulting in poor service quality, increased training costs and ultimately damage to consumer confidence. </w:t>
      </w:r>
      <w:r w:rsidRPr="00FB242D">
        <w:rPr>
          <w:rFonts w:ascii="Arial" w:hAnsi="Arial" w:cs="Arial"/>
          <w:color w:val="000000"/>
        </w:rPr>
        <w:t>Cycle Link</w:t>
      </w:r>
      <w:r w:rsidRPr="00FB242D">
        <w:rPr>
          <w:rFonts w:ascii="Arial" w:hAnsi="Arial" w:cs="Arial"/>
          <w:color w:val="000000"/>
        </w:rPr>
        <w:t xml:space="preserve"> will focus on developing a reliable, competent workforce through:</w:t>
      </w:r>
    </w:p>
    <w:p w14:paraId="21BB4F9F"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lastRenderedPageBreak/>
        <w:t>• providing guaranteed hours, paid statutory benefits, along with wages above the real living wage. Removing per-job wage structures that expose employees to fluctuating incomes.</w:t>
      </w:r>
    </w:p>
    <w:p w14:paraId="29EA573D"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structured training programs focused on route planning/vehicle maintenance/customer service/sustainable operations. Developing clear career development paths for employees from delivery rider/hub manager/training lead.</w:t>
      </w:r>
    </w:p>
    <w:p w14:paraId="1E2175C9"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implementing performance bonuses tied to customer satisfaction/environmental impact. Introduce profit-sharing plans available to all employees from year two.</w:t>
      </w:r>
    </w:p>
    <w:p w14:paraId="273D804E"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involving delivery teams in service design example routing vehicle locations/hub selection/trailing new packaging options enhancing employee engagement &amp; leveraging employee insights.</w:t>
      </w:r>
    </w:p>
    <w:p w14:paraId="7D6FEB87"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These measures will produce a workforce that continually enhances service quality overtime versus repeatedly restarting service quality efforts every year. Additionally, creating a positive employer brand will support recruitment &amp; retention efforts while minimizing advertising expenses.</w:t>
      </w:r>
    </w:p>
    <w:p w14:paraId="49AB86EA"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4: innovative adaptation and partnerships</w:t>
      </w:r>
      <w:r w:rsidRPr="00FB242D">
        <w:rPr>
          <w:rFonts w:ascii="Arial" w:hAnsi="Arial" w:cs="Arial"/>
          <w:color w:val="000000"/>
        </w:rPr>
        <w:br/>
        <w:t>Maintaining longevity requires continued innovation vs maintaining a stagnant final product. Cycle Link will incorporate learning from day one &amp; establish strategic alliances to minimize risk while expanding reach:</w:t>
      </w:r>
    </w:p>
    <w:p w14:paraId="54639600"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collaborate with Cardiff university's sustainable logistics research group to measure emissions/efficiency/social impact metrics, feed data directly back into service improvement initiatives, &amp; provide independent evidence to funders and customers.</w:t>
      </w:r>
    </w:p>
    <w:p w14:paraId="0B7E536C"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partner with local repair co-ops/bike hubs to create a circular supply chain reducing maintenance costs &amp; creating training opportunities for staff members.</w:t>
      </w:r>
    </w:p>
    <w:p w14:paraId="08530C69"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join national sustainable logistics networks to develop best practice sharing/opposition policy influence &amp; expand access to larger contract opportunities.</w:t>
      </w:r>
    </w:p>
    <w:p w14:paraId="750FD821"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 develop open-sourced route planning tool optimized for bikes &amp; trikes which can be updated/shared among other operators to build collective influence while establishing Cycle Link as a leader within its industry</w:t>
      </w:r>
    </w:p>
    <w:p w14:paraId="58B4B2D5" w14:textId="77777777" w:rsidR="00FB242D" w:rsidRPr="00FB242D" w:rsidRDefault="00FB242D" w:rsidP="00FB242D">
      <w:pPr>
        <w:pStyle w:val="NormalWeb"/>
        <w:jc w:val="both"/>
        <w:rPr>
          <w:rFonts w:ascii="Arial" w:hAnsi="Arial" w:cs="Arial"/>
          <w:color w:val="000000"/>
        </w:rPr>
      </w:pPr>
    </w:p>
    <w:tbl>
      <w:tblPr>
        <w:tblpPr w:leftFromText="180" w:rightFromText="180" w:vertAnchor="text" w:horzAnchor="margin" w:tblpXSpec="center" w:tblpY="4712"/>
        <w:tblW w:w="11760" w:type="dxa"/>
        <w:tblCellMar>
          <w:top w:w="15" w:type="dxa"/>
          <w:left w:w="15" w:type="dxa"/>
          <w:bottom w:w="15" w:type="dxa"/>
          <w:right w:w="15" w:type="dxa"/>
        </w:tblCellMar>
        <w:tblLook w:val="04A0" w:firstRow="1" w:lastRow="0" w:firstColumn="1" w:lastColumn="0" w:noHBand="0" w:noVBand="1"/>
      </w:tblPr>
      <w:tblGrid>
        <w:gridCol w:w="2517"/>
        <w:gridCol w:w="2181"/>
        <w:gridCol w:w="2271"/>
        <w:gridCol w:w="2447"/>
        <w:gridCol w:w="2344"/>
      </w:tblGrid>
      <w:tr w:rsidR="00FB242D" w:rsidRPr="00FB242D" w14:paraId="1E9A9A73" w14:textId="77777777" w:rsidTr="00FB242D">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92B0FE"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lastRenderedPageBreak/>
              <w:t>Key Partners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9CEA60"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Key Activities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D82026"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Value Propositions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55F8EB"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Customer Relationships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3B222A"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Customer Segments</w:t>
            </w:r>
          </w:p>
        </w:tc>
      </w:tr>
      <w:tr w:rsidR="00FB242D" w:rsidRPr="00FB242D" w14:paraId="693BCD8C"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23E48D"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Independent retailers &amp; local e-commerce brands</w:t>
            </w:r>
          </w:p>
          <w:p w14:paraId="7803C697"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Cardiff Council &amp; public bodies</w:t>
            </w:r>
          </w:p>
          <w:p w14:paraId="43E6991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Remanufactured cargo vehicle suppliers</w:t>
            </w:r>
          </w:p>
          <w:p w14:paraId="008C32D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Community centres &amp; empty high street owners</w:t>
            </w:r>
          </w:p>
          <w:p w14:paraId="1D883FE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Local renewable energy providers</w:t>
            </w:r>
          </w:p>
          <w:p w14:paraId="0F0723F5"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Bike repair co-operatives &amp; circular logistics networks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FB3A1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Last-mile collection &amp; timed delivery</w:t>
            </w:r>
          </w:p>
          <w:p w14:paraId="03F082E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Micro-hub management &amp; stock holding</w:t>
            </w:r>
          </w:p>
          <w:p w14:paraId="3CD98688"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Fleet maintenance, repair &amp; remanufacture</w:t>
            </w:r>
          </w:p>
          <w:p w14:paraId="000AE59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Route optimisation &amp; service scheduling</w:t>
            </w:r>
          </w:p>
          <w:p w14:paraId="3D177DD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Staff training &amp; impact reporting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44929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Zero-emission, low-noise last-mile delivery</w:t>
            </w:r>
          </w:p>
          <w:p w14:paraId="66B8129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Reliable, transparent service with real-time tracking</w:t>
            </w:r>
          </w:p>
          <w:p w14:paraId="3EAD974D"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Automatic compliance with CAZ &amp; carbon reporting</w:t>
            </w:r>
          </w:p>
          <w:p w14:paraId="24922F27"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Fair employment &amp; local economic investment</w:t>
            </w:r>
          </w:p>
          <w:p w14:paraId="1727BE4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Reusable packaging &amp; minimal waste operations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BAFB0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Dedicated account management for contract partners</w:t>
            </w:r>
          </w:p>
          <w:p w14:paraId="223D7B4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Monthly performance reviews &amp; impact updates</w:t>
            </w:r>
          </w:p>
          <w:p w14:paraId="2BAF726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Regular customer &amp; community feedback surveys</w:t>
            </w:r>
          </w:p>
          <w:p w14:paraId="04C43C2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Face-to-face check-ins with delivery teams</w:t>
            </w:r>
          </w:p>
          <w:p w14:paraId="77434A46"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Transparent public reporting of social &amp; environmental impact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85578A"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Independent shops &amp; small online businesses</w:t>
            </w:r>
          </w:p>
          <w:p w14:paraId="757C299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Cardiff Council, health boards &amp; public services</w:t>
            </w:r>
          </w:p>
          <w:p w14:paraId="375370D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Residential households &amp; neighbourhood groups</w:t>
            </w:r>
          </w:p>
          <w:p w14:paraId="171C1DB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Schools, universities &amp; community organisations</w:t>
            </w:r>
          </w:p>
          <w:p w14:paraId="2CAC4E1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Event organisers &amp; local businesses</w:t>
            </w:r>
          </w:p>
        </w:tc>
      </w:tr>
      <w:tr w:rsidR="00FB242D" w:rsidRPr="00FB242D" w14:paraId="5A7748C7"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4958DD"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Key Resources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E2EA6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48572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Channels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43465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Cost Structure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ED1CD1"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Revenue Streams</w:t>
            </w:r>
          </w:p>
        </w:tc>
      </w:tr>
      <w:tr w:rsidR="00FB242D" w:rsidRPr="00FB242D" w14:paraId="61911A45"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2FE5B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Cargo bike &amp; electric trike fleet</w:t>
            </w:r>
          </w:p>
          <w:p w14:paraId="218D6FA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Network of accessible neighbourhood micro-hubs</w:t>
            </w:r>
          </w:p>
          <w:p w14:paraId="4A0069E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Trained, directly employed workforce</w:t>
            </w:r>
          </w:p>
          <w:p w14:paraId="0CEA8FEB"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lastRenderedPageBreak/>
              <w:t>- IT systems for tracking, scheduling &amp; reporting</w:t>
            </w:r>
          </w:p>
          <w:p w14:paraId="1D9FE02C"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Registered social enterprise status &amp; trusted brand</w:t>
            </w:r>
          </w:p>
          <w:p w14:paraId="1967BB7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Established local partnership network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90C3DD"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B6CF2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Direct sales &amp; partnership agreements</w:t>
            </w:r>
          </w:p>
          <w:p w14:paraId="6F34D04B"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Online booking &amp; management platform</w:t>
            </w:r>
          </w:p>
          <w:p w14:paraId="5827CCF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On-street delivery &amp; collection points</w:t>
            </w:r>
          </w:p>
          <w:p w14:paraId="09F0474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lastRenderedPageBreak/>
              <w:t>- Local business networks &amp; council procurement portals</w:t>
            </w:r>
          </w:p>
          <w:p w14:paraId="61EC27B1"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Word-of-mouth &amp; local media coverage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BB9F85"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lastRenderedPageBreak/>
              <w:t>- Fleet purchase, maintenance &amp; upgrades</w:t>
            </w:r>
          </w:p>
          <w:p w14:paraId="27E3929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Hub rental, utilities &amp; equipment</w:t>
            </w:r>
          </w:p>
          <w:p w14:paraId="607AE266"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Staff wages, training &amp; benefits</w:t>
            </w:r>
          </w:p>
          <w:p w14:paraId="654C4A7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lastRenderedPageBreak/>
              <w:t>- Insurance, admin &amp; professional fees</w:t>
            </w:r>
          </w:p>
          <w:p w14:paraId="3AD13775"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Marketing, tendering &amp; partnership development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7494BE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lastRenderedPageBreak/>
              <w:t>- Per-parcel &amp; per-drop delivery fees</w:t>
            </w:r>
          </w:p>
          <w:p w14:paraId="21F108C7"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Monthly/annual service retainers</w:t>
            </w:r>
          </w:p>
          <w:p w14:paraId="36EA6E7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Returns handling &amp; secure storage fees</w:t>
            </w:r>
          </w:p>
          <w:p w14:paraId="5A9BCF1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lastRenderedPageBreak/>
              <w:t>- Public sector framework contracts</w:t>
            </w:r>
          </w:p>
          <w:p w14:paraId="2663E691"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Green business grants &amp; social enterprise funding</w:t>
            </w:r>
          </w:p>
        </w:tc>
      </w:tr>
    </w:tbl>
    <w:p w14:paraId="307C76A1" w14:textId="77777777" w:rsidR="00FB242D" w:rsidRPr="00FB242D" w:rsidRDefault="00FB242D" w:rsidP="00FB242D">
      <w:pPr>
        <w:pStyle w:val="NormalWeb"/>
        <w:jc w:val="both"/>
        <w:rPr>
          <w:rFonts w:ascii="Arial" w:hAnsi="Arial" w:cs="Arial"/>
          <w:color w:val="000000"/>
        </w:rPr>
      </w:pPr>
    </w:p>
    <w:p w14:paraId="44917D92" w14:textId="77777777" w:rsidR="00FB242D" w:rsidRPr="00FB242D" w:rsidRDefault="00FB242D" w:rsidP="00FB242D">
      <w:pPr>
        <w:jc w:val="both"/>
        <w:rPr>
          <w:rFonts w:ascii="Arial" w:hAnsi="Arial" w:cs="Arial"/>
        </w:rPr>
      </w:pPr>
    </w:p>
    <w:p w14:paraId="5CFE2BF1" w14:textId="3961A5B3" w:rsidR="00FB242D" w:rsidRPr="00FB242D" w:rsidRDefault="00FB242D" w:rsidP="00FB242D">
      <w:pPr>
        <w:jc w:val="both"/>
        <w:rPr>
          <w:rFonts w:ascii="Arial" w:hAnsi="Arial" w:cs="Arial"/>
        </w:rPr>
      </w:pPr>
      <w:r w:rsidRPr="00FB242D">
        <w:rPr>
          <w:rFonts w:ascii="Arial" w:hAnsi="Arial" w:cs="Arial"/>
        </w:rPr>
        <w:t>The cost for setup will be £28,500 funded through startup grants.</w:t>
      </w:r>
    </w:p>
    <w:tbl>
      <w:tblPr>
        <w:tblW w:w="11760" w:type="dxa"/>
        <w:tblInd w:w="-1381" w:type="dxa"/>
        <w:tblCellMar>
          <w:top w:w="15" w:type="dxa"/>
          <w:left w:w="15" w:type="dxa"/>
          <w:bottom w:w="15" w:type="dxa"/>
          <w:right w:w="15" w:type="dxa"/>
        </w:tblCellMar>
        <w:tblLook w:val="04A0" w:firstRow="1" w:lastRow="0" w:firstColumn="1" w:lastColumn="0" w:noHBand="0" w:noVBand="1"/>
      </w:tblPr>
      <w:tblGrid>
        <w:gridCol w:w="9684"/>
        <w:gridCol w:w="2076"/>
      </w:tblGrid>
      <w:tr w:rsidR="00FB242D" w:rsidRPr="00FB242D" w14:paraId="24FC23CD" w14:textId="77777777" w:rsidTr="00FB242D">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32CEC5"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Item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33381B"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Cost</w:t>
            </w:r>
          </w:p>
        </w:tc>
      </w:tr>
      <w:tr w:rsidR="00FB242D" w:rsidRPr="00FB242D" w14:paraId="46F74613"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F62798"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4 remanufactured cargo bikes + 1 electric trike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59D96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£14,000</w:t>
            </w:r>
          </w:p>
        </w:tc>
      </w:tr>
      <w:tr w:rsidR="00FB242D" w:rsidRPr="00FB242D" w14:paraId="65EA4369"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481D1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IT systems, booking platform &amp; branding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901108"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£4,500</w:t>
            </w:r>
          </w:p>
        </w:tc>
      </w:tr>
      <w:tr w:rsidR="00FB242D" w:rsidRPr="00FB242D" w14:paraId="06BEFE7E"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28F56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Hub setup, storage &amp; reusable packaging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95A42BC"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£5,000</w:t>
            </w:r>
          </w:p>
        </w:tc>
      </w:tr>
      <w:tr w:rsidR="00FB242D" w:rsidRPr="00FB242D" w14:paraId="284DAFD3"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35D33B"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Initial training, insurance &amp; legal compliance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F565C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£5,000</w:t>
            </w:r>
          </w:p>
        </w:tc>
      </w:tr>
    </w:tbl>
    <w:p w14:paraId="18FA7D96" w14:textId="77777777" w:rsidR="00FB242D" w:rsidRPr="00FB242D" w:rsidRDefault="00FB242D" w:rsidP="00FB242D">
      <w:pPr>
        <w:jc w:val="both"/>
        <w:rPr>
          <w:rFonts w:ascii="Arial" w:hAnsi="Arial" w:cs="Arial"/>
        </w:rPr>
      </w:pPr>
    </w:p>
    <w:p w14:paraId="11CD20F9" w14:textId="6E01693A" w:rsidR="00FB242D" w:rsidRPr="00FB242D" w:rsidRDefault="00FB242D" w:rsidP="00FB242D">
      <w:pPr>
        <w:jc w:val="both"/>
        <w:rPr>
          <w:rFonts w:ascii="Arial" w:hAnsi="Arial" w:cs="Arial"/>
        </w:rPr>
      </w:pPr>
      <w:r w:rsidRPr="00FB242D">
        <w:rPr>
          <w:rFonts w:ascii="Arial" w:hAnsi="Arial" w:cs="Arial"/>
        </w:rPr>
        <w:t>Year 1 to 2 projections:</w:t>
      </w:r>
    </w:p>
    <w:tbl>
      <w:tblPr>
        <w:tblW w:w="11760" w:type="dxa"/>
        <w:tblInd w:w="-1381" w:type="dxa"/>
        <w:tblCellMar>
          <w:top w:w="15" w:type="dxa"/>
          <w:left w:w="15" w:type="dxa"/>
          <w:bottom w:w="15" w:type="dxa"/>
          <w:right w:w="15" w:type="dxa"/>
        </w:tblCellMar>
        <w:tblLook w:val="04A0" w:firstRow="1" w:lastRow="0" w:firstColumn="1" w:lastColumn="0" w:noHBand="0" w:noVBand="1"/>
      </w:tblPr>
      <w:tblGrid>
        <w:gridCol w:w="3945"/>
        <w:gridCol w:w="3718"/>
        <w:gridCol w:w="4097"/>
      </w:tblGrid>
      <w:tr w:rsidR="00FB242D" w:rsidRPr="00FB242D" w14:paraId="15B1E5B7" w14:textId="77777777" w:rsidTr="00FB242D">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D4F6A5"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Metric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06E4E5"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Year 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87ED92"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Year 2</w:t>
            </w:r>
          </w:p>
        </w:tc>
      </w:tr>
      <w:tr w:rsidR="00FB242D" w:rsidRPr="00FB242D" w14:paraId="10EA0A37"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C651A1"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Average daily deliveries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367783"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180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93B740"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450</w:t>
            </w:r>
          </w:p>
        </w:tc>
      </w:tr>
      <w:tr w:rsidR="00FB242D" w:rsidRPr="00FB242D" w14:paraId="2F89D104"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968C1C"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Total annual revenue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8A0DDA"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£92,000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422B74"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£248,000</w:t>
            </w:r>
          </w:p>
        </w:tc>
      </w:tr>
      <w:tr w:rsidR="00FB242D" w:rsidRPr="00FB242D" w14:paraId="5A4B2E9D"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24520E"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Total operating costs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6CC77D"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£81,000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2DEF8A"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£195,000</w:t>
            </w:r>
          </w:p>
        </w:tc>
      </w:tr>
      <w:tr w:rsidR="00FB242D" w:rsidRPr="00FB242D" w14:paraId="713701CE"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4820B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Net profit / surplus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1AFB9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£11,000 (12% margin)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31DEA5"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£53,000 (21% margin)</w:t>
            </w:r>
          </w:p>
        </w:tc>
      </w:tr>
      <w:tr w:rsidR="00FB242D" w:rsidRPr="00FB242D" w14:paraId="346ACB9D"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4D3FE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Cumulative position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9AA20B"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Break-even Month 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476142"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£64,000 retained surplus</w:t>
            </w:r>
          </w:p>
        </w:tc>
      </w:tr>
    </w:tbl>
    <w:p w14:paraId="6AFBCBE2" w14:textId="77777777" w:rsidR="00FB242D" w:rsidRPr="00FB242D" w:rsidRDefault="00FB242D" w:rsidP="00FB242D">
      <w:pPr>
        <w:jc w:val="both"/>
        <w:rPr>
          <w:rFonts w:ascii="Arial" w:hAnsi="Arial" w:cs="Arial"/>
        </w:rPr>
      </w:pPr>
    </w:p>
    <w:p w14:paraId="3542DCA6"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The viability of the business model has been enhanced through several safeguarding measures:</w:t>
      </w:r>
    </w:p>
    <w:p w14:paraId="611791B0"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Capital expenditures were minimized by eliminating a requirement to construct depots, purchasing imported new vehicles, or acquiring proprietary technology.</w:t>
      </w:r>
    </w:p>
    <w:p w14:paraId="603CEE6B"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lastRenderedPageBreak/>
        <w:t>Eligibility for grants: The social enterprise qualifies for Welsh Government Green Business Grants, Social Enterprise Development Fund support, and funding from the UK Shared Prosperity Fund.</w:t>
      </w:r>
    </w:p>
    <w:p w14:paraId="1C9364C7"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Costs can grow in response to increasing revenues: Vehicles and employees are only added after a level of revenue is realized from current services, as opposed to taking on substantial expense before that revenue stream exists.</w:t>
      </w:r>
    </w:p>
    <w:p w14:paraId="5D8DDAF7"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Security of cash flow: A minimum of 40% of annual income comes from fixed term contracts with payment terms ranging from 30 – 60 days which reduces exposure to delayed payments or seasonal fluctuations.</w:t>
      </w:r>
    </w:p>
    <w:p w14:paraId="26162A2C"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Resources</w:t>
      </w:r>
      <w:r w:rsidRPr="00FB242D">
        <w:rPr>
          <w:rFonts w:ascii="Arial" w:hAnsi="Arial" w:cs="Arial"/>
          <w:color w:val="000000"/>
        </w:rPr>
        <w:br/>
        <w:t>People: In Year One there will be 2 Full-Time Founders, 3 Delivery Staff and in Year Two there will be an additional 5 Delivery Staff making it a total of 8 Delivery Staff. All Employees have been trained in Sustainable Logistics, Circular Operations and Customer Service.</w:t>
      </w:r>
    </w:p>
    <w:p w14:paraId="3B5C97CD"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Physical Assets: Zero-Emission Remanufactured Vehicle Fleet; 3 Micro-Hubs located throughout Cardiff City Centre (Cardiff Bay), Canton and Roath; Fully Reusable Crate System and Sorting Equipment.</w:t>
      </w:r>
    </w:p>
    <w:p w14:paraId="6A3867B1"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Intangible Assets: Registered Community Interest Company (CIC); Independent Impact Verification; Formal Partnerships with Cardiff Council and Cardiff Business Club</w:t>
      </w:r>
    </w:p>
    <w:tbl>
      <w:tblPr>
        <w:tblpPr w:leftFromText="180" w:rightFromText="180" w:vertAnchor="text" w:horzAnchor="margin" w:tblpXSpec="center" w:tblpY="196"/>
        <w:tblW w:w="11760" w:type="dxa"/>
        <w:tblCellMar>
          <w:top w:w="15" w:type="dxa"/>
          <w:left w:w="15" w:type="dxa"/>
          <w:bottom w:w="15" w:type="dxa"/>
          <w:right w:w="15" w:type="dxa"/>
        </w:tblCellMar>
        <w:tblLook w:val="04A0" w:firstRow="1" w:lastRow="0" w:firstColumn="1" w:lastColumn="0" w:noHBand="0" w:noVBand="1"/>
      </w:tblPr>
      <w:tblGrid>
        <w:gridCol w:w="1967"/>
        <w:gridCol w:w="1229"/>
        <w:gridCol w:w="4353"/>
        <w:gridCol w:w="4211"/>
      </w:tblGrid>
      <w:tr w:rsidR="00FB242D" w:rsidRPr="00FB242D" w14:paraId="76CED9AC" w14:textId="77777777" w:rsidTr="00FB242D">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7D44F0"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Phase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CA7DFC"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Period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4FFB60"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Key Actions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6B48A5" w14:textId="77777777" w:rsidR="00FB242D" w:rsidRPr="00FB242D" w:rsidRDefault="00FB242D" w:rsidP="00FB242D">
            <w:pPr>
              <w:spacing w:after="0" w:line="240" w:lineRule="auto"/>
              <w:jc w:val="both"/>
              <w:rPr>
                <w:rFonts w:ascii="Arial" w:eastAsia="Times New Roman" w:hAnsi="Arial" w:cs="Arial"/>
                <w:b/>
                <w:bCs/>
                <w:color w:val="000000"/>
                <w:kern w:val="0"/>
                <w:lang w:eastAsia="en-GB"/>
                <w14:ligatures w14:val="none"/>
              </w:rPr>
            </w:pPr>
            <w:r w:rsidRPr="00FB242D">
              <w:rPr>
                <w:rFonts w:ascii="Arial" w:eastAsia="Times New Roman" w:hAnsi="Arial" w:cs="Arial"/>
                <w:b/>
                <w:bCs/>
                <w:color w:val="000000"/>
                <w:kern w:val="0"/>
                <w:lang w:eastAsia="en-GB"/>
                <w14:ligatures w14:val="none"/>
              </w:rPr>
              <w:t>Success Metrics</w:t>
            </w:r>
          </w:p>
        </w:tc>
      </w:tr>
      <w:tr w:rsidR="00FB242D" w:rsidRPr="00FB242D" w14:paraId="5F8BAEEC"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81A5B9" w14:textId="03F48CE5"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 xml:space="preserve">Test &amp; </w:t>
            </w:r>
            <w:r w:rsidRPr="00FB242D">
              <w:rPr>
                <w:rFonts w:ascii="Arial" w:eastAsia="Times New Roman" w:hAnsi="Arial" w:cs="Arial"/>
                <w:b/>
                <w:bCs/>
                <w:color w:val="000000"/>
                <w:kern w:val="0"/>
                <w:lang w:eastAsia="en-GB"/>
                <w14:ligatures w14:val="none"/>
              </w:rPr>
              <w:t>validate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BFAF5B"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Months 1–6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B7075A" w14:textId="1CA7429A"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 xml:space="preserve">Pilot 2 micro-hubs; secure 8–10 launch partners; operate </w:t>
            </w:r>
            <w:r w:rsidRPr="00FB242D">
              <w:rPr>
                <w:rFonts w:ascii="Arial" w:eastAsia="Times New Roman" w:hAnsi="Arial" w:cs="Arial"/>
                <w:color w:val="000000"/>
                <w:kern w:val="0"/>
                <w:lang w:eastAsia="en-GB"/>
                <w14:ligatures w14:val="none"/>
              </w:rPr>
              <w:t>limited-service</w:t>
            </w:r>
            <w:r w:rsidRPr="00FB242D">
              <w:rPr>
                <w:rFonts w:ascii="Arial" w:eastAsia="Times New Roman" w:hAnsi="Arial" w:cs="Arial"/>
                <w:color w:val="000000"/>
                <w:kern w:val="0"/>
                <w:lang w:eastAsia="en-GB"/>
                <w14:ligatures w14:val="none"/>
              </w:rPr>
              <w:t xml:space="preserve"> zone; collect full operational data</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A20AF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95% on-time delivery rate; 80% client retention; positive gross margin per delivery</w:t>
            </w:r>
          </w:p>
        </w:tc>
      </w:tr>
      <w:tr w:rsidR="00FB242D" w:rsidRPr="00FB242D" w14:paraId="46E1740A"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C283FB"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Scale &amp; Secure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4DEB68"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Months 7–18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4CC99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Launch 3rd hub; secure public sector framework place; expand fleet by 50%; introduce profit-share scheme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DEE41A"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180 average daily deliveries; overall break-even; 15+ long-term contracted partners</w:t>
            </w:r>
          </w:p>
        </w:tc>
      </w:tr>
      <w:tr w:rsidR="00FB242D" w:rsidRPr="00FB242D" w14:paraId="5A65EF99" w14:textId="77777777" w:rsidTr="00FB242D">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2D7F1F"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b/>
                <w:bCs/>
                <w:color w:val="000000"/>
                <w:kern w:val="0"/>
                <w:lang w:eastAsia="en-GB"/>
                <w14:ligatures w14:val="none"/>
              </w:rPr>
              <w:t>Consolidate &amp; Innovate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7299C9"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Months 19–24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827F78"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Add solar charging at main hub; launch closed-loop packaging service; expand to Newport &amp; Vale of Glamorgan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611B6C" w14:textId="77777777" w:rsidR="00FB242D" w:rsidRPr="00FB242D" w:rsidRDefault="00FB242D" w:rsidP="00FB242D">
            <w:pPr>
              <w:spacing w:after="0" w:line="240" w:lineRule="auto"/>
              <w:jc w:val="both"/>
              <w:rPr>
                <w:rFonts w:ascii="Arial" w:eastAsia="Times New Roman" w:hAnsi="Arial" w:cs="Arial"/>
                <w:color w:val="000000"/>
                <w:kern w:val="0"/>
                <w:lang w:eastAsia="en-GB"/>
                <w14:ligatures w14:val="none"/>
              </w:rPr>
            </w:pPr>
            <w:r w:rsidRPr="00FB242D">
              <w:rPr>
                <w:rFonts w:ascii="Arial" w:eastAsia="Times New Roman" w:hAnsi="Arial" w:cs="Arial"/>
                <w:color w:val="000000"/>
                <w:kern w:val="0"/>
                <w:lang w:eastAsia="en-GB"/>
                <w14:ligatures w14:val="none"/>
              </w:rPr>
              <w:t>450 average daily deliveries; 20%+ net margin; recognised as Wales’ leading sustainable delivery provider</w:t>
            </w:r>
          </w:p>
        </w:tc>
      </w:tr>
    </w:tbl>
    <w:p w14:paraId="152DF07E" w14:textId="77777777" w:rsidR="00FB242D" w:rsidRPr="00FB242D" w:rsidRDefault="00FB242D" w:rsidP="00FB242D">
      <w:pPr>
        <w:jc w:val="both"/>
        <w:rPr>
          <w:rFonts w:ascii="Arial" w:hAnsi="Arial" w:cs="Arial"/>
        </w:rPr>
      </w:pPr>
    </w:p>
    <w:p w14:paraId="096A1BA1" w14:textId="77777777" w:rsidR="00FB242D" w:rsidRPr="00FB242D" w:rsidRDefault="00FB242D" w:rsidP="00FB242D">
      <w:pPr>
        <w:jc w:val="both"/>
        <w:rPr>
          <w:rFonts w:ascii="Arial" w:hAnsi="Arial" w:cs="Arial"/>
        </w:rPr>
      </w:pPr>
    </w:p>
    <w:p w14:paraId="013B87FF" w14:textId="6B98E4EE" w:rsidR="00FB242D" w:rsidRPr="00FB242D" w:rsidRDefault="00FB242D" w:rsidP="00FB242D">
      <w:pPr>
        <w:pStyle w:val="NormalWeb"/>
        <w:jc w:val="both"/>
        <w:rPr>
          <w:rFonts w:ascii="Arial" w:hAnsi="Arial" w:cs="Arial"/>
          <w:color w:val="000000"/>
        </w:rPr>
      </w:pPr>
      <w:r w:rsidRPr="00FB242D">
        <w:rPr>
          <w:rFonts w:ascii="Arial" w:hAnsi="Arial" w:cs="Arial"/>
          <w:color w:val="000000"/>
        </w:rPr>
        <w:t>Phase 1: Pilot Learning (Months 1-6) —</w:t>
      </w:r>
      <w:r w:rsidRPr="00FB242D">
        <w:rPr>
          <w:rStyle w:val="apple-converted-space"/>
          <w:rFonts w:ascii="Arial" w:eastAsiaTheme="majorEastAsia" w:hAnsi="Arial" w:cs="Arial"/>
          <w:color w:val="000000"/>
        </w:rPr>
        <w:t> </w:t>
      </w:r>
      <w:r w:rsidRPr="00FB242D">
        <w:rPr>
          <w:rFonts w:ascii="Arial" w:hAnsi="Arial" w:cs="Arial"/>
          <w:color w:val="000000"/>
        </w:rPr>
        <w:br/>
        <w:t xml:space="preserve">We will launch a small initial group of trusted partners within a defined geographic area. We will collect both quantitative data on cost per delivery, travel time, fleet reliability, and customer satisfaction along with qualitative feedback from the riders, hub hosts and </w:t>
      </w:r>
      <w:r w:rsidRPr="00FB242D">
        <w:rPr>
          <w:rFonts w:ascii="Arial" w:hAnsi="Arial" w:cs="Arial"/>
          <w:color w:val="000000"/>
        </w:rPr>
        <w:t>residents</w:t>
      </w:r>
      <w:r w:rsidRPr="00FB242D">
        <w:rPr>
          <w:rFonts w:ascii="Arial" w:hAnsi="Arial" w:cs="Arial"/>
          <w:color w:val="000000"/>
        </w:rPr>
        <w:t xml:space="preserve">. The weekly team meetings and monthly partner workshops will allow us to identify practical ways to improve our operation — i.e., what are the </w:t>
      </w:r>
      <w:r w:rsidRPr="00FB242D">
        <w:rPr>
          <w:rFonts w:ascii="Arial" w:hAnsi="Arial" w:cs="Arial"/>
          <w:color w:val="000000"/>
        </w:rPr>
        <w:lastRenderedPageBreak/>
        <w:t>best hours to open hubs? How do we better define our routes? What package types will work best?</w:t>
      </w:r>
    </w:p>
    <w:p w14:paraId="63DD03B9" w14:textId="271E6E7E" w:rsidR="00FB242D" w:rsidRPr="00FB242D" w:rsidRDefault="00FB242D" w:rsidP="00FB242D">
      <w:pPr>
        <w:pStyle w:val="NormalWeb"/>
        <w:jc w:val="both"/>
        <w:rPr>
          <w:rFonts w:ascii="Arial" w:hAnsi="Arial" w:cs="Arial"/>
          <w:color w:val="000000"/>
        </w:rPr>
      </w:pPr>
      <w:r w:rsidRPr="00FB242D">
        <w:rPr>
          <w:rFonts w:ascii="Arial" w:hAnsi="Arial" w:cs="Arial"/>
          <w:color w:val="000000"/>
        </w:rPr>
        <w:t xml:space="preserve">Phase 2: Evidence-Based Scaling (Months 7-18), we will roll-out successful changes before adding more capacity. If electric trikes increase parcel deliveries by 25% in hills areas compared to gas powered </w:t>
      </w:r>
      <w:r w:rsidRPr="00FB242D">
        <w:rPr>
          <w:rFonts w:ascii="Arial" w:hAnsi="Arial" w:cs="Arial"/>
          <w:color w:val="000000"/>
        </w:rPr>
        <w:t>vehicles,</w:t>
      </w:r>
      <w:r w:rsidRPr="00FB242D">
        <w:rPr>
          <w:rFonts w:ascii="Arial" w:hAnsi="Arial" w:cs="Arial"/>
          <w:color w:val="000000"/>
        </w:rPr>
        <w:t xml:space="preserve"> then the type of vehicle in the fleet will be adjusted. If there is higher demand for packages delivered in the </w:t>
      </w:r>
      <w:r w:rsidRPr="00FB242D">
        <w:rPr>
          <w:rFonts w:ascii="Arial" w:hAnsi="Arial" w:cs="Arial"/>
          <w:color w:val="000000"/>
        </w:rPr>
        <w:t>evenings,</w:t>
      </w:r>
      <w:r w:rsidRPr="00FB242D">
        <w:rPr>
          <w:rFonts w:ascii="Arial" w:hAnsi="Arial" w:cs="Arial"/>
          <w:color w:val="000000"/>
        </w:rPr>
        <w:t xml:space="preserve"> then the hours of operation will be increased.</w:t>
      </w:r>
    </w:p>
    <w:p w14:paraId="30E4B1FE" w14:textId="77777777" w:rsidR="00FB242D" w:rsidRPr="00FB242D" w:rsidRDefault="00FB242D" w:rsidP="00FB242D">
      <w:pPr>
        <w:pStyle w:val="NormalWeb"/>
        <w:jc w:val="both"/>
        <w:rPr>
          <w:rFonts w:ascii="Arial" w:hAnsi="Arial" w:cs="Arial"/>
          <w:color w:val="000000"/>
        </w:rPr>
      </w:pPr>
      <w:r w:rsidRPr="00FB242D">
        <w:rPr>
          <w:rFonts w:ascii="Arial" w:hAnsi="Arial" w:cs="Arial"/>
          <w:color w:val="000000"/>
        </w:rPr>
        <w:t>No new locations or services will be implemented without a complete cost benefit analysis and pilot trial.</w:t>
      </w:r>
    </w:p>
    <w:p w14:paraId="508D1DC9" w14:textId="7AD615C2" w:rsidR="00FB242D" w:rsidRPr="00FB242D" w:rsidRDefault="00FB242D" w:rsidP="00FB242D">
      <w:pPr>
        <w:pStyle w:val="NormalWeb"/>
        <w:jc w:val="both"/>
        <w:rPr>
          <w:rFonts w:ascii="Arial" w:hAnsi="Arial" w:cs="Arial"/>
          <w:color w:val="000000"/>
        </w:rPr>
      </w:pPr>
      <w:r w:rsidRPr="00FB242D">
        <w:rPr>
          <w:rFonts w:ascii="Arial" w:hAnsi="Arial" w:cs="Arial"/>
          <w:color w:val="000000"/>
        </w:rPr>
        <w:t>Phase 3: Embedded Continuous Improvement (Months 19-24) —</w:t>
      </w:r>
      <w:r w:rsidRPr="00FB242D">
        <w:rPr>
          <w:rStyle w:val="apple-converted-space"/>
          <w:rFonts w:ascii="Arial" w:eastAsiaTheme="majorEastAsia" w:hAnsi="Arial" w:cs="Arial"/>
          <w:color w:val="000000"/>
        </w:rPr>
        <w:t> </w:t>
      </w:r>
      <w:r w:rsidRPr="00FB242D">
        <w:rPr>
          <w:rFonts w:ascii="Arial" w:hAnsi="Arial" w:cs="Arial"/>
          <w:color w:val="000000"/>
        </w:rPr>
        <w:br/>
        <w:t xml:space="preserve">The entire </w:t>
      </w:r>
      <w:r w:rsidRPr="00FB242D">
        <w:rPr>
          <w:rFonts w:ascii="Arial" w:hAnsi="Arial" w:cs="Arial"/>
          <w:color w:val="000000"/>
        </w:rPr>
        <w:t>Cycle Link</w:t>
      </w:r>
      <w:r w:rsidRPr="00FB242D">
        <w:rPr>
          <w:rFonts w:ascii="Arial" w:hAnsi="Arial" w:cs="Arial"/>
          <w:color w:val="000000"/>
        </w:rPr>
        <w:t xml:space="preserve"> Team will review a live dashboard of operational, financial, and social metrics each month. These metrics will help us find inefficiencies prior to them costing money, find new business opportunities such as delivering prescriptions to people's homes or managing returns for online purchases, and provide transparent information about how </w:t>
      </w:r>
      <w:r w:rsidRPr="00FB242D">
        <w:rPr>
          <w:rFonts w:ascii="Arial" w:hAnsi="Arial" w:cs="Arial"/>
          <w:color w:val="000000"/>
        </w:rPr>
        <w:t>Cycle Link</w:t>
      </w:r>
      <w:r w:rsidRPr="00FB242D">
        <w:rPr>
          <w:rFonts w:ascii="Arial" w:hAnsi="Arial" w:cs="Arial"/>
          <w:color w:val="000000"/>
        </w:rPr>
        <w:t xml:space="preserve"> impacts its community. Additionally, </w:t>
      </w:r>
      <w:r w:rsidRPr="00FB242D">
        <w:rPr>
          <w:rFonts w:ascii="Arial" w:hAnsi="Arial" w:cs="Arial"/>
          <w:color w:val="000000"/>
        </w:rPr>
        <w:t>Cycle Link</w:t>
      </w:r>
      <w:r w:rsidRPr="00FB242D">
        <w:rPr>
          <w:rFonts w:ascii="Arial" w:hAnsi="Arial" w:cs="Arial"/>
          <w:color w:val="000000"/>
        </w:rPr>
        <w:t xml:space="preserve"> will produce an independent annual impact report detailing lessons learned from this project which can be used to inform future projects being developed by other companies/organizations and policy makers seeking to make positive change across the industry.</w:t>
      </w:r>
    </w:p>
    <w:p w14:paraId="59D4D217" w14:textId="5723703C" w:rsidR="00FB242D" w:rsidRPr="00FB242D" w:rsidRDefault="00FB242D" w:rsidP="00FB242D">
      <w:pPr>
        <w:pStyle w:val="NormalWeb"/>
        <w:jc w:val="both"/>
        <w:rPr>
          <w:rFonts w:ascii="Arial" w:hAnsi="Arial" w:cs="Arial"/>
          <w:color w:val="000000"/>
        </w:rPr>
      </w:pPr>
      <w:r w:rsidRPr="00FB242D">
        <w:rPr>
          <w:rFonts w:ascii="Arial" w:hAnsi="Arial" w:cs="Arial"/>
          <w:color w:val="000000"/>
        </w:rPr>
        <w:t>Cycle Link</w:t>
      </w:r>
      <w:r w:rsidRPr="00FB242D">
        <w:rPr>
          <w:rFonts w:ascii="Arial" w:hAnsi="Arial" w:cs="Arial"/>
          <w:color w:val="000000"/>
        </w:rPr>
        <w:t xml:space="preserve"> can provide an established, proven pathway to a better </w:t>
      </w:r>
      <w:r w:rsidRPr="00FB242D">
        <w:rPr>
          <w:rFonts w:ascii="Arial" w:hAnsi="Arial" w:cs="Arial"/>
          <w:color w:val="000000"/>
        </w:rPr>
        <w:t>environmentally sustainable</w:t>
      </w:r>
      <w:r w:rsidRPr="00FB242D">
        <w:rPr>
          <w:rFonts w:ascii="Arial" w:hAnsi="Arial" w:cs="Arial"/>
          <w:color w:val="000000"/>
        </w:rPr>
        <w:t xml:space="preserve"> delivery model which will be both commercially viable as well as socially equitable and resilient in terms of operational performance. Recommendations include obtaining immediate seed funding for the pilot phase; securing 5-10 launch partners by signing contracts with them; and initiating the identification process for the potential sites of the hubs within four weeks</w:t>
      </w:r>
    </w:p>
    <w:p w14:paraId="3C269338" w14:textId="77777777"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Cardiff Council (2026) </w:t>
      </w:r>
      <w:r w:rsidRPr="00FB242D">
        <w:rPr>
          <w:rFonts w:ascii="Arial" w:hAnsi="Arial" w:cs="Arial"/>
          <w:i/>
          <w:iCs/>
          <w:kern w:val="0"/>
        </w:rPr>
        <w:t>Decarbonising the supply chain</w:t>
      </w:r>
      <w:r w:rsidRPr="00FB242D">
        <w:rPr>
          <w:rFonts w:ascii="Arial" w:hAnsi="Arial" w:cs="Arial"/>
          <w:kern w:val="0"/>
        </w:rPr>
        <w:t xml:space="preserve">. Available at: </w:t>
      </w:r>
      <w:hyperlink r:id="rId4" w:history="1">
        <w:r w:rsidRPr="00FB242D">
          <w:rPr>
            <w:rFonts w:ascii="Arial" w:hAnsi="Arial" w:cs="Arial"/>
            <w:kern w:val="0"/>
            <w:u w:val="single"/>
          </w:rPr>
          <w:t>Cardiff Council – Decarbonising the Supply Chain</w:t>
        </w:r>
      </w:hyperlink>
      <w:r w:rsidRPr="00FB242D">
        <w:rPr>
          <w:rFonts w:ascii="Arial" w:hAnsi="Arial" w:cs="Arial"/>
          <w:kern w:val="0"/>
        </w:rPr>
        <w:t xml:space="preserve"> (Accessed: 31 July 2026).</w:t>
      </w:r>
    </w:p>
    <w:p w14:paraId="2A0DAFAA"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2EEA9261" w14:textId="460E34D5"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Cardiff Council (2026) </w:t>
      </w:r>
      <w:r w:rsidRPr="00FB242D">
        <w:rPr>
          <w:rFonts w:ascii="Arial" w:hAnsi="Arial" w:cs="Arial"/>
          <w:i/>
          <w:iCs/>
          <w:kern w:val="0"/>
        </w:rPr>
        <w:t>Living Wage accreditation support scheme</w:t>
      </w:r>
      <w:r w:rsidRPr="00FB242D">
        <w:rPr>
          <w:rFonts w:ascii="Arial" w:hAnsi="Arial" w:cs="Arial"/>
          <w:kern w:val="0"/>
        </w:rPr>
        <w:t xml:space="preserve">. Available at: </w:t>
      </w:r>
      <w:hyperlink r:id="rId5" w:history="1">
        <w:r w:rsidRPr="00FB242D">
          <w:rPr>
            <w:rFonts w:ascii="Arial" w:hAnsi="Arial" w:cs="Arial"/>
            <w:kern w:val="0"/>
            <w:u w:val="single"/>
          </w:rPr>
          <w:t>Cardiff Council – Living Wage Accreditation Support Scheme</w:t>
        </w:r>
      </w:hyperlink>
      <w:r w:rsidRPr="00FB242D">
        <w:rPr>
          <w:rFonts w:ascii="Arial" w:hAnsi="Arial" w:cs="Arial"/>
          <w:kern w:val="0"/>
        </w:rPr>
        <w:t xml:space="preserve"> (Accessed: 31 July 2026).</w:t>
      </w:r>
    </w:p>
    <w:p w14:paraId="43B69BFF"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77FE4E34" w14:textId="62B137CD"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Cardiff Council (2026) </w:t>
      </w:r>
      <w:r w:rsidRPr="00FB242D">
        <w:rPr>
          <w:rFonts w:ascii="Arial" w:hAnsi="Arial" w:cs="Arial"/>
          <w:i/>
          <w:iCs/>
          <w:kern w:val="0"/>
        </w:rPr>
        <w:t>Policies, procedures and guidance</w:t>
      </w:r>
      <w:r w:rsidRPr="00FB242D">
        <w:rPr>
          <w:rFonts w:ascii="Arial" w:hAnsi="Arial" w:cs="Arial"/>
          <w:kern w:val="0"/>
        </w:rPr>
        <w:t xml:space="preserve">. Available at: </w:t>
      </w:r>
      <w:hyperlink r:id="rId6" w:history="1">
        <w:r w:rsidRPr="00FB242D">
          <w:rPr>
            <w:rFonts w:ascii="Arial" w:hAnsi="Arial" w:cs="Arial"/>
            <w:kern w:val="0"/>
            <w:u w:val="single"/>
          </w:rPr>
          <w:t>Cardiff Council – Procurement Policies and Guidance</w:t>
        </w:r>
      </w:hyperlink>
      <w:r w:rsidRPr="00FB242D">
        <w:rPr>
          <w:rFonts w:ascii="Arial" w:hAnsi="Arial" w:cs="Arial"/>
          <w:kern w:val="0"/>
        </w:rPr>
        <w:t xml:space="preserve"> (Accessed: 31 July 2026).</w:t>
      </w:r>
    </w:p>
    <w:p w14:paraId="3316A342"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720B1F38" w14:textId="4F8B6E63"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Department for Environment, Food &amp; Rural Affairs (2026) </w:t>
      </w:r>
      <w:r w:rsidRPr="00FB242D">
        <w:rPr>
          <w:rFonts w:ascii="Arial" w:hAnsi="Arial" w:cs="Arial"/>
          <w:i/>
          <w:iCs/>
          <w:kern w:val="0"/>
        </w:rPr>
        <w:t>Circular economy: guidance for mayoral strategic authorities</w:t>
      </w:r>
      <w:r w:rsidRPr="00FB242D">
        <w:rPr>
          <w:rFonts w:ascii="Arial" w:hAnsi="Arial" w:cs="Arial"/>
          <w:kern w:val="0"/>
        </w:rPr>
        <w:t xml:space="preserve">. Available at: </w:t>
      </w:r>
      <w:hyperlink r:id="rId7" w:history="1">
        <w:r w:rsidRPr="00FB242D">
          <w:rPr>
            <w:rFonts w:ascii="Arial" w:hAnsi="Arial" w:cs="Arial"/>
            <w:kern w:val="0"/>
            <w:u w:val="single"/>
          </w:rPr>
          <w:t>DEFRA – Circular Economy Guidance</w:t>
        </w:r>
      </w:hyperlink>
      <w:r w:rsidRPr="00FB242D">
        <w:rPr>
          <w:rFonts w:ascii="Arial" w:hAnsi="Arial" w:cs="Arial"/>
          <w:kern w:val="0"/>
        </w:rPr>
        <w:t xml:space="preserve"> (Accessed: 31 July 2026).</w:t>
      </w:r>
    </w:p>
    <w:p w14:paraId="405DC155"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2FB98AA0" w14:textId="0681E5E9"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Department for Environment, Food &amp; Rural Affairs (2023) </w:t>
      </w:r>
      <w:r w:rsidRPr="00FB242D">
        <w:rPr>
          <w:rFonts w:ascii="Arial" w:hAnsi="Arial" w:cs="Arial"/>
          <w:i/>
          <w:iCs/>
          <w:kern w:val="0"/>
        </w:rPr>
        <w:t>The waste prevention programme for England: Maximising Resources, Minimising Waste</w:t>
      </w:r>
      <w:r w:rsidRPr="00FB242D">
        <w:rPr>
          <w:rFonts w:ascii="Arial" w:hAnsi="Arial" w:cs="Arial"/>
          <w:kern w:val="0"/>
        </w:rPr>
        <w:t xml:space="preserve">. Available at: </w:t>
      </w:r>
      <w:hyperlink r:id="rId8" w:history="1">
        <w:r w:rsidRPr="00FB242D">
          <w:rPr>
            <w:rFonts w:ascii="Arial" w:hAnsi="Arial" w:cs="Arial"/>
            <w:kern w:val="0"/>
            <w:u w:val="single"/>
          </w:rPr>
          <w:t>DEFRA – Waste Prevention Programme</w:t>
        </w:r>
      </w:hyperlink>
      <w:r w:rsidRPr="00FB242D">
        <w:rPr>
          <w:rFonts w:ascii="Arial" w:hAnsi="Arial" w:cs="Arial"/>
          <w:kern w:val="0"/>
        </w:rPr>
        <w:t xml:space="preserve"> (Accessed: 31 July 2026).</w:t>
      </w:r>
    </w:p>
    <w:p w14:paraId="01EAF356"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7C07E986" w14:textId="67CEC1BA"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Department for Environment, Food &amp; Rural Affairs, Welsh Government, Scottish Government and DAERA (2020) </w:t>
      </w:r>
      <w:r w:rsidRPr="00FB242D">
        <w:rPr>
          <w:rFonts w:ascii="Arial" w:hAnsi="Arial" w:cs="Arial"/>
          <w:i/>
          <w:iCs/>
          <w:kern w:val="0"/>
        </w:rPr>
        <w:t>Circular Economy Package policy statement</w:t>
      </w:r>
      <w:r w:rsidRPr="00FB242D">
        <w:rPr>
          <w:rFonts w:ascii="Arial" w:hAnsi="Arial" w:cs="Arial"/>
          <w:kern w:val="0"/>
        </w:rPr>
        <w:t xml:space="preserve">. Available at: </w:t>
      </w:r>
      <w:hyperlink r:id="rId9" w:history="1">
        <w:r w:rsidRPr="00FB242D">
          <w:rPr>
            <w:rFonts w:ascii="Arial" w:hAnsi="Arial" w:cs="Arial"/>
            <w:kern w:val="0"/>
            <w:u w:val="single"/>
          </w:rPr>
          <w:t>Circular Economy Package Policy Statement</w:t>
        </w:r>
      </w:hyperlink>
      <w:r w:rsidRPr="00FB242D">
        <w:rPr>
          <w:rFonts w:ascii="Arial" w:hAnsi="Arial" w:cs="Arial"/>
          <w:kern w:val="0"/>
        </w:rPr>
        <w:t xml:space="preserve"> (Accessed: 31 July 2026).</w:t>
      </w:r>
    </w:p>
    <w:p w14:paraId="0305141E"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5696ABDF" w14:textId="2D85D9E6"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Cardiff Circular Economy Network (2026) </w:t>
      </w:r>
      <w:r w:rsidRPr="00FB242D">
        <w:rPr>
          <w:rFonts w:ascii="Arial" w:hAnsi="Arial" w:cs="Arial"/>
          <w:i/>
          <w:iCs/>
          <w:kern w:val="0"/>
        </w:rPr>
        <w:t>Home</w:t>
      </w:r>
      <w:r w:rsidRPr="00FB242D">
        <w:rPr>
          <w:rFonts w:ascii="Arial" w:hAnsi="Arial" w:cs="Arial"/>
          <w:kern w:val="0"/>
        </w:rPr>
        <w:t xml:space="preserve">. Available at: </w:t>
      </w:r>
      <w:hyperlink r:id="rId10" w:history="1">
        <w:r w:rsidRPr="00FB242D">
          <w:rPr>
            <w:rFonts w:ascii="Arial" w:hAnsi="Arial" w:cs="Arial"/>
            <w:kern w:val="0"/>
            <w:u w:val="single"/>
          </w:rPr>
          <w:t>Cardiff Circular Economy Network</w:t>
        </w:r>
      </w:hyperlink>
      <w:r w:rsidRPr="00FB242D">
        <w:rPr>
          <w:rFonts w:ascii="Arial" w:hAnsi="Arial" w:cs="Arial"/>
          <w:kern w:val="0"/>
        </w:rPr>
        <w:t xml:space="preserve"> (Accessed: 31 July 2026).</w:t>
      </w:r>
    </w:p>
    <w:p w14:paraId="08E8CE28"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6D4C5CF4" w14:textId="74E178EB"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De Angelis, R. and Vesci, M. (2024) </w:t>
      </w:r>
      <w:r w:rsidRPr="00FB242D">
        <w:rPr>
          <w:rFonts w:ascii="Arial" w:hAnsi="Arial" w:cs="Arial"/>
          <w:i/>
          <w:iCs/>
          <w:kern w:val="0"/>
        </w:rPr>
        <w:t>Circular economy business models, value creation and humane entrepreneurship: A micro-sized and social enterprise perspective</w:t>
      </w:r>
      <w:r w:rsidRPr="00FB242D">
        <w:rPr>
          <w:rFonts w:ascii="Arial" w:hAnsi="Arial" w:cs="Arial"/>
          <w:kern w:val="0"/>
        </w:rPr>
        <w:t xml:space="preserve">. Available at: </w:t>
      </w:r>
      <w:hyperlink r:id="rId11" w:history="1">
        <w:r w:rsidRPr="00FB242D">
          <w:rPr>
            <w:rFonts w:ascii="Arial" w:hAnsi="Arial" w:cs="Arial"/>
            <w:kern w:val="0"/>
            <w:u w:val="single"/>
          </w:rPr>
          <w:t>Cardiff University ORCA Repository</w:t>
        </w:r>
      </w:hyperlink>
      <w:r w:rsidRPr="00FB242D">
        <w:rPr>
          <w:rFonts w:ascii="Arial" w:hAnsi="Arial" w:cs="Arial"/>
          <w:kern w:val="0"/>
        </w:rPr>
        <w:t xml:space="preserve"> (Accessed: 31 July 2026).</w:t>
      </w:r>
    </w:p>
    <w:p w14:paraId="47C1CACC"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2596FFC4" w14:textId="66398575"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Cardiff University (2021) </w:t>
      </w:r>
      <w:r w:rsidRPr="00FB242D">
        <w:rPr>
          <w:rFonts w:ascii="Arial" w:hAnsi="Arial" w:cs="Arial"/>
          <w:i/>
          <w:iCs/>
          <w:kern w:val="0"/>
        </w:rPr>
        <w:t>Strengthening uptake of the Living Wage across the UK</w:t>
      </w:r>
      <w:r w:rsidRPr="00FB242D">
        <w:rPr>
          <w:rFonts w:ascii="Arial" w:hAnsi="Arial" w:cs="Arial"/>
          <w:kern w:val="0"/>
        </w:rPr>
        <w:t xml:space="preserve">. Available at: </w:t>
      </w:r>
      <w:hyperlink r:id="rId12" w:history="1">
        <w:r w:rsidRPr="00FB242D">
          <w:rPr>
            <w:rFonts w:ascii="Arial" w:hAnsi="Arial" w:cs="Arial"/>
            <w:kern w:val="0"/>
            <w:u w:val="single"/>
          </w:rPr>
          <w:t>REF 2021 Impact Case Study</w:t>
        </w:r>
      </w:hyperlink>
      <w:r w:rsidRPr="00FB242D">
        <w:rPr>
          <w:rFonts w:ascii="Arial" w:hAnsi="Arial" w:cs="Arial"/>
          <w:kern w:val="0"/>
        </w:rPr>
        <w:t xml:space="preserve"> (Accessed: 31 July 2026).</w:t>
      </w:r>
    </w:p>
    <w:p w14:paraId="0911CCC0"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2CDED719" w14:textId="708DC029"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London City Hall (2026) </w:t>
      </w:r>
      <w:r w:rsidRPr="00FB242D">
        <w:rPr>
          <w:rFonts w:ascii="Arial" w:hAnsi="Arial" w:cs="Arial"/>
          <w:i/>
          <w:iCs/>
          <w:kern w:val="0"/>
        </w:rPr>
        <w:t>Circular Economy Business Support programme</w:t>
      </w:r>
      <w:r w:rsidRPr="00FB242D">
        <w:rPr>
          <w:rFonts w:ascii="Arial" w:hAnsi="Arial" w:cs="Arial"/>
          <w:kern w:val="0"/>
        </w:rPr>
        <w:t xml:space="preserve">. Available at: </w:t>
      </w:r>
      <w:hyperlink r:id="rId13" w:history="1">
        <w:r w:rsidRPr="00FB242D">
          <w:rPr>
            <w:rFonts w:ascii="Arial" w:hAnsi="Arial" w:cs="Arial"/>
            <w:kern w:val="0"/>
            <w:u w:val="single"/>
          </w:rPr>
          <w:t>London City Hall – Circular Economy Business Support</w:t>
        </w:r>
      </w:hyperlink>
      <w:r w:rsidRPr="00FB242D">
        <w:rPr>
          <w:rFonts w:ascii="Arial" w:hAnsi="Arial" w:cs="Arial"/>
          <w:kern w:val="0"/>
        </w:rPr>
        <w:t xml:space="preserve"> (Accessed: 31 July 2026).</w:t>
      </w:r>
    </w:p>
    <w:p w14:paraId="1647740A"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7BEEAC33" w14:textId="0AE88BCA"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Welsh Government (2021) </w:t>
      </w:r>
      <w:r w:rsidRPr="00FB242D">
        <w:rPr>
          <w:rFonts w:ascii="Arial" w:hAnsi="Arial" w:cs="Arial"/>
          <w:i/>
          <w:iCs/>
          <w:kern w:val="0"/>
        </w:rPr>
        <w:t>Beyond Recycling: A strategy to make the circular economy in Wales a reality</w:t>
      </w:r>
      <w:r w:rsidRPr="00FB242D">
        <w:rPr>
          <w:rFonts w:ascii="Arial" w:hAnsi="Arial" w:cs="Arial"/>
          <w:kern w:val="0"/>
        </w:rPr>
        <w:t>. Available at: Welsh Government – Beyond Recycling Strategy (Accessed: 31 July 2026).</w:t>
      </w:r>
    </w:p>
    <w:p w14:paraId="588BFC2F"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0E5123BB" w14:textId="4E3B6B30"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Logistics UK (2024) </w:t>
      </w:r>
      <w:r w:rsidRPr="00FB242D">
        <w:rPr>
          <w:rFonts w:ascii="Arial" w:hAnsi="Arial" w:cs="Arial"/>
          <w:i/>
          <w:iCs/>
          <w:kern w:val="0"/>
        </w:rPr>
        <w:t>Logistics Report</w:t>
      </w:r>
      <w:r w:rsidRPr="00FB242D">
        <w:rPr>
          <w:rFonts w:ascii="Arial" w:hAnsi="Arial" w:cs="Arial"/>
          <w:kern w:val="0"/>
        </w:rPr>
        <w:t xml:space="preserve">. Available at: </w:t>
      </w:r>
      <w:hyperlink r:id="rId14" w:history="1">
        <w:r w:rsidRPr="00FB242D">
          <w:rPr>
            <w:rFonts w:ascii="Arial" w:hAnsi="Arial" w:cs="Arial"/>
            <w:kern w:val="0"/>
            <w:u w:val="single"/>
          </w:rPr>
          <w:t>Logistics UK</w:t>
        </w:r>
      </w:hyperlink>
      <w:r w:rsidRPr="00FB242D">
        <w:rPr>
          <w:rFonts w:ascii="Arial" w:hAnsi="Arial" w:cs="Arial"/>
          <w:kern w:val="0"/>
        </w:rPr>
        <w:t xml:space="preserve"> (Accessed: 31 July 2026).</w:t>
      </w:r>
    </w:p>
    <w:p w14:paraId="495BC57D"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59D47282" w14:textId="0D56788F"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Department for Transport (2025) </w:t>
      </w:r>
      <w:r w:rsidRPr="00FB242D">
        <w:rPr>
          <w:rFonts w:ascii="Arial" w:hAnsi="Arial" w:cs="Arial"/>
          <w:i/>
          <w:iCs/>
          <w:kern w:val="0"/>
        </w:rPr>
        <w:t>Transport Statistics Great Britain</w:t>
      </w:r>
      <w:r w:rsidRPr="00FB242D">
        <w:rPr>
          <w:rFonts w:ascii="Arial" w:hAnsi="Arial" w:cs="Arial"/>
          <w:kern w:val="0"/>
        </w:rPr>
        <w:t xml:space="preserve">. Available at: </w:t>
      </w:r>
      <w:hyperlink r:id="rId15" w:history="1">
        <w:r w:rsidRPr="00FB242D">
          <w:rPr>
            <w:rFonts w:ascii="Arial" w:hAnsi="Arial" w:cs="Arial"/>
            <w:kern w:val="0"/>
            <w:u w:val="single"/>
          </w:rPr>
          <w:t>Department for Transport Statistics</w:t>
        </w:r>
      </w:hyperlink>
      <w:r w:rsidRPr="00FB242D">
        <w:rPr>
          <w:rFonts w:ascii="Arial" w:hAnsi="Arial" w:cs="Arial"/>
          <w:kern w:val="0"/>
        </w:rPr>
        <w:t>(Accessed: 31 July 2026).</w:t>
      </w:r>
    </w:p>
    <w:p w14:paraId="7A5A34D9"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4639BA32" w14:textId="60B42772"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Living Wage Foundation (2026) </w:t>
      </w:r>
      <w:r w:rsidRPr="00FB242D">
        <w:rPr>
          <w:rFonts w:ascii="Arial" w:hAnsi="Arial" w:cs="Arial"/>
          <w:i/>
          <w:iCs/>
          <w:kern w:val="0"/>
        </w:rPr>
        <w:t>What is the real Living Wage?</w:t>
      </w:r>
      <w:r w:rsidRPr="00FB242D">
        <w:rPr>
          <w:rFonts w:ascii="Arial" w:hAnsi="Arial" w:cs="Arial"/>
          <w:kern w:val="0"/>
        </w:rPr>
        <w:t xml:space="preserve"> Available at: </w:t>
      </w:r>
      <w:hyperlink r:id="rId16" w:history="1">
        <w:r w:rsidRPr="00FB242D">
          <w:rPr>
            <w:rFonts w:ascii="Arial" w:hAnsi="Arial" w:cs="Arial"/>
            <w:kern w:val="0"/>
            <w:u w:val="single"/>
          </w:rPr>
          <w:t>Living Wage Foundation</w:t>
        </w:r>
      </w:hyperlink>
      <w:r w:rsidRPr="00FB242D">
        <w:rPr>
          <w:rFonts w:ascii="Arial" w:hAnsi="Arial" w:cs="Arial"/>
          <w:kern w:val="0"/>
        </w:rPr>
        <w:t xml:space="preserve"> (Accessed: 31 July 2026).</w:t>
      </w:r>
    </w:p>
    <w:p w14:paraId="3318FE2C"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2FA8E941" w14:textId="71AA735F"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Community Interest Companies Regulator (2026) </w:t>
      </w:r>
      <w:r w:rsidRPr="00FB242D">
        <w:rPr>
          <w:rFonts w:ascii="Arial" w:hAnsi="Arial" w:cs="Arial"/>
          <w:i/>
          <w:iCs/>
          <w:kern w:val="0"/>
        </w:rPr>
        <w:t>Community Interest Companies</w:t>
      </w:r>
      <w:r w:rsidRPr="00FB242D">
        <w:rPr>
          <w:rFonts w:ascii="Arial" w:hAnsi="Arial" w:cs="Arial"/>
          <w:kern w:val="0"/>
        </w:rPr>
        <w:t xml:space="preserve">. Available at: </w:t>
      </w:r>
      <w:hyperlink r:id="rId17" w:history="1">
        <w:r w:rsidRPr="00FB242D">
          <w:rPr>
            <w:rFonts w:ascii="Arial" w:hAnsi="Arial" w:cs="Arial"/>
            <w:kern w:val="0"/>
            <w:u w:val="single"/>
          </w:rPr>
          <w:t>Community Interest Companies Regulator</w:t>
        </w:r>
      </w:hyperlink>
      <w:r w:rsidRPr="00FB242D">
        <w:rPr>
          <w:rFonts w:ascii="Arial" w:hAnsi="Arial" w:cs="Arial"/>
          <w:kern w:val="0"/>
        </w:rPr>
        <w:t xml:space="preserve"> (Accessed: 31 July 2026).</w:t>
      </w:r>
    </w:p>
    <w:p w14:paraId="6467D684"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7E093B53" w14:textId="60DB9ECC"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WRAP (2024) </w:t>
      </w:r>
      <w:r w:rsidRPr="00FB242D">
        <w:rPr>
          <w:rFonts w:ascii="Arial" w:hAnsi="Arial" w:cs="Arial"/>
          <w:i/>
          <w:iCs/>
          <w:kern w:val="0"/>
        </w:rPr>
        <w:t>Circular Living Standards</w:t>
      </w:r>
      <w:r w:rsidRPr="00FB242D">
        <w:rPr>
          <w:rFonts w:ascii="Arial" w:hAnsi="Arial" w:cs="Arial"/>
          <w:kern w:val="0"/>
        </w:rPr>
        <w:t xml:space="preserve">. Available at: </w:t>
      </w:r>
      <w:hyperlink r:id="rId18" w:history="1">
        <w:r w:rsidRPr="00FB242D">
          <w:rPr>
            <w:rFonts w:ascii="Arial" w:hAnsi="Arial" w:cs="Arial"/>
            <w:kern w:val="0"/>
            <w:u w:val="single"/>
          </w:rPr>
          <w:t>WRAP</w:t>
        </w:r>
      </w:hyperlink>
      <w:r w:rsidRPr="00FB242D">
        <w:rPr>
          <w:rFonts w:ascii="Arial" w:hAnsi="Arial" w:cs="Arial"/>
          <w:kern w:val="0"/>
        </w:rPr>
        <w:t xml:space="preserve"> (Accessed: 31 July 2026).</w:t>
      </w:r>
    </w:p>
    <w:p w14:paraId="4335E1C1" w14:textId="77777777"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Ellen MacArthur Foundation (2023) </w:t>
      </w:r>
      <w:r w:rsidRPr="00FB242D">
        <w:rPr>
          <w:rFonts w:ascii="Arial" w:hAnsi="Arial" w:cs="Arial"/>
          <w:i/>
          <w:iCs/>
          <w:kern w:val="0"/>
        </w:rPr>
        <w:t>What is a circular economy?</w:t>
      </w:r>
      <w:r w:rsidRPr="00FB242D">
        <w:rPr>
          <w:rFonts w:ascii="Arial" w:hAnsi="Arial" w:cs="Arial"/>
          <w:kern w:val="0"/>
        </w:rPr>
        <w:t xml:space="preserve"> Available at: </w:t>
      </w:r>
      <w:hyperlink r:id="rId19" w:history="1">
        <w:r w:rsidRPr="00FB242D">
          <w:rPr>
            <w:rFonts w:ascii="Arial" w:hAnsi="Arial" w:cs="Arial"/>
            <w:kern w:val="0"/>
            <w:u w:val="single"/>
          </w:rPr>
          <w:t xml:space="preserve">Ellen </w:t>
        </w:r>
        <w:r w:rsidRPr="00FB242D">
          <w:rPr>
            <w:rFonts w:ascii="Arial" w:hAnsi="Arial" w:cs="Arial"/>
            <w:kern w:val="0"/>
            <w:u w:val="single"/>
          </w:rPr>
          <w:t>M</w:t>
        </w:r>
        <w:r w:rsidRPr="00FB242D">
          <w:rPr>
            <w:rFonts w:ascii="Arial" w:hAnsi="Arial" w:cs="Arial"/>
            <w:kern w:val="0"/>
            <w:u w:val="single"/>
          </w:rPr>
          <w:t>acArthur Foundation</w:t>
        </w:r>
      </w:hyperlink>
      <w:r w:rsidRPr="00FB242D">
        <w:rPr>
          <w:rFonts w:ascii="Arial" w:hAnsi="Arial" w:cs="Arial"/>
          <w:kern w:val="0"/>
        </w:rPr>
        <w:t xml:space="preserve"> (Accessed: 31 July 2026).</w:t>
      </w:r>
    </w:p>
    <w:p w14:paraId="7B6D06FE"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052273AC" w14:textId="7E9D810F"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Social Enterprise UK (2025) </w:t>
      </w:r>
      <w:r w:rsidRPr="00FB242D">
        <w:rPr>
          <w:rFonts w:ascii="Arial" w:hAnsi="Arial" w:cs="Arial"/>
          <w:i/>
          <w:iCs/>
          <w:kern w:val="0"/>
        </w:rPr>
        <w:t>About social enterprise</w:t>
      </w:r>
      <w:r w:rsidRPr="00FB242D">
        <w:rPr>
          <w:rFonts w:ascii="Arial" w:hAnsi="Arial" w:cs="Arial"/>
          <w:kern w:val="0"/>
        </w:rPr>
        <w:t xml:space="preserve">. Available at: </w:t>
      </w:r>
      <w:hyperlink r:id="rId20" w:history="1">
        <w:r w:rsidRPr="00FB242D">
          <w:rPr>
            <w:rFonts w:ascii="Arial" w:hAnsi="Arial" w:cs="Arial"/>
            <w:kern w:val="0"/>
            <w:u w:val="single"/>
          </w:rPr>
          <w:t>Social Enterprise UK</w:t>
        </w:r>
      </w:hyperlink>
      <w:r w:rsidRPr="00FB242D">
        <w:rPr>
          <w:rFonts w:ascii="Arial" w:hAnsi="Arial" w:cs="Arial"/>
          <w:kern w:val="0"/>
        </w:rPr>
        <w:t xml:space="preserve"> (Accessed: 31 July 2026).</w:t>
      </w:r>
    </w:p>
    <w:p w14:paraId="72C2CCAA"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15BC36B3" w14:textId="20B249B8"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Innovate UK (2025) </w:t>
      </w:r>
      <w:r w:rsidRPr="00FB242D">
        <w:rPr>
          <w:rFonts w:ascii="Arial" w:hAnsi="Arial" w:cs="Arial"/>
          <w:i/>
          <w:iCs/>
          <w:kern w:val="0"/>
        </w:rPr>
        <w:t>Innovation funding and support</w:t>
      </w:r>
      <w:r w:rsidRPr="00FB242D">
        <w:rPr>
          <w:rFonts w:ascii="Arial" w:hAnsi="Arial" w:cs="Arial"/>
          <w:kern w:val="0"/>
        </w:rPr>
        <w:t xml:space="preserve">. Available at: </w:t>
      </w:r>
      <w:hyperlink r:id="rId21" w:history="1">
        <w:r w:rsidRPr="00FB242D">
          <w:rPr>
            <w:rFonts w:ascii="Arial" w:hAnsi="Arial" w:cs="Arial"/>
            <w:kern w:val="0"/>
            <w:u w:val="single"/>
          </w:rPr>
          <w:t>Innovate UK</w:t>
        </w:r>
      </w:hyperlink>
      <w:r w:rsidRPr="00FB242D">
        <w:rPr>
          <w:rFonts w:ascii="Arial" w:hAnsi="Arial" w:cs="Arial"/>
          <w:kern w:val="0"/>
        </w:rPr>
        <w:t xml:space="preserve"> (Accessed: 31 July 2026).</w:t>
      </w:r>
    </w:p>
    <w:p w14:paraId="4E032C4A" w14:textId="77777777" w:rsidR="00FB242D" w:rsidRPr="00FB242D" w:rsidRDefault="00FB242D" w:rsidP="00FB242D">
      <w:pPr>
        <w:autoSpaceDE w:val="0"/>
        <w:autoSpaceDN w:val="0"/>
        <w:adjustRightInd w:val="0"/>
        <w:spacing w:after="0" w:line="240" w:lineRule="auto"/>
        <w:jc w:val="both"/>
        <w:rPr>
          <w:rFonts w:ascii="Arial" w:hAnsi="Arial" w:cs="Arial"/>
          <w:kern w:val="0"/>
        </w:rPr>
      </w:pPr>
    </w:p>
    <w:p w14:paraId="708B20C1" w14:textId="36329822" w:rsidR="00FB242D" w:rsidRPr="00FB242D" w:rsidRDefault="00FB242D" w:rsidP="00FB242D">
      <w:pPr>
        <w:autoSpaceDE w:val="0"/>
        <w:autoSpaceDN w:val="0"/>
        <w:adjustRightInd w:val="0"/>
        <w:spacing w:after="0" w:line="240" w:lineRule="auto"/>
        <w:jc w:val="both"/>
        <w:rPr>
          <w:rFonts w:ascii="Arial" w:hAnsi="Arial" w:cs="Arial"/>
          <w:kern w:val="0"/>
        </w:rPr>
      </w:pPr>
      <w:r w:rsidRPr="00FB242D">
        <w:rPr>
          <w:rFonts w:ascii="Arial" w:hAnsi="Arial" w:cs="Arial"/>
          <w:kern w:val="0"/>
        </w:rPr>
        <w:t xml:space="preserve">British Business Bank (2025) </w:t>
      </w:r>
      <w:r w:rsidRPr="00FB242D">
        <w:rPr>
          <w:rFonts w:ascii="Arial" w:hAnsi="Arial" w:cs="Arial"/>
          <w:i/>
          <w:iCs/>
          <w:kern w:val="0"/>
        </w:rPr>
        <w:t>Finance Hub</w:t>
      </w:r>
      <w:r w:rsidRPr="00FB242D">
        <w:rPr>
          <w:rFonts w:ascii="Arial" w:hAnsi="Arial" w:cs="Arial"/>
          <w:kern w:val="0"/>
        </w:rPr>
        <w:t xml:space="preserve">. Available at: </w:t>
      </w:r>
      <w:hyperlink r:id="rId22" w:history="1">
        <w:r w:rsidRPr="00FB242D">
          <w:rPr>
            <w:rFonts w:ascii="Arial" w:hAnsi="Arial" w:cs="Arial"/>
            <w:kern w:val="0"/>
            <w:u w:val="single"/>
          </w:rPr>
          <w:t>British Business Bank</w:t>
        </w:r>
      </w:hyperlink>
      <w:r w:rsidRPr="00FB242D">
        <w:rPr>
          <w:rFonts w:ascii="Arial" w:hAnsi="Arial" w:cs="Arial"/>
          <w:kern w:val="0"/>
        </w:rPr>
        <w:t xml:space="preserve"> (Accessed: 31 July 2026).</w:t>
      </w:r>
    </w:p>
    <w:p w14:paraId="11C61F90" w14:textId="77777777" w:rsidR="00FB242D" w:rsidRPr="00FB242D" w:rsidRDefault="00FB242D">
      <w:pPr>
        <w:rPr>
          <w:rFonts w:ascii="Arial" w:hAnsi="Arial" w:cs="Arial"/>
        </w:rPr>
      </w:pPr>
    </w:p>
    <w:sectPr w:rsidR="00FB242D" w:rsidRPr="00FB24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42D"/>
    <w:rsid w:val="00A27BB8"/>
    <w:rsid w:val="00FB2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91A201"/>
  <w15:chartTrackingRefBased/>
  <w15:docId w15:val="{0A33E673-B1F8-AB4F-84AE-5A0FD79FB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4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4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4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4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4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4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4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4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4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4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4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4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4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4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4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4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4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42D"/>
    <w:rPr>
      <w:rFonts w:eastAsiaTheme="majorEastAsia" w:cstheme="majorBidi"/>
      <w:color w:val="272727" w:themeColor="text1" w:themeTint="D8"/>
    </w:rPr>
  </w:style>
  <w:style w:type="paragraph" w:styleId="Title">
    <w:name w:val="Title"/>
    <w:basedOn w:val="Normal"/>
    <w:next w:val="Normal"/>
    <w:link w:val="TitleChar"/>
    <w:uiPriority w:val="10"/>
    <w:qFormat/>
    <w:rsid w:val="00FB24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4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4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4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42D"/>
    <w:pPr>
      <w:spacing w:before="160"/>
      <w:jc w:val="center"/>
    </w:pPr>
    <w:rPr>
      <w:i/>
      <w:iCs/>
      <w:color w:val="404040" w:themeColor="text1" w:themeTint="BF"/>
    </w:rPr>
  </w:style>
  <w:style w:type="character" w:customStyle="1" w:styleId="QuoteChar">
    <w:name w:val="Quote Char"/>
    <w:basedOn w:val="DefaultParagraphFont"/>
    <w:link w:val="Quote"/>
    <w:uiPriority w:val="29"/>
    <w:rsid w:val="00FB242D"/>
    <w:rPr>
      <w:i/>
      <w:iCs/>
      <w:color w:val="404040" w:themeColor="text1" w:themeTint="BF"/>
    </w:rPr>
  </w:style>
  <w:style w:type="paragraph" w:styleId="ListParagraph">
    <w:name w:val="List Paragraph"/>
    <w:basedOn w:val="Normal"/>
    <w:uiPriority w:val="34"/>
    <w:qFormat/>
    <w:rsid w:val="00FB242D"/>
    <w:pPr>
      <w:ind w:left="720"/>
      <w:contextualSpacing/>
    </w:pPr>
  </w:style>
  <w:style w:type="character" w:styleId="IntenseEmphasis">
    <w:name w:val="Intense Emphasis"/>
    <w:basedOn w:val="DefaultParagraphFont"/>
    <w:uiPriority w:val="21"/>
    <w:qFormat/>
    <w:rsid w:val="00FB242D"/>
    <w:rPr>
      <w:i/>
      <w:iCs/>
      <w:color w:val="0F4761" w:themeColor="accent1" w:themeShade="BF"/>
    </w:rPr>
  </w:style>
  <w:style w:type="paragraph" w:styleId="IntenseQuote">
    <w:name w:val="Intense Quote"/>
    <w:basedOn w:val="Normal"/>
    <w:next w:val="Normal"/>
    <w:link w:val="IntenseQuoteChar"/>
    <w:uiPriority w:val="30"/>
    <w:qFormat/>
    <w:rsid w:val="00FB24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42D"/>
    <w:rPr>
      <w:i/>
      <w:iCs/>
      <w:color w:val="0F4761" w:themeColor="accent1" w:themeShade="BF"/>
    </w:rPr>
  </w:style>
  <w:style w:type="character" w:styleId="IntenseReference">
    <w:name w:val="Intense Reference"/>
    <w:basedOn w:val="DefaultParagraphFont"/>
    <w:uiPriority w:val="32"/>
    <w:qFormat/>
    <w:rsid w:val="00FB242D"/>
    <w:rPr>
      <w:b/>
      <w:bCs/>
      <w:smallCaps/>
      <w:color w:val="0F4761" w:themeColor="accent1" w:themeShade="BF"/>
      <w:spacing w:val="5"/>
    </w:rPr>
  </w:style>
  <w:style w:type="paragraph" w:styleId="NormalWeb">
    <w:name w:val="Normal (Web)"/>
    <w:basedOn w:val="Normal"/>
    <w:uiPriority w:val="99"/>
    <w:semiHidden/>
    <w:unhideWhenUsed/>
    <w:rsid w:val="00FB24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B242D"/>
    <w:rPr>
      <w:b/>
      <w:bCs/>
    </w:rPr>
  </w:style>
  <w:style w:type="character" w:customStyle="1" w:styleId="apple-converted-space">
    <w:name w:val="apple-converted-space"/>
    <w:basedOn w:val="DefaultParagraphFont"/>
    <w:rsid w:val="00FB2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aste-prevention-programme-for-england-maximising-resources-minimising-waste/the-waste-prevention-programme-for-england-maximising-resources-minimising-waste?utm_source=chatgpt.com" TargetMode="External"/><Relationship Id="rId13" Type="http://schemas.openxmlformats.org/officeDocument/2006/relationships/hyperlink" Target="https://www.london.gov.uk/programmes-strategies/business-and-economy/mayors-priorities-londons-economy-and-business/uk-shared-prosperity-fund-ukspf/uk-shared-prosperity-fund-ukspf-case-studies/circular-economy-business-support-programme?utm_source=chatgpt.com" TargetMode="External"/><Relationship Id="rId18" Type="http://schemas.openxmlformats.org/officeDocument/2006/relationships/hyperlink" Target="https://wrap.org.uk/?utm_source=chatgpt.com" TargetMode="External"/><Relationship Id="rId3" Type="http://schemas.openxmlformats.org/officeDocument/2006/relationships/webSettings" Target="webSettings.xml"/><Relationship Id="rId21" Type="http://schemas.openxmlformats.org/officeDocument/2006/relationships/hyperlink" Target="https://www.ukri.org/councils/innovate-uk?utm_source=chatgpt.com" TargetMode="External"/><Relationship Id="rId7" Type="http://schemas.openxmlformats.org/officeDocument/2006/relationships/hyperlink" Target="https://www.gov.uk/government/publications/circular-economy-guidance-for-mayoral-strategic-authorities?utm_source=chatgpt.com" TargetMode="External"/><Relationship Id="rId12" Type="http://schemas.openxmlformats.org/officeDocument/2006/relationships/hyperlink" Target="https://results2021.ref.ac.uk/impact/submissions/96d480ee-eb42-4731-951f-9032b4dcc51c/impact?utm_source=chatgpt.com" TargetMode="External"/><Relationship Id="rId17" Type="http://schemas.openxmlformats.org/officeDocument/2006/relationships/hyperlink" Target="https://www.gov.uk/government/organisations/office-of-the-regulator-of-community-interest-companies?utm_source=chatgpt.com" TargetMode="External"/><Relationship Id="rId2" Type="http://schemas.openxmlformats.org/officeDocument/2006/relationships/settings" Target="settings.xml"/><Relationship Id="rId16" Type="http://schemas.openxmlformats.org/officeDocument/2006/relationships/hyperlink" Target="https://www.livingwage.org.uk/?utm_source=chatgpt.com" TargetMode="External"/><Relationship Id="rId20" Type="http://schemas.openxmlformats.org/officeDocument/2006/relationships/hyperlink" Target="https://www.socialenterprise.org.uk/?utm_source=chatgpt.com" TargetMode="External"/><Relationship Id="rId1" Type="http://schemas.openxmlformats.org/officeDocument/2006/relationships/styles" Target="styles.xml"/><Relationship Id="rId6" Type="http://schemas.openxmlformats.org/officeDocument/2006/relationships/hyperlink" Target="https://www.cardiff.gov.uk/article/4266/Policies-procedures-and-guidance?utm_source=chatgpt.com" TargetMode="External"/><Relationship Id="rId11" Type="http://schemas.openxmlformats.org/officeDocument/2006/relationships/hyperlink" Target="https://orca.cardiff.ac.uk/id/eprint/171480/?utm_source=chatgpt.com" TargetMode="External"/><Relationship Id="rId24" Type="http://schemas.openxmlformats.org/officeDocument/2006/relationships/theme" Target="theme/theme1.xml"/><Relationship Id="rId5" Type="http://schemas.openxmlformats.org/officeDocument/2006/relationships/hyperlink" Target="https://www.cardiff.gov.uk/livingwagesupportscheme?utm_source=chatgpt.com" TargetMode="External"/><Relationship Id="rId15" Type="http://schemas.openxmlformats.org/officeDocument/2006/relationships/hyperlink" Target="https://www.gov.uk/government/organisations/department-for-transport?utm_source=chatgpt.com" TargetMode="External"/><Relationship Id="rId23" Type="http://schemas.openxmlformats.org/officeDocument/2006/relationships/fontTable" Target="fontTable.xml"/><Relationship Id="rId10" Type="http://schemas.openxmlformats.org/officeDocument/2006/relationships/hyperlink" Target="https://www.walescirculareconomy.com/?utm_source=chatgpt.com" TargetMode="External"/><Relationship Id="rId19" Type="http://schemas.openxmlformats.org/officeDocument/2006/relationships/hyperlink" Target="https://www.ellenmacarthurfoundation.org/topics/circular-economy-introduction/overview?utm_source=chatgpt.com" TargetMode="External"/><Relationship Id="rId4" Type="http://schemas.openxmlformats.org/officeDocument/2006/relationships/hyperlink" Target="https://www.cardiff.gov.uk/decarbonisingsupplychain?utm_source=chatgpt.com" TargetMode="External"/><Relationship Id="rId9" Type="http://schemas.openxmlformats.org/officeDocument/2006/relationships/hyperlink" Target="https://www.gov.uk/government/publications/circular-economy-package-policy-statement/circular-economy-package-policy-statement?utm_source=chatgpt.com" TargetMode="External"/><Relationship Id="rId14" Type="http://schemas.openxmlformats.org/officeDocument/2006/relationships/hyperlink" Target="https://logistics.org.uk/?utm_source=chatgpt.com" TargetMode="External"/><Relationship Id="rId22" Type="http://schemas.openxmlformats.org/officeDocument/2006/relationships/hyperlink" Target="https://www.british-business-bank.co.u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3584</Words>
  <Characters>20434</Characters>
  <Application>Microsoft Office Word</Application>
  <DocSecurity>0</DocSecurity>
  <Lines>170</Lines>
  <Paragraphs>47</Paragraphs>
  <ScaleCrop>false</ScaleCrop>
  <Company/>
  <LinksUpToDate>false</LinksUpToDate>
  <CharactersWithSpaces>23971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Roberts (2517832)</dc:creator>
  <cp:keywords/>
  <dc:description/>
  <cp:lastModifiedBy>Cameron Roberts (2517832)</cp:lastModifiedBy>
  <cp:revision>1</cp:revision>
  <dcterms:created xsi:type="dcterms:W3CDTF">2026-07-31T08:31:00Z</dcterms:created>
  <dcterms:modified xsi:type="dcterms:W3CDTF">2026-07-31T09:07:00Z</dcterms:modified>
</cp:coreProperties>
</file>