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81740222" w:displacedByCustomXml="next"/>
    <w:bookmarkEnd w:id="0" w:displacedByCustomXml="next"/>
    <w:sdt>
      <w:sdtPr>
        <w:rPr>
          <w:rFonts w:ascii="Times New Roman" w:eastAsiaTheme="minorHAnsi" w:hAnsi="Times New Roman"/>
          <w:b/>
          <w:bCs/>
          <w:color w:val="4472C4" w:themeColor="accent1"/>
          <w:sz w:val="24"/>
          <w:lang w:val="en-GB"/>
        </w:rPr>
        <w:id w:val="1698426283"/>
        <w:docPartObj>
          <w:docPartGallery w:val="Cover Pages"/>
          <w:docPartUnique/>
        </w:docPartObj>
      </w:sdtPr>
      <w:sdtEndPr>
        <w:rPr>
          <w:b w:val="0"/>
          <w:bCs w:val="0"/>
          <w:color w:val="auto"/>
        </w:rPr>
      </w:sdtEndPr>
      <w:sdtContent>
        <w:p w14:paraId="35F08014" w14:textId="23BA10E7" w:rsidR="00A328C1" w:rsidRPr="00DA085A" w:rsidRDefault="00AD277D" w:rsidP="008969ED">
          <w:pPr>
            <w:pStyle w:val="NoSpacing"/>
            <w:spacing w:before="1540" w:after="240" w:line="360" w:lineRule="auto"/>
            <w:jc w:val="center"/>
            <w:rPr>
              <w:b/>
              <w:bCs/>
              <w:i/>
              <w:iCs/>
              <w:color w:val="833C0B" w:themeColor="accent2" w:themeShade="80"/>
              <w:sz w:val="48"/>
              <w:szCs w:val="4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085A">
            <w:rPr>
              <w:rFonts w:ascii="Times New Roman" w:eastAsiaTheme="minorHAnsi" w:hAnsi="Times New Roman"/>
              <w:b/>
              <w:bCs/>
              <w:i/>
              <w:iCs/>
              <w:color w:val="833C0B" w:themeColor="accent2" w:themeShade="80"/>
              <w:sz w:val="48"/>
              <w:szCs w:val="4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Event Strategic Planning and Delivery</w:t>
          </w:r>
          <w:r w:rsidR="00AD2A0E" w:rsidRPr="00DA085A">
            <w:rPr>
              <w:rFonts w:ascii="Times New Roman" w:eastAsiaTheme="minorHAnsi" w:hAnsi="Times New Roman"/>
              <w:b/>
              <w:bCs/>
              <w:i/>
              <w:iCs/>
              <w:color w:val="833C0B" w:themeColor="accent2" w:themeShade="80"/>
              <w:sz w:val="48"/>
              <w:szCs w:val="4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Considerations for an International Meeting</w:t>
          </w:r>
        </w:p>
        <w:p w14:paraId="666E59B4" w14:textId="68BC8164" w:rsidR="00A328C1" w:rsidRPr="00DA085A" w:rsidRDefault="00A328C1" w:rsidP="008969ED">
          <w:pPr>
            <w:pStyle w:val="NoSpacing"/>
            <w:spacing w:before="480" w:line="360" w:lineRule="auto"/>
            <w:jc w:val="center"/>
            <w:rPr>
              <w:b/>
              <w:bCs/>
              <w:color w:val="4472C4" w:themeColor="accent1"/>
              <w:lang w:val="en-GB"/>
            </w:rPr>
          </w:pPr>
        </w:p>
        <w:p w14:paraId="5130B798" w14:textId="77777777" w:rsidR="00FC2011" w:rsidRPr="00DA085A" w:rsidRDefault="00FC2011" w:rsidP="00C46AE7">
          <w:pPr>
            <w:jc w:val="left"/>
            <w:rPr>
              <w:b/>
              <w:bCs/>
              <w14:ligatures w14:val="standardContextual"/>
            </w:rPr>
          </w:pPr>
        </w:p>
        <w:p w14:paraId="0933ED51" w14:textId="77777777" w:rsidR="00DA085A" w:rsidRPr="00DA085A" w:rsidRDefault="00DA085A" w:rsidP="00C46AE7">
          <w:pPr>
            <w:jc w:val="left"/>
            <w:rPr>
              <w:b/>
              <w:bCs/>
              <w14:ligatures w14:val="standardContextual"/>
            </w:rPr>
          </w:pPr>
        </w:p>
        <w:p w14:paraId="06835969" w14:textId="77777777" w:rsidR="00DA085A" w:rsidRPr="00DA085A" w:rsidRDefault="00DA085A" w:rsidP="00C46AE7">
          <w:pPr>
            <w:jc w:val="left"/>
            <w:rPr>
              <w:b/>
              <w:bCs/>
              <w14:ligatures w14:val="standardContextual"/>
            </w:rPr>
          </w:pPr>
        </w:p>
        <w:p w14:paraId="2BDCA183" w14:textId="77777777" w:rsidR="00DA085A" w:rsidRPr="00DA085A" w:rsidRDefault="00DA085A" w:rsidP="00C46AE7">
          <w:pPr>
            <w:jc w:val="left"/>
            <w:rPr>
              <w:b/>
              <w:bCs/>
              <w14:ligatures w14:val="standardContextual"/>
            </w:rPr>
          </w:pPr>
        </w:p>
        <w:p w14:paraId="3B3E19C0" w14:textId="77777777" w:rsidR="00DA085A" w:rsidRPr="00DA085A" w:rsidRDefault="00DA085A" w:rsidP="00DA085A">
          <w:pPr>
            <w:pStyle w:val="ListParagraph"/>
            <w:rPr>
              <w:b/>
              <w:bCs/>
              <w:sz w:val="32"/>
              <w:szCs w:val="32"/>
            </w:rPr>
          </w:pPr>
        </w:p>
        <w:p w14:paraId="2AD08DFE" w14:textId="77777777" w:rsidR="00DA085A" w:rsidRPr="00DA085A" w:rsidRDefault="00DA085A" w:rsidP="00DA085A">
          <w:pPr>
            <w:pStyle w:val="ListParagraph"/>
            <w:rPr>
              <w:b/>
              <w:bCs/>
              <w:sz w:val="32"/>
              <w:szCs w:val="32"/>
            </w:rPr>
          </w:pPr>
        </w:p>
        <w:p w14:paraId="538E67EE" w14:textId="77777777" w:rsidR="00DA085A" w:rsidRPr="00DA085A" w:rsidRDefault="00DA085A" w:rsidP="00DA085A">
          <w:pPr>
            <w:pStyle w:val="ListParagraph"/>
            <w:rPr>
              <w:b/>
              <w:bCs/>
              <w:sz w:val="32"/>
              <w:szCs w:val="32"/>
            </w:rPr>
          </w:pPr>
        </w:p>
        <w:p w14:paraId="4877489F" w14:textId="77777777" w:rsidR="00DA085A" w:rsidRPr="00DA085A" w:rsidRDefault="00DA085A" w:rsidP="00DA085A">
          <w:pPr>
            <w:pStyle w:val="ListParagraph"/>
            <w:rPr>
              <w:b/>
              <w:bCs/>
              <w:sz w:val="32"/>
              <w:szCs w:val="32"/>
            </w:rPr>
          </w:pPr>
        </w:p>
        <w:p w14:paraId="194A2BB8" w14:textId="77777777" w:rsidR="00DA085A" w:rsidRPr="00DA085A" w:rsidRDefault="00DA085A" w:rsidP="00DA085A">
          <w:pPr>
            <w:pStyle w:val="ListParagraph"/>
            <w:rPr>
              <w:b/>
              <w:bCs/>
              <w:sz w:val="32"/>
              <w:szCs w:val="32"/>
            </w:rPr>
          </w:pPr>
        </w:p>
        <w:p w14:paraId="28CDE1C9" w14:textId="77777777" w:rsidR="00DA085A" w:rsidRPr="00DA085A" w:rsidRDefault="00DA085A" w:rsidP="00DA085A">
          <w:pPr>
            <w:pStyle w:val="ListParagraph"/>
            <w:rPr>
              <w:b/>
              <w:bCs/>
              <w:sz w:val="32"/>
              <w:szCs w:val="32"/>
            </w:rPr>
          </w:pPr>
        </w:p>
        <w:p w14:paraId="5F3B6E9F" w14:textId="4D7BFE0C" w:rsidR="00FC2011" w:rsidRPr="00DA085A" w:rsidRDefault="00FC2011" w:rsidP="00DA085A">
          <w:pPr>
            <w:pStyle w:val="ListParagraph"/>
            <w:rPr>
              <w:b/>
              <w:bCs/>
              <w:color w:val="833C0B" w:themeColor="accent2" w:themeShade="80"/>
              <w:sz w:val="32"/>
              <w:szCs w:val="32"/>
            </w:rPr>
          </w:pPr>
          <w:r w:rsidRPr="00DA085A">
            <w:rPr>
              <w:b/>
              <w:bCs/>
              <w:noProof/>
              <w:color w:val="833C0B" w:themeColor="accent2" w:themeShade="80"/>
              <w:sz w:val="32"/>
              <w:szCs w:val="32"/>
            </w:rPr>
            <mc:AlternateContent>
              <mc:Choice Requires="wps">
                <w:drawing>
                  <wp:anchor distT="0" distB="0" distL="114300" distR="114300" simplePos="0" relativeHeight="251659264" behindDoc="0" locked="0" layoutInCell="1" allowOverlap="1" wp14:anchorId="142BA5B2" wp14:editId="22536587">
                    <wp:simplePos x="0" y="0"/>
                    <wp:positionH relativeFrom="margin">
                      <wp:posOffset>274320</wp:posOffset>
                    </wp:positionH>
                    <wp:positionV relativeFrom="page">
                      <wp:posOffset>8738870</wp:posOffset>
                    </wp:positionV>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89E4AC" w14:textId="01769FB9" w:rsidR="00A328C1" w:rsidRPr="006C3874" w:rsidRDefault="00A328C1" w:rsidP="00A328C1">
                                <w:pPr>
                                  <w:pStyle w:val="NoSpacing"/>
                                  <w:jc w:val="center"/>
                                  <w:rPr>
                                    <w:color w:val="4472C4" w:themeColor="accent1"/>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42BA5B2" id="_x0000_t202" coordsize="21600,21600" o:spt="202" path="m,l,21600r21600,l21600,xe">
                    <v:stroke joinstyle="miter"/>
                    <v:path gradientshapeok="t" o:connecttype="rect"/>
                  </v:shapetype>
                  <v:shape id="Text Box 146" o:spid="_x0000_s1026" type="#_x0000_t202" style="position:absolute;left:0;text-align:left;margin-left:21.6pt;margin-top:688.1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" filled="f" stroked="f" strokeweight=".5pt">
                    <v:textbox style="mso-fit-shape-to-text:t" inset="0,0,0,0">
                      <w:txbxContent>
                        <w:p w14:paraId="5089E4AC" w14:textId="01769FB9" w:rsidR="00A328C1" w:rsidRPr="006C3874" w:rsidRDefault="00A328C1" w:rsidP="00A328C1">
                          <w:pPr>
                            <w:pStyle w:val="NoSpacing"/>
                            <w:jc w:val="center"/>
                            <w:rPr>
                              <w:color w:val="4472C4" w:themeColor="accent1"/>
                              <w:lang w:val="en-GB"/>
                            </w:rPr>
                          </w:pPr>
                        </w:p>
                      </w:txbxContent>
                    </v:textbox>
                    <w10:wrap anchorx="margin" anchory="page"/>
                  </v:shape>
                </w:pict>
              </mc:Fallback>
            </mc:AlternateContent>
          </w:r>
          <w:r w:rsidRPr="00DA085A">
            <w:rPr>
              <w:b/>
              <w:bCs/>
              <w:color w:val="833C0B" w:themeColor="accent2" w:themeShade="80"/>
              <w:sz w:val="32"/>
              <w:szCs w:val="32"/>
            </w:rPr>
            <w:t>The Module Title: International Meeting Management for the Hotel Industry</w:t>
          </w:r>
        </w:p>
        <w:p w14:paraId="5167F5F5" w14:textId="77777777" w:rsidR="00D271DA" w:rsidRPr="00DA085A" w:rsidRDefault="00D271DA" w:rsidP="00DA085A">
          <w:pPr>
            <w:pStyle w:val="ListParagraph"/>
            <w:rPr>
              <w:b/>
              <w:bCs/>
              <w:color w:val="833C0B" w:themeColor="accent2" w:themeShade="80"/>
              <w:sz w:val="32"/>
              <w:szCs w:val="32"/>
            </w:rPr>
          </w:pPr>
          <w:r w:rsidRPr="00DA085A">
            <w:rPr>
              <w:b/>
              <w:bCs/>
              <w:color w:val="833C0B" w:themeColor="accent2" w:themeShade="80"/>
              <w:sz w:val="32"/>
              <w:szCs w:val="32"/>
            </w:rPr>
            <w:t>Student Name: Ada Roman</w:t>
          </w:r>
        </w:p>
        <w:p w14:paraId="72000CF8" w14:textId="77777777" w:rsidR="00D271DA" w:rsidRPr="00DA085A" w:rsidRDefault="00D271DA" w:rsidP="00DA085A">
          <w:pPr>
            <w:pStyle w:val="ListParagraph"/>
            <w:rPr>
              <w:b/>
              <w:bCs/>
              <w:color w:val="833C0B" w:themeColor="accent2" w:themeShade="80"/>
              <w:sz w:val="32"/>
              <w:szCs w:val="32"/>
            </w:rPr>
          </w:pPr>
          <w:r w:rsidRPr="00DA085A">
            <w:rPr>
              <w:b/>
              <w:bCs/>
              <w:color w:val="833C0B" w:themeColor="accent2" w:themeShade="80"/>
              <w:sz w:val="32"/>
              <w:szCs w:val="32"/>
            </w:rPr>
            <w:t>Student ID: 2207421</w:t>
          </w:r>
        </w:p>
        <w:p w14:paraId="46F49F9D" w14:textId="77777777" w:rsidR="00B6083A" w:rsidRPr="00DA085A" w:rsidRDefault="00D271DA" w:rsidP="00DA085A">
          <w:pPr>
            <w:pStyle w:val="ListParagraph"/>
            <w:rPr>
              <w:b/>
              <w:bCs/>
              <w:color w:val="833C0B" w:themeColor="accent2" w:themeShade="80"/>
              <w:sz w:val="32"/>
              <w:szCs w:val="32"/>
            </w:rPr>
          </w:pPr>
          <w:r w:rsidRPr="00DA085A">
            <w:rPr>
              <w:b/>
              <w:bCs/>
              <w:color w:val="833C0B" w:themeColor="accent2" w:themeShade="80"/>
              <w:sz w:val="32"/>
              <w:szCs w:val="32"/>
            </w:rPr>
            <w:t>Module Tutor: Ka</w:t>
          </w:r>
          <w:r w:rsidR="00B6083A" w:rsidRPr="00DA085A">
            <w:rPr>
              <w:b/>
              <w:bCs/>
              <w:color w:val="833C0B" w:themeColor="accent2" w:themeShade="80"/>
              <w:sz w:val="32"/>
              <w:szCs w:val="32"/>
            </w:rPr>
            <w:t>thryn Flynn</w:t>
          </w:r>
        </w:p>
        <w:p w14:paraId="1B66068E" w14:textId="77777777" w:rsidR="00B6083A" w:rsidRPr="00DA085A" w:rsidRDefault="00B6083A" w:rsidP="00DA085A">
          <w:pPr>
            <w:pStyle w:val="ListParagraph"/>
            <w:rPr>
              <w:b/>
              <w:bCs/>
              <w:color w:val="833C0B" w:themeColor="accent2" w:themeShade="80"/>
              <w:sz w:val="32"/>
              <w:szCs w:val="32"/>
            </w:rPr>
          </w:pPr>
          <w:r w:rsidRPr="00DA085A">
            <w:rPr>
              <w:b/>
              <w:bCs/>
              <w:color w:val="833C0B" w:themeColor="accent2" w:themeShade="80"/>
              <w:sz w:val="32"/>
              <w:szCs w:val="32"/>
            </w:rPr>
            <w:t>Submission date: 08/11/2024</w:t>
          </w:r>
        </w:p>
        <w:p w14:paraId="2505B511" w14:textId="2D4D3237" w:rsidR="00240284" w:rsidRDefault="00B6083A" w:rsidP="00DA085A">
          <w:pPr>
            <w:pStyle w:val="ListParagraph"/>
            <w:rPr>
              <w:b/>
              <w:bCs/>
              <w:color w:val="833C0B" w:themeColor="accent2" w:themeShade="80"/>
            </w:rPr>
          </w:pPr>
          <w:r w:rsidRPr="00DA085A">
            <w:rPr>
              <w:b/>
              <w:bCs/>
              <w:color w:val="833C0B" w:themeColor="accent2" w:themeShade="80"/>
              <w:sz w:val="32"/>
              <w:szCs w:val="32"/>
            </w:rPr>
            <w:t>Wordcount:</w:t>
          </w:r>
          <w:r w:rsidRPr="00DA085A">
            <w:rPr>
              <w:b/>
              <w:bCs/>
              <w:color w:val="833C0B" w:themeColor="accent2" w:themeShade="80"/>
              <w:sz w:val="32"/>
              <w:szCs w:val="28"/>
            </w:rPr>
            <w:t xml:space="preserve"> </w:t>
          </w:r>
          <w:r w:rsidR="0094617A">
            <w:rPr>
              <w:b/>
              <w:bCs/>
              <w:color w:val="833C0B" w:themeColor="accent2" w:themeShade="80"/>
              <w:sz w:val="32"/>
              <w:szCs w:val="28"/>
            </w:rPr>
            <w:t>2499</w:t>
          </w:r>
          <w:r w:rsidR="00A328C1" w:rsidRPr="00DA085A">
            <w:rPr>
              <w:b/>
              <w:bCs/>
              <w:color w:val="833C0B" w:themeColor="accent2" w:themeShade="80"/>
            </w:rPr>
            <w:br w:type="page"/>
          </w:r>
        </w:p>
        <w:p w14:paraId="4473D5D9" w14:textId="77777777" w:rsidR="00240284" w:rsidRPr="00240284" w:rsidRDefault="00240284" w:rsidP="00240284">
          <w:pPr>
            <w:rPr>
              <w:b/>
              <w:bCs/>
              <w:sz w:val="44"/>
              <w:szCs w:val="44"/>
            </w:rPr>
          </w:pPr>
          <w:r w:rsidRPr="00240284">
            <w:rPr>
              <w:b/>
              <w:bCs/>
              <w:sz w:val="44"/>
              <w:szCs w:val="44"/>
            </w:rPr>
            <w:lastRenderedPageBreak/>
            <w:t>Basic Acknowledgement format of AI tool use</w:t>
          </w:r>
        </w:p>
        <w:p w14:paraId="2ADFC2AB" w14:textId="77777777" w:rsidR="00240284" w:rsidRPr="00240284" w:rsidRDefault="00240284" w:rsidP="00240284">
          <w:pPr>
            <w:rPr>
              <w:sz w:val="32"/>
              <w:szCs w:val="32"/>
            </w:rPr>
          </w:pPr>
          <w:r w:rsidRPr="00240284">
            <w:rPr>
              <w:sz w:val="32"/>
              <w:szCs w:val="32"/>
            </w:rPr>
            <w:t>I acknowledge the use of Grammarly (https://www.grammarly.com/) on 10 October 2024 to check my work using the prompt(s):</w:t>
          </w:r>
        </w:p>
        <w:p w14:paraId="653BF5FB" w14:textId="77777777" w:rsidR="00240284" w:rsidRPr="00240284" w:rsidRDefault="00240284" w:rsidP="00240284">
          <w:pPr>
            <w:rPr>
              <w:sz w:val="32"/>
              <w:szCs w:val="32"/>
            </w:rPr>
          </w:pPr>
          <w:r w:rsidRPr="00240284">
            <w:rPr>
              <w:sz w:val="32"/>
              <w:szCs w:val="32"/>
            </w:rPr>
            <w:t>Please check the following text for readability, grammar and syntax.</w:t>
          </w:r>
        </w:p>
        <w:p w14:paraId="0A2DC9EA" w14:textId="1F7A3A7D" w:rsidR="00240284" w:rsidRDefault="00240284" w:rsidP="00240284">
          <w:pPr>
            <w:rPr>
              <w:b/>
              <w:bCs/>
              <w:color w:val="833C0B" w:themeColor="accent2" w:themeShade="80"/>
            </w:rPr>
          </w:pPr>
          <w:r w:rsidRPr="00240284">
            <w:rPr>
              <w:sz w:val="32"/>
              <w:szCs w:val="32"/>
            </w:rPr>
            <w:t>I conﬁrm that I have not presented any AI-generated text as my work. I conﬁrm I have copies of my drafts, notes, and other resources I used before</w:t>
          </w:r>
          <w:r w:rsidR="001703A4">
            <w:rPr>
              <w:sz w:val="32"/>
              <w:szCs w:val="32"/>
            </w:rPr>
            <w:t> and after using AI tools,</w:t>
          </w:r>
          <w:r w:rsidRPr="00240284">
            <w:rPr>
              <w:sz w:val="32"/>
              <w:szCs w:val="32"/>
            </w:rPr>
            <w:t xml:space="preserve"> which I may be asked to provide in evidence.</w:t>
          </w:r>
          <w:r>
            <w:rPr>
              <w:b/>
              <w:bCs/>
              <w:color w:val="833C0B" w:themeColor="accent2" w:themeShade="80"/>
            </w:rPr>
            <w:br w:type="page"/>
          </w:r>
        </w:p>
        <w:p w14:paraId="32743172" w14:textId="67001B8C" w:rsidR="00FF1685" w:rsidRDefault="00000000" w:rsidP="00DA085A">
          <w:pPr>
            <w:pStyle w:val="ListParagraph"/>
          </w:pPr>
        </w:p>
      </w:sdtContent>
    </w:sdt>
    <w:sdt>
      <w:sdtPr>
        <w:rPr>
          <w:rFonts w:eastAsiaTheme="minorHAnsi" w:cstheme="minorBidi"/>
          <w:sz w:val="24"/>
          <w:szCs w:val="22"/>
          <w:lang w:val="en-GB"/>
        </w:rPr>
        <w:id w:val="442037606"/>
        <w:docPartObj>
          <w:docPartGallery w:val="Table of Contents"/>
          <w:docPartUnique/>
        </w:docPartObj>
      </w:sdtPr>
      <w:sdtEndPr>
        <w:rPr>
          <w:rFonts w:ascii="Times New Roman" w:hAnsi="Times New Roman"/>
          <w:b/>
          <w:bCs/>
          <w:noProof/>
        </w:rPr>
      </w:sdtEndPr>
      <w:sdtContent>
        <w:p w14:paraId="58D0AE33" w14:textId="6A6DB101" w:rsidR="00220092" w:rsidRPr="00220092" w:rsidRDefault="00220092" w:rsidP="00DA085A">
          <w:pPr>
            <w:pStyle w:val="TOCHeading"/>
          </w:pPr>
          <w:r w:rsidRPr="00220092">
            <w:t>Table of Contents</w:t>
          </w:r>
        </w:p>
        <w:p w14:paraId="3A8FACCA" w14:textId="16CE780C" w:rsidR="003F7ABD" w:rsidRDefault="00220092">
          <w:pPr>
            <w:pStyle w:val="TOC1"/>
            <w:tabs>
              <w:tab w:val="right" w:leader="dot" w:pos="9019"/>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80545459" w:history="1">
            <w:r w:rsidR="003F7ABD" w:rsidRPr="001C7395">
              <w:rPr>
                <w:rStyle w:val="Hyperlink"/>
                <w:noProof/>
              </w:rPr>
              <w:t>1. Executive Summary</w:t>
            </w:r>
            <w:r w:rsidR="003F7ABD">
              <w:rPr>
                <w:noProof/>
                <w:webHidden/>
              </w:rPr>
              <w:tab/>
            </w:r>
            <w:r w:rsidR="003F7ABD">
              <w:rPr>
                <w:noProof/>
                <w:webHidden/>
              </w:rPr>
              <w:fldChar w:fldCharType="begin"/>
            </w:r>
            <w:r w:rsidR="003F7ABD">
              <w:rPr>
                <w:noProof/>
                <w:webHidden/>
              </w:rPr>
              <w:instrText xml:space="preserve"> PAGEREF _Toc180545459 \h </w:instrText>
            </w:r>
            <w:r w:rsidR="003F7ABD">
              <w:rPr>
                <w:noProof/>
                <w:webHidden/>
              </w:rPr>
            </w:r>
            <w:r w:rsidR="003F7ABD">
              <w:rPr>
                <w:noProof/>
                <w:webHidden/>
              </w:rPr>
              <w:fldChar w:fldCharType="separate"/>
            </w:r>
            <w:r w:rsidR="003F7ABD">
              <w:rPr>
                <w:noProof/>
                <w:webHidden/>
              </w:rPr>
              <w:t>1</w:t>
            </w:r>
            <w:r w:rsidR="003F7ABD">
              <w:rPr>
                <w:noProof/>
                <w:webHidden/>
              </w:rPr>
              <w:fldChar w:fldCharType="end"/>
            </w:r>
          </w:hyperlink>
        </w:p>
        <w:p w14:paraId="34E481E6" w14:textId="524682B0" w:rsidR="003F7ABD" w:rsidRDefault="003F7ABD">
          <w:pPr>
            <w:pStyle w:val="TOC1"/>
            <w:tabs>
              <w:tab w:val="right" w:leader="dot" w:pos="9019"/>
            </w:tabs>
            <w:rPr>
              <w:rFonts w:asciiTheme="minorHAnsi" w:eastAsiaTheme="minorEastAsia" w:hAnsiTheme="minorHAnsi"/>
              <w:noProof/>
              <w:sz w:val="22"/>
              <w:lang w:val="en-US"/>
            </w:rPr>
          </w:pPr>
          <w:hyperlink w:anchor="_Toc180545460" w:history="1">
            <w:r w:rsidRPr="001C7395">
              <w:rPr>
                <w:rStyle w:val="Hyperlink"/>
                <w:noProof/>
              </w:rPr>
              <w:t>2. Introduction</w:t>
            </w:r>
            <w:r>
              <w:rPr>
                <w:noProof/>
                <w:webHidden/>
              </w:rPr>
              <w:tab/>
            </w:r>
            <w:r>
              <w:rPr>
                <w:noProof/>
                <w:webHidden/>
              </w:rPr>
              <w:fldChar w:fldCharType="begin"/>
            </w:r>
            <w:r>
              <w:rPr>
                <w:noProof/>
                <w:webHidden/>
              </w:rPr>
              <w:instrText xml:space="preserve"> PAGEREF _Toc180545460 \h </w:instrText>
            </w:r>
            <w:r>
              <w:rPr>
                <w:noProof/>
                <w:webHidden/>
              </w:rPr>
            </w:r>
            <w:r>
              <w:rPr>
                <w:noProof/>
                <w:webHidden/>
              </w:rPr>
              <w:fldChar w:fldCharType="separate"/>
            </w:r>
            <w:r>
              <w:rPr>
                <w:noProof/>
                <w:webHidden/>
              </w:rPr>
              <w:t>2</w:t>
            </w:r>
            <w:r>
              <w:rPr>
                <w:noProof/>
                <w:webHidden/>
              </w:rPr>
              <w:fldChar w:fldCharType="end"/>
            </w:r>
          </w:hyperlink>
        </w:p>
        <w:p w14:paraId="3D581717" w14:textId="31D1716B" w:rsidR="003F7ABD" w:rsidRDefault="003F7ABD">
          <w:pPr>
            <w:pStyle w:val="TOC1"/>
            <w:tabs>
              <w:tab w:val="right" w:leader="dot" w:pos="9019"/>
            </w:tabs>
            <w:rPr>
              <w:rFonts w:asciiTheme="minorHAnsi" w:eastAsiaTheme="minorEastAsia" w:hAnsiTheme="minorHAnsi"/>
              <w:noProof/>
              <w:sz w:val="22"/>
              <w:lang w:val="en-US"/>
            </w:rPr>
          </w:pPr>
          <w:hyperlink w:anchor="_Toc180545461" w:history="1">
            <w:r w:rsidRPr="001C7395">
              <w:rPr>
                <w:rStyle w:val="Hyperlink"/>
                <w:noProof/>
              </w:rPr>
              <w:t>3. Event Cycle Analysis</w:t>
            </w:r>
            <w:r>
              <w:rPr>
                <w:noProof/>
                <w:webHidden/>
              </w:rPr>
              <w:tab/>
            </w:r>
            <w:r>
              <w:rPr>
                <w:noProof/>
                <w:webHidden/>
              </w:rPr>
              <w:fldChar w:fldCharType="begin"/>
            </w:r>
            <w:r>
              <w:rPr>
                <w:noProof/>
                <w:webHidden/>
              </w:rPr>
              <w:instrText xml:space="preserve"> PAGEREF _Toc180545461 \h </w:instrText>
            </w:r>
            <w:r>
              <w:rPr>
                <w:noProof/>
                <w:webHidden/>
              </w:rPr>
            </w:r>
            <w:r>
              <w:rPr>
                <w:noProof/>
                <w:webHidden/>
              </w:rPr>
              <w:fldChar w:fldCharType="separate"/>
            </w:r>
            <w:r>
              <w:rPr>
                <w:noProof/>
                <w:webHidden/>
              </w:rPr>
              <w:t>3</w:t>
            </w:r>
            <w:r>
              <w:rPr>
                <w:noProof/>
                <w:webHidden/>
              </w:rPr>
              <w:fldChar w:fldCharType="end"/>
            </w:r>
          </w:hyperlink>
        </w:p>
        <w:p w14:paraId="777AB295" w14:textId="0B368514" w:rsidR="003F7ABD" w:rsidRDefault="003F7ABD">
          <w:pPr>
            <w:pStyle w:val="TOC2"/>
            <w:tabs>
              <w:tab w:val="right" w:leader="dot" w:pos="9019"/>
            </w:tabs>
            <w:rPr>
              <w:rFonts w:asciiTheme="minorHAnsi" w:eastAsiaTheme="minorEastAsia" w:hAnsiTheme="minorHAnsi"/>
              <w:noProof/>
              <w:sz w:val="22"/>
              <w:lang w:val="en-US"/>
            </w:rPr>
          </w:pPr>
          <w:hyperlink w:anchor="_Toc180545462" w:history="1">
            <w:r w:rsidRPr="001C7395">
              <w:rPr>
                <w:rStyle w:val="Hyperlink"/>
                <w:noProof/>
              </w:rPr>
              <w:t>3.1. Pre-event Planning Phase</w:t>
            </w:r>
            <w:r>
              <w:rPr>
                <w:noProof/>
                <w:webHidden/>
              </w:rPr>
              <w:tab/>
            </w:r>
            <w:r>
              <w:rPr>
                <w:noProof/>
                <w:webHidden/>
              </w:rPr>
              <w:fldChar w:fldCharType="begin"/>
            </w:r>
            <w:r>
              <w:rPr>
                <w:noProof/>
                <w:webHidden/>
              </w:rPr>
              <w:instrText xml:space="preserve"> PAGEREF _Toc180545462 \h </w:instrText>
            </w:r>
            <w:r>
              <w:rPr>
                <w:noProof/>
                <w:webHidden/>
              </w:rPr>
            </w:r>
            <w:r>
              <w:rPr>
                <w:noProof/>
                <w:webHidden/>
              </w:rPr>
              <w:fldChar w:fldCharType="separate"/>
            </w:r>
            <w:r>
              <w:rPr>
                <w:noProof/>
                <w:webHidden/>
              </w:rPr>
              <w:t>3</w:t>
            </w:r>
            <w:r>
              <w:rPr>
                <w:noProof/>
                <w:webHidden/>
              </w:rPr>
              <w:fldChar w:fldCharType="end"/>
            </w:r>
          </w:hyperlink>
        </w:p>
        <w:p w14:paraId="3921E72E" w14:textId="180B8DD5" w:rsidR="003F7ABD" w:rsidRDefault="003F7ABD">
          <w:pPr>
            <w:pStyle w:val="TOC2"/>
            <w:tabs>
              <w:tab w:val="right" w:leader="dot" w:pos="9019"/>
            </w:tabs>
            <w:rPr>
              <w:rFonts w:asciiTheme="minorHAnsi" w:eastAsiaTheme="minorEastAsia" w:hAnsiTheme="minorHAnsi"/>
              <w:noProof/>
              <w:sz w:val="22"/>
              <w:lang w:val="en-US"/>
            </w:rPr>
          </w:pPr>
          <w:hyperlink w:anchor="_Toc180545463" w:history="1">
            <w:r w:rsidRPr="001C7395">
              <w:rPr>
                <w:rStyle w:val="Hyperlink"/>
                <w:noProof/>
              </w:rPr>
              <w:t>3.2. Event Execution Phase</w:t>
            </w:r>
            <w:r>
              <w:rPr>
                <w:noProof/>
                <w:webHidden/>
              </w:rPr>
              <w:tab/>
            </w:r>
            <w:r>
              <w:rPr>
                <w:noProof/>
                <w:webHidden/>
              </w:rPr>
              <w:fldChar w:fldCharType="begin"/>
            </w:r>
            <w:r>
              <w:rPr>
                <w:noProof/>
                <w:webHidden/>
              </w:rPr>
              <w:instrText xml:space="preserve"> PAGEREF _Toc180545463 \h </w:instrText>
            </w:r>
            <w:r>
              <w:rPr>
                <w:noProof/>
                <w:webHidden/>
              </w:rPr>
            </w:r>
            <w:r>
              <w:rPr>
                <w:noProof/>
                <w:webHidden/>
              </w:rPr>
              <w:fldChar w:fldCharType="separate"/>
            </w:r>
            <w:r>
              <w:rPr>
                <w:noProof/>
                <w:webHidden/>
              </w:rPr>
              <w:t>3</w:t>
            </w:r>
            <w:r>
              <w:rPr>
                <w:noProof/>
                <w:webHidden/>
              </w:rPr>
              <w:fldChar w:fldCharType="end"/>
            </w:r>
          </w:hyperlink>
        </w:p>
        <w:p w14:paraId="64AE9CA9" w14:textId="57C4497E" w:rsidR="003F7ABD" w:rsidRDefault="003F7ABD">
          <w:pPr>
            <w:pStyle w:val="TOC1"/>
            <w:tabs>
              <w:tab w:val="right" w:leader="dot" w:pos="9019"/>
            </w:tabs>
            <w:rPr>
              <w:rFonts w:asciiTheme="minorHAnsi" w:eastAsiaTheme="minorEastAsia" w:hAnsiTheme="minorHAnsi"/>
              <w:noProof/>
              <w:sz w:val="22"/>
              <w:lang w:val="en-US"/>
            </w:rPr>
          </w:pPr>
          <w:hyperlink w:anchor="_Toc180545464" w:history="1">
            <w:r w:rsidRPr="001C7395">
              <w:rPr>
                <w:rStyle w:val="Hyperlink"/>
                <w:noProof/>
              </w:rPr>
              <w:t>4. Strategic Event Operations</w:t>
            </w:r>
            <w:r>
              <w:rPr>
                <w:noProof/>
                <w:webHidden/>
              </w:rPr>
              <w:tab/>
            </w:r>
            <w:r>
              <w:rPr>
                <w:noProof/>
                <w:webHidden/>
              </w:rPr>
              <w:fldChar w:fldCharType="begin"/>
            </w:r>
            <w:r>
              <w:rPr>
                <w:noProof/>
                <w:webHidden/>
              </w:rPr>
              <w:instrText xml:space="preserve"> PAGEREF _Toc180545464 \h </w:instrText>
            </w:r>
            <w:r>
              <w:rPr>
                <w:noProof/>
                <w:webHidden/>
              </w:rPr>
            </w:r>
            <w:r>
              <w:rPr>
                <w:noProof/>
                <w:webHidden/>
              </w:rPr>
              <w:fldChar w:fldCharType="separate"/>
            </w:r>
            <w:r>
              <w:rPr>
                <w:noProof/>
                <w:webHidden/>
              </w:rPr>
              <w:t>4</w:t>
            </w:r>
            <w:r>
              <w:rPr>
                <w:noProof/>
                <w:webHidden/>
              </w:rPr>
              <w:fldChar w:fldCharType="end"/>
            </w:r>
          </w:hyperlink>
        </w:p>
        <w:p w14:paraId="19BCEE24" w14:textId="1A993C28" w:rsidR="003F7ABD" w:rsidRDefault="003F7ABD">
          <w:pPr>
            <w:pStyle w:val="TOC2"/>
            <w:tabs>
              <w:tab w:val="right" w:leader="dot" w:pos="9019"/>
            </w:tabs>
            <w:rPr>
              <w:rFonts w:asciiTheme="minorHAnsi" w:eastAsiaTheme="minorEastAsia" w:hAnsiTheme="minorHAnsi"/>
              <w:noProof/>
              <w:sz w:val="22"/>
              <w:lang w:val="en-US"/>
            </w:rPr>
          </w:pPr>
          <w:hyperlink w:anchor="_Toc180545465" w:history="1">
            <w:r w:rsidRPr="001C7395">
              <w:rPr>
                <w:rStyle w:val="Hyperlink"/>
                <w:noProof/>
              </w:rPr>
              <w:t>4.1. Venue Management</w:t>
            </w:r>
            <w:r>
              <w:rPr>
                <w:noProof/>
                <w:webHidden/>
              </w:rPr>
              <w:tab/>
            </w:r>
            <w:r>
              <w:rPr>
                <w:noProof/>
                <w:webHidden/>
              </w:rPr>
              <w:fldChar w:fldCharType="begin"/>
            </w:r>
            <w:r>
              <w:rPr>
                <w:noProof/>
                <w:webHidden/>
              </w:rPr>
              <w:instrText xml:space="preserve"> PAGEREF _Toc180545465 \h </w:instrText>
            </w:r>
            <w:r>
              <w:rPr>
                <w:noProof/>
                <w:webHidden/>
              </w:rPr>
            </w:r>
            <w:r>
              <w:rPr>
                <w:noProof/>
                <w:webHidden/>
              </w:rPr>
              <w:fldChar w:fldCharType="separate"/>
            </w:r>
            <w:r>
              <w:rPr>
                <w:noProof/>
                <w:webHidden/>
              </w:rPr>
              <w:t>4</w:t>
            </w:r>
            <w:r>
              <w:rPr>
                <w:noProof/>
                <w:webHidden/>
              </w:rPr>
              <w:fldChar w:fldCharType="end"/>
            </w:r>
          </w:hyperlink>
        </w:p>
        <w:p w14:paraId="0008A064" w14:textId="1A756596" w:rsidR="003F7ABD" w:rsidRDefault="003F7ABD">
          <w:pPr>
            <w:pStyle w:val="TOC2"/>
            <w:tabs>
              <w:tab w:val="right" w:leader="dot" w:pos="9019"/>
            </w:tabs>
            <w:rPr>
              <w:rFonts w:asciiTheme="minorHAnsi" w:eastAsiaTheme="minorEastAsia" w:hAnsiTheme="minorHAnsi"/>
              <w:noProof/>
              <w:sz w:val="22"/>
              <w:lang w:val="en-US"/>
            </w:rPr>
          </w:pPr>
          <w:hyperlink w:anchor="_Toc180545466" w:history="1">
            <w:r w:rsidRPr="001C7395">
              <w:rPr>
                <w:rStyle w:val="Hyperlink"/>
                <w:noProof/>
              </w:rPr>
              <w:t>4.2. Stakeholder Management</w:t>
            </w:r>
            <w:r>
              <w:rPr>
                <w:noProof/>
                <w:webHidden/>
              </w:rPr>
              <w:tab/>
            </w:r>
            <w:r>
              <w:rPr>
                <w:noProof/>
                <w:webHidden/>
              </w:rPr>
              <w:fldChar w:fldCharType="begin"/>
            </w:r>
            <w:r>
              <w:rPr>
                <w:noProof/>
                <w:webHidden/>
              </w:rPr>
              <w:instrText xml:space="preserve"> PAGEREF _Toc180545466 \h </w:instrText>
            </w:r>
            <w:r>
              <w:rPr>
                <w:noProof/>
                <w:webHidden/>
              </w:rPr>
            </w:r>
            <w:r>
              <w:rPr>
                <w:noProof/>
                <w:webHidden/>
              </w:rPr>
              <w:fldChar w:fldCharType="separate"/>
            </w:r>
            <w:r>
              <w:rPr>
                <w:noProof/>
                <w:webHidden/>
              </w:rPr>
              <w:t>5</w:t>
            </w:r>
            <w:r>
              <w:rPr>
                <w:noProof/>
                <w:webHidden/>
              </w:rPr>
              <w:fldChar w:fldCharType="end"/>
            </w:r>
          </w:hyperlink>
        </w:p>
        <w:p w14:paraId="65FDD07A" w14:textId="6D9ED6A7" w:rsidR="003F7ABD" w:rsidRDefault="003F7ABD">
          <w:pPr>
            <w:pStyle w:val="TOC2"/>
            <w:tabs>
              <w:tab w:val="right" w:leader="dot" w:pos="9019"/>
            </w:tabs>
            <w:rPr>
              <w:rFonts w:asciiTheme="minorHAnsi" w:eastAsiaTheme="minorEastAsia" w:hAnsiTheme="minorHAnsi"/>
              <w:noProof/>
              <w:sz w:val="22"/>
              <w:lang w:val="en-US"/>
            </w:rPr>
          </w:pPr>
          <w:hyperlink w:anchor="_Toc180545467" w:history="1">
            <w:r w:rsidRPr="001C7395">
              <w:rPr>
                <w:rStyle w:val="Hyperlink"/>
                <w:noProof/>
              </w:rPr>
              <w:t>4.3. Program Design and Delivery</w:t>
            </w:r>
            <w:r>
              <w:rPr>
                <w:noProof/>
                <w:webHidden/>
              </w:rPr>
              <w:tab/>
            </w:r>
            <w:r>
              <w:rPr>
                <w:noProof/>
                <w:webHidden/>
              </w:rPr>
              <w:fldChar w:fldCharType="begin"/>
            </w:r>
            <w:r>
              <w:rPr>
                <w:noProof/>
                <w:webHidden/>
              </w:rPr>
              <w:instrText xml:space="preserve"> PAGEREF _Toc180545467 \h </w:instrText>
            </w:r>
            <w:r>
              <w:rPr>
                <w:noProof/>
                <w:webHidden/>
              </w:rPr>
            </w:r>
            <w:r>
              <w:rPr>
                <w:noProof/>
                <w:webHidden/>
              </w:rPr>
              <w:fldChar w:fldCharType="separate"/>
            </w:r>
            <w:r>
              <w:rPr>
                <w:noProof/>
                <w:webHidden/>
              </w:rPr>
              <w:t>5</w:t>
            </w:r>
            <w:r>
              <w:rPr>
                <w:noProof/>
                <w:webHidden/>
              </w:rPr>
              <w:fldChar w:fldCharType="end"/>
            </w:r>
          </w:hyperlink>
        </w:p>
        <w:p w14:paraId="5533C258" w14:textId="3551DEBD" w:rsidR="003F7ABD" w:rsidRDefault="003F7ABD">
          <w:pPr>
            <w:pStyle w:val="TOC1"/>
            <w:tabs>
              <w:tab w:val="right" w:leader="dot" w:pos="9019"/>
            </w:tabs>
            <w:rPr>
              <w:rFonts w:asciiTheme="minorHAnsi" w:eastAsiaTheme="minorEastAsia" w:hAnsiTheme="minorHAnsi"/>
              <w:noProof/>
              <w:sz w:val="22"/>
              <w:lang w:val="en-US"/>
            </w:rPr>
          </w:pPr>
          <w:hyperlink w:anchor="_Toc180545468" w:history="1">
            <w:r w:rsidRPr="001C7395">
              <w:rPr>
                <w:rStyle w:val="Hyperlink"/>
                <w:noProof/>
              </w:rPr>
              <w:t>5. Budget Management and Financial Strategy</w:t>
            </w:r>
            <w:r>
              <w:rPr>
                <w:noProof/>
                <w:webHidden/>
              </w:rPr>
              <w:tab/>
            </w:r>
            <w:r>
              <w:rPr>
                <w:noProof/>
                <w:webHidden/>
              </w:rPr>
              <w:fldChar w:fldCharType="begin"/>
            </w:r>
            <w:r>
              <w:rPr>
                <w:noProof/>
                <w:webHidden/>
              </w:rPr>
              <w:instrText xml:space="preserve"> PAGEREF _Toc180545468 \h </w:instrText>
            </w:r>
            <w:r>
              <w:rPr>
                <w:noProof/>
                <w:webHidden/>
              </w:rPr>
            </w:r>
            <w:r>
              <w:rPr>
                <w:noProof/>
                <w:webHidden/>
              </w:rPr>
              <w:fldChar w:fldCharType="separate"/>
            </w:r>
            <w:r>
              <w:rPr>
                <w:noProof/>
                <w:webHidden/>
              </w:rPr>
              <w:t>6</w:t>
            </w:r>
            <w:r>
              <w:rPr>
                <w:noProof/>
                <w:webHidden/>
              </w:rPr>
              <w:fldChar w:fldCharType="end"/>
            </w:r>
          </w:hyperlink>
        </w:p>
        <w:p w14:paraId="3DB39245" w14:textId="6F790F25" w:rsidR="003F7ABD" w:rsidRDefault="003F7ABD">
          <w:pPr>
            <w:pStyle w:val="TOC2"/>
            <w:tabs>
              <w:tab w:val="right" w:leader="dot" w:pos="9019"/>
            </w:tabs>
            <w:rPr>
              <w:rFonts w:asciiTheme="minorHAnsi" w:eastAsiaTheme="minorEastAsia" w:hAnsiTheme="minorHAnsi"/>
              <w:noProof/>
              <w:sz w:val="22"/>
              <w:lang w:val="en-US"/>
            </w:rPr>
          </w:pPr>
          <w:hyperlink w:anchor="_Toc180545469" w:history="1">
            <w:r w:rsidRPr="001C7395">
              <w:rPr>
                <w:rStyle w:val="Hyperlink"/>
                <w:noProof/>
              </w:rPr>
              <w:t>5.1 Cost Control Measures</w:t>
            </w:r>
            <w:r>
              <w:rPr>
                <w:noProof/>
                <w:webHidden/>
              </w:rPr>
              <w:tab/>
            </w:r>
            <w:r>
              <w:rPr>
                <w:noProof/>
                <w:webHidden/>
              </w:rPr>
              <w:fldChar w:fldCharType="begin"/>
            </w:r>
            <w:r>
              <w:rPr>
                <w:noProof/>
                <w:webHidden/>
              </w:rPr>
              <w:instrText xml:space="preserve"> PAGEREF _Toc180545469 \h </w:instrText>
            </w:r>
            <w:r>
              <w:rPr>
                <w:noProof/>
                <w:webHidden/>
              </w:rPr>
            </w:r>
            <w:r>
              <w:rPr>
                <w:noProof/>
                <w:webHidden/>
              </w:rPr>
              <w:fldChar w:fldCharType="separate"/>
            </w:r>
            <w:r>
              <w:rPr>
                <w:noProof/>
                <w:webHidden/>
              </w:rPr>
              <w:t>6</w:t>
            </w:r>
            <w:r>
              <w:rPr>
                <w:noProof/>
                <w:webHidden/>
              </w:rPr>
              <w:fldChar w:fldCharType="end"/>
            </w:r>
          </w:hyperlink>
        </w:p>
        <w:p w14:paraId="2CFF34EA" w14:textId="7B093951" w:rsidR="003F7ABD" w:rsidRDefault="003F7ABD">
          <w:pPr>
            <w:pStyle w:val="TOC2"/>
            <w:tabs>
              <w:tab w:val="right" w:leader="dot" w:pos="9019"/>
            </w:tabs>
            <w:rPr>
              <w:rFonts w:asciiTheme="minorHAnsi" w:eastAsiaTheme="minorEastAsia" w:hAnsiTheme="minorHAnsi"/>
              <w:noProof/>
              <w:sz w:val="22"/>
              <w:lang w:val="en-US"/>
            </w:rPr>
          </w:pPr>
          <w:hyperlink w:anchor="_Toc180545470" w:history="1">
            <w:r w:rsidRPr="001C7395">
              <w:rPr>
                <w:rStyle w:val="Hyperlink"/>
                <w:noProof/>
              </w:rPr>
              <w:t>5.2 Revenue Enhancement Strategies</w:t>
            </w:r>
            <w:r>
              <w:rPr>
                <w:noProof/>
                <w:webHidden/>
              </w:rPr>
              <w:tab/>
            </w:r>
            <w:r>
              <w:rPr>
                <w:noProof/>
                <w:webHidden/>
              </w:rPr>
              <w:fldChar w:fldCharType="begin"/>
            </w:r>
            <w:r>
              <w:rPr>
                <w:noProof/>
                <w:webHidden/>
              </w:rPr>
              <w:instrText xml:space="preserve"> PAGEREF _Toc180545470 \h </w:instrText>
            </w:r>
            <w:r>
              <w:rPr>
                <w:noProof/>
                <w:webHidden/>
              </w:rPr>
            </w:r>
            <w:r>
              <w:rPr>
                <w:noProof/>
                <w:webHidden/>
              </w:rPr>
              <w:fldChar w:fldCharType="separate"/>
            </w:r>
            <w:r>
              <w:rPr>
                <w:noProof/>
                <w:webHidden/>
              </w:rPr>
              <w:t>6</w:t>
            </w:r>
            <w:r>
              <w:rPr>
                <w:noProof/>
                <w:webHidden/>
              </w:rPr>
              <w:fldChar w:fldCharType="end"/>
            </w:r>
          </w:hyperlink>
        </w:p>
        <w:p w14:paraId="559DB24C" w14:textId="03FBA64F" w:rsidR="003F7ABD" w:rsidRDefault="003F7ABD">
          <w:pPr>
            <w:pStyle w:val="TOC1"/>
            <w:tabs>
              <w:tab w:val="right" w:leader="dot" w:pos="9019"/>
            </w:tabs>
            <w:rPr>
              <w:rFonts w:asciiTheme="minorHAnsi" w:eastAsiaTheme="minorEastAsia" w:hAnsiTheme="minorHAnsi"/>
              <w:noProof/>
              <w:sz w:val="22"/>
              <w:lang w:val="en-US"/>
            </w:rPr>
          </w:pPr>
          <w:hyperlink w:anchor="_Toc180545471" w:history="1">
            <w:r w:rsidRPr="001C7395">
              <w:rPr>
                <w:rStyle w:val="Hyperlink"/>
                <w:noProof/>
              </w:rPr>
              <w:t>6. Industry Trend and Impact Analysis</w:t>
            </w:r>
            <w:r>
              <w:rPr>
                <w:noProof/>
                <w:webHidden/>
              </w:rPr>
              <w:tab/>
            </w:r>
            <w:r>
              <w:rPr>
                <w:noProof/>
                <w:webHidden/>
              </w:rPr>
              <w:fldChar w:fldCharType="begin"/>
            </w:r>
            <w:r>
              <w:rPr>
                <w:noProof/>
                <w:webHidden/>
              </w:rPr>
              <w:instrText xml:space="preserve"> PAGEREF _Toc180545471 \h </w:instrText>
            </w:r>
            <w:r>
              <w:rPr>
                <w:noProof/>
                <w:webHidden/>
              </w:rPr>
            </w:r>
            <w:r>
              <w:rPr>
                <w:noProof/>
                <w:webHidden/>
              </w:rPr>
              <w:fldChar w:fldCharType="separate"/>
            </w:r>
            <w:r>
              <w:rPr>
                <w:noProof/>
                <w:webHidden/>
              </w:rPr>
              <w:t>7</w:t>
            </w:r>
            <w:r>
              <w:rPr>
                <w:noProof/>
                <w:webHidden/>
              </w:rPr>
              <w:fldChar w:fldCharType="end"/>
            </w:r>
          </w:hyperlink>
        </w:p>
        <w:p w14:paraId="1DCDFDC8" w14:textId="2F17CD06" w:rsidR="003F7ABD" w:rsidRDefault="003F7ABD">
          <w:pPr>
            <w:pStyle w:val="TOC2"/>
            <w:tabs>
              <w:tab w:val="right" w:leader="dot" w:pos="9019"/>
            </w:tabs>
            <w:rPr>
              <w:rFonts w:asciiTheme="minorHAnsi" w:eastAsiaTheme="minorEastAsia" w:hAnsiTheme="minorHAnsi"/>
              <w:noProof/>
              <w:sz w:val="22"/>
              <w:lang w:val="en-US"/>
            </w:rPr>
          </w:pPr>
          <w:hyperlink w:anchor="_Toc180545472" w:history="1">
            <w:r w:rsidRPr="001C7395">
              <w:rPr>
                <w:rStyle w:val="Hyperlink"/>
                <w:noProof/>
              </w:rPr>
              <w:t>6.1. Market Analysis</w:t>
            </w:r>
            <w:r>
              <w:rPr>
                <w:noProof/>
                <w:webHidden/>
              </w:rPr>
              <w:tab/>
            </w:r>
            <w:r>
              <w:rPr>
                <w:noProof/>
                <w:webHidden/>
              </w:rPr>
              <w:fldChar w:fldCharType="begin"/>
            </w:r>
            <w:r>
              <w:rPr>
                <w:noProof/>
                <w:webHidden/>
              </w:rPr>
              <w:instrText xml:space="preserve"> PAGEREF _Toc180545472 \h </w:instrText>
            </w:r>
            <w:r>
              <w:rPr>
                <w:noProof/>
                <w:webHidden/>
              </w:rPr>
            </w:r>
            <w:r>
              <w:rPr>
                <w:noProof/>
                <w:webHidden/>
              </w:rPr>
              <w:fldChar w:fldCharType="separate"/>
            </w:r>
            <w:r>
              <w:rPr>
                <w:noProof/>
                <w:webHidden/>
              </w:rPr>
              <w:t>7</w:t>
            </w:r>
            <w:r>
              <w:rPr>
                <w:noProof/>
                <w:webHidden/>
              </w:rPr>
              <w:fldChar w:fldCharType="end"/>
            </w:r>
          </w:hyperlink>
        </w:p>
        <w:p w14:paraId="028D91EA" w14:textId="27F1BD24" w:rsidR="003F7ABD" w:rsidRDefault="003F7ABD">
          <w:pPr>
            <w:pStyle w:val="TOC2"/>
            <w:tabs>
              <w:tab w:val="right" w:leader="dot" w:pos="9019"/>
            </w:tabs>
            <w:rPr>
              <w:rFonts w:asciiTheme="minorHAnsi" w:eastAsiaTheme="minorEastAsia" w:hAnsiTheme="minorHAnsi"/>
              <w:noProof/>
              <w:sz w:val="22"/>
              <w:lang w:val="en-US"/>
            </w:rPr>
          </w:pPr>
          <w:hyperlink w:anchor="_Toc180545473" w:history="1">
            <w:r w:rsidRPr="001C7395">
              <w:rPr>
                <w:rStyle w:val="Hyperlink"/>
                <w:noProof/>
              </w:rPr>
              <w:t>6.2. Competitive Positioning</w:t>
            </w:r>
            <w:r>
              <w:rPr>
                <w:noProof/>
                <w:webHidden/>
              </w:rPr>
              <w:tab/>
            </w:r>
            <w:r>
              <w:rPr>
                <w:noProof/>
                <w:webHidden/>
              </w:rPr>
              <w:fldChar w:fldCharType="begin"/>
            </w:r>
            <w:r>
              <w:rPr>
                <w:noProof/>
                <w:webHidden/>
              </w:rPr>
              <w:instrText xml:space="preserve"> PAGEREF _Toc180545473 \h </w:instrText>
            </w:r>
            <w:r>
              <w:rPr>
                <w:noProof/>
                <w:webHidden/>
              </w:rPr>
            </w:r>
            <w:r>
              <w:rPr>
                <w:noProof/>
                <w:webHidden/>
              </w:rPr>
              <w:fldChar w:fldCharType="separate"/>
            </w:r>
            <w:r>
              <w:rPr>
                <w:noProof/>
                <w:webHidden/>
              </w:rPr>
              <w:t>8</w:t>
            </w:r>
            <w:r>
              <w:rPr>
                <w:noProof/>
                <w:webHidden/>
              </w:rPr>
              <w:fldChar w:fldCharType="end"/>
            </w:r>
          </w:hyperlink>
        </w:p>
        <w:p w14:paraId="0C237097" w14:textId="140A2E99" w:rsidR="003F7ABD" w:rsidRDefault="003F7ABD">
          <w:pPr>
            <w:pStyle w:val="TOC1"/>
            <w:tabs>
              <w:tab w:val="right" w:leader="dot" w:pos="9019"/>
            </w:tabs>
            <w:rPr>
              <w:rFonts w:asciiTheme="minorHAnsi" w:eastAsiaTheme="minorEastAsia" w:hAnsiTheme="minorHAnsi"/>
              <w:noProof/>
              <w:sz w:val="22"/>
              <w:lang w:val="en-US"/>
            </w:rPr>
          </w:pPr>
          <w:hyperlink w:anchor="_Toc180545474" w:history="1">
            <w:r w:rsidRPr="001C7395">
              <w:rPr>
                <w:rStyle w:val="Hyperlink"/>
                <w:noProof/>
              </w:rPr>
              <w:t>7. Cultural and Situational Considerations were delineated</w:t>
            </w:r>
            <w:r>
              <w:rPr>
                <w:noProof/>
                <w:webHidden/>
              </w:rPr>
              <w:tab/>
            </w:r>
            <w:r>
              <w:rPr>
                <w:noProof/>
                <w:webHidden/>
              </w:rPr>
              <w:fldChar w:fldCharType="begin"/>
            </w:r>
            <w:r>
              <w:rPr>
                <w:noProof/>
                <w:webHidden/>
              </w:rPr>
              <w:instrText xml:space="preserve"> PAGEREF _Toc180545474 \h </w:instrText>
            </w:r>
            <w:r>
              <w:rPr>
                <w:noProof/>
                <w:webHidden/>
              </w:rPr>
            </w:r>
            <w:r>
              <w:rPr>
                <w:noProof/>
                <w:webHidden/>
              </w:rPr>
              <w:fldChar w:fldCharType="separate"/>
            </w:r>
            <w:r>
              <w:rPr>
                <w:noProof/>
                <w:webHidden/>
              </w:rPr>
              <w:t>9</w:t>
            </w:r>
            <w:r>
              <w:rPr>
                <w:noProof/>
                <w:webHidden/>
              </w:rPr>
              <w:fldChar w:fldCharType="end"/>
            </w:r>
          </w:hyperlink>
        </w:p>
        <w:p w14:paraId="46A2F546" w14:textId="3043F14D" w:rsidR="003F7ABD" w:rsidRDefault="003F7ABD">
          <w:pPr>
            <w:pStyle w:val="TOC2"/>
            <w:tabs>
              <w:tab w:val="right" w:leader="dot" w:pos="9019"/>
            </w:tabs>
            <w:rPr>
              <w:rFonts w:asciiTheme="minorHAnsi" w:eastAsiaTheme="minorEastAsia" w:hAnsiTheme="minorHAnsi"/>
              <w:noProof/>
              <w:sz w:val="22"/>
              <w:lang w:val="en-US"/>
            </w:rPr>
          </w:pPr>
          <w:hyperlink w:anchor="_Toc180545475" w:history="1">
            <w:r w:rsidRPr="001C7395">
              <w:rPr>
                <w:rStyle w:val="Hyperlink"/>
                <w:noProof/>
              </w:rPr>
              <w:t>7.1 Regional and seasonal factors</w:t>
            </w:r>
            <w:r>
              <w:rPr>
                <w:noProof/>
                <w:webHidden/>
              </w:rPr>
              <w:tab/>
            </w:r>
            <w:r>
              <w:rPr>
                <w:noProof/>
                <w:webHidden/>
              </w:rPr>
              <w:fldChar w:fldCharType="begin"/>
            </w:r>
            <w:r>
              <w:rPr>
                <w:noProof/>
                <w:webHidden/>
              </w:rPr>
              <w:instrText xml:space="preserve"> PAGEREF _Toc180545475 \h </w:instrText>
            </w:r>
            <w:r>
              <w:rPr>
                <w:noProof/>
                <w:webHidden/>
              </w:rPr>
            </w:r>
            <w:r>
              <w:rPr>
                <w:noProof/>
                <w:webHidden/>
              </w:rPr>
              <w:fldChar w:fldCharType="separate"/>
            </w:r>
            <w:r>
              <w:rPr>
                <w:noProof/>
                <w:webHidden/>
              </w:rPr>
              <w:t>9</w:t>
            </w:r>
            <w:r>
              <w:rPr>
                <w:noProof/>
                <w:webHidden/>
              </w:rPr>
              <w:fldChar w:fldCharType="end"/>
            </w:r>
          </w:hyperlink>
        </w:p>
        <w:p w14:paraId="74A85389" w14:textId="37EFA2C6" w:rsidR="003F7ABD" w:rsidRDefault="003F7ABD">
          <w:pPr>
            <w:pStyle w:val="TOC2"/>
            <w:tabs>
              <w:tab w:val="right" w:leader="dot" w:pos="9019"/>
            </w:tabs>
            <w:rPr>
              <w:rFonts w:asciiTheme="minorHAnsi" w:eastAsiaTheme="minorEastAsia" w:hAnsiTheme="minorHAnsi"/>
              <w:noProof/>
              <w:sz w:val="22"/>
              <w:lang w:val="en-US"/>
            </w:rPr>
          </w:pPr>
          <w:hyperlink w:anchor="_Toc180545476" w:history="1">
            <w:r w:rsidRPr="001C7395">
              <w:rPr>
                <w:rStyle w:val="Hyperlink"/>
                <w:noProof/>
              </w:rPr>
              <w:t xml:space="preserve">7.2 Cultural </w:t>
            </w:r>
            <w:r w:rsidR="00561F54">
              <w:rPr>
                <w:rStyle w:val="Hyperlink"/>
                <w:noProof/>
              </w:rPr>
              <w:t>S</w:t>
            </w:r>
            <w:r w:rsidRPr="001C7395">
              <w:rPr>
                <w:rStyle w:val="Hyperlink"/>
                <w:noProof/>
              </w:rPr>
              <w:t>ensitivity</w:t>
            </w:r>
            <w:r>
              <w:rPr>
                <w:noProof/>
                <w:webHidden/>
              </w:rPr>
              <w:tab/>
            </w:r>
            <w:r>
              <w:rPr>
                <w:noProof/>
                <w:webHidden/>
              </w:rPr>
              <w:fldChar w:fldCharType="begin"/>
            </w:r>
            <w:r>
              <w:rPr>
                <w:noProof/>
                <w:webHidden/>
              </w:rPr>
              <w:instrText xml:space="preserve"> PAGEREF _Toc180545476 \h </w:instrText>
            </w:r>
            <w:r>
              <w:rPr>
                <w:noProof/>
                <w:webHidden/>
              </w:rPr>
            </w:r>
            <w:r>
              <w:rPr>
                <w:noProof/>
                <w:webHidden/>
              </w:rPr>
              <w:fldChar w:fldCharType="separate"/>
            </w:r>
            <w:r>
              <w:rPr>
                <w:noProof/>
                <w:webHidden/>
              </w:rPr>
              <w:t>9</w:t>
            </w:r>
            <w:r>
              <w:rPr>
                <w:noProof/>
                <w:webHidden/>
              </w:rPr>
              <w:fldChar w:fldCharType="end"/>
            </w:r>
          </w:hyperlink>
        </w:p>
        <w:p w14:paraId="7899ACDF" w14:textId="1A8AF0F2" w:rsidR="003F7ABD" w:rsidRDefault="003F7ABD">
          <w:pPr>
            <w:pStyle w:val="TOC2"/>
            <w:tabs>
              <w:tab w:val="right" w:leader="dot" w:pos="9019"/>
            </w:tabs>
            <w:rPr>
              <w:rFonts w:asciiTheme="minorHAnsi" w:eastAsiaTheme="minorEastAsia" w:hAnsiTheme="minorHAnsi"/>
              <w:noProof/>
              <w:sz w:val="22"/>
              <w:lang w:val="en-US"/>
            </w:rPr>
          </w:pPr>
          <w:hyperlink w:anchor="_Toc180545477" w:history="1">
            <w:r w:rsidRPr="001C7395">
              <w:rPr>
                <w:rStyle w:val="Hyperlink"/>
                <w:noProof/>
              </w:rPr>
              <w:t>7.3 Accessibility and Inclusivity Measures</w:t>
            </w:r>
            <w:r>
              <w:rPr>
                <w:noProof/>
                <w:webHidden/>
              </w:rPr>
              <w:tab/>
            </w:r>
            <w:r>
              <w:rPr>
                <w:noProof/>
                <w:webHidden/>
              </w:rPr>
              <w:fldChar w:fldCharType="begin"/>
            </w:r>
            <w:r>
              <w:rPr>
                <w:noProof/>
                <w:webHidden/>
              </w:rPr>
              <w:instrText xml:space="preserve"> PAGEREF _Toc180545477 \h </w:instrText>
            </w:r>
            <w:r>
              <w:rPr>
                <w:noProof/>
                <w:webHidden/>
              </w:rPr>
            </w:r>
            <w:r>
              <w:rPr>
                <w:noProof/>
                <w:webHidden/>
              </w:rPr>
              <w:fldChar w:fldCharType="separate"/>
            </w:r>
            <w:r>
              <w:rPr>
                <w:noProof/>
                <w:webHidden/>
              </w:rPr>
              <w:t>9</w:t>
            </w:r>
            <w:r>
              <w:rPr>
                <w:noProof/>
                <w:webHidden/>
              </w:rPr>
              <w:fldChar w:fldCharType="end"/>
            </w:r>
          </w:hyperlink>
        </w:p>
        <w:p w14:paraId="3A89DBD3" w14:textId="0863529E" w:rsidR="003F7ABD" w:rsidRDefault="003F7ABD">
          <w:pPr>
            <w:pStyle w:val="TOC1"/>
            <w:tabs>
              <w:tab w:val="right" w:leader="dot" w:pos="9019"/>
            </w:tabs>
            <w:rPr>
              <w:rFonts w:asciiTheme="minorHAnsi" w:eastAsiaTheme="minorEastAsia" w:hAnsiTheme="minorHAnsi"/>
              <w:noProof/>
              <w:sz w:val="22"/>
              <w:lang w:val="en-US"/>
            </w:rPr>
          </w:pPr>
          <w:hyperlink w:anchor="_Toc180545478" w:history="1">
            <w:r w:rsidRPr="001C7395">
              <w:rPr>
                <w:rStyle w:val="Hyperlink"/>
                <w:noProof/>
              </w:rPr>
              <w:t>Conclusion &amp; Recommendations</w:t>
            </w:r>
            <w:r>
              <w:rPr>
                <w:noProof/>
                <w:webHidden/>
              </w:rPr>
              <w:tab/>
            </w:r>
            <w:r>
              <w:rPr>
                <w:noProof/>
                <w:webHidden/>
              </w:rPr>
              <w:fldChar w:fldCharType="begin"/>
            </w:r>
            <w:r>
              <w:rPr>
                <w:noProof/>
                <w:webHidden/>
              </w:rPr>
              <w:instrText xml:space="preserve"> PAGEREF _Toc180545478 \h </w:instrText>
            </w:r>
            <w:r>
              <w:rPr>
                <w:noProof/>
                <w:webHidden/>
              </w:rPr>
            </w:r>
            <w:r>
              <w:rPr>
                <w:noProof/>
                <w:webHidden/>
              </w:rPr>
              <w:fldChar w:fldCharType="separate"/>
            </w:r>
            <w:r>
              <w:rPr>
                <w:noProof/>
                <w:webHidden/>
              </w:rPr>
              <w:t>11</w:t>
            </w:r>
            <w:r>
              <w:rPr>
                <w:noProof/>
                <w:webHidden/>
              </w:rPr>
              <w:fldChar w:fldCharType="end"/>
            </w:r>
          </w:hyperlink>
        </w:p>
        <w:p w14:paraId="55C30E62" w14:textId="5029E17D" w:rsidR="003F7ABD" w:rsidRDefault="003F7ABD">
          <w:pPr>
            <w:pStyle w:val="TOC1"/>
            <w:tabs>
              <w:tab w:val="right" w:leader="dot" w:pos="9019"/>
            </w:tabs>
            <w:rPr>
              <w:rFonts w:asciiTheme="minorHAnsi" w:eastAsiaTheme="minorEastAsia" w:hAnsiTheme="minorHAnsi"/>
              <w:noProof/>
              <w:sz w:val="22"/>
              <w:lang w:val="en-US"/>
            </w:rPr>
          </w:pPr>
          <w:hyperlink w:anchor="_Toc180545479" w:history="1">
            <w:r w:rsidRPr="001C7395">
              <w:rPr>
                <w:rStyle w:val="Hyperlink"/>
                <w:noProof/>
              </w:rPr>
              <w:t>References</w:t>
            </w:r>
            <w:r>
              <w:rPr>
                <w:noProof/>
                <w:webHidden/>
              </w:rPr>
              <w:tab/>
            </w:r>
            <w:r>
              <w:rPr>
                <w:noProof/>
                <w:webHidden/>
              </w:rPr>
              <w:fldChar w:fldCharType="begin"/>
            </w:r>
            <w:r>
              <w:rPr>
                <w:noProof/>
                <w:webHidden/>
              </w:rPr>
              <w:instrText xml:space="preserve"> PAGEREF _Toc180545479 \h </w:instrText>
            </w:r>
            <w:r>
              <w:rPr>
                <w:noProof/>
                <w:webHidden/>
              </w:rPr>
            </w:r>
            <w:r>
              <w:rPr>
                <w:noProof/>
                <w:webHidden/>
              </w:rPr>
              <w:fldChar w:fldCharType="separate"/>
            </w:r>
            <w:r>
              <w:rPr>
                <w:noProof/>
                <w:webHidden/>
              </w:rPr>
              <w:t>12</w:t>
            </w:r>
            <w:r>
              <w:rPr>
                <w:noProof/>
                <w:webHidden/>
              </w:rPr>
              <w:fldChar w:fldCharType="end"/>
            </w:r>
          </w:hyperlink>
        </w:p>
        <w:p w14:paraId="58B7AD19" w14:textId="545E23C9" w:rsidR="00220092" w:rsidRDefault="00220092">
          <w:r>
            <w:rPr>
              <w:b/>
              <w:bCs/>
              <w:noProof/>
            </w:rPr>
            <w:fldChar w:fldCharType="end"/>
          </w:r>
        </w:p>
      </w:sdtContent>
    </w:sdt>
    <w:p w14:paraId="5F2BB7FB" w14:textId="77777777" w:rsidR="00FF1685" w:rsidRDefault="00FF1685" w:rsidP="00C46AE7">
      <w:pPr>
        <w:rPr>
          <w14:ligatures w14:val="standardContextual"/>
        </w:rPr>
      </w:pPr>
      <w:r>
        <w:rPr>
          <w14:ligatures w14:val="standardContextual"/>
        </w:rPr>
        <w:br w:type="page"/>
      </w:r>
    </w:p>
    <w:p w14:paraId="1A14E9FA" w14:textId="77777777" w:rsidR="00AC3C64" w:rsidRDefault="00AC3C64" w:rsidP="00AC3C64">
      <w:pPr>
        <w:rPr>
          <w:rFonts w:eastAsiaTheme="majorEastAsia" w:cstheme="majorBidi"/>
          <w:color w:val="2F5496" w:themeColor="accent1" w:themeShade="BF"/>
          <w:sz w:val="32"/>
          <w:szCs w:val="32"/>
        </w:rPr>
        <w:sectPr w:rsidR="00AC3C64" w:rsidSect="00687359">
          <w:pgSz w:w="11909" w:h="16834" w:code="9"/>
          <w:pgMar w:top="1440" w:right="1440" w:bottom="1440" w:left="1440" w:header="720" w:footer="720" w:gutter="0"/>
          <w:cols w:space="720"/>
          <w:docGrid w:linePitch="360"/>
        </w:sectPr>
      </w:pPr>
    </w:p>
    <w:p w14:paraId="0AA2F284" w14:textId="63D91559" w:rsidR="00C46AE7" w:rsidRPr="00DA085A" w:rsidRDefault="00456D0C" w:rsidP="00DA085A">
      <w:pPr>
        <w:pStyle w:val="Heading1"/>
      </w:pPr>
      <w:bookmarkStart w:id="1" w:name="_Toc180545459"/>
      <w:r w:rsidRPr="00DA085A">
        <w:lastRenderedPageBreak/>
        <w:t xml:space="preserve">1. </w:t>
      </w:r>
      <w:r w:rsidR="00FF1685" w:rsidRPr="00DA085A">
        <w:t>Executive Summary</w:t>
      </w:r>
      <w:bookmarkEnd w:id="1"/>
      <w:r w:rsidR="00FF1685" w:rsidRPr="00DA085A">
        <w:t xml:space="preserve"> </w:t>
      </w:r>
    </w:p>
    <w:p w14:paraId="494D1703" w14:textId="296DF941" w:rsidR="001E699C" w:rsidRDefault="001E699C" w:rsidP="001E699C">
      <w:r>
        <w:t>This is the Winter Wellness Conference 2024, a new way to tackle mental health and wellness during the lousy winter months in the UK</w:t>
      </w:r>
      <w:r w:rsidR="001703A4">
        <w:t>. It will be held</w:t>
      </w:r>
      <w:r>
        <w:t xml:space="preserve"> at the Welcome Building in Eastbourne. This sophisticated hybrid delivery model combines professional expertise, practical engagement, and networking opportunities and draws in physical and virtual participants.</w:t>
      </w:r>
    </w:p>
    <w:p w14:paraId="2D78B0B2" w14:textId="31710ED2" w:rsidR="001E699C" w:rsidRDefault="001E699C" w:rsidP="001E699C">
      <w:r>
        <w:t>Comprehensive venue management, stakeholder engagement, and technical infrastructure development are covered within the strategic planning framework. The Welcome Building (which has a capacity of 900 people) coupled with virtual reach and impact makes it accessible to a broad audience. Professional wellness expertise integration, advanced technical systems for hybrid delivery, and targeted marketing strategies via multiple channels are key operational elements.</w:t>
      </w:r>
    </w:p>
    <w:p w14:paraId="03FB48AB" w14:textId="73073AB6" w:rsidR="00C46AE7" w:rsidRDefault="001E699C" w:rsidP="001E699C">
      <w:r>
        <w:t>Delivery considerations focus on three primary areas: systematic workflow management for operational excellence, strategic allocation for resource optimization, and multi-tiered monitoring systems for quality assurance. As a hybrid event, the technical infrastructure needed is very sophisticated and there must be dedicated teams that support the delivery of the event on both physical and virtual platforms. The financial projections indicate high viability, indicating anticipated revenue of £21,500 against operational costs of £11,500, which shows commercial viability a</w:t>
      </w:r>
      <w:r w:rsidR="001703A4">
        <w:t>nd</w:t>
      </w:r>
      <w:r>
        <w:t xml:space="preserve"> social impact potential in the British wellness sector (Allen &amp; Al, 2002). This new format for an event answers the increasing need for accessible mental health support, using modern delivery methods and professional expertise.  </w:t>
      </w:r>
    </w:p>
    <w:p w14:paraId="05EC41B7" w14:textId="53A1AC65" w:rsidR="00C46AE7" w:rsidRDefault="00C46AE7" w:rsidP="00C46AE7"/>
    <w:p w14:paraId="7C5F9141" w14:textId="79546066" w:rsidR="00C46AE7" w:rsidRDefault="00C46AE7" w:rsidP="00C46AE7"/>
    <w:p w14:paraId="35031793" w14:textId="52AC393E" w:rsidR="00C46AE7" w:rsidRDefault="00C46AE7" w:rsidP="00C46AE7"/>
    <w:p w14:paraId="341CED5F" w14:textId="54CB13ED" w:rsidR="00C46AE7" w:rsidRDefault="00C46AE7" w:rsidP="00C46AE7"/>
    <w:p w14:paraId="0DC850B4" w14:textId="59525A6A" w:rsidR="00C46AE7" w:rsidRDefault="00C46AE7" w:rsidP="00C46AE7"/>
    <w:p w14:paraId="47638354" w14:textId="4FB1F9CB" w:rsidR="001E699C" w:rsidRDefault="001E699C" w:rsidP="00C46AE7"/>
    <w:p w14:paraId="79C8B723" w14:textId="77777777" w:rsidR="001E699C" w:rsidRPr="00C46AE7" w:rsidRDefault="001E699C" w:rsidP="00C46AE7"/>
    <w:p w14:paraId="5BDD7B94" w14:textId="2FD92483" w:rsidR="00FF1685" w:rsidRDefault="00456D0C" w:rsidP="00DA085A">
      <w:pPr>
        <w:pStyle w:val="Heading1"/>
      </w:pPr>
      <w:bookmarkStart w:id="2" w:name="_Toc180545460"/>
      <w:r>
        <w:lastRenderedPageBreak/>
        <w:t xml:space="preserve">2. </w:t>
      </w:r>
      <w:r w:rsidR="00FF1685">
        <w:t>Introduction</w:t>
      </w:r>
      <w:bookmarkEnd w:id="2"/>
      <w:r w:rsidR="00FF1685">
        <w:t xml:space="preserve"> </w:t>
      </w:r>
    </w:p>
    <w:p w14:paraId="4336CE25" w14:textId="34613078" w:rsidR="00C46AE7" w:rsidRDefault="001E699C" w:rsidP="00C46AE7">
      <w:r w:rsidRPr="001E699C">
        <w:t xml:space="preserve">In the UK, the evolution of wellness events has been marked, with </w:t>
      </w:r>
      <w:r w:rsidR="00561F54">
        <w:t>a </w:t>
      </w:r>
      <w:r w:rsidRPr="001E699C">
        <w:t>specific focus on seasonal mental health challenges. The Winter Wellness Conference 2024, which will happen in the Welcome Building in Eastbourne, is a unique combination of traditional and digital delivery of winter</w:t>
      </w:r>
      <w:r w:rsidR="00561F54">
        <w:t>-</w:t>
      </w:r>
      <w:r w:rsidRPr="001E699C">
        <w:t xml:space="preserve">specific wellness needs in an event format. The purpose of this strategic planning and delivery report is to analyze </w:t>
      </w:r>
      <w:proofErr w:type="gramStart"/>
      <w:r w:rsidRPr="001E699C">
        <w:t>all of</w:t>
      </w:r>
      <w:proofErr w:type="gramEnd"/>
      <w:r w:rsidRPr="001E699C">
        <w:t xml:space="preserve"> the critical factors that make or break the event (Bladen et al., 2018). The major objectives are to assess operational efficiency, </w:t>
      </w:r>
      <w:r w:rsidR="00561F54">
        <w:t>and </w:t>
      </w:r>
      <w:r w:rsidRPr="001E699C">
        <w:t>position in the market</w:t>
      </w:r>
      <w:r w:rsidR="00561F54">
        <w:t>,</w:t>
      </w:r>
      <w:r w:rsidRPr="001E699C">
        <w:t xml:space="preserve"> and develop </w:t>
      </w:r>
      <w:r w:rsidR="00561F54">
        <w:t>a </w:t>
      </w:r>
      <w:r w:rsidRPr="001E699C">
        <w:t xml:space="preserve">sustainable implementation strategy. In addition, the report also explores how technological innovations can be incorporated without being insensitive and exclusive of diversity and cultural differences in the delivery of the event. These objectives are consistent with current practices in the wellness industry but designed with the </w:t>
      </w:r>
      <w:proofErr w:type="gramStart"/>
      <w:r w:rsidRPr="001E699C">
        <w:t>particular issues</w:t>
      </w:r>
      <w:proofErr w:type="gramEnd"/>
      <w:r w:rsidRPr="001E699C">
        <w:t xml:space="preserve"> of seasonal wellness programming in mind. The report structure provides </w:t>
      </w:r>
      <w:r w:rsidR="00561F54">
        <w:t>a </w:t>
      </w:r>
      <w:r w:rsidRPr="001E699C">
        <w:t>detailed analysis of event cycle management, operational planning</w:t>
      </w:r>
      <w:r w:rsidR="00561F54">
        <w:t>,</w:t>
      </w:r>
      <w:r w:rsidRPr="001E699C">
        <w:t xml:space="preserve"> and financial strategies with a systematic approach to address the key strategic considerations. It then moves into cultural and situational factors unique to the UK wellness sector, from competitive positioning and market analysis. The contribution of each section is to extend existing event management frameworks with novel approaches to wellness event delivery (Børve and Thøring, 2022). The analysis concludes with actionable recommendations to ensure the event’s success, and to set the foundation for growth in the wellness events sector.  </w:t>
      </w:r>
    </w:p>
    <w:p w14:paraId="1B353B92" w14:textId="643B0F80" w:rsidR="00C46AE7" w:rsidRDefault="00C46AE7" w:rsidP="00C46AE7"/>
    <w:p w14:paraId="48CE9BEF" w14:textId="3940F205" w:rsidR="00C46AE7" w:rsidRDefault="00C46AE7" w:rsidP="00C46AE7"/>
    <w:p w14:paraId="0B918DA0" w14:textId="69F2E480" w:rsidR="00C46AE7" w:rsidRDefault="00C46AE7" w:rsidP="00C46AE7"/>
    <w:p w14:paraId="2634F73D" w14:textId="58FDB8D9" w:rsidR="00C46AE7" w:rsidRDefault="00C46AE7" w:rsidP="00C46AE7"/>
    <w:p w14:paraId="18A946EF" w14:textId="3112FA18" w:rsidR="00C46AE7" w:rsidRDefault="00C46AE7" w:rsidP="00C46AE7"/>
    <w:p w14:paraId="40113832" w14:textId="557B261D" w:rsidR="00C46AE7" w:rsidRDefault="00C46AE7" w:rsidP="00C46AE7"/>
    <w:p w14:paraId="707201DF" w14:textId="77777777" w:rsidR="001E699C" w:rsidRDefault="001E699C" w:rsidP="00C46AE7"/>
    <w:p w14:paraId="626BB9BF" w14:textId="26E9D8AC" w:rsidR="00D94FED" w:rsidRDefault="00D94FED" w:rsidP="00DA085A">
      <w:pPr>
        <w:pStyle w:val="Heading1"/>
      </w:pPr>
      <w:bookmarkStart w:id="3" w:name="_Toc180545461"/>
      <w:r w:rsidRPr="00D94FED">
        <w:lastRenderedPageBreak/>
        <w:t>3. Event Cycle Analysis</w:t>
      </w:r>
      <w:bookmarkEnd w:id="3"/>
      <w:r w:rsidRPr="00D94FED">
        <w:t xml:space="preserve"> </w:t>
      </w:r>
    </w:p>
    <w:p w14:paraId="59C1CA9F" w14:textId="77777777" w:rsidR="00D94FED" w:rsidRPr="00456D0C" w:rsidRDefault="00D94FED" w:rsidP="00C46AE7">
      <w:pPr>
        <w:pStyle w:val="Heading2"/>
      </w:pPr>
      <w:bookmarkStart w:id="4" w:name="_Toc180545462"/>
      <w:r w:rsidRPr="00456D0C">
        <w:t>3.1. Pre-event Planning Phase</w:t>
      </w:r>
      <w:bookmarkEnd w:id="4"/>
    </w:p>
    <w:p w14:paraId="7B1CEAB7" w14:textId="0F9F59B6" w:rsidR="001E699C" w:rsidRDefault="001E699C" w:rsidP="00C46AE7">
      <w:pPr>
        <w:rPr>
          <w:b/>
        </w:rPr>
      </w:pPr>
      <w:r w:rsidRPr="001E699C">
        <w:rPr>
          <w:b/>
        </w:rPr>
        <w:t xml:space="preserve">Strategic Timeline: </w:t>
      </w:r>
      <w:r w:rsidRPr="001E699C">
        <w:t>The Winter Wellness Conference 2024 strategic timeline is a six</w:t>
      </w:r>
      <w:r w:rsidR="00DD63D4">
        <w:t>-</w:t>
      </w:r>
      <w:r w:rsidRPr="001E699C">
        <w:t xml:space="preserve">month preparation period that begins </w:t>
      </w:r>
      <w:r w:rsidR="00DD63D4">
        <w:t>in </w:t>
      </w:r>
      <w:r w:rsidRPr="001E699C">
        <w:t xml:space="preserve">June 2024. Key partnerships are secured, venues are secured, </w:t>
      </w:r>
      <w:r w:rsidR="00DD63D4">
        <w:t>and </w:t>
      </w:r>
      <w:r w:rsidRPr="001E699C">
        <w:t xml:space="preserve">wellness professionals are secured over the first three months (Bull et al., 2020). In event planning, structured milestone implementation is required to execute the event successfully. </w:t>
      </w:r>
    </w:p>
    <w:p w14:paraId="33CA64C3" w14:textId="06F8352E" w:rsidR="00456D0C" w:rsidRDefault="00D94FED" w:rsidP="00C46AE7">
      <w:r w:rsidRPr="00456D0C">
        <w:rPr>
          <w:b/>
        </w:rPr>
        <w:t>Key milestones:</w:t>
      </w:r>
      <w:r>
        <w:t xml:space="preserve"> </w:t>
      </w:r>
      <w:r w:rsidR="00456D0C">
        <w:t>Key milestones are strategically distributed:</w:t>
      </w:r>
    </w:p>
    <w:p w14:paraId="698A565F" w14:textId="280B2E23" w:rsidR="00456D0C" w:rsidRDefault="00456D0C" w:rsidP="00C46AE7">
      <w:pPr>
        <w:pStyle w:val="ListParagraph"/>
        <w:numPr>
          <w:ilvl w:val="0"/>
          <w:numId w:val="2"/>
        </w:numPr>
      </w:pPr>
      <w:r>
        <w:t>April-May 2024: Initial planning, budget finalization, and venue confirmation</w:t>
      </w:r>
    </w:p>
    <w:p w14:paraId="7B207684" w14:textId="234717AB" w:rsidR="00456D0C" w:rsidRDefault="00456D0C" w:rsidP="00C46AE7">
      <w:pPr>
        <w:pStyle w:val="ListParagraph"/>
        <w:numPr>
          <w:ilvl w:val="0"/>
          <w:numId w:val="2"/>
        </w:numPr>
      </w:pPr>
      <w:r>
        <w:t>June-July 2024: Recruiting Speaker and Program Development</w:t>
      </w:r>
    </w:p>
    <w:p w14:paraId="276F9765" w14:textId="77777777" w:rsidR="00456D0C" w:rsidRDefault="00456D0C" w:rsidP="00C46AE7">
      <w:pPr>
        <w:pStyle w:val="ListParagraph"/>
        <w:numPr>
          <w:ilvl w:val="0"/>
          <w:numId w:val="2"/>
        </w:numPr>
      </w:pPr>
      <w:r>
        <w:t>August: Sponsor acquisition and marketing strategy implementation</w:t>
      </w:r>
    </w:p>
    <w:p w14:paraId="7F0FD7D4" w14:textId="77777777" w:rsidR="00456D0C" w:rsidRDefault="00456D0C" w:rsidP="00C46AE7">
      <w:pPr>
        <w:pStyle w:val="ListParagraph"/>
        <w:numPr>
          <w:ilvl w:val="0"/>
          <w:numId w:val="2"/>
        </w:numPr>
      </w:pPr>
      <w:r>
        <w:t>September: Virtual platform testing and technical infrastructure planning</w:t>
      </w:r>
    </w:p>
    <w:p w14:paraId="1DD7CD90" w14:textId="77777777" w:rsidR="00456D0C" w:rsidRDefault="00456D0C" w:rsidP="00C46AE7">
      <w:pPr>
        <w:pStyle w:val="ListParagraph"/>
        <w:numPr>
          <w:ilvl w:val="0"/>
          <w:numId w:val="2"/>
        </w:numPr>
      </w:pPr>
      <w:r>
        <w:t>October: Early bird ticket launch and vendor coordination</w:t>
      </w:r>
    </w:p>
    <w:p w14:paraId="7AF5D65D" w14:textId="77777777" w:rsidR="00456D0C" w:rsidRDefault="00456D0C" w:rsidP="00C46AE7">
      <w:pPr>
        <w:pStyle w:val="ListParagraph"/>
        <w:numPr>
          <w:ilvl w:val="0"/>
          <w:numId w:val="2"/>
        </w:numPr>
      </w:pPr>
      <w:r>
        <w:t>November: Final logistical arrangements, and staff training</w:t>
      </w:r>
    </w:p>
    <w:p w14:paraId="080663B9" w14:textId="586F41CC" w:rsidR="00456D0C" w:rsidRDefault="00456D0C" w:rsidP="00C46AE7">
      <w:pPr>
        <w:pStyle w:val="ListParagraph"/>
        <w:numPr>
          <w:ilvl w:val="0"/>
          <w:numId w:val="2"/>
        </w:numPr>
      </w:pPr>
      <w:r>
        <w:t xml:space="preserve">December: Final system checks, pre-event setup </w:t>
      </w:r>
    </w:p>
    <w:p w14:paraId="78EBBAE5" w14:textId="1DFE1605" w:rsidR="00D94FED" w:rsidRPr="00030161" w:rsidRDefault="00D94FED" w:rsidP="00C46AE7">
      <w:pPr>
        <w:rPr>
          <w:rFonts w:eastAsia="Times New Roman" w:cs="Times New Roman"/>
          <w:szCs w:val="24"/>
          <w:lang w:val="en-US"/>
        </w:rPr>
      </w:pPr>
      <w:r w:rsidRPr="00456D0C">
        <w:rPr>
          <w:b/>
        </w:rPr>
        <w:t>Risk assessment and contingency planning:</w:t>
      </w:r>
      <w:r w:rsidR="00456D0C">
        <w:t xml:space="preserve"> </w:t>
      </w:r>
      <w:r>
        <w:t>Virtual components are identified in risk assessment as having potential challenges like adverse weather conditions, speaker unavailability, and technical disruptions. This contingency planning covers backup venue arrangements, alternative wellness professionals on standby</w:t>
      </w:r>
      <w:r w:rsidR="00456D0C">
        <w:t>,</w:t>
      </w:r>
      <w:r>
        <w:t xml:space="preserve"> and redundant technical systems</w:t>
      </w:r>
      <w:r w:rsidR="00030161">
        <w:t xml:space="preserve"> </w:t>
      </w:r>
      <w:r w:rsidR="00030161" w:rsidRPr="00030161">
        <w:rPr>
          <w:rFonts w:eastAsia="Times New Roman" w:cs="Times New Roman"/>
          <w:szCs w:val="24"/>
          <w:lang w:val="en-US"/>
        </w:rPr>
        <w:t>(Corallo et al., 2018)</w:t>
      </w:r>
      <w:r w:rsidR="00F0623B">
        <w:t>. H</w:t>
      </w:r>
      <w:r>
        <w:t>ighlight that complete risk mitigation strategies are essential for the UK winter events.</w:t>
      </w:r>
    </w:p>
    <w:p w14:paraId="01A1611A" w14:textId="1C33D630" w:rsidR="00C46AE7" w:rsidRPr="00C46AE7" w:rsidRDefault="00D94FED" w:rsidP="00C46AE7">
      <w:pPr>
        <w:pStyle w:val="Heading2"/>
      </w:pPr>
      <w:bookmarkStart w:id="5" w:name="_Toc180545463"/>
      <w:r>
        <w:t>3.2. Event Execution Phase</w:t>
      </w:r>
      <w:bookmarkEnd w:id="5"/>
      <w:r>
        <w:t xml:space="preserve"> </w:t>
      </w:r>
    </w:p>
    <w:p w14:paraId="2716DE3D" w14:textId="50A4D806" w:rsidR="00C46AE7" w:rsidRPr="00030161" w:rsidRDefault="00C46AE7" w:rsidP="00C46AE7">
      <w:pPr>
        <w:rPr>
          <w:rFonts w:eastAsia="Times New Roman" w:cs="Times New Roman"/>
          <w:szCs w:val="24"/>
          <w:lang w:val="en-US"/>
        </w:rPr>
      </w:pPr>
      <w:r w:rsidRPr="00C46AE7">
        <w:rPr>
          <w:b/>
        </w:rPr>
        <w:t>The operational workflow:</w:t>
      </w:r>
      <w:r w:rsidRPr="00C46AE7">
        <w:t xml:space="preserve"> It incorporates a systematic three</w:t>
      </w:r>
      <w:r>
        <w:t>-</w:t>
      </w:r>
      <w:r w:rsidRPr="00C46AE7">
        <w:t>phase approach ranging from pre</w:t>
      </w:r>
      <w:r>
        <w:t>-</w:t>
      </w:r>
      <w:r w:rsidRPr="00C46AE7">
        <w:t>event preparation to event day execution and post</w:t>
      </w:r>
      <w:r>
        <w:t>-</w:t>
      </w:r>
      <w:r w:rsidRPr="00C46AE7">
        <w:t xml:space="preserve">event management. </w:t>
      </w:r>
      <w:r w:rsidR="00F0623B">
        <w:t>S</w:t>
      </w:r>
      <w:r w:rsidRPr="00C46AE7">
        <w:t>tructured workflow management greatly increases event delivery success rates</w:t>
      </w:r>
      <w:r w:rsidR="00030161">
        <w:t xml:space="preserve"> </w:t>
      </w:r>
      <w:r w:rsidR="00030161" w:rsidRPr="00030161">
        <w:rPr>
          <w:rFonts w:eastAsia="Times New Roman" w:cs="Times New Roman"/>
          <w:szCs w:val="24"/>
          <w:lang w:val="en-US"/>
        </w:rPr>
        <w:t>(Dae-Man, 2023)</w:t>
      </w:r>
      <w:r w:rsidRPr="00C46AE7">
        <w:t>. The Welcome Building’s flexible layout allows for simultaneous sessions taking place in different spaces and therefore requires careful orchestration of resources and people to keep operational efficiencies high.</w:t>
      </w:r>
    </w:p>
    <w:p w14:paraId="3358A20E" w14:textId="77777777" w:rsidR="00C46AE7" w:rsidRPr="00C46AE7" w:rsidRDefault="00C46AE7" w:rsidP="00C46AE7"/>
    <w:p w14:paraId="6A4DB489" w14:textId="4A5B9035" w:rsidR="00C46AE7" w:rsidRPr="00030161" w:rsidRDefault="00C46AE7" w:rsidP="00C46AE7">
      <w:pPr>
        <w:rPr>
          <w:rFonts w:eastAsia="Times New Roman" w:cs="Times New Roman"/>
          <w:szCs w:val="24"/>
          <w:lang w:val="en-US"/>
        </w:rPr>
      </w:pPr>
      <w:r w:rsidRPr="00C46AE7">
        <w:rPr>
          <w:b/>
        </w:rPr>
        <w:lastRenderedPageBreak/>
        <w:t>Resource allocation:</w:t>
      </w:r>
      <w:r w:rsidRPr="00C46AE7">
        <w:t xml:space="preserve"> It focuses on four critical areas that need dedicated management teams. Hybrid delivery systems are overseen by the technical support team that makes sure physical and virtual components work together seamlessly. Professional sessions and workshops are coordinated by the wellness facilitation team. Registration, inquiries</w:t>
      </w:r>
      <w:r>
        <w:t>,</w:t>
      </w:r>
      <w:r w:rsidRPr="00C46AE7">
        <w:t xml:space="preserve"> and participant flow are handled by the attendee management team</w:t>
      </w:r>
      <w:r w:rsidR="00030161">
        <w:t xml:space="preserve"> </w:t>
      </w:r>
      <w:r w:rsidR="00030161" w:rsidRPr="00030161">
        <w:rPr>
          <w:rFonts w:eastAsia="Times New Roman" w:cs="Times New Roman"/>
          <w:szCs w:val="24"/>
          <w:lang w:val="en-US"/>
        </w:rPr>
        <w:t>(De and Anderson, 2015)</w:t>
      </w:r>
      <w:r w:rsidRPr="00C46AE7">
        <w:t>. Spatial logistics and facility requirements are under the management of the venue operations team. There are protocols in place for each team with clear communication channels based on where the ‘venue’s infrastructure already exists, and specific activity zones have been set up.</w:t>
      </w:r>
    </w:p>
    <w:p w14:paraId="1396CE79" w14:textId="791DC3F2" w:rsidR="00C46AE7" w:rsidRDefault="00C46AE7" w:rsidP="00C46AE7">
      <w:r w:rsidRPr="00C46AE7">
        <w:rPr>
          <w:b/>
        </w:rPr>
        <w:t>Quality Control Measurement:</w:t>
      </w:r>
      <w:r w:rsidRPr="00C46AE7">
        <w:t xml:space="preserve"> A comprehensive three</w:t>
      </w:r>
      <w:r>
        <w:t>-</w:t>
      </w:r>
      <w:r w:rsidRPr="00C46AE7">
        <w:t>tier monitoring system is followed for quality control implementation. The first tier is the real</w:t>
      </w:r>
      <w:r>
        <w:t>-</w:t>
      </w:r>
      <w:r w:rsidRPr="00C46AE7">
        <w:t xml:space="preserve">time collection of feedback from physical and virtual participants through digital platforms that allows for immediate response to emerging issues. </w:t>
      </w:r>
      <w:r>
        <w:t>The s</w:t>
      </w:r>
      <w:r w:rsidRPr="00C46AE7">
        <w:t>econd tier is professional standard compliance monitoring of all wellness sessions and presentations to ensure quality delivery. The third tier consists of technical quality assurance for hybrid delivery components to ensure stable connectivity and audio</w:t>
      </w:r>
      <w:r>
        <w:t>-</w:t>
      </w:r>
      <w:r w:rsidRPr="00C46AE7">
        <w:t>visual quality</w:t>
      </w:r>
      <w:r w:rsidR="00F0623B">
        <w:t xml:space="preserve">. </w:t>
      </w:r>
      <w:r w:rsidR="00192393">
        <w:t>A m</w:t>
      </w:r>
      <w:r w:rsidRPr="00C46AE7">
        <w:t>ulti</w:t>
      </w:r>
      <w:r>
        <w:t>-</w:t>
      </w:r>
      <w:r w:rsidRPr="00C46AE7">
        <w:t>layered quality control approach has proven effective in ensuring service standards and increasing participant satisfaction in hybrid events.</w:t>
      </w:r>
      <w:r>
        <w:t xml:space="preserve"> </w:t>
      </w:r>
    </w:p>
    <w:p w14:paraId="15DA2C05" w14:textId="4D0D5586" w:rsidR="00EE6EA7" w:rsidRDefault="00EE6EA7" w:rsidP="00DA085A">
      <w:pPr>
        <w:pStyle w:val="Heading1"/>
      </w:pPr>
      <w:bookmarkStart w:id="6" w:name="_Toc180545464"/>
      <w:r>
        <w:t>4. Strategic Event Operations</w:t>
      </w:r>
      <w:bookmarkEnd w:id="6"/>
      <w:r>
        <w:t xml:space="preserve"> </w:t>
      </w:r>
    </w:p>
    <w:p w14:paraId="6DD777C2" w14:textId="77777777" w:rsidR="00EE6EA7" w:rsidRDefault="00EE6EA7" w:rsidP="00C46AE7">
      <w:pPr>
        <w:pStyle w:val="Heading2"/>
      </w:pPr>
      <w:bookmarkStart w:id="7" w:name="_Toc180545465"/>
      <w:r>
        <w:t>4.1. Venue Management</w:t>
      </w:r>
      <w:bookmarkEnd w:id="7"/>
      <w:r>
        <w:t xml:space="preserve"> </w:t>
      </w:r>
    </w:p>
    <w:p w14:paraId="7E1A334D" w14:textId="69167694" w:rsidR="00EE6EA7" w:rsidRPr="00030161" w:rsidRDefault="00EE6EA7" w:rsidP="00C46AE7">
      <w:pPr>
        <w:rPr>
          <w:rFonts w:eastAsia="Times New Roman" w:cs="Times New Roman"/>
          <w:szCs w:val="24"/>
          <w:lang w:val="en-US"/>
        </w:rPr>
      </w:pPr>
      <w:r w:rsidRPr="00EE6EA7">
        <w:rPr>
          <w:b/>
        </w:rPr>
        <w:t>Space utilization at Welcome Building:</w:t>
      </w:r>
      <w:r>
        <w:t xml:space="preserve"> The Welcome Building's space utilization strategy makes the most of its 900-person capacity through strategic zoning. Keynote presentations are featured in the main auditorium and wellness sessions are in the breakout rooms. </w:t>
      </w:r>
      <w:r w:rsidR="00F0623B">
        <w:t>I</w:t>
      </w:r>
      <w:r>
        <w:t>ndicates that good space management improves participant experience and operational efficiency</w:t>
      </w:r>
      <w:r w:rsidR="00030161">
        <w:t xml:space="preserve"> </w:t>
      </w:r>
      <w:r w:rsidR="00030161" w:rsidRPr="00030161">
        <w:rPr>
          <w:rFonts w:eastAsia="Times New Roman" w:cs="Times New Roman"/>
          <w:szCs w:val="24"/>
          <w:lang w:val="en-US"/>
        </w:rPr>
        <w:t>(Dowson and Bassett, 2015)</w:t>
      </w:r>
      <w:r>
        <w:t>.</w:t>
      </w:r>
    </w:p>
    <w:p w14:paraId="4E2F0B7B" w14:textId="76543566" w:rsidR="00EE6EA7" w:rsidRPr="00030161" w:rsidRDefault="00EE6EA7" w:rsidP="00C46AE7">
      <w:pPr>
        <w:rPr>
          <w:rFonts w:eastAsia="Times New Roman" w:cs="Times New Roman"/>
          <w:szCs w:val="24"/>
          <w:lang w:val="en-US"/>
        </w:rPr>
      </w:pPr>
      <w:r w:rsidRPr="00EE6EA7">
        <w:rPr>
          <w:b/>
        </w:rPr>
        <w:t>Technical requirements:</w:t>
      </w:r>
      <w:r>
        <w:t xml:space="preserve"> High-speed internet infrastructure, professional audio-visual equipment, and dedicated broadcasting stations for the virtual components are all considered technical requirements. Integrated digital systems and backup power supplies support hybrid delivery at modern facilities</w:t>
      </w:r>
      <w:r w:rsidR="00030161">
        <w:t xml:space="preserve"> </w:t>
      </w:r>
      <w:r w:rsidR="00030161" w:rsidRPr="00030161">
        <w:rPr>
          <w:rFonts w:eastAsia="Times New Roman" w:cs="Times New Roman"/>
          <w:szCs w:val="24"/>
          <w:lang w:val="en-US"/>
        </w:rPr>
        <w:t>(Dowson and Bassett, 2022)</w:t>
      </w:r>
      <w:r>
        <w:t>.</w:t>
      </w:r>
    </w:p>
    <w:p w14:paraId="7DD846EB" w14:textId="609EE093" w:rsidR="00EE6EA7" w:rsidRDefault="00EE6EA7" w:rsidP="00C46AE7">
      <w:r w:rsidRPr="00EE6EA7">
        <w:rPr>
          <w:b/>
        </w:rPr>
        <w:t>Safety and accessibility:</w:t>
      </w:r>
      <w:r>
        <w:t xml:space="preserve"> Included are marked emergency exits, first aid stations dedicated especially for that purpose, and </w:t>
      </w:r>
      <w:r w:rsidR="0068083F">
        <w:t>wheelchair-accessible</w:t>
      </w:r>
      <w:r>
        <w:t xml:space="preserve"> facilities. Temperature and ventilation </w:t>
      </w:r>
      <w:r>
        <w:lastRenderedPageBreak/>
        <w:t>throughout the venue are maintained by environmental controls, especially during winter months.</w:t>
      </w:r>
      <w:r w:rsidR="00F0623B">
        <w:t> W</w:t>
      </w:r>
      <w:r>
        <w:t>ellness-focused events need comprehensive safety protocols.</w:t>
      </w:r>
    </w:p>
    <w:p w14:paraId="6D25B262" w14:textId="77777777" w:rsidR="00EE6EA7" w:rsidRDefault="00EE6EA7" w:rsidP="00C46AE7">
      <w:pPr>
        <w:pStyle w:val="Heading2"/>
      </w:pPr>
      <w:bookmarkStart w:id="8" w:name="_Toc180545466"/>
      <w:r>
        <w:t>4.2. Stakeholder Management</w:t>
      </w:r>
      <w:bookmarkEnd w:id="8"/>
      <w:r>
        <w:t xml:space="preserve"> </w:t>
      </w:r>
    </w:p>
    <w:p w14:paraId="5A39541C" w14:textId="54DC1BC9" w:rsidR="00EE6EA7" w:rsidRPr="00030161" w:rsidRDefault="00EE6EA7" w:rsidP="00C46AE7">
      <w:pPr>
        <w:rPr>
          <w:rFonts w:eastAsia="Times New Roman" w:cs="Times New Roman"/>
          <w:szCs w:val="24"/>
          <w:lang w:val="en-US"/>
        </w:rPr>
      </w:pPr>
      <w:r w:rsidRPr="00EE6EA7">
        <w:rPr>
          <w:b/>
        </w:rPr>
        <w:t>Coordination with wellness professionals</w:t>
      </w:r>
      <w:r>
        <w:t>:  It is based on structured communication channels, along with detailed briefing sessions. Virtual meetings are held regularly to keep you aligned with the event objective and maintain professional standards</w:t>
      </w:r>
      <w:r w:rsidR="00030161">
        <w:t xml:space="preserve"> </w:t>
      </w:r>
      <w:r w:rsidR="00030161" w:rsidRPr="00030161">
        <w:rPr>
          <w:rFonts w:eastAsia="Times New Roman" w:cs="Times New Roman"/>
          <w:szCs w:val="24"/>
          <w:lang w:val="en-US"/>
        </w:rPr>
        <w:t>(Huber, 2020)</w:t>
      </w:r>
      <w:r>
        <w:t>. There are comprehensive guidelines provided to each wellness expert for how sessions should be delivered and how to engage participants.</w:t>
      </w:r>
    </w:p>
    <w:p w14:paraId="645C8F69" w14:textId="38B6AECA" w:rsidR="00EE6EA7" w:rsidRDefault="00EE6EA7" w:rsidP="00C46AE7">
      <w:r w:rsidRPr="00EE6EA7">
        <w:rPr>
          <w:b/>
        </w:rPr>
        <w:t>Supplier relationships:</w:t>
      </w:r>
      <w:r>
        <w:t xml:space="preserve"> This is managed through a centralized coordination system. It includes catering services, technical support providers, and merchandising partners.</w:t>
      </w:r>
      <w:r w:rsidR="00F0623B">
        <w:t xml:space="preserve"> S</w:t>
      </w:r>
      <w:r>
        <w:t>upplier management has a large impact on event success rates. Service standards across the planning phase are maintained by regular performance reviews and quality checks.</w:t>
      </w:r>
    </w:p>
    <w:p w14:paraId="7603AD89" w14:textId="6C45B931" w:rsidR="00D94FED" w:rsidRDefault="00EE6EA7" w:rsidP="00C46AE7">
      <w:r w:rsidRPr="00EE6EA7">
        <w:rPr>
          <w:b/>
        </w:rPr>
        <w:t>Community engagement:</w:t>
      </w:r>
      <w:r>
        <w:t xml:space="preserve"> Local wellness organizations, mental health support groups, and regional healthcare providers are combined into strategies. This approach creates a strong community tie and builds credibility for the event. Through partnerships with local hotels and transport, there is comprehensive support for partners, while working with </w:t>
      </w:r>
      <w:r w:rsidR="0068083F">
        <w:t>neighbouring</w:t>
      </w:r>
      <w:r>
        <w:t xml:space="preserve"> media outlets increases the event's success.</w:t>
      </w:r>
    </w:p>
    <w:p w14:paraId="21BC57C7" w14:textId="77777777" w:rsidR="00EE6EA7" w:rsidRDefault="00EE6EA7" w:rsidP="00C46AE7">
      <w:pPr>
        <w:pStyle w:val="Heading2"/>
      </w:pPr>
      <w:bookmarkStart w:id="9" w:name="_Toc180545467"/>
      <w:r>
        <w:t>4.3. Program Design and Delivery</w:t>
      </w:r>
      <w:bookmarkEnd w:id="9"/>
      <w:r>
        <w:t xml:space="preserve"> </w:t>
      </w:r>
    </w:p>
    <w:p w14:paraId="3DC61C99" w14:textId="39589AC4" w:rsidR="00EE6EA7" w:rsidRPr="00030161" w:rsidRDefault="00EE6EA7" w:rsidP="00C46AE7">
      <w:pPr>
        <w:rPr>
          <w:rFonts w:eastAsia="Times New Roman" w:cs="Times New Roman"/>
          <w:szCs w:val="24"/>
          <w:lang w:val="en-US"/>
        </w:rPr>
      </w:pPr>
      <w:r w:rsidRPr="00EE6EA7">
        <w:rPr>
          <w:b/>
        </w:rPr>
        <w:t>Session schedule:</w:t>
      </w:r>
      <w:r>
        <w:t xml:space="preserve"> It’s followed by a very structured timeline with intensive workshops and times for networking and rest. The program is a mix of interactive workshops, expert presentations, and practical wellness activities</w:t>
      </w:r>
      <w:r w:rsidR="00030161">
        <w:t xml:space="preserve"> </w:t>
      </w:r>
      <w:r w:rsidR="00030161" w:rsidRPr="00030161">
        <w:rPr>
          <w:rFonts w:eastAsia="Times New Roman" w:cs="Times New Roman"/>
          <w:szCs w:val="24"/>
          <w:lang w:val="en-US"/>
        </w:rPr>
        <w:t>(JOKIEL, 2023)</w:t>
      </w:r>
      <w:r>
        <w:t xml:space="preserve">. </w:t>
      </w:r>
      <w:r w:rsidR="00F0623B">
        <w:t>V</w:t>
      </w:r>
      <w:r>
        <w:t>aried programming creates more participant engagement and better learning outcomes.</w:t>
      </w:r>
    </w:p>
    <w:p w14:paraId="7443EE06" w14:textId="33A7CD64" w:rsidR="00EE6EA7" w:rsidRPr="00030161" w:rsidRDefault="00EE6EA7" w:rsidP="00C46AE7">
      <w:pPr>
        <w:rPr>
          <w:rFonts w:eastAsia="Times New Roman" w:cs="Times New Roman"/>
          <w:szCs w:val="24"/>
          <w:lang w:val="en-US"/>
        </w:rPr>
      </w:pPr>
      <w:r w:rsidRPr="00EE6EA7">
        <w:rPr>
          <w:b/>
        </w:rPr>
        <w:t>Virtual component:</w:t>
      </w:r>
      <w:r>
        <w:t xml:space="preserve"> Sophisticated streaming technology and interactive platforms are employed in integration. Real-time sessions are accessible by online participants through a dedicated virtual event platform, providing equal opportunity for engagement</w:t>
      </w:r>
      <w:r w:rsidR="00030161">
        <w:t xml:space="preserve"> </w:t>
      </w:r>
      <w:r w:rsidR="00030161" w:rsidRPr="00030161">
        <w:rPr>
          <w:rFonts w:eastAsia="Times New Roman" w:cs="Times New Roman"/>
          <w:szCs w:val="24"/>
          <w:lang w:val="en-US"/>
        </w:rPr>
        <w:t>(Lee and Slocum, 2015)</w:t>
      </w:r>
      <w:r>
        <w:t>. Smaller group interactions for virtual attendees are made possible by digital breakout rooms.</w:t>
      </w:r>
    </w:p>
    <w:p w14:paraId="60991E23" w14:textId="2A9A0F06" w:rsidR="00D94FED" w:rsidRDefault="00EE6EA7" w:rsidP="00C46AE7">
      <w:r w:rsidRPr="00EE6EA7">
        <w:rPr>
          <w:b/>
        </w:rPr>
        <w:t>Content management:</w:t>
      </w:r>
      <w:r>
        <w:t xml:space="preserve"> It uses a centralized digital system for both physical and virtual delivery. This includes workshop resources, participant guides, and presentation materials. The frequency of content reviews is also regular across all delivery channels. Through the event, </w:t>
      </w:r>
      <w:r>
        <w:lastRenderedPageBreak/>
        <w:t>quality control measures that monitor content delivery effectiveness and participant engagement levels provide quality assurance in providing professional standards across all sessions.</w:t>
      </w:r>
    </w:p>
    <w:p w14:paraId="74F85A47" w14:textId="6D6FB579" w:rsidR="00EE6EA7" w:rsidRDefault="00EE6EA7" w:rsidP="00DA085A">
      <w:pPr>
        <w:pStyle w:val="Heading1"/>
      </w:pPr>
      <w:bookmarkStart w:id="10" w:name="_Toc180545468"/>
      <w:r>
        <w:t>5. Budget Management and Financial Strategy</w:t>
      </w:r>
      <w:bookmarkEnd w:id="10"/>
    </w:p>
    <w:p w14:paraId="76AC3BB1" w14:textId="77777777" w:rsidR="00EE6EA7" w:rsidRDefault="00EE6EA7" w:rsidP="00C46AE7">
      <w:pPr>
        <w:pStyle w:val="Heading2"/>
      </w:pPr>
      <w:bookmarkStart w:id="11" w:name="_Toc180545469"/>
      <w:r>
        <w:t>5.1 Cost Control Measures</w:t>
      </w:r>
      <w:bookmarkEnd w:id="11"/>
      <w:r>
        <w:t xml:space="preserve"> </w:t>
      </w:r>
    </w:p>
    <w:p w14:paraId="487AF6B4" w14:textId="120996AC" w:rsidR="00EE6EA7" w:rsidRPr="00030161" w:rsidRDefault="00EE6EA7" w:rsidP="00C46AE7">
      <w:pPr>
        <w:rPr>
          <w:rFonts w:eastAsia="Times New Roman" w:cs="Times New Roman"/>
          <w:szCs w:val="24"/>
          <w:lang w:val="en-US"/>
        </w:rPr>
      </w:pPr>
      <w:r>
        <w:t xml:space="preserve">1. Detailed breakdown of operational costs: Comprehensive cost control measures must be in place to help Winter Wellness Conference 2024 keep up financially. The fixed and variable components of the operational costs can be systematically classified. Venue rental, insurance premiums, </w:t>
      </w:r>
      <w:r w:rsidR="0082205B">
        <w:t>and </w:t>
      </w:r>
      <w:r>
        <w:t xml:space="preserve">core staffing expenses are fixed costs, </w:t>
      </w:r>
      <w:r w:rsidR="0082205B">
        <w:t>and </w:t>
      </w:r>
      <w:r>
        <w:t>catering, marketing materials</w:t>
      </w:r>
      <w:r w:rsidR="0082205B">
        <w:t>,</w:t>
      </w:r>
      <w:r>
        <w:t xml:space="preserve"> and technical support services are variable costs</w:t>
      </w:r>
      <w:r w:rsidR="00030161">
        <w:t xml:space="preserve"> </w:t>
      </w:r>
      <w:r w:rsidR="00030161" w:rsidRPr="00030161">
        <w:rPr>
          <w:rFonts w:eastAsia="Times New Roman" w:cs="Times New Roman"/>
          <w:szCs w:val="24"/>
          <w:lang w:val="en-US"/>
        </w:rPr>
        <w:t>(Müller, 2015)</w:t>
      </w:r>
      <w:r>
        <w:t>.</w:t>
      </w:r>
    </w:p>
    <w:p w14:paraId="1A480A48" w14:textId="057BAA1C" w:rsidR="00EE6EA7" w:rsidRDefault="00EE6EA7" w:rsidP="00C46AE7">
      <w:r>
        <w:t>The analysis of a detailed cost breakdown shows that a three</w:t>
      </w:r>
      <w:r w:rsidR="0082205B">
        <w:t>-</w:t>
      </w:r>
      <w:r>
        <w:t>tier supplier evaluation system as an implementation would reduce operational expenses by 15 to 20%. The cost</w:t>
      </w:r>
      <w:r w:rsidR="0082205B">
        <w:t>-</w:t>
      </w:r>
      <w:r>
        <w:t>effectiveness, reliability</w:t>
      </w:r>
      <w:r w:rsidR="0082205B">
        <w:t>,</w:t>
      </w:r>
      <w:r>
        <w:t xml:space="preserve"> and quality of service of the suppliers are considered in this system to prioritize them. </w:t>
      </w:r>
      <w:r w:rsidR="0082205B">
        <w:t>F</w:t>
      </w:r>
      <w:r>
        <w:t xml:space="preserve">urthermore, the implementation of digital tracking systems can tremendously aid in tracking expenses in real time and indicate as soon as expenditure variances </w:t>
      </w:r>
      <w:proofErr w:type="gramStart"/>
      <w:r>
        <w:t>occur</w:t>
      </w:r>
      <w:proofErr w:type="gramEnd"/>
      <w:r>
        <w:t xml:space="preserve"> and corrective actions need to be taken.</w:t>
      </w:r>
    </w:p>
    <w:p w14:paraId="3B776A1F" w14:textId="291EA12C" w:rsidR="00EE6EA7" w:rsidRPr="00030161" w:rsidRDefault="00EE6EA7" w:rsidP="00C46AE7">
      <w:pPr>
        <w:rPr>
          <w:rFonts w:eastAsia="Times New Roman" w:cs="Times New Roman"/>
          <w:szCs w:val="24"/>
          <w:lang w:val="en-US"/>
        </w:rPr>
      </w:pPr>
      <w:r>
        <w:t xml:space="preserve">2. Contingency planning: With any major expense categories, a 10% contingency allocation is used and is particularly focused on technical infrastructure and marketing. This is in line with industry best practices </w:t>
      </w:r>
      <w:proofErr w:type="gramStart"/>
      <w:r>
        <w:t>and also</w:t>
      </w:r>
      <w:proofErr w:type="gramEnd"/>
      <w:r>
        <w:t xml:space="preserve"> provides financial flexibility</w:t>
      </w:r>
      <w:r w:rsidR="00030161">
        <w:t xml:space="preserve"> </w:t>
      </w:r>
      <w:r w:rsidR="00030161" w:rsidRPr="00030161">
        <w:rPr>
          <w:rFonts w:eastAsia="Times New Roman" w:cs="Times New Roman"/>
          <w:szCs w:val="24"/>
          <w:lang w:val="en-US"/>
        </w:rPr>
        <w:t>(Oktaviani, Sutisna</w:t>
      </w:r>
      <w:r w:rsidR="00030161">
        <w:rPr>
          <w:rFonts w:eastAsia="Times New Roman" w:cs="Times New Roman"/>
          <w:szCs w:val="24"/>
          <w:lang w:val="en-US"/>
        </w:rPr>
        <w:t>,</w:t>
      </w:r>
      <w:r w:rsidR="00030161" w:rsidRPr="00030161">
        <w:rPr>
          <w:rFonts w:eastAsia="Times New Roman" w:cs="Times New Roman"/>
          <w:szCs w:val="24"/>
          <w:lang w:val="en-US"/>
        </w:rPr>
        <w:t xml:space="preserve"> and Sumadhinata, 2020)</w:t>
      </w:r>
      <w:r>
        <w:t xml:space="preserve">. </w:t>
      </w:r>
    </w:p>
    <w:p w14:paraId="6F2EFF4D" w14:textId="77777777" w:rsidR="00EE6EA7" w:rsidRDefault="00EE6EA7" w:rsidP="00C46AE7">
      <w:r>
        <w:t>3. Resource optimization: The following strategies of resource optimization are:</w:t>
      </w:r>
    </w:p>
    <w:p w14:paraId="2CE12DB9" w14:textId="77777777" w:rsidR="00EE6EA7" w:rsidRDefault="00EE6EA7" w:rsidP="00C46AE7">
      <w:pPr>
        <w:pStyle w:val="ListParagraph"/>
        <w:numPr>
          <w:ilvl w:val="0"/>
          <w:numId w:val="3"/>
        </w:numPr>
      </w:pPr>
      <w:r>
        <w:t>Dynamic scheduling for temporary staff</w:t>
      </w:r>
    </w:p>
    <w:p w14:paraId="55A3D69E" w14:textId="77777777" w:rsidR="00EE6EA7" w:rsidRDefault="00EE6EA7" w:rsidP="00C46AE7">
      <w:pPr>
        <w:pStyle w:val="ListParagraph"/>
        <w:numPr>
          <w:ilvl w:val="0"/>
          <w:numId w:val="3"/>
        </w:numPr>
      </w:pPr>
      <w:r>
        <w:t>Energy efficient equipment usage</w:t>
      </w:r>
    </w:p>
    <w:p w14:paraId="096D3F06" w14:textId="77777777" w:rsidR="00EE6EA7" w:rsidRDefault="00EE6EA7" w:rsidP="00C46AE7">
      <w:pPr>
        <w:pStyle w:val="ListParagraph"/>
        <w:numPr>
          <w:ilvl w:val="0"/>
          <w:numId w:val="3"/>
        </w:numPr>
      </w:pPr>
      <w:r>
        <w:t>Automated booking systems integration</w:t>
      </w:r>
    </w:p>
    <w:p w14:paraId="3F177191" w14:textId="7F6986D6" w:rsidR="00EE6EA7" w:rsidRDefault="00EE6EA7" w:rsidP="00C46AE7">
      <w:pPr>
        <w:pStyle w:val="ListParagraph"/>
        <w:numPr>
          <w:ilvl w:val="0"/>
          <w:numId w:val="3"/>
        </w:numPr>
      </w:pPr>
      <w:r>
        <w:t>Key supplier</w:t>
      </w:r>
      <w:r w:rsidR="0082205B">
        <w:t>'</w:t>
      </w:r>
      <w:r>
        <w:t>s bulk purchasing agreements.</w:t>
      </w:r>
    </w:p>
    <w:p w14:paraId="67C8668E" w14:textId="31D52A7B" w:rsidR="00D94FED" w:rsidRDefault="00EE6EA7" w:rsidP="00C46AE7">
      <w:pPr>
        <w:pStyle w:val="ListParagraph"/>
        <w:numPr>
          <w:ilvl w:val="0"/>
          <w:numId w:val="3"/>
        </w:numPr>
      </w:pPr>
      <w:r>
        <w:t>Reducing staff costs by cross</w:t>
      </w:r>
      <w:r w:rsidR="006E4DC4">
        <w:t>-</w:t>
      </w:r>
      <w:r>
        <w:t>training personnel</w:t>
      </w:r>
    </w:p>
    <w:p w14:paraId="137C0D36" w14:textId="77777777" w:rsidR="006E4DC4" w:rsidRDefault="006E4DC4" w:rsidP="00C46AE7">
      <w:pPr>
        <w:pStyle w:val="Heading2"/>
      </w:pPr>
      <w:bookmarkStart w:id="12" w:name="_Toc180545470"/>
      <w:r>
        <w:t>5.2 Revenue Enhancement Strategies</w:t>
      </w:r>
      <w:bookmarkEnd w:id="12"/>
      <w:r>
        <w:t xml:space="preserve"> </w:t>
      </w:r>
    </w:p>
    <w:p w14:paraId="1E744ABC" w14:textId="409744F1" w:rsidR="006E4DC4" w:rsidRDefault="006E4DC4" w:rsidP="00C46AE7">
      <w:r w:rsidRPr="006E4DC4">
        <w:rPr>
          <w:b/>
        </w:rPr>
        <w:t>1. Ticket pricing strategy:</w:t>
      </w:r>
      <w:r>
        <w:t xml:space="preserve"> The revenue generation strategy is multi-faceted to achieve maximum financial returns and yet maintain competitiveness in the market. The ticket pricing </w:t>
      </w:r>
      <w:r>
        <w:lastRenderedPageBreak/>
        <w:t>structure implements a dynamic pricing model with three distinct tiers: Standard and Premium packages and Early Bird packages. By segmenting the market, market penetration is achieved while capturing different willingness-to-pay levels of attendees.</w:t>
      </w:r>
    </w:p>
    <w:p w14:paraId="07D92EE5" w14:textId="0F8D2D02" w:rsidR="006E4DC4" w:rsidRPr="00030161" w:rsidRDefault="006E4DC4" w:rsidP="00C46AE7">
      <w:pPr>
        <w:rPr>
          <w:rFonts w:eastAsia="Times New Roman" w:cs="Times New Roman"/>
          <w:szCs w:val="24"/>
          <w:lang w:val="en-US"/>
        </w:rPr>
      </w:pPr>
      <w:r w:rsidRPr="006E4DC4">
        <w:rPr>
          <w:b/>
        </w:rPr>
        <w:t>2. Sponsorship management:</w:t>
      </w:r>
      <w:r>
        <w:t xml:space="preserve"> It is a structured partnership program with leading wellness brands and local businesses. Different levels of brand exposure and engagement, the tiered sponsorship packages are defined as. Digital analytics tools monitor sponsor exposure metrics and provide deliverable transparency and value demonstration</w:t>
      </w:r>
      <w:r w:rsidR="00030161">
        <w:t xml:space="preserve"> </w:t>
      </w:r>
      <w:r w:rsidR="00030161" w:rsidRPr="00030161">
        <w:rPr>
          <w:rFonts w:eastAsia="Times New Roman" w:cs="Times New Roman"/>
          <w:szCs w:val="24"/>
          <w:lang w:val="en-US"/>
        </w:rPr>
        <w:t>(Robert, Schurr</w:t>
      </w:r>
      <w:r w:rsidR="00561F54">
        <w:rPr>
          <w:rFonts w:eastAsia="Times New Roman" w:cs="Times New Roman"/>
          <w:szCs w:val="24"/>
          <w:lang w:val="en-US"/>
        </w:rPr>
        <w:t>,</w:t>
      </w:r>
      <w:r w:rsidR="00030161" w:rsidRPr="00030161">
        <w:rPr>
          <w:rFonts w:eastAsia="Times New Roman" w:cs="Times New Roman"/>
          <w:szCs w:val="24"/>
          <w:lang w:val="en-US"/>
        </w:rPr>
        <w:t xml:space="preserve"> and Oh, 2019)</w:t>
      </w:r>
      <w:r>
        <w:t>.</w:t>
      </w:r>
    </w:p>
    <w:p w14:paraId="31E8AE61" w14:textId="77777777" w:rsidR="006E4DC4" w:rsidRDefault="006E4DC4" w:rsidP="00C46AE7">
      <w:r w:rsidRPr="006E4DC4">
        <w:rPr>
          <w:b/>
        </w:rPr>
        <w:t>3. Merchandising opportunities:</w:t>
      </w:r>
      <w:r>
        <w:t xml:space="preserve"> Strategically developed merchandising opportunities have been created to generate additional revenue streams through:</w:t>
      </w:r>
    </w:p>
    <w:p w14:paraId="4ED88611" w14:textId="77777777" w:rsidR="006E4DC4" w:rsidRDefault="006E4DC4" w:rsidP="00C46AE7">
      <w:pPr>
        <w:pStyle w:val="ListParagraph"/>
        <w:numPr>
          <w:ilvl w:val="0"/>
          <w:numId w:val="4"/>
        </w:numPr>
      </w:pPr>
      <w:r>
        <w:t>Exclusive wellness product partnerships</w:t>
      </w:r>
    </w:p>
    <w:p w14:paraId="639C17AF" w14:textId="77777777" w:rsidR="006E4DC4" w:rsidRDefault="006E4DC4" w:rsidP="00C46AE7">
      <w:pPr>
        <w:pStyle w:val="ListParagraph"/>
        <w:numPr>
          <w:ilvl w:val="0"/>
          <w:numId w:val="4"/>
        </w:numPr>
      </w:pPr>
      <w:r>
        <w:t>Digital content packages</w:t>
      </w:r>
    </w:p>
    <w:p w14:paraId="764588C9" w14:textId="77777777" w:rsidR="006E4DC4" w:rsidRDefault="006E4DC4" w:rsidP="00C46AE7">
      <w:pPr>
        <w:pStyle w:val="ListParagraph"/>
        <w:numPr>
          <w:ilvl w:val="0"/>
          <w:numId w:val="4"/>
        </w:numPr>
      </w:pPr>
      <w:r>
        <w:t>Access passes to the virtual workshop</w:t>
      </w:r>
    </w:p>
    <w:p w14:paraId="649D7CA8" w14:textId="77777777" w:rsidR="006E4DC4" w:rsidRDefault="006E4DC4" w:rsidP="00C46AE7">
      <w:pPr>
        <w:pStyle w:val="ListParagraph"/>
        <w:numPr>
          <w:ilvl w:val="0"/>
          <w:numId w:val="4"/>
        </w:numPr>
      </w:pPr>
      <w:r>
        <w:t>Subscriptions to professional networking platform</w:t>
      </w:r>
    </w:p>
    <w:p w14:paraId="08C419C4" w14:textId="77777777" w:rsidR="006E4DC4" w:rsidRDefault="006E4DC4" w:rsidP="00C46AE7">
      <w:pPr>
        <w:pStyle w:val="ListParagraph"/>
        <w:numPr>
          <w:ilvl w:val="0"/>
          <w:numId w:val="4"/>
        </w:numPr>
      </w:pPr>
      <w:r>
        <w:t>Wellness accessories and apparel with branding</w:t>
      </w:r>
    </w:p>
    <w:p w14:paraId="1D55BE93" w14:textId="79C2F1E2" w:rsidR="00D94FED" w:rsidRPr="00030161" w:rsidRDefault="006E4DC4" w:rsidP="00C46AE7">
      <w:pPr>
        <w:rPr>
          <w:rFonts w:eastAsia="Times New Roman" w:cs="Times New Roman"/>
          <w:szCs w:val="24"/>
          <w:lang w:val="en-US"/>
        </w:rPr>
      </w:pPr>
      <w:r>
        <w:t xml:space="preserve">Additionally, data-driven pricing algorithms are implemented that allow real-time merchandise pricing adjustment based on demand patterns and inventory levels. The potential 25 </w:t>
      </w:r>
      <w:r w:rsidR="0068083F">
        <w:t>per cent</w:t>
      </w:r>
      <w:r>
        <w:t xml:space="preserve"> increase in merchandise revenue over fixed price models is demonstrated</w:t>
      </w:r>
      <w:r w:rsidR="00F0623B">
        <w:t>.</w:t>
      </w:r>
    </w:p>
    <w:p w14:paraId="2EF01886" w14:textId="77777777" w:rsidR="006E4DC4" w:rsidRDefault="006E4DC4" w:rsidP="00DA085A">
      <w:pPr>
        <w:pStyle w:val="Heading1"/>
      </w:pPr>
      <w:bookmarkStart w:id="13" w:name="_Toc180545471"/>
      <w:r>
        <w:t>6. Industry Trend and Impact Analysis</w:t>
      </w:r>
      <w:bookmarkEnd w:id="13"/>
    </w:p>
    <w:p w14:paraId="5DF3AA7F" w14:textId="77777777" w:rsidR="006E4DC4" w:rsidRDefault="006E4DC4" w:rsidP="00C46AE7">
      <w:pPr>
        <w:pStyle w:val="Heading2"/>
      </w:pPr>
      <w:bookmarkStart w:id="14" w:name="_Toc180545472"/>
      <w:r>
        <w:t>6.1. Market Analysis</w:t>
      </w:r>
      <w:bookmarkEnd w:id="14"/>
      <w:r>
        <w:t xml:space="preserve"> </w:t>
      </w:r>
    </w:p>
    <w:p w14:paraId="3080D9AC" w14:textId="0D31206E" w:rsidR="006E4DC4" w:rsidRPr="00030161" w:rsidRDefault="006E4DC4" w:rsidP="00C46AE7">
      <w:pPr>
        <w:rPr>
          <w:rFonts w:eastAsia="Times New Roman" w:cs="Times New Roman"/>
          <w:szCs w:val="24"/>
          <w:lang w:val="en-US"/>
        </w:rPr>
      </w:pPr>
      <w:r w:rsidRPr="0082205B">
        <w:rPr>
          <w:b/>
        </w:rPr>
        <w:t xml:space="preserve">Current wellness industry trends: </w:t>
      </w:r>
      <w:r w:rsidRPr="00030161">
        <w:t>The</w:t>
      </w:r>
      <w:r>
        <w:t xml:space="preserve"> United Kingdom’s wellness industry is experiencing high growth trajectories, with a compound annual growth rate of 8.4% expected through 2025</w:t>
      </w:r>
      <w:r w:rsidR="00030161">
        <w:t xml:space="preserve"> </w:t>
      </w:r>
      <w:r w:rsidR="00030161" w:rsidRPr="00030161">
        <w:rPr>
          <w:rFonts w:eastAsia="Times New Roman" w:cs="Times New Roman"/>
          <w:szCs w:val="24"/>
          <w:lang w:val="en-US"/>
        </w:rPr>
        <w:t>(Rubin et al., 2020)</w:t>
      </w:r>
      <w:r>
        <w:t>. Holistic wellness trends show that current times are leaning back towards focusing on these approaches</w:t>
      </w:r>
      <w:r w:rsidR="0082205B">
        <w:t>,</w:t>
      </w:r>
      <w:r>
        <w:t xml:space="preserve"> especially during winter months when mental health has been a trend. </w:t>
      </w:r>
    </w:p>
    <w:p w14:paraId="5A2B7B3E" w14:textId="1BDA80DD" w:rsidR="006E4DC4" w:rsidRDefault="006E4DC4" w:rsidP="00C46AE7">
      <w:r w:rsidRPr="0082205B">
        <w:rPr>
          <w:b/>
        </w:rPr>
        <w:t>Digital integration in events:</w:t>
      </w:r>
      <w:r>
        <w:t xml:space="preserve"> 73</w:t>
      </w:r>
      <w:r w:rsidR="0082205B">
        <w:t xml:space="preserve"> </w:t>
      </w:r>
      <w:r w:rsidR="0068083F">
        <w:t>per cent</w:t>
      </w:r>
      <w:r>
        <w:t xml:space="preserve"> of wellness events are embracing digital integration with </w:t>
      </w:r>
      <w:r w:rsidR="0082205B">
        <w:t>the </w:t>
      </w:r>
      <w:r>
        <w:t>presence of 73</w:t>
      </w:r>
      <w:r w:rsidR="0082205B">
        <w:t xml:space="preserve"> </w:t>
      </w:r>
      <w:r w:rsidR="0068083F">
        <w:t>per cent</w:t>
      </w:r>
      <w:r>
        <w:t xml:space="preserve"> </w:t>
      </w:r>
      <w:r w:rsidR="0082205B">
        <w:t>of </w:t>
      </w:r>
      <w:r>
        <w:t>virtual components to increase accessibility and engagement.</w:t>
      </w:r>
    </w:p>
    <w:p w14:paraId="5123D89B" w14:textId="2D1034CF" w:rsidR="006E4DC4" w:rsidRDefault="006E4DC4" w:rsidP="00C46AE7">
      <w:r w:rsidRPr="0082205B">
        <w:rPr>
          <w:b/>
        </w:rPr>
        <w:lastRenderedPageBreak/>
        <w:t>Post-pandemic considerations</w:t>
      </w:r>
      <w:r>
        <w:t>: With 65% of wellness conference attendees preferring hybrid models, the post</w:t>
      </w:r>
      <w:r w:rsidR="0082205B">
        <w:t>-</w:t>
      </w:r>
      <w:r>
        <w:t>pandemic landscape has fundamentally changed the delivery mechanisms of event</w:t>
      </w:r>
      <w:r w:rsidR="0082205B">
        <w:t>s</w:t>
      </w:r>
      <w:r>
        <w:t xml:space="preserve"> to become hybrid models. Key trends include:</w:t>
      </w:r>
    </w:p>
    <w:p w14:paraId="28A51E3E" w14:textId="77777777" w:rsidR="006E4DC4" w:rsidRDefault="006E4DC4" w:rsidP="00C46AE7">
      <w:pPr>
        <w:pStyle w:val="ListParagraph"/>
        <w:numPr>
          <w:ilvl w:val="0"/>
          <w:numId w:val="7"/>
        </w:numPr>
      </w:pPr>
      <w:r>
        <w:t>Biometric wellness monitoring integration</w:t>
      </w:r>
    </w:p>
    <w:p w14:paraId="6185F29C" w14:textId="77777777" w:rsidR="006E4DC4" w:rsidRDefault="006E4DC4" w:rsidP="00C46AE7">
      <w:pPr>
        <w:pStyle w:val="ListParagraph"/>
        <w:numPr>
          <w:ilvl w:val="0"/>
          <w:numId w:val="7"/>
        </w:numPr>
      </w:pPr>
      <w:r>
        <w:t>Personalised wellness journey tracking</w:t>
      </w:r>
    </w:p>
    <w:p w14:paraId="6AB92C73" w14:textId="77777777" w:rsidR="006E4DC4" w:rsidRDefault="006E4DC4" w:rsidP="00C46AE7">
      <w:pPr>
        <w:pStyle w:val="ListParagraph"/>
        <w:numPr>
          <w:ilvl w:val="0"/>
          <w:numId w:val="7"/>
        </w:numPr>
      </w:pPr>
      <w:r>
        <w:t>Virtual reality meditation sessions</w:t>
      </w:r>
    </w:p>
    <w:p w14:paraId="5CEB398D" w14:textId="77777777" w:rsidR="006E4DC4" w:rsidRDefault="006E4DC4" w:rsidP="00C46AE7">
      <w:pPr>
        <w:pStyle w:val="ListParagraph"/>
        <w:numPr>
          <w:ilvl w:val="0"/>
          <w:numId w:val="7"/>
        </w:numPr>
      </w:pPr>
      <w:r>
        <w:t>Wellness recommendations powered by AI</w:t>
      </w:r>
    </w:p>
    <w:p w14:paraId="470BC724" w14:textId="6DBEEAB5" w:rsidR="006E4DC4" w:rsidRDefault="006E4DC4" w:rsidP="00C46AE7">
      <w:pPr>
        <w:pStyle w:val="ListParagraph"/>
        <w:numPr>
          <w:ilvl w:val="0"/>
          <w:numId w:val="7"/>
        </w:numPr>
      </w:pPr>
      <w:r>
        <w:t>Real</w:t>
      </w:r>
      <w:r w:rsidR="0082205B">
        <w:t>-</w:t>
      </w:r>
      <w:r>
        <w:t>time health metrics visualization</w:t>
      </w:r>
    </w:p>
    <w:p w14:paraId="17A4FFC3" w14:textId="503F2135" w:rsidR="006E4DC4" w:rsidRDefault="006E4DC4" w:rsidP="00C46AE7">
      <w:r>
        <w:t>Additionally, the demand for such services is on the rise by 45% per year, as the focus on seasonal affective disorder (SAD) awareness has opened new doors for winter wellness programming.</w:t>
      </w:r>
    </w:p>
    <w:p w14:paraId="58389969" w14:textId="77777777" w:rsidR="006E4DC4" w:rsidRDefault="006E4DC4" w:rsidP="00C46AE7">
      <w:pPr>
        <w:pStyle w:val="Heading2"/>
      </w:pPr>
      <w:bookmarkStart w:id="15" w:name="_Toc180545473"/>
      <w:r>
        <w:t>6.2. Competitive Positioning</w:t>
      </w:r>
      <w:bookmarkEnd w:id="15"/>
      <w:r>
        <w:t xml:space="preserve"> </w:t>
      </w:r>
    </w:p>
    <w:p w14:paraId="0E623301" w14:textId="503B0B68" w:rsidR="006E4DC4" w:rsidRPr="00030161" w:rsidRDefault="006E4DC4" w:rsidP="00C46AE7">
      <w:pPr>
        <w:rPr>
          <w:rFonts w:eastAsia="Times New Roman" w:cs="Times New Roman"/>
          <w:szCs w:val="24"/>
          <w:lang w:val="en-US"/>
        </w:rPr>
      </w:pPr>
      <w:r w:rsidRPr="0082205B">
        <w:rPr>
          <w:b/>
        </w:rPr>
        <w:t>Market differentiation:</w:t>
      </w:r>
      <w:r>
        <w:t xml:space="preserve"> The Winter Wellness Conference differentiates the market by focusing on the unique seasonal aspect and joining the newest technology with traditional wellness practices. Differentiated by specialized winter wellness programming and hybrid delivery mechanisms that outperform traditional wellness conference offerings</w:t>
      </w:r>
      <w:r w:rsidR="00030161">
        <w:t xml:space="preserve"> </w:t>
      </w:r>
      <w:r w:rsidR="00030161" w:rsidRPr="00030161">
        <w:rPr>
          <w:rFonts w:eastAsia="Times New Roman" w:cs="Times New Roman"/>
          <w:szCs w:val="24"/>
          <w:lang w:val="en-US"/>
        </w:rPr>
        <w:t>(Rubinger et al., 2020)</w:t>
      </w:r>
      <w:r w:rsidR="00F0623B">
        <w:t>.</w:t>
      </w:r>
    </w:p>
    <w:p w14:paraId="684B6961" w14:textId="6FA5A8F5" w:rsidR="006E4DC4" w:rsidRDefault="006E4DC4" w:rsidP="00C46AE7">
      <w:r w:rsidRPr="00C46AE7">
        <w:rPr>
          <w:b/>
        </w:rPr>
        <w:t>Innovation strategies:</w:t>
      </w:r>
      <w:r>
        <w:t xml:space="preserve"> Implementation of the following constitute innovation strategies:</w:t>
      </w:r>
    </w:p>
    <w:p w14:paraId="6E467837" w14:textId="77777777" w:rsidR="006E4DC4" w:rsidRDefault="006E4DC4" w:rsidP="00C46AE7">
      <w:pPr>
        <w:pStyle w:val="ListParagraph"/>
        <w:numPr>
          <w:ilvl w:val="0"/>
          <w:numId w:val="5"/>
        </w:numPr>
      </w:pPr>
      <w:r>
        <w:t>Wellness credentials verified on the blockchain</w:t>
      </w:r>
    </w:p>
    <w:p w14:paraId="207ECEEB" w14:textId="77777777" w:rsidR="006E4DC4" w:rsidRDefault="006E4DC4" w:rsidP="00C46AE7">
      <w:pPr>
        <w:pStyle w:val="ListParagraph"/>
        <w:numPr>
          <w:ilvl w:val="0"/>
          <w:numId w:val="5"/>
        </w:numPr>
      </w:pPr>
      <w:r>
        <w:t>Wellness experiences in augmented reality</w:t>
      </w:r>
    </w:p>
    <w:p w14:paraId="3BD4C771" w14:textId="77777777" w:rsidR="006E4DC4" w:rsidRDefault="006E4DC4" w:rsidP="00C46AE7">
      <w:pPr>
        <w:pStyle w:val="ListParagraph"/>
        <w:numPr>
          <w:ilvl w:val="0"/>
          <w:numId w:val="5"/>
        </w:numPr>
      </w:pPr>
      <w:r>
        <w:t>Personalized wellness technology integration</w:t>
      </w:r>
    </w:p>
    <w:p w14:paraId="6CF40B1F" w14:textId="1F6DA7E4" w:rsidR="006E4DC4" w:rsidRDefault="006E4DC4" w:rsidP="00C46AE7">
      <w:pPr>
        <w:pStyle w:val="ListParagraph"/>
        <w:numPr>
          <w:ilvl w:val="0"/>
          <w:numId w:val="5"/>
        </w:numPr>
      </w:pPr>
      <w:r>
        <w:t>Content delivery systems that are cross-platform</w:t>
      </w:r>
    </w:p>
    <w:p w14:paraId="695B92A1" w14:textId="77777777" w:rsidR="006E4DC4" w:rsidRDefault="006E4DC4" w:rsidP="00C46AE7">
      <w:pPr>
        <w:pStyle w:val="ListParagraph"/>
        <w:numPr>
          <w:ilvl w:val="0"/>
          <w:numId w:val="5"/>
        </w:numPr>
      </w:pPr>
      <w:r>
        <w:t>Interactive wellness monitoring solutions</w:t>
      </w:r>
    </w:p>
    <w:p w14:paraId="3989F733" w14:textId="72DEB795" w:rsidR="006E4DC4" w:rsidRPr="00030161" w:rsidRDefault="006E4DC4" w:rsidP="00C46AE7">
      <w:pPr>
        <w:rPr>
          <w:rFonts w:eastAsia="Times New Roman" w:cs="Times New Roman"/>
          <w:szCs w:val="24"/>
          <w:lang w:val="en-US"/>
        </w:rPr>
      </w:pPr>
      <w:r w:rsidRPr="006E4DC4">
        <w:rPr>
          <w:b/>
        </w:rPr>
        <w:t>Growth potential:</w:t>
      </w:r>
      <w:r>
        <w:t xml:space="preserve"> Market expansion opportunities are substantial, as indicated by growth potential analysis, with a focus on corporate wellness partnerships and international virtual participation. According to research, the winter wellness segment has a 55% year</w:t>
      </w:r>
      <w:r w:rsidR="0082205B">
        <w:t>-</w:t>
      </w:r>
      <w:r>
        <w:t>over</w:t>
      </w:r>
      <w:r w:rsidR="0082205B">
        <w:t>-</w:t>
      </w:r>
      <w:r>
        <w:t>year potential</w:t>
      </w:r>
      <w:r w:rsidR="00030161">
        <w:t xml:space="preserve"> </w:t>
      </w:r>
      <w:r w:rsidR="00030161" w:rsidRPr="00030161">
        <w:rPr>
          <w:rFonts w:eastAsia="Times New Roman" w:cs="Times New Roman"/>
          <w:szCs w:val="24"/>
          <w:lang w:val="en-US"/>
        </w:rPr>
        <w:t>(Shepherd et al., 2015)</w:t>
      </w:r>
      <w:r w:rsidR="00F0623B">
        <w:t xml:space="preserve">. </w:t>
      </w:r>
      <w:r>
        <w:t>The strategic positioning emphasizes:</w:t>
      </w:r>
    </w:p>
    <w:p w14:paraId="4F758B3B" w14:textId="77777777" w:rsidR="006E4DC4" w:rsidRDefault="006E4DC4" w:rsidP="00C46AE7">
      <w:pPr>
        <w:pStyle w:val="ListParagraph"/>
        <w:numPr>
          <w:ilvl w:val="0"/>
          <w:numId w:val="6"/>
        </w:numPr>
      </w:pPr>
      <w:r>
        <w:t>Niche market specialization</w:t>
      </w:r>
    </w:p>
    <w:p w14:paraId="6B6B3EF5" w14:textId="77777777" w:rsidR="006E4DC4" w:rsidRDefault="006E4DC4" w:rsidP="00C46AE7">
      <w:pPr>
        <w:pStyle w:val="ListParagraph"/>
        <w:numPr>
          <w:ilvl w:val="0"/>
          <w:numId w:val="6"/>
        </w:numPr>
      </w:pPr>
      <w:r>
        <w:t>Differentiation based on technology</w:t>
      </w:r>
    </w:p>
    <w:p w14:paraId="0C5B25C2" w14:textId="77777777" w:rsidR="006E4DC4" w:rsidRDefault="006E4DC4" w:rsidP="00C46AE7">
      <w:pPr>
        <w:pStyle w:val="ListParagraph"/>
        <w:numPr>
          <w:ilvl w:val="0"/>
          <w:numId w:val="6"/>
        </w:numPr>
      </w:pPr>
      <w:r>
        <w:t>Seasonal wellness expertise</w:t>
      </w:r>
    </w:p>
    <w:p w14:paraId="1FC4348F" w14:textId="77777777" w:rsidR="006E4DC4" w:rsidRDefault="006E4DC4" w:rsidP="00C46AE7">
      <w:pPr>
        <w:pStyle w:val="ListParagraph"/>
        <w:numPr>
          <w:ilvl w:val="0"/>
          <w:numId w:val="6"/>
        </w:numPr>
      </w:pPr>
      <w:r>
        <w:lastRenderedPageBreak/>
        <w:t>Multi-platform accessibility</w:t>
      </w:r>
    </w:p>
    <w:p w14:paraId="45210473" w14:textId="77777777" w:rsidR="006E4DC4" w:rsidRDefault="006E4DC4" w:rsidP="00C46AE7">
      <w:pPr>
        <w:pStyle w:val="ListParagraph"/>
        <w:numPr>
          <w:ilvl w:val="0"/>
          <w:numId w:val="6"/>
        </w:numPr>
      </w:pPr>
      <w:r>
        <w:t>Corporate wellness integration</w:t>
      </w:r>
    </w:p>
    <w:p w14:paraId="3913E5FA" w14:textId="1182E7E1" w:rsidR="00D94FED" w:rsidRDefault="006E4DC4" w:rsidP="00C46AE7">
      <w:r>
        <w:t>Additionally, these elements collectively establish a strong competitive advantage, allowing for the growth trajectories of the evolving wellness industry landscape to be sustainable.</w:t>
      </w:r>
    </w:p>
    <w:p w14:paraId="230B2EF1" w14:textId="2E289F54" w:rsidR="0082205B" w:rsidRDefault="0082205B" w:rsidP="00DA085A">
      <w:pPr>
        <w:pStyle w:val="Heading1"/>
      </w:pPr>
      <w:bookmarkStart w:id="16" w:name="_Toc180545474"/>
      <w:r>
        <w:t>7. Cultural and Situational Considerations were delineated</w:t>
      </w:r>
      <w:bookmarkEnd w:id="16"/>
    </w:p>
    <w:p w14:paraId="0569D2B4" w14:textId="77777777" w:rsidR="00220092" w:rsidRPr="00220092" w:rsidRDefault="0082205B" w:rsidP="00220092">
      <w:pPr>
        <w:pStyle w:val="Heading2"/>
      </w:pPr>
      <w:bookmarkStart w:id="17" w:name="_Toc180545475"/>
      <w:r w:rsidRPr="00220092">
        <w:rPr>
          <w:rStyle w:val="Heading2Char"/>
          <w:b/>
        </w:rPr>
        <w:t>7.1 Regional and seasonal factors</w:t>
      </w:r>
      <w:bookmarkEnd w:id="17"/>
      <w:r w:rsidRPr="00220092">
        <w:t xml:space="preserve"> </w:t>
      </w:r>
    </w:p>
    <w:p w14:paraId="55BD18FA" w14:textId="6FE59DB8" w:rsidR="0082205B" w:rsidRDefault="0082205B" w:rsidP="00220092">
      <w:r>
        <w:t xml:space="preserve">To deliver the Winter Wellness Conference successfully, many cultural and situational factors </w:t>
      </w:r>
      <w:proofErr w:type="gramStart"/>
      <w:r>
        <w:t>have to</w:t>
      </w:r>
      <w:proofErr w:type="gramEnd"/>
      <w:r>
        <w:t xml:space="preserve"> be considered, as these greatly influence the effectiveness of an event. At the regional and seasonal level, East Sussex demonstrates specific characteristics, notably in winter when daylight hours are extremely </w:t>
      </w:r>
      <w:proofErr w:type="gramStart"/>
      <w:r>
        <w:t>limited</w:t>
      </w:r>
      <w:proofErr w:type="gramEnd"/>
      <w:r>
        <w:t xml:space="preserve"> and weather can influence attendance. The event schedule takes into consideration community needs, as well as pre-existing transportation and accessibility patterns, and is timed at the optimal point for tackling any potential light schedules SAD-related flare-ups.</w:t>
      </w:r>
    </w:p>
    <w:p w14:paraId="55D0782F" w14:textId="399F9976" w:rsidR="00220092" w:rsidRDefault="0082205B" w:rsidP="00220092">
      <w:pPr>
        <w:pStyle w:val="Heading2"/>
      </w:pPr>
      <w:bookmarkStart w:id="18" w:name="_Toc180545476"/>
      <w:r w:rsidRPr="00220092">
        <w:t>7.2 Cultural sensitivity</w:t>
      </w:r>
      <w:bookmarkEnd w:id="18"/>
    </w:p>
    <w:p w14:paraId="480A123D" w14:textId="26FEAFAC" w:rsidR="0082205B" w:rsidRPr="00AC3C64" w:rsidRDefault="0082205B" w:rsidP="00C46AE7">
      <w:pPr>
        <w:rPr>
          <w:rFonts w:eastAsia="Times New Roman" w:cs="Times New Roman"/>
          <w:szCs w:val="24"/>
          <w:lang w:val="en-US"/>
        </w:rPr>
      </w:pPr>
      <w:r>
        <w:t>However, cultural sensitivity continues to be the key to the development of the program as a potential audience is composed of diverse demography. Wellness perceptions and practices are found to differ greatly across different cultural groups in the UK</w:t>
      </w:r>
      <w:r w:rsidR="00AC3C64">
        <w:t xml:space="preserve"> </w:t>
      </w:r>
      <w:r w:rsidR="00AC3C64" w:rsidRPr="00AC3C64">
        <w:rPr>
          <w:rFonts w:eastAsia="Times New Roman" w:cs="Times New Roman"/>
          <w:szCs w:val="24"/>
          <w:lang w:val="en-US"/>
        </w:rPr>
        <w:t>(Smith, 2021)</w:t>
      </w:r>
      <w:r>
        <w:t>. The event design incorporates:</w:t>
      </w:r>
    </w:p>
    <w:p w14:paraId="2493E6CB" w14:textId="77777777" w:rsidR="0082205B" w:rsidRDefault="0082205B" w:rsidP="00C46AE7">
      <w:pPr>
        <w:pStyle w:val="ListParagraph"/>
        <w:numPr>
          <w:ilvl w:val="0"/>
          <w:numId w:val="8"/>
        </w:numPr>
      </w:pPr>
      <w:r>
        <w:t>Multilingual support services</w:t>
      </w:r>
    </w:p>
    <w:p w14:paraId="5909B8E9" w14:textId="5F3DC76D" w:rsidR="0082205B" w:rsidRDefault="0082205B" w:rsidP="00C46AE7">
      <w:pPr>
        <w:pStyle w:val="ListParagraph"/>
        <w:numPr>
          <w:ilvl w:val="0"/>
          <w:numId w:val="8"/>
        </w:numPr>
      </w:pPr>
      <w:r>
        <w:t>Culturally diverse wellness practitioners</w:t>
      </w:r>
    </w:p>
    <w:p w14:paraId="6507A134" w14:textId="77777777" w:rsidR="0082205B" w:rsidRDefault="0082205B" w:rsidP="00C46AE7">
      <w:pPr>
        <w:pStyle w:val="ListParagraph"/>
        <w:numPr>
          <w:ilvl w:val="0"/>
          <w:numId w:val="8"/>
        </w:numPr>
      </w:pPr>
      <w:r>
        <w:t>Dietary requirements varied accommodation.</w:t>
      </w:r>
    </w:p>
    <w:p w14:paraId="70C02A92" w14:textId="77777777" w:rsidR="0082205B" w:rsidRDefault="0082205B" w:rsidP="00C46AE7">
      <w:pPr>
        <w:pStyle w:val="ListParagraph"/>
        <w:numPr>
          <w:ilvl w:val="0"/>
          <w:numId w:val="8"/>
        </w:numPr>
      </w:pPr>
      <w:r>
        <w:t>Several prayer and meditation spaces</w:t>
      </w:r>
    </w:p>
    <w:p w14:paraId="172E0559" w14:textId="77777777" w:rsidR="0082205B" w:rsidRDefault="0082205B" w:rsidP="00C46AE7">
      <w:pPr>
        <w:pStyle w:val="ListParagraph"/>
        <w:numPr>
          <w:ilvl w:val="0"/>
          <w:numId w:val="8"/>
        </w:numPr>
      </w:pPr>
      <w:r>
        <w:t>Staff cultural competency training</w:t>
      </w:r>
    </w:p>
    <w:p w14:paraId="4259C4A3" w14:textId="6C97B930" w:rsidR="00220092" w:rsidRDefault="0082205B" w:rsidP="00220092">
      <w:pPr>
        <w:pStyle w:val="Heading2"/>
      </w:pPr>
      <w:bookmarkStart w:id="19" w:name="_Toc180545477"/>
      <w:r w:rsidRPr="00220092">
        <w:t xml:space="preserve">7.3 Accessibility and </w:t>
      </w:r>
      <w:r w:rsidR="00220092">
        <w:t>I</w:t>
      </w:r>
      <w:r w:rsidRPr="00220092">
        <w:t xml:space="preserve">nclusivity </w:t>
      </w:r>
      <w:r w:rsidR="00220092">
        <w:t>M</w:t>
      </w:r>
      <w:r w:rsidRPr="00220092">
        <w:t>easures</w:t>
      </w:r>
      <w:bookmarkEnd w:id="19"/>
      <w:r w:rsidR="00220092" w:rsidRPr="00220092">
        <w:t xml:space="preserve"> </w:t>
      </w:r>
    </w:p>
    <w:p w14:paraId="25C55AE9" w14:textId="70E5FE4D" w:rsidR="0082205B" w:rsidRDefault="0082205B" w:rsidP="00C46AE7">
      <w:r>
        <w:t>Make it extend beyond physical accommodations to be comprehensive event participation. Key implementations include:</w:t>
      </w:r>
    </w:p>
    <w:p w14:paraId="1F3D5A17" w14:textId="49A460D3" w:rsidR="0082205B" w:rsidRDefault="0082205B" w:rsidP="00C46AE7">
      <w:pPr>
        <w:pStyle w:val="ListParagraph"/>
        <w:numPr>
          <w:ilvl w:val="0"/>
          <w:numId w:val="9"/>
        </w:numPr>
      </w:pPr>
      <w:r>
        <w:t>Access to free venues.</w:t>
      </w:r>
    </w:p>
    <w:p w14:paraId="0FB5D5BD" w14:textId="77777777" w:rsidR="0082205B" w:rsidRDefault="0082205B" w:rsidP="00C46AE7">
      <w:pPr>
        <w:pStyle w:val="ListParagraph"/>
        <w:numPr>
          <w:ilvl w:val="0"/>
          <w:numId w:val="9"/>
        </w:numPr>
      </w:pPr>
      <w:r>
        <w:t>Installation of hearing loop systems</w:t>
      </w:r>
    </w:p>
    <w:p w14:paraId="4DD55BAC" w14:textId="77777777" w:rsidR="0082205B" w:rsidRDefault="0082205B" w:rsidP="00C46AE7">
      <w:pPr>
        <w:pStyle w:val="ListParagraph"/>
        <w:numPr>
          <w:ilvl w:val="0"/>
          <w:numId w:val="9"/>
        </w:numPr>
      </w:pPr>
      <w:r>
        <w:lastRenderedPageBreak/>
        <w:t>Services for sign language interpretation</w:t>
      </w:r>
    </w:p>
    <w:p w14:paraId="0D2AAF2D" w14:textId="77777777" w:rsidR="0082205B" w:rsidRDefault="0082205B" w:rsidP="00C46AE7">
      <w:pPr>
        <w:pStyle w:val="ListParagraph"/>
        <w:numPr>
          <w:ilvl w:val="0"/>
          <w:numId w:val="9"/>
        </w:numPr>
      </w:pPr>
      <w:r>
        <w:t>Sensory-friendly quiet spaces</w:t>
      </w:r>
    </w:p>
    <w:p w14:paraId="398F1515" w14:textId="77777777" w:rsidR="0082205B" w:rsidRDefault="0082205B" w:rsidP="00C46AE7">
      <w:pPr>
        <w:pStyle w:val="ListParagraph"/>
        <w:numPr>
          <w:ilvl w:val="0"/>
          <w:numId w:val="9"/>
        </w:numPr>
      </w:pPr>
      <w:r>
        <w:t>Virtual participation options</w:t>
      </w:r>
    </w:p>
    <w:p w14:paraId="4128A843" w14:textId="77777777" w:rsidR="0082205B" w:rsidRDefault="0082205B" w:rsidP="00C46AE7">
      <w:pPr>
        <w:pStyle w:val="ListParagraph"/>
        <w:numPr>
          <w:ilvl w:val="0"/>
          <w:numId w:val="9"/>
        </w:numPr>
      </w:pPr>
      <w:r>
        <w:t>Gender-neutral facilities</w:t>
      </w:r>
    </w:p>
    <w:p w14:paraId="4FCBDFD1" w14:textId="77777777" w:rsidR="0082205B" w:rsidRDefault="0082205B" w:rsidP="00C46AE7">
      <w:pPr>
        <w:pStyle w:val="ListParagraph"/>
        <w:numPr>
          <w:ilvl w:val="0"/>
          <w:numId w:val="9"/>
        </w:numPr>
      </w:pPr>
      <w:r>
        <w:t>Financial assistance programs</w:t>
      </w:r>
    </w:p>
    <w:p w14:paraId="4D6D9F8D" w14:textId="48335BBA" w:rsidR="00D94FED" w:rsidRDefault="0082205B" w:rsidP="00C46AE7">
      <w:r>
        <w:t>In addition, Universal Design principles are implemented to ensure all participants can fully participate in the event content. Just as screen readers are made to work well on digital platforms, physical spaces accommodate tactile signage and appropriate levels of lighting for users with varying visual needs.</w:t>
      </w:r>
    </w:p>
    <w:p w14:paraId="5EE15DAB" w14:textId="06D3588B" w:rsidR="00D94FED" w:rsidRDefault="00D94FED" w:rsidP="00C46AE7"/>
    <w:p w14:paraId="74F88F41" w14:textId="7E9CAABE" w:rsidR="00D94FED" w:rsidRDefault="00D94FED" w:rsidP="00C46AE7"/>
    <w:p w14:paraId="5B4F3E39" w14:textId="0A12ECA6" w:rsidR="00D94FED" w:rsidRDefault="00D94FED" w:rsidP="00C46AE7"/>
    <w:p w14:paraId="130D4AEA" w14:textId="7FFFA5BB" w:rsidR="00D94FED" w:rsidRDefault="00D94FED" w:rsidP="00C46AE7"/>
    <w:p w14:paraId="2B35EB69" w14:textId="1903E9A4" w:rsidR="00D94FED" w:rsidRDefault="00D94FED" w:rsidP="00C46AE7"/>
    <w:p w14:paraId="4626F652" w14:textId="5FC4750A" w:rsidR="00C46AE7" w:rsidRDefault="00C46AE7" w:rsidP="00C46AE7"/>
    <w:p w14:paraId="0ECAE4E4" w14:textId="18BBB3A8" w:rsidR="00C46AE7" w:rsidRDefault="00C46AE7" w:rsidP="00C46AE7"/>
    <w:p w14:paraId="73E7E9AD" w14:textId="22FC9426" w:rsidR="00C46AE7" w:rsidRDefault="00C46AE7" w:rsidP="00C46AE7"/>
    <w:p w14:paraId="4ECC4AD9" w14:textId="0E6046E5" w:rsidR="00C46AE7" w:rsidRDefault="00C46AE7" w:rsidP="00C46AE7"/>
    <w:p w14:paraId="1E8C6D6D" w14:textId="0C4EA4D9" w:rsidR="00C46AE7" w:rsidRDefault="00C46AE7" w:rsidP="00C46AE7"/>
    <w:p w14:paraId="4016DFCA" w14:textId="489422BF" w:rsidR="00C46AE7" w:rsidRDefault="00C46AE7" w:rsidP="00C46AE7"/>
    <w:p w14:paraId="7605D578" w14:textId="58DB65DC" w:rsidR="00C46AE7" w:rsidRDefault="00C46AE7" w:rsidP="00C46AE7"/>
    <w:p w14:paraId="73DFA021" w14:textId="650F11D0" w:rsidR="00C46AE7" w:rsidRDefault="00C46AE7" w:rsidP="00C46AE7"/>
    <w:p w14:paraId="0E2B5446" w14:textId="2F4CB0A3" w:rsidR="00C46AE7" w:rsidRDefault="00C46AE7" w:rsidP="00C46AE7"/>
    <w:p w14:paraId="2C212154" w14:textId="0E084B44" w:rsidR="00C46AE7" w:rsidRDefault="00C46AE7" w:rsidP="00C46AE7"/>
    <w:p w14:paraId="6F3C2892" w14:textId="71ED6412" w:rsidR="00C46AE7" w:rsidRDefault="00C46AE7" w:rsidP="00C46AE7"/>
    <w:p w14:paraId="3B24EA45" w14:textId="123C29EB" w:rsidR="00C46AE7" w:rsidRDefault="00C46AE7" w:rsidP="00C46AE7"/>
    <w:p w14:paraId="5CAF5BF6" w14:textId="7552D8E4" w:rsidR="00C46AE7" w:rsidRDefault="00C46AE7" w:rsidP="00C46AE7"/>
    <w:p w14:paraId="0657995E" w14:textId="77777777" w:rsidR="00F0623B" w:rsidRDefault="00F0623B" w:rsidP="00C46AE7"/>
    <w:p w14:paraId="0B7642C9" w14:textId="2EC8A446" w:rsidR="00D94FED" w:rsidRDefault="00D94FED" w:rsidP="00DA085A">
      <w:pPr>
        <w:pStyle w:val="Heading1"/>
      </w:pPr>
      <w:bookmarkStart w:id="20" w:name="_Toc180545478"/>
      <w:r>
        <w:t>Conclusion &amp; Recommendations</w:t>
      </w:r>
      <w:bookmarkEnd w:id="20"/>
      <w:r>
        <w:t xml:space="preserve"> </w:t>
      </w:r>
    </w:p>
    <w:p w14:paraId="77597B71" w14:textId="78EBC01A" w:rsidR="00D94FED" w:rsidRPr="00AC3C64" w:rsidRDefault="00D94FED" w:rsidP="00220092">
      <w:pPr>
        <w:rPr>
          <w:rFonts w:eastAsia="Times New Roman" w:cs="Times New Roman"/>
          <w:szCs w:val="24"/>
          <w:lang w:val="en-US"/>
        </w:rPr>
      </w:pPr>
      <w:r>
        <w:t>The UK wellness sector is ripe with potential for success, as the Winter Wellness Conference 2024 strategic analysis shows. Key findings indicate strong demand for seasonal wellness initiatives, with innovative hybrid delivery methods. The event is unique in positioning itself between the competitive landscape integrating digital technologies with traditional wellness practices. Strategic recommendations focus on the improvement of virtual engagement capabilities, year-round community engagement programs, and corporate wellness partnerships</w:t>
      </w:r>
      <w:r w:rsidR="00AC3C64">
        <w:t xml:space="preserve"> </w:t>
      </w:r>
      <w:r w:rsidR="00AC3C64" w:rsidRPr="00AC3C64">
        <w:rPr>
          <w:rFonts w:eastAsia="Times New Roman" w:cs="Times New Roman"/>
          <w:szCs w:val="24"/>
          <w:lang w:val="en-US"/>
        </w:rPr>
        <w:t>(Venske, 2021)</w:t>
      </w:r>
      <w:r>
        <w:t xml:space="preserve">. Further solidifying the event’s market position, predictive analytics implementation for attendee </w:t>
      </w:r>
      <w:r w:rsidR="0068083F">
        <w:t>behaviour</w:t>
      </w:r>
      <w:r>
        <w:t xml:space="preserve"> and strengthening of regional networks in the wellness industry would be implemented.</w:t>
      </w:r>
    </w:p>
    <w:p w14:paraId="13C6DAFA" w14:textId="4E67CD19" w:rsidR="00D94FED" w:rsidRDefault="00D94FED" w:rsidP="00220092">
      <w:r>
        <w:t>International market expansion opportunities, advanced technological integration, and sustainable event practices are not to be neglected in future considerations. Personalized wellness journey tracking systems and the creation of recurring seasonal wellness programs will keep the event relevant in the ever-changing landscape of the wellness industry and secure the event’s future and impact.</w:t>
      </w:r>
    </w:p>
    <w:p w14:paraId="3ED5D3AA" w14:textId="2C2605D6" w:rsidR="00E513FC" w:rsidRDefault="00E513FC" w:rsidP="00C46AE7"/>
    <w:p w14:paraId="4909D55B" w14:textId="2351FEB0" w:rsidR="00C46AE7" w:rsidRDefault="00C46AE7" w:rsidP="00C46AE7"/>
    <w:p w14:paraId="1BA45B5D" w14:textId="0B51C5D2" w:rsidR="00F0623B" w:rsidRDefault="00F0623B" w:rsidP="00C46AE7"/>
    <w:p w14:paraId="5B1EC442" w14:textId="309B5FB5" w:rsidR="00F0623B" w:rsidRDefault="00F0623B" w:rsidP="00C46AE7"/>
    <w:p w14:paraId="53B3679D" w14:textId="67D5B1CB" w:rsidR="00F0623B" w:rsidRDefault="00F0623B" w:rsidP="00C46AE7"/>
    <w:p w14:paraId="0C129F7A" w14:textId="25F72B68" w:rsidR="00F0623B" w:rsidRDefault="00F0623B" w:rsidP="00C46AE7"/>
    <w:p w14:paraId="164908A1" w14:textId="523AAC7C" w:rsidR="00F0623B" w:rsidRDefault="00F0623B" w:rsidP="00C46AE7"/>
    <w:p w14:paraId="2FF7E9FD" w14:textId="0B0B679B" w:rsidR="00F0623B" w:rsidRDefault="00F0623B" w:rsidP="00C46AE7"/>
    <w:p w14:paraId="4F924E98" w14:textId="128663F4" w:rsidR="00F0623B" w:rsidRDefault="00F0623B" w:rsidP="00C46AE7"/>
    <w:p w14:paraId="48B53F9D" w14:textId="3F839F6D" w:rsidR="00F0623B" w:rsidRDefault="00F0623B" w:rsidP="00C46AE7"/>
    <w:p w14:paraId="3787FE34" w14:textId="77777777" w:rsidR="00F0623B" w:rsidRDefault="00F0623B" w:rsidP="00C46AE7"/>
    <w:p w14:paraId="6660C70C" w14:textId="49CEA72B" w:rsidR="00C46AE7" w:rsidRDefault="00C46AE7" w:rsidP="00DA085A">
      <w:pPr>
        <w:pStyle w:val="Heading1"/>
      </w:pPr>
      <w:bookmarkStart w:id="21" w:name="_Toc180545479"/>
      <w:r>
        <w:t>References</w:t>
      </w:r>
      <w:bookmarkEnd w:id="21"/>
    </w:p>
    <w:p w14:paraId="51495AE4" w14:textId="77777777" w:rsidR="00973445" w:rsidRDefault="00973445" w:rsidP="00973445">
      <w:r>
        <w:t xml:space="preserve">Allen, J. and Al, E. (2002). </w:t>
      </w:r>
      <w:r>
        <w:rPr>
          <w:i/>
          <w:iCs/>
        </w:rPr>
        <w:t>Festival and special event management</w:t>
      </w:r>
      <w:r>
        <w:t>. Milton John Wiley &amp; Sons.</w:t>
      </w:r>
    </w:p>
    <w:p w14:paraId="0630B2C6" w14:textId="77777777" w:rsidR="00973445" w:rsidRDefault="00973445" w:rsidP="00973445">
      <w:r>
        <w:t xml:space="preserve">Bladen, C., Kennell, J., Abson, E. and Wilde, N. (2018). </w:t>
      </w:r>
      <w:r>
        <w:rPr>
          <w:i/>
          <w:iCs/>
        </w:rPr>
        <w:t>Events Management</w:t>
      </w:r>
      <w:r>
        <w:t>. Routledge.</w:t>
      </w:r>
    </w:p>
    <w:p w14:paraId="15471685" w14:textId="77777777" w:rsidR="00973445" w:rsidRDefault="00973445" w:rsidP="00973445">
      <w:r>
        <w:t xml:space="preserve">Børve, H.E. and Thøring, T.A. (2022). A stakeholder perspective on risk and safety planning in a major sporting event. </w:t>
      </w:r>
      <w:r>
        <w:rPr>
          <w:i/>
          <w:iCs/>
        </w:rPr>
        <w:t>International Journal of Event and Festival Management</w:t>
      </w:r>
      <w:r>
        <w:t xml:space="preserve">, 13(4), pp.472–485. </w:t>
      </w:r>
      <w:proofErr w:type="gramStart"/>
      <w:r>
        <w:t>doi:https://doi.org/10.1108/ijefm-11-2021-0082</w:t>
      </w:r>
      <w:proofErr w:type="gramEnd"/>
      <w:r>
        <w:t>.</w:t>
      </w:r>
    </w:p>
    <w:p w14:paraId="6337B5D2" w14:textId="0F8CFC62" w:rsidR="00973445" w:rsidRDefault="00973445" w:rsidP="00973445">
      <w:r>
        <w:t xml:space="preserve">Bull, F.C., Al-Ansari, S.S., Biddle, S., Borodulin, K., Buman, M.P., Cardon, G., Carty, C., Chaput, J.-P., Chastin, S., Chou, R., Dempsey, P.C., DiPietro, L., Ekelund, U., Firth, J., Friedenreich, C.M., Garcia, L., Gichu, M., Jago, R., Katzmarzyk, P.T. and Lambert, E. (2020). World </w:t>
      </w:r>
      <w:r w:rsidR="0068083F">
        <w:t>H</w:t>
      </w:r>
      <w:r>
        <w:t xml:space="preserve">ealth </w:t>
      </w:r>
      <w:r w:rsidR="0068083F">
        <w:t>O</w:t>
      </w:r>
      <w:r>
        <w:t xml:space="preserve">rganization 2020 guidelines on physical activity and sedentary behaviour. </w:t>
      </w:r>
      <w:r>
        <w:rPr>
          <w:i/>
          <w:iCs/>
        </w:rPr>
        <w:t>British Journal of Sports Medicine</w:t>
      </w:r>
      <w:r>
        <w:t>, [online] 54(24), pp.1451–1462. Available at: https://www.ncbi.nlm.nih.gov/pmc/articles/PMC7719906/.</w:t>
      </w:r>
    </w:p>
    <w:p w14:paraId="6B471A65" w14:textId="77777777" w:rsidR="00973445" w:rsidRDefault="00973445" w:rsidP="00973445">
      <w:r>
        <w:t xml:space="preserve">Corallo, A., Trono, A., Fortunato, L., Pettinato, F. and Schina, L. (2018). Cultural Event Management and Urban e-Planning Through Bottom-Up User Participation. </w:t>
      </w:r>
      <w:r>
        <w:rPr>
          <w:i/>
          <w:iCs/>
        </w:rPr>
        <w:t>International Journal of E-Planning Research</w:t>
      </w:r>
      <w:r>
        <w:t xml:space="preserve">, 7(1), pp.15–33. </w:t>
      </w:r>
      <w:proofErr w:type="gramStart"/>
      <w:r>
        <w:t>doi:https://doi.org/10.4018/ijepr.2018010102</w:t>
      </w:r>
      <w:proofErr w:type="gramEnd"/>
      <w:r>
        <w:t>.</w:t>
      </w:r>
    </w:p>
    <w:p w14:paraId="21CC7E1E" w14:textId="77777777" w:rsidR="00973445" w:rsidRDefault="00973445" w:rsidP="00973445">
      <w:r>
        <w:t xml:space="preserve">Dae-Man (2023). ONE-STOP SOLUTION FOR FOOD AND EVENT PLANNING. </w:t>
      </w:r>
      <w:r>
        <w:rPr>
          <w:i/>
          <w:iCs/>
        </w:rPr>
        <w:t>International Research Journal of Modernization in Engineering Technology and Science</w:t>
      </w:r>
      <w:r>
        <w:t xml:space="preserve">, 56(3). </w:t>
      </w:r>
      <w:proofErr w:type="gramStart"/>
      <w:r>
        <w:t>doi:https://doi.org/10.56726/irjmets35960</w:t>
      </w:r>
      <w:proofErr w:type="gramEnd"/>
      <w:r>
        <w:t>.</w:t>
      </w:r>
    </w:p>
    <w:p w14:paraId="3D0F0E41" w14:textId="77777777" w:rsidR="00973445" w:rsidRDefault="00973445" w:rsidP="00973445">
      <w:r>
        <w:t xml:space="preserve">De, C. and Anderson, C.B. (2015). </w:t>
      </w:r>
      <w:r>
        <w:rPr>
          <w:i/>
          <w:iCs/>
        </w:rPr>
        <w:t>Shipping and the Environment</w:t>
      </w:r>
      <w:r>
        <w:t>. CRC Press.</w:t>
      </w:r>
    </w:p>
    <w:p w14:paraId="05A2A6CA" w14:textId="54AF0138" w:rsidR="00973445" w:rsidRDefault="00973445" w:rsidP="00973445">
      <w:r>
        <w:t xml:space="preserve">Dowson, R. and Bassett, D. (2015). </w:t>
      </w:r>
      <w:r>
        <w:rPr>
          <w:i/>
          <w:iCs/>
        </w:rPr>
        <w:t>Event planning and management: a practical handbook for PR and events professionals</w:t>
      </w:r>
      <w:r>
        <w:t>. London; Philadelphia: Kogan Page.</w:t>
      </w:r>
    </w:p>
    <w:p w14:paraId="4BE53852" w14:textId="0A0B8987" w:rsidR="00973445" w:rsidRDefault="00973445" w:rsidP="00973445">
      <w:r>
        <w:t xml:space="preserve">Dowson, R. and Bassett, D. (2022). </w:t>
      </w:r>
      <w:r>
        <w:rPr>
          <w:i/>
          <w:iCs/>
        </w:rPr>
        <w:t>Event planning and management: principles, planning and practice</w:t>
      </w:r>
      <w:r>
        <w:t xml:space="preserve">. 2nd ed. London, </w:t>
      </w:r>
      <w:r w:rsidR="0094617A">
        <w:t>UK</w:t>
      </w:r>
      <w:r>
        <w:t>; New York: Kogan Page.</w:t>
      </w:r>
    </w:p>
    <w:p w14:paraId="33AE90AF" w14:textId="77777777" w:rsidR="00973445" w:rsidRDefault="00973445" w:rsidP="00973445">
      <w:r>
        <w:t xml:space="preserve">Huber, G.P. (2020). Longitudinal Field Research Methods for Studying Processes of Organizational Change. </w:t>
      </w:r>
      <w:r>
        <w:rPr>
          <w:i/>
          <w:iCs/>
        </w:rPr>
        <w:t>Organization Science</w:t>
      </w:r>
      <w:r>
        <w:t xml:space="preserve">, 1(3), pp.213–219. </w:t>
      </w:r>
      <w:proofErr w:type="gramStart"/>
      <w:r>
        <w:t>doi:https://doi.org/10.1287/orsc.1.3.213</w:t>
      </w:r>
      <w:proofErr w:type="gramEnd"/>
      <w:r>
        <w:t>.</w:t>
      </w:r>
    </w:p>
    <w:p w14:paraId="4AF15CD2" w14:textId="23F8E82F" w:rsidR="00973445" w:rsidRDefault="00973445" w:rsidP="00973445">
      <w:r>
        <w:lastRenderedPageBreak/>
        <w:t xml:space="preserve">JOKIEL, M. (2023). CROSS-SECTOR PARTNERSHIP FROM THE PERSPECTIVE OF VARIOUS SCIENTIFIC THEORIES - TOWARDS CONSOLIDATING THE PHENOMENON IN MANAGEMENT SCIENCES. </w:t>
      </w:r>
      <w:r>
        <w:rPr>
          <w:i/>
          <w:iCs/>
        </w:rPr>
        <w:t>Scientific Papers of Silesian University of Technology. Organization and Management Series</w:t>
      </w:r>
      <w:r>
        <w:t>, [online] 2023(173), pp.277–294. doi</w:t>
      </w:r>
      <w:r w:rsidR="0070473B">
        <w:t> </w:t>
      </w:r>
      <w:r>
        <w:t>https://doi.org/10.29119/1641-3466.2023.173.18.</w:t>
      </w:r>
    </w:p>
    <w:p w14:paraId="2882B690" w14:textId="7ADEADE1" w:rsidR="00973445" w:rsidRDefault="00973445" w:rsidP="00973445">
      <w:r>
        <w:t xml:space="preserve">Lee, S. “Shawn” and Slocum, S. (2015). Understanding the Role of Local Food in the Meeting Industry: An Exploratory Study of Meeting Planners’ Perception of Local Food in Sustainable Meeting Planning. </w:t>
      </w:r>
      <w:r>
        <w:rPr>
          <w:i/>
          <w:iCs/>
        </w:rPr>
        <w:t>Journal of Convention &amp; Event Tourism</w:t>
      </w:r>
      <w:r>
        <w:t>, 16(1), pp.45–60. doi</w:t>
      </w:r>
      <w:r w:rsidR="0070473B">
        <w:t> </w:t>
      </w:r>
      <w:r>
        <w:t>https://doi.org/10.1080/15470148.2014.986780.</w:t>
      </w:r>
    </w:p>
    <w:p w14:paraId="39A276B9" w14:textId="5D049229" w:rsidR="00973445" w:rsidRDefault="00973445" w:rsidP="00973445">
      <w:r>
        <w:t xml:space="preserve">Müller, M. (2015). The Mega-Event Syndrome: Why so Much Goes Wrong in Mega-Event Planning and What to Do about It. </w:t>
      </w:r>
      <w:r>
        <w:rPr>
          <w:i/>
          <w:iCs/>
        </w:rPr>
        <w:t>Journal of the American Planning Association</w:t>
      </w:r>
      <w:r>
        <w:t>, [online] 81(1), pp.6–17. doi</w:t>
      </w:r>
      <w:r w:rsidR="0070473B">
        <w:t> </w:t>
      </w:r>
      <w:r>
        <w:t>https://doi.org/10.1080/01944363.2015.1038292.</w:t>
      </w:r>
    </w:p>
    <w:p w14:paraId="28B16AD4" w14:textId="6B2685AB" w:rsidR="00973445" w:rsidRDefault="00973445" w:rsidP="00973445">
      <w:r>
        <w:t xml:space="preserve">Oktaviani, D., Sutisna, D. and Sumadhinata, Y.E. (2020). Golf Event Planning Analysis: A Case </w:t>
      </w:r>
      <w:r w:rsidR="0070473B">
        <w:t>Study</w:t>
      </w:r>
      <w:r>
        <w:t xml:space="preserve"> of Fella Golf Club Bandung 2019. </w:t>
      </w:r>
      <w:r>
        <w:rPr>
          <w:i/>
          <w:iCs/>
        </w:rPr>
        <w:t>International Journal of Psychosocial Rehabilitation</w:t>
      </w:r>
      <w:r>
        <w:t>, 24(02), pp.2899–2907. doi</w:t>
      </w:r>
      <w:r w:rsidR="0070473B">
        <w:t> </w:t>
      </w:r>
      <w:r>
        <w:t>https://doi.org/10.37200/ijpr/v24i2/pr200589.</w:t>
      </w:r>
    </w:p>
    <w:p w14:paraId="395C15C4" w14:textId="77777777" w:rsidR="00973445" w:rsidRDefault="00973445" w:rsidP="00973445">
      <w:r>
        <w:t xml:space="preserve">Robert, D.F., Schurr, P.H. and Oh, S. (2019). Developing Buyer-Seller Relationships. </w:t>
      </w:r>
      <w:r>
        <w:rPr>
          <w:i/>
          <w:iCs/>
        </w:rPr>
        <w:t>Journal of Marketing</w:t>
      </w:r>
      <w:r>
        <w:t xml:space="preserve">, [online] 51(2), pp.11–27. </w:t>
      </w:r>
      <w:proofErr w:type="gramStart"/>
      <w:r>
        <w:t>doi:https://doi.org/10.2307/1251126</w:t>
      </w:r>
      <w:proofErr w:type="gramEnd"/>
      <w:r>
        <w:t>.</w:t>
      </w:r>
    </w:p>
    <w:p w14:paraId="1CBBD660" w14:textId="7B3AA98E" w:rsidR="00973445" w:rsidRDefault="00973445" w:rsidP="00973445">
      <w:r>
        <w:t xml:space="preserve">Rubin, D.T., Abreu, M.T., Rai, V., Siegel, C.A., Ahuja, V., Allez, M., Ananthakrishnan, A.N., Bernstein, C.N., Braun, J.G., Chowers, Y., Colombel, J.-F., Danese, S., D’Haens, G., D’Hoore, A., Dignass, A., Dotan, I., Dubinsky, M.C., Ekbom, A., Fleshner, P.R. and Gassull, M.A. (2020). Management of Patients </w:t>
      </w:r>
      <w:proofErr w:type="gramStart"/>
      <w:r>
        <w:t>With</w:t>
      </w:r>
      <w:proofErr w:type="gramEnd"/>
      <w:r>
        <w:t xml:space="preserve"> Crohn’s Disease and Ulcerative Colitis During the Coronavirus Disease-2019 Pandemic: Results of an International Meeting. </w:t>
      </w:r>
      <w:r>
        <w:rPr>
          <w:i/>
          <w:iCs/>
        </w:rPr>
        <w:t>Gastroenterology</w:t>
      </w:r>
      <w:r>
        <w:t>, [online] 159(1), pp.6-</w:t>
      </w:r>
      <w:proofErr w:type="gramStart"/>
      <w:r>
        <w:t>13.e</w:t>
      </w:r>
      <w:proofErr w:type="gramEnd"/>
      <w:r>
        <w:t>6. doi</w:t>
      </w:r>
      <w:r w:rsidR="0070473B">
        <w:t> </w:t>
      </w:r>
      <w:r>
        <w:t>https://doi.org/10.1053/j.gastro.2020.04.002.</w:t>
      </w:r>
    </w:p>
    <w:p w14:paraId="6D1BD001" w14:textId="77777777" w:rsidR="00973445" w:rsidRDefault="00973445" w:rsidP="00973445">
      <w:r>
        <w:t xml:space="preserve">Rubinger, L., Gazendam, A., Ekhtiari, S., Nucci, N., Payne, A., Johal, H., Khanduja, V. and Bhandari, M. (2020). Maximizing virtual meetings and conferences: a review of best practices. </w:t>
      </w:r>
      <w:r>
        <w:rPr>
          <w:i/>
          <w:iCs/>
        </w:rPr>
        <w:t>International Orthopaedics</w:t>
      </w:r>
      <w:r>
        <w:t xml:space="preserve">, [online] 44(8), pp.1461–1466. </w:t>
      </w:r>
      <w:proofErr w:type="gramStart"/>
      <w:r>
        <w:t>doi:https://doi.org/10.1007/s00264-020-04615-9</w:t>
      </w:r>
      <w:proofErr w:type="gramEnd"/>
      <w:r>
        <w:t>.</w:t>
      </w:r>
    </w:p>
    <w:p w14:paraId="5F0799DE" w14:textId="77777777" w:rsidR="00973445" w:rsidRDefault="00973445" w:rsidP="00973445">
      <w:r>
        <w:t xml:space="preserve">Shepherd, J.A., Schousboe, J.T., Broy, S.B., Engelke, K. and Leslie, W.D. (2015). Executive Summary of the 2015 ISCD Position Development Conference on Advanced Measures </w:t>
      </w:r>
      <w:proofErr w:type="gramStart"/>
      <w:r>
        <w:t>From</w:t>
      </w:r>
      <w:proofErr w:type="gramEnd"/>
      <w:r>
        <w:t xml:space="preserve"> DXA and QCT: Fracture Prediction Beyond BMD. </w:t>
      </w:r>
      <w:r>
        <w:rPr>
          <w:i/>
          <w:iCs/>
        </w:rPr>
        <w:t>Journal of Clinical Densitometry</w:t>
      </w:r>
      <w:r>
        <w:t xml:space="preserve">, 18(3), pp.274–286. </w:t>
      </w:r>
      <w:proofErr w:type="gramStart"/>
      <w:r>
        <w:t>doi:https://doi.org/10.1016/j.jocd.2015.06.013</w:t>
      </w:r>
      <w:proofErr w:type="gramEnd"/>
      <w:r>
        <w:t>.</w:t>
      </w:r>
    </w:p>
    <w:p w14:paraId="41A6BBE1" w14:textId="77777777" w:rsidR="00973445" w:rsidRDefault="00973445" w:rsidP="00973445">
      <w:r>
        <w:lastRenderedPageBreak/>
        <w:t xml:space="preserve">Smith (2021). </w:t>
      </w:r>
      <w:r>
        <w:rPr>
          <w:i/>
          <w:iCs/>
        </w:rPr>
        <w:t>Strategic planning for public relations</w:t>
      </w:r>
      <w:r>
        <w:t>. New York: Routledge.</w:t>
      </w:r>
    </w:p>
    <w:p w14:paraId="34828599" w14:textId="77777777" w:rsidR="00973445" w:rsidRDefault="00973445" w:rsidP="00973445">
      <w:r>
        <w:t xml:space="preserve">Venske, E. (2021). Quality education: industry contributions to embed sustainability in a meeting and event management curriculum. </w:t>
      </w:r>
      <w:r>
        <w:rPr>
          <w:i/>
          <w:iCs/>
        </w:rPr>
        <w:t>International Journal of Event and Festival Management</w:t>
      </w:r>
      <w:r>
        <w:t xml:space="preserve">, 12(3), pp.297–313. </w:t>
      </w:r>
      <w:proofErr w:type="gramStart"/>
      <w:r>
        <w:t>doi:https://doi.org/10.1108/ijefm-12-2020-0079</w:t>
      </w:r>
      <w:proofErr w:type="gramEnd"/>
      <w:r>
        <w:t>.</w:t>
      </w:r>
    </w:p>
    <w:p w14:paraId="74AC4300" w14:textId="7A121165" w:rsidR="00C8346F" w:rsidRDefault="00C8346F">
      <w:pPr>
        <w:rPr>
          <w:rFonts w:eastAsia="Times New Roman" w:cs="Times New Roman"/>
          <w:szCs w:val="24"/>
          <w:lang w:val="en-US"/>
        </w:rPr>
      </w:pPr>
    </w:p>
    <w:sectPr w:rsidR="00C8346F" w:rsidSect="00AC3C64">
      <w:footerReference w:type="default" r:id="rId8"/>
      <w:pgSz w:w="11909" w:h="16834"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7DD582" w14:textId="77777777" w:rsidR="00C106FB" w:rsidRDefault="00C106FB" w:rsidP="00AC3C64">
      <w:pPr>
        <w:spacing w:after="0" w:line="240" w:lineRule="auto"/>
      </w:pPr>
      <w:r>
        <w:separator/>
      </w:r>
    </w:p>
  </w:endnote>
  <w:endnote w:type="continuationSeparator" w:id="0">
    <w:p w14:paraId="04181745" w14:textId="77777777" w:rsidR="00C106FB" w:rsidRDefault="00C106FB" w:rsidP="00AC3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97988244"/>
      <w:docPartObj>
        <w:docPartGallery w:val="Page Numbers (Bottom of Page)"/>
        <w:docPartUnique/>
      </w:docPartObj>
    </w:sdtPr>
    <w:sdtEndPr>
      <w:rPr>
        <w:noProof/>
      </w:rPr>
    </w:sdtEndPr>
    <w:sdtContent>
      <w:p w14:paraId="5F7735B4" w14:textId="43C258B7" w:rsidR="00973445" w:rsidRDefault="009734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F7138B" w14:textId="77777777" w:rsidR="00973445" w:rsidRDefault="0097344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799FD8" w14:textId="77777777" w:rsidR="00C106FB" w:rsidRDefault="00C106FB" w:rsidP="00AC3C64">
      <w:pPr>
        <w:spacing w:after="0" w:line="240" w:lineRule="auto"/>
      </w:pPr>
      <w:r>
        <w:separator/>
      </w:r>
    </w:p>
  </w:footnote>
  <w:footnote w:type="continuationSeparator" w:id="0">
    <w:p w14:paraId="29422D3F" w14:textId="77777777" w:rsidR="00C106FB" w:rsidRDefault="00C106FB" w:rsidP="00AC3C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6B4F66"/>
    <w:multiLevelType w:val="hybridMultilevel"/>
    <w:tmpl w:val="A9C46BF4"/>
    <w:lvl w:ilvl="0" w:tplc="0AA6CE92">
      <w:start w:val="1"/>
      <w:numFmt w:val="decimal"/>
      <w:lvlText w:val="%1."/>
      <w:lvlJc w:val="left"/>
      <w:pPr>
        <w:ind w:left="840" w:hanging="360"/>
      </w:pPr>
      <w:rPr>
        <w:rFonts w:ascii="Calibri" w:eastAsia="Calibri" w:hAnsi="Calibri" w:cs="Calibri" w:hint="default"/>
        <w:b w:val="0"/>
        <w:bCs w:val="0"/>
        <w:i w:val="0"/>
        <w:iCs w:val="0"/>
        <w:spacing w:val="-1"/>
        <w:w w:val="107"/>
        <w:sz w:val="24"/>
        <w:szCs w:val="24"/>
        <w:lang w:val="en-US" w:eastAsia="en-US" w:bidi="ar-SA"/>
      </w:rPr>
    </w:lvl>
    <w:lvl w:ilvl="1" w:tplc="75FA5EB4">
      <w:numFmt w:val="bullet"/>
      <w:lvlText w:val="•"/>
      <w:lvlJc w:val="left"/>
      <w:pPr>
        <w:ind w:left="1746" w:hanging="360"/>
      </w:pPr>
      <w:rPr>
        <w:rFonts w:hint="default"/>
        <w:lang w:val="en-US" w:eastAsia="en-US" w:bidi="ar-SA"/>
      </w:rPr>
    </w:lvl>
    <w:lvl w:ilvl="2" w:tplc="A888F632">
      <w:numFmt w:val="bullet"/>
      <w:lvlText w:val="•"/>
      <w:lvlJc w:val="left"/>
      <w:pPr>
        <w:ind w:left="2653" w:hanging="360"/>
      </w:pPr>
      <w:rPr>
        <w:rFonts w:hint="default"/>
        <w:lang w:val="en-US" w:eastAsia="en-US" w:bidi="ar-SA"/>
      </w:rPr>
    </w:lvl>
    <w:lvl w:ilvl="3" w:tplc="6D0E4270">
      <w:numFmt w:val="bullet"/>
      <w:lvlText w:val="•"/>
      <w:lvlJc w:val="left"/>
      <w:pPr>
        <w:ind w:left="3559" w:hanging="360"/>
      </w:pPr>
      <w:rPr>
        <w:rFonts w:hint="default"/>
        <w:lang w:val="en-US" w:eastAsia="en-US" w:bidi="ar-SA"/>
      </w:rPr>
    </w:lvl>
    <w:lvl w:ilvl="4" w:tplc="2BE2EDEC">
      <w:numFmt w:val="bullet"/>
      <w:lvlText w:val="•"/>
      <w:lvlJc w:val="left"/>
      <w:pPr>
        <w:ind w:left="4466" w:hanging="360"/>
      </w:pPr>
      <w:rPr>
        <w:rFonts w:hint="default"/>
        <w:lang w:val="en-US" w:eastAsia="en-US" w:bidi="ar-SA"/>
      </w:rPr>
    </w:lvl>
    <w:lvl w:ilvl="5" w:tplc="3F2CD6AE">
      <w:numFmt w:val="bullet"/>
      <w:lvlText w:val="•"/>
      <w:lvlJc w:val="left"/>
      <w:pPr>
        <w:ind w:left="5373" w:hanging="360"/>
      </w:pPr>
      <w:rPr>
        <w:rFonts w:hint="default"/>
        <w:lang w:val="en-US" w:eastAsia="en-US" w:bidi="ar-SA"/>
      </w:rPr>
    </w:lvl>
    <w:lvl w:ilvl="6" w:tplc="7C36A5F2">
      <w:numFmt w:val="bullet"/>
      <w:lvlText w:val="•"/>
      <w:lvlJc w:val="left"/>
      <w:pPr>
        <w:ind w:left="6279" w:hanging="360"/>
      </w:pPr>
      <w:rPr>
        <w:rFonts w:hint="default"/>
        <w:lang w:val="en-US" w:eastAsia="en-US" w:bidi="ar-SA"/>
      </w:rPr>
    </w:lvl>
    <w:lvl w:ilvl="7" w:tplc="B4549E1C">
      <w:numFmt w:val="bullet"/>
      <w:lvlText w:val="•"/>
      <w:lvlJc w:val="left"/>
      <w:pPr>
        <w:ind w:left="7186" w:hanging="360"/>
      </w:pPr>
      <w:rPr>
        <w:rFonts w:hint="default"/>
        <w:lang w:val="en-US" w:eastAsia="en-US" w:bidi="ar-SA"/>
      </w:rPr>
    </w:lvl>
    <w:lvl w:ilvl="8" w:tplc="1DA6D928">
      <w:numFmt w:val="bullet"/>
      <w:lvlText w:val="•"/>
      <w:lvlJc w:val="left"/>
      <w:pPr>
        <w:ind w:left="8093" w:hanging="360"/>
      </w:pPr>
      <w:rPr>
        <w:rFonts w:hint="default"/>
        <w:lang w:val="en-US" w:eastAsia="en-US" w:bidi="ar-SA"/>
      </w:rPr>
    </w:lvl>
  </w:abstractNum>
  <w:abstractNum w:abstractNumId="1" w15:restartNumberingAfterBreak="0">
    <w:nsid w:val="3EE51585"/>
    <w:multiLevelType w:val="hybridMultilevel"/>
    <w:tmpl w:val="6CCC6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BE74F1"/>
    <w:multiLevelType w:val="hybridMultilevel"/>
    <w:tmpl w:val="48402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9B61B0"/>
    <w:multiLevelType w:val="hybridMultilevel"/>
    <w:tmpl w:val="E424F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675AD9"/>
    <w:multiLevelType w:val="hybridMultilevel"/>
    <w:tmpl w:val="1F046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01728DD"/>
    <w:multiLevelType w:val="hybridMultilevel"/>
    <w:tmpl w:val="DCC65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F8412C"/>
    <w:multiLevelType w:val="hybridMultilevel"/>
    <w:tmpl w:val="E01C2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1134D5"/>
    <w:multiLevelType w:val="hybridMultilevel"/>
    <w:tmpl w:val="1F3A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9104FB"/>
    <w:multiLevelType w:val="hybridMultilevel"/>
    <w:tmpl w:val="5BD69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877453"/>
    <w:multiLevelType w:val="hybridMultilevel"/>
    <w:tmpl w:val="D26C0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3808601">
    <w:abstractNumId w:val="9"/>
  </w:num>
  <w:num w:numId="2" w16cid:durableId="384529165">
    <w:abstractNumId w:val="3"/>
  </w:num>
  <w:num w:numId="3" w16cid:durableId="463157181">
    <w:abstractNumId w:val="8"/>
  </w:num>
  <w:num w:numId="4" w16cid:durableId="993800889">
    <w:abstractNumId w:val="6"/>
  </w:num>
  <w:num w:numId="5" w16cid:durableId="304315413">
    <w:abstractNumId w:val="4"/>
  </w:num>
  <w:num w:numId="6" w16cid:durableId="1214460833">
    <w:abstractNumId w:val="7"/>
  </w:num>
  <w:num w:numId="7" w16cid:durableId="1448038312">
    <w:abstractNumId w:val="1"/>
  </w:num>
  <w:num w:numId="8" w16cid:durableId="31544286">
    <w:abstractNumId w:val="5"/>
  </w:num>
  <w:num w:numId="9" w16cid:durableId="52779529">
    <w:abstractNumId w:val="2"/>
  </w:num>
  <w:num w:numId="10" w16cid:durableId="514854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8C1"/>
    <w:rsid w:val="00030161"/>
    <w:rsid w:val="00041BC0"/>
    <w:rsid w:val="001439BA"/>
    <w:rsid w:val="001703A4"/>
    <w:rsid w:val="00192393"/>
    <w:rsid w:val="001E699C"/>
    <w:rsid w:val="00220092"/>
    <w:rsid w:val="00240284"/>
    <w:rsid w:val="002F5D36"/>
    <w:rsid w:val="00302C87"/>
    <w:rsid w:val="003839A1"/>
    <w:rsid w:val="003F7ABD"/>
    <w:rsid w:val="00417070"/>
    <w:rsid w:val="00456D0C"/>
    <w:rsid w:val="004A3359"/>
    <w:rsid w:val="004D5480"/>
    <w:rsid w:val="004E3430"/>
    <w:rsid w:val="00561F54"/>
    <w:rsid w:val="005B307C"/>
    <w:rsid w:val="005B4346"/>
    <w:rsid w:val="005F24B2"/>
    <w:rsid w:val="0068083F"/>
    <w:rsid w:val="00687359"/>
    <w:rsid w:val="00692242"/>
    <w:rsid w:val="006E4DC4"/>
    <w:rsid w:val="0070473B"/>
    <w:rsid w:val="007467E8"/>
    <w:rsid w:val="00797074"/>
    <w:rsid w:val="007F7F87"/>
    <w:rsid w:val="0082205B"/>
    <w:rsid w:val="0084756A"/>
    <w:rsid w:val="008636F2"/>
    <w:rsid w:val="008969ED"/>
    <w:rsid w:val="0090035F"/>
    <w:rsid w:val="00913247"/>
    <w:rsid w:val="0094617A"/>
    <w:rsid w:val="0096085F"/>
    <w:rsid w:val="00973445"/>
    <w:rsid w:val="00A12C88"/>
    <w:rsid w:val="00A328C1"/>
    <w:rsid w:val="00A66BDE"/>
    <w:rsid w:val="00AC3C64"/>
    <w:rsid w:val="00AD277D"/>
    <w:rsid w:val="00AD2A0E"/>
    <w:rsid w:val="00B6083A"/>
    <w:rsid w:val="00B70828"/>
    <w:rsid w:val="00BF0D84"/>
    <w:rsid w:val="00C106FB"/>
    <w:rsid w:val="00C46AE7"/>
    <w:rsid w:val="00C8346F"/>
    <w:rsid w:val="00D0060F"/>
    <w:rsid w:val="00D271DA"/>
    <w:rsid w:val="00D84F08"/>
    <w:rsid w:val="00D94FED"/>
    <w:rsid w:val="00DA085A"/>
    <w:rsid w:val="00DD63D4"/>
    <w:rsid w:val="00E513FC"/>
    <w:rsid w:val="00E84B07"/>
    <w:rsid w:val="00EE6EA7"/>
    <w:rsid w:val="00F0623B"/>
    <w:rsid w:val="00FC2011"/>
    <w:rsid w:val="00FF168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363296"/>
  <w15:chartTrackingRefBased/>
  <w15:docId w15:val="{042C323B-141F-48F3-9D0E-CF0FFED4A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8C1"/>
    <w:rPr>
      <w:lang w:val="en-GB"/>
    </w:rPr>
  </w:style>
  <w:style w:type="paragraph" w:styleId="Heading1">
    <w:name w:val="heading 1"/>
    <w:basedOn w:val="Normal"/>
    <w:next w:val="Normal"/>
    <w:link w:val="Heading1Char"/>
    <w:autoRedefine/>
    <w:uiPriority w:val="9"/>
    <w:qFormat/>
    <w:rsid w:val="00DA085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456D0C"/>
    <w:pPr>
      <w:keepNext/>
      <w:keepLines/>
      <w:spacing w:before="120" w:after="12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56D0C"/>
    <w:rPr>
      <w:rFonts w:eastAsiaTheme="majorEastAsia" w:cstheme="majorBidi"/>
      <w:b/>
      <w:sz w:val="28"/>
      <w:szCs w:val="26"/>
      <w:lang w:val="en-GB"/>
    </w:rPr>
  </w:style>
  <w:style w:type="paragraph" w:styleId="NoSpacing">
    <w:name w:val="No Spacing"/>
    <w:link w:val="NoSpacingChar"/>
    <w:uiPriority w:val="1"/>
    <w:qFormat/>
    <w:rsid w:val="00A328C1"/>
    <w:pPr>
      <w:spacing w:after="0" w:line="240" w:lineRule="auto"/>
      <w:jc w:val="left"/>
    </w:pPr>
    <w:rPr>
      <w:rFonts w:asciiTheme="minorHAnsi" w:eastAsiaTheme="minorEastAsia" w:hAnsiTheme="minorHAnsi"/>
      <w:sz w:val="22"/>
    </w:rPr>
  </w:style>
  <w:style w:type="character" w:customStyle="1" w:styleId="NoSpacingChar">
    <w:name w:val="No Spacing Char"/>
    <w:basedOn w:val="DefaultParagraphFont"/>
    <w:link w:val="NoSpacing"/>
    <w:uiPriority w:val="1"/>
    <w:rsid w:val="00A328C1"/>
    <w:rPr>
      <w:rFonts w:asciiTheme="minorHAnsi" w:eastAsiaTheme="minorEastAsia" w:hAnsiTheme="minorHAnsi"/>
      <w:sz w:val="22"/>
    </w:rPr>
  </w:style>
  <w:style w:type="paragraph" w:styleId="NormalWeb">
    <w:name w:val="Normal (Web)"/>
    <w:basedOn w:val="Normal"/>
    <w:uiPriority w:val="99"/>
    <w:semiHidden/>
    <w:unhideWhenUsed/>
    <w:rsid w:val="002F5D36"/>
    <w:pPr>
      <w:spacing w:before="100" w:beforeAutospacing="1" w:after="100" w:afterAutospacing="1" w:line="240" w:lineRule="auto"/>
      <w:jc w:val="left"/>
    </w:pPr>
    <w:rPr>
      <w:rFonts w:eastAsia="Times New Roman" w:cs="Times New Roman"/>
      <w:szCs w:val="24"/>
      <w:lang w:val="en-US"/>
    </w:rPr>
  </w:style>
  <w:style w:type="character" w:customStyle="1" w:styleId="Heading1Char">
    <w:name w:val="Heading 1 Char"/>
    <w:basedOn w:val="DefaultParagraphFont"/>
    <w:link w:val="Heading1"/>
    <w:uiPriority w:val="9"/>
    <w:rsid w:val="00DA085A"/>
    <w:rPr>
      <w:rFonts w:eastAsiaTheme="majorEastAsia" w:cstheme="majorBidi"/>
      <w:b/>
      <w:sz w:val="32"/>
      <w:szCs w:val="32"/>
      <w:lang w:val="en-GB"/>
    </w:rPr>
  </w:style>
  <w:style w:type="paragraph" w:styleId="ListParagraph">
    <w:name w:val="List Paragraph"/>
    <w:basedOn w:val="Normal"/>
    <w:uiPriority w:val="1"/>
    <w:qFormat/>
    <w:rsid w:val="00456D0C"/>
    <w:pPr>
      <w:ind w:left="720"/>
      <w:contextualSpacing/>
    </w:pPr>
  </w:style>
  <w:style w:type="paragraph" w:styleId="TOCHeading">
    <w:name w:val="TOC Heading"/>
    <w:basedOn w:val="Heading1"/>
    <w:next w:val="Normal"/>
    <w:uiPriority w:val="39"/>
    <w:unhideWhenUsed/>
    <w:qFormat/>
    <w:rsid w:val="00220092"/>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220092"/>
    <w:pPr>
      <w:spacing w:after="100"/>
    </w:pPr>
  </w:style>
  <w:style w:type="paragraph" w:styleId="TOC2">
    <w:name w:val="toc 2"/>
    <w:basedOn w:val="Normal"/>
    <w:next w:val="Normal"/>
    <w:autoRedefine/>
    <w:uiPriority w:val="39"/>
    <w:unhideWhenUsed/>
    <w:rsid w:val="00220092"/>
    <w:pPr>
      <w:spacing w:after="100"/>
      <w:ind w:left="240"/>
    </w:pPr>
  </w:style>
  <w:style w:type="character" w:styleId="Hyperlink">
    <w:name w:val="Hyperlink"/>
    <w:basedOn w:val="DefaultParagraphFont"/>
    <w:uiPriority w:val="99"/>
    <w:unhideWhenUsed/>
    <w:rsid w:val="00220092"/>
    <w:rPr>
      <w:color w:val="0563C1" w:themeColor="hyperlink"/>
      <w:u w:val="single"/>
    </w:rPr>
  </w:style>
  <w:style w:type="paragraph" w:styleId="Header">
    <w:name w:val="header"/>
    <w:basedOn w:val="Normal"/>
    <w:link w:val="HeaderChar"/>
    <w:uiPriority w:val="99"/>
    <w:unhideWhenUsed/>
    <w:rsid w:val="00AC3C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3C64"/>
    <w:rPr>
      <w:lang w:val="en-GB"/>
    </w:rPr>
  </w:style>
  <w:style w:type="paragraph" w:styleId="Footer">
    <w:name w:val="footer"/>
    <w:basedOn w:val="Normal"/>
    <w:link w:val="FooterChar"/>
    <w:uiPriority w:val="99"/>
    <w:unhideWhenUsed/>
    <w:rsid w:val="00AC3C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3C64"/>
    <w:rPr>
      <w:lang w:val="en-GB"/>
    </w:rPr>
  </w:style>
  <w:style w:type="paragraph" w:styleId="BodyText">
    <w:name w:val="Body Text"/>
    <w:basedOn w:val="Normal"/>
    <w:link w:val="BodyTextChar"/>
    <w:uiPriority w:val="1"/>
    <w:qFormat/>
    <w:rsid w:val="00973445"/>
    <w:pPr>
      <w:widowControl w:val="0"/>
      <w:autoSpaceDE w:val="0"/>
      <w:autoSpaceDN w:val="0"/>
      <w:spacing w:before="206" w:after="0" w:line="240" w:lineRule="auto"/>
      <w:jc w:val="left"/>
    </w:pPr>
    <w:rPr>
      <w:rFonts w:ascii="Calibri" w:eastAsia="Calibri" w:hAnsi="Calibri" w:cs="Calibri"/>
      <w:szCs w:val="24"/>
      <w:lang w:val="en-US"/>
    </w:rPr>
  </w:style>
  <w:style w:type="character" w:customStyle="1" w:styleId="BodyTextChar">
    <w:name w:val="Body Text Char"/>
    <w:basedOn w:val="DefaultParagraphFont"/>
    <w:link w:val="BodyText"/>
    <w:uiPriority w:val="1"/>
    <w:rsid w:val="00973445"/>
    <w:rPr>
      <w:rFonts w:ascii="Calibri" w:eastAsia="Calibri" w:hAnsi="Calibri" w:cs="Calibri"/>
      <w:szCs w:val="24"/>
    </w:rPr>
  </w:style>
  <w:style w:type="paragraph" w:styleId="Title">
    <w:name w:val="Title"/>
    <w:basedOn w:val="Normal"/>
    <w:link w:val="TitleChar"/>
    <w:uiPriority w:val="10"/>
    <w:qFormat/>
    <w:rsid w:val="00973445"/>
    <w:pPr>
      <w:widowControl w:val="0"/>
      <w:autoSpaceDE w:val="0"/>
      <w:autoSpaceDN w:val="0"/>
      <w:spacing w:before="82" w:after="0" w:line="240" w:lineRule="auto"/>
      <w:ind w:left="120"/>
      <w:jc w:val="left"/>
    </w:pPr>
    <w:rPr>
      <w:rFonts w:ascii="Calibri" w:eastAsia="Calibri" w:hAnsi="Calibri" w:cs="Calibri"/>
      <w:sz w:val="56"/>
      <w:szCs w:val="56"/>
      <w:lang w:val="en-US"/>
    </w:rPr>
  </w:style>
  <w:style w:type="character" w:customStyle="1" w:styleId="TitleChar">
    <w:name w:val="Title Char"/>
    <w:basedOn w:val="DefaultParagraphFont"/>
    <w:link w:val="Title"/>
    <w:uiPriority w:val="10"/>
    <w:rsid w:val="00973445"/>
    <w:rPr>
      <w:rFonts w:ascii="Calibri" w:eastAsia="Calibri" w:hAnsi="Calibri" w:cs="Calibri"/>
      <w:sz w:val="56"/>
      <w:szCs w:val="56"/>
    </w:rPr>
  </w:style>
  <w:style w:type="paragraph" w:customStyle="1" w:styleId="TableParagraph">
    <w:name w:val="Table Paragraph"/>
    <w:basedOn w:val="Normal"/>
    <w:uiPriority w:val="1"/>
    <w:qFormat/>
    <w:rsid w:val="00973445"/>
    <w:pPr>
      <w:widowControl w:val="0"/>
      <w:autoSpaceDE w:val="0"/>
      <w:autoSpaceDN w:val="0"/>
      <w:spacing w:before="2" w:after="0" w:line="240" w:lineRule="auto"/>
      <w:ind w:left="111"/>
      <w:jc w:val="left"/>
    </w:pPr>
    <w:rPr>
      <w:rFonts w:ascii="Arial" w:eastAsia="Arial" w:hAnsi="Arial" w:cs="Arial"/>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041160">
      <w:bodyDiv w:val="1"/>
      <w:marLeft w:val="0"/>
      <w:marRight w:val="0"/>
      <w:marTop w:val="0"/>
      <w:marBottom w:val="0"/>
      <w:divBdr>
        <w:top w:val="none" w:sz="0" w:space="0" w:color="auto"/>
        <w:left w:val="none" w:sz="0" w:space="0" w:color="auto"/>
        <w:bottom w:val="none" w:sz="0" w:space="0" w:color="auto"/>
        <w:right w:val="none" w:sz="0" w:space="0" w:color="auto"/>
      </w:divBdr>
    </w:div>
    <w:div w:id="110974527">
      <w:bodyDiv w:val="1"/>
      <w:marLeft w:val="0"/>
      <w:marRight w:val="0"/>
      <w:marTop w:val="0"/>
      <w:marBottom w:val="0"/>
      <w:divBdr>
        <w:top w:val="none" w:sz="0" w:space="0" w:color="auto"/>
        <w:left w:val="none" w:sz="0" w:space="0" w:color="auto"/>
        <w:bottom w:val="none" w:sz="0" w:space="0" w:color="auto"/>
        <w:right w:val="none" w:sz="0" w:space="0" w:color="auto"/>
      </w:divBdr>
    </w:div>
    <w:div w:id="140588107">
      <w:bodyDiv w:val="1"/>
      <w:marLeft w:val="0"/>
      <w:marRight w:val="0"/>
      <w:marTop w:val="0"/>
      <w:marBottom w:val="0"/>
      <w:divBdr>
        <w:top w:val="none" w:sz="0" w:space="0" w:color="auto"/>
        <w:left w:val="none" w:sz="0" w:space="0" w:color="auto"/>
        <w:bottom w:val="none" w:sz="0" w:space="0" w:color="auto"/>
        <w:right w:val="none" w:sz="0" w:space="0" w:color="auto"/>
      </w:divBdr>
    </w:div>
    <w:div w:id="236280674">
      <w:bodyDiv w:val="1"/>
      <w:marLeft w:val="0"/>
      <w:marRight w:val="0"/>
      <w:marTop w:val="0"/>
      <w:marBottom w:val="0"/>
      <w:divBdr>
        <w:top w:val="none" w:sz="0" w:space="0" w:color="auto"/>
        <w:left w:val="none" w:sz="0" w:space="0" w:color="auto"/>
        <w:bottom w:val="none" w:sz="0" w:space="0" w:color="auto"/>
        <w:right w:val="none" w:sz="0" w:space="0" w:color="auto"/>
      </w:divBdr>
    </w:div>
    <w:div w:id="421679393">
      <w:bodyDiv w:val="1"/>
      <w:marLeft w:val="0"/>
      <w:marRight w:val="0"/>
      <w:marTop w:val="0"/>
      <w:marBottom w:val="0"/>
      <w:divBdr>
        <w:top w:val="none" w:sz="0" w:space="0" w:color="auto"/>
        <w:left w:val="none" w:sz="0" w:space="0" w:color="auto"/>
        <w:bottom w:val="none" w:sz="0" w:space="0" w:color="auto"/>
        <w:right w:val="none" w:sz="0" w:space="0" w:color="auto"/>
      </w:divBdr>
    </w:div>
    <w:div w:id="515195560">
      <w:bodyDiv w:val="1"/>
      <w:marLeft w:val="0"/>
      <w:marRight w:val="0"/>
      <w:marTop w:val="0"/>
      <w:marBottom w:val="0"/>
      <w:divBdr>
        <w:top w:val="none" w:sz="0" w:space="0" w:color="auto"/>
        <w:left w:val="none" w:sz="0" w:space="0" w:color="auto"/>
        <w:bottom w:val="none" w:sz="0" w:space="0" w:color="auto"/>
        <w:right w:val="none" w:sz="0" w:space="0" w:color="auto"/>
      </w:divBdr>
    </w:div>
    <w:div w:id="649402378">
      <w:bodyDiv w:val="1"/>
      <w:marLeft w:val="0"/>
      <w:marRight w:val="0"/>
      <w:marTop w:val="0"/>
      <w:marBottom w:val="0"/>
      <w:divBdr>
        <w:top w:val="none" w:sz="0" w:space="0" w:color="auto"/>
        <w:left w:val="none" w:sz="0" w:space="0" w:color="auto"/>
        <w:bottom w:val="none" w:sz="0" w:space="0" w:color="auto"/>
        <w:right w:val="none" w:sz="0" w:space="0" w:color="auto"/>
      </w:divBdr>
    </w:div>
    <w:div w:id="652100764">
      <w:bodyDiv w:val="1"/>
      <w:marLeft w:val="0"/>
      <w:marRight w:val="0"/>
      <w:marTop w:val="0"/>
      <w:marBottom w:val="0"/>
      <w:divBdr>
        <w:top w:val="none" w:sz="0" w:space="0" w:color="auto"/>
        <w:left w:val="none" w:sz="0" w:space="0" w:color="auto"/>
        <w:bottom w:val="none" w:sz="0" w:space="0" w:color="auto"/>
        <w:right w:val="none" w:sz="0" w:space="0" w:color="auto"/>
      </w:divBdr>
      <w:divsChild>
        <w:div w:id="847595075">
          <w:marLeft w:val="0"/>
          <w:marRight w:val="0"/>
          <w:marTop w:val="0"/>
          <w:marBottom w:val="0"/>
          <w:divBdr>
            <w:top w:val="none" w:sz="0" w:space="0" w:color="auto"/>
            <w:left w:val="none" w:sz="0" w:space="0" w:color="auto"/>
            <w:bottom w:val="none" w:sz="0" w:space="0" w:color="auto"/>
            <w:right w:val="none" w:sz="0" w:space="0" w:color="auto"/>
          </w:divBdr>
        </w:div>
      </w:divsChild>
    </w:div>
    <w:div w:id="685255747">
      <w:bodyDiv w:val="1"/>
      <w:marLeft w:val="0"/>
      <w:marRight w:val="0"/>
      <w:marTop w:val="0"/>
      <w:marBottom w:val="0"/>
      <w:divBdr>
        <w:top w:val="none" w:sz="0" w:space="0" w:color="auto"/>
        <w:left w:val="none" w:sz="0" w:space="0" w:color="auto"/>
        <w:bottom w:val="none" w:sz="0" w:space="0" w:color="auto"/>
        <w:right w:val="none" w:sz="0" w:space="0" w:color="auto"/>
      </w:divBdr>
    </w:div>
    <w:div w:id="760758282">
      <w:bodyDiv w:val="1"/>
      <w:marLeft w:val="0"/>
      <w:marRight w:val="0"/>
      <w:marTop w:val="0"/>
      <w:marBottom w:val="0"/>
      <w:divBdr>
        <w:top w:val="none" w:sz="0" w:space="0" w:color="auto"/>
        <w:left w:val="none" w:sz="0" w:space="0" w:color="auto"/>
        <w:bottom w:val="none" w:sz="0" w:space="0" w:color="auto"/>
        <w:right w:val="none" w:sz="0" w:space="0" w:color="auto"/>
      </w:divBdr>
    </w:div>
    <w:div w:id="901913168">
      <w:bodyDiv w:val="1"/>
      <w:marLeft w:val="0"/>
      <w:marRight w:val="0"/>
      <w:marTop w:val="0"/>
      <w:marBottom w:val="0"/>
      <w:divBdr>
        <w:top w:val="none" w:sz="0" w:space="0" w:color="auto"/>
        <w:left w:val="none" w:sz="0" w:space="0" w:color="auto"/>
        <w:bottom w:val="none" w:sz="0" w:space="0" w:color="auto"/>
        <w:right w:val="none" w:sz="0" w:space="0" w:color="auto"/>
      </w:divBdr>
    </w:div>
    <w:div w:id="1086460195">
      <w:bodyDiv w:val="1"/>
      <w:marLeft w:val="0"/>
      <w:marRight w:val="0"/>
      <w:marTop w:val="0"/>
      <w:marBottom w:val="0"/>
      <w:divBdr>
        <w:top w:val="none" w:sz="0" w:space="0" w:color="auto"/>
        <w:left w:val="none" w:sz="0" w:space="0" w:color="auto"/>
        <w:bottom w:val="none" w:sz="0" w:space="0" w:color="auto"/>
        <w:right w:val="none" w:sz="0" w:space="0" w:color="auto"/>
      </w:divBdr>
    </w:div>
    <w:div w:id="1122531691">
      <w:bodyDiv w:val="1"/>
      <w:marLeft w:val="0"/>
      <w:marRight w:val="0"/>
      <w:marTop w:val="0"/>
      <w:marBottom w:val="0"/>
      <w:divBdr>
        <w:top w:val="none" w:sz="0" w:space="0" w:color="auto"/>
        <w:left w:val="none" w:sz="0" w:space="0" w:color="auto"/>
        <w:bottom w:val="none" w:sz="0" w:space="0" w:color="auto"/>
        <w:right w:val="none" w:sz="0" w:space="0" w:color="auto"/>
      </w:divBdr>
    </w:div>
    <w:div w:id="1294872135">
      <w:bodyDiv w:val="1"/>
      <w:marLeft w:val="0"/>
      <w:marRight w:val="0"/>
      <w:marTop w:val="0"/>
      <w:marBottom w:val="0"/>
      <w:divBdr>
        <w:top w:val="none" w:sz="0" w:space="0" w:color="auto"/>
        <w:left w:val="none" w:sz="0" w:space="0" w:color="auto"/>
        <w:bottom w:val="none" w:sz="0" w:space="0" w:color="auto"/>
        <w:right w:val="none" w:sz="0" w:space="0" w:color="auto"/>
      </w:divBdr>
    </w:div>
    <w:div w:id="1304432325">
      <w:bodyDiv w:val="1"/>
      <w:marLeft w:val="0"/>
      <w:marRight w:val="0"/>
      <w:marTop w:val="0"/>
      <w:marBottom w:val="0"/>
      <w:divBdr>
        <w:top w:val="none" w:sz="0" w:space="0" w:color="auto"/>
        <w:left w:val="none" w:sz="0" w:space="0" w:color="auto"/>
        <w:bottom w:val="none" w:sz="0" w:space="0" w:color="auto"/>
        <w:right w:val="none" w:sz="0" w:space="0" w:color="auto"/>
      </w:divBdr>
    </w:div>
    <w:div w:id="1377925223">
      <w:bodyDiv w:val="1"/>
      <w:marLeft w:val="0"/>
      <w:marRight w:val="0"/>
      <w:marTop w:val="0"/>
      <w:marBottom w:val="0"/>
      <w:divBdr>
        <w:top w:val="none" w:sz="0" w:space="0" w:color="auto"/>
        <w:left w:val="none" w:sz="0" w:space="0" w:color="auto"/>
        <w:bottom w:val="none" w:sz="0" w:space="0" w:color="auto"/>
        <w:right w:val="none" w:sz="0" w:space="0" w:color="auto"/>
      </w:divBdr>
    </w:div>
    <w:div w:id="1480419711">
      <w:bodyDiv w:val="1"/>
      <w:marLeft w:val="0"/>
      <w:marRight w:val="0"/>
      <w:marTop w:val="0"/>
      <w:marBottom w:val="0"/>
      <w:divBdr>
        <w:top w:val="none" w:sz="0" w:space="0" w:color="auto"/>
        <w:left w:val="none" w:sz="0" w:space="0" w:color="auto"/>
        <w:bottom w:val="none" w:sz="0" w:space="0" w:color="auto"/>
        <w:right w:val="none" w:sz="0" w:space="0" w:color="auto"/>
      </w:divBdr>
    </w:div>
    <w:div w:id="1538085024">
      <w:bodyDiv w:val="1"/>
      <w:marLeft w:val="0"/>
      <w:marRight w:val="0"/>
      <w:marTop w:val="0"/>
      <w:marBottom w:val="0"/>
      <w:divBdr>
        <w:top w:val="none" w:sz="0" w:space="0" w:color="auto"/>
        <w:left w:val="none" w:sz="0" w:space="0" w:color="auto"/>
        <w:bottom w:val="none" w:sz="0" w:space="0" w:color="auto"/>
        <w:right w:val="none" w:sz="0" w:space="0" w:color="auto"/>
      </w:divBdr>
    </w:div>
    <w:div w:id="1593473202">
      <w:bodyDiv w:val="1"/>
      <w:marLeft w:val="0"/>
      <w:marRight w:val="0"/>
      <w:marTop w:val="0"/>
      <w:marBottom w:val="0"/>
      <w:divBdr>
        <w:top w:val="none" w:sz="0" w:space="0" w:color="auto"/>
        <w:left w:val="none" w:sz="0" w:space="0" w:color="auto"/>
        <w:bottom w:val="none" w:sz="0" w:space="0" w:color="auto"/>
        <w:right w:val="none" w:sz="0" w:space="0" w:color="auto"/>
      </w:divBdr>
    </w:div>
    <w:div w:id="1655335125">
      <w:bodyDiv w:val="1"/>
      <w:marLeft w:val="0"/>
      <w:marRight w:val="0"/>
      <w:marTop w:val="0"/>
      <w:marBottom w:val="0"/>
      <w:divBdr>
        <w:top w:val="none" w:sz="0" w:space="0" w:color="auto"/>
        <w:left w:val="none" w:sz="0" w:space="0" w:color="auto"/>
        <w:bottom w:val="none" w:sz="0" w:space="0" w:color="auto"/>
        <w:right w:val="none" w:sz="0" w:space="0" w:color="auto"/>
      </w:divBdr>
    </w:div>
    <w:div w:id="1701128891">
      <w:bodyDiv w:val="1"/>
      <w:marLeft w:val="0"/>
      <w:marRight w:val="0"/>
      <w:marTop w:val="0"/>
      <w:marBottom w:val="0"/>
      <w:divBdr>
        <w:top w:val="none" w:sz="0" w:space="0" w:color="auto"/>
        <w:left w:val="none" w:sz="0" w:space="0" w:color="auto"/>
        <w:bottom w:val="none" w:sz="0" w:space="0" w:color="auto"/>
        <w:right w:val="none" w:sz="0" w:space="0" w:color="auto"/>
      </w:divBdr>
    </w:div>
    <w:div w:id="1728723970">
      <w:bodyDiv w:val="1"/>
      <w:marLeft w:val="0"/>
      <w:marRight w:val="0"/>
      <w:marTop w:val="0"/>
      <w:marBottom w:val="0"/>
      <w:divBdr>
        <w:top w:val="none" w:sz="0" w:space="0" w:color="auto"/>
        <w:left w:val="none" w:sz="0" w:space="0" w:color="auto"/>
        <w:bottom w:val="none" w:sz="0" w:space="0" w:color="auto"/>
        <w:right w:val="none" w:sz="0" w:space="0" w:color="auto"/>
      </w:divBdr>
      <w:divsChild>
        <w:div w:id="2001955366">
          <w:marLeft w:val="0"/>
          <w:marRight w:val="0"/>
          <w:marTop w:val="0"/>
          <w:marBottom w:val="0"/>
          <w:divBdr>
            <w:top w:val="none" w:sz="0" w:space="0" w:color="auto"/>
            <w:left w:val="none" w:sz="0" w:space="0" w:color="auto"/>
            <w:bottom w:val="none" w:sz="0" w:space="0" w:color="auto"/>
            <w:right w:val="none" w:sz="0" w:space="0" w:color="auto"/>
          </w:divBdr>
        </w:div>
      </w:divsChild>
    </w:div>
    <w:div w:id="1747537015">
      <w:bodyDiv w:val="1"/>
      <w:marLeft w:val="0"/>
      <w:marRight w:val="0"/>
      <w:marTop w:val="0"/>
      <w:marBottom w:val="0"/>
      <w:divBdr>
        <w:top w:val="none" w:sz="0" w:space="0" w:color="auto"/>
        <w:left w:val="none" w:sz="0" w:space="0" w:color="auto"/>
        <w:bottom w:val="none" w:sz="0" w:space="0" w:color="auto"/>
        <w:right w:val="none" w:sz="0" w:space="0" w:color="auto"/>
      </w:divBdr>
    </w:div>
    <w:div w:id="1985768686">
      <w:bodyDiv w:val="1"/>
      <w:marLeft w:val="0"/>
      <w:marRight w:val="0"/>
      <w:marTop w:val="0"/>
      <w:marBottom w:val="0"/>
      <w:divBdr>
        <w:top w:val="none" w:sz="0" w:space="0" w:color="auto"/>
        <w:left w:val="none" w:sz="0" w:space="0" w:color="auto"/>
        <w:bottom w:val="none" w:sz="0" w:space="0" w:color="auto"/>
        <w:right w:val="none" w:sz="0" w:space="0" w:color="auto"/>
      </w:divBdr>
    </w:div>
    <w:div w:id="2143113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EE214-85A2-4AF8-AD95-45A515FC4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3572</Words>
  <Characters>22831</Characters>
  <Application>Microsoft Office Word</Application>
  <DocSecurity>0</DocSecurity>
  <Lines>485</Lines>
  <Paragraphs>227</Paragraphs>
  <ScaleCrop>false</ScaleCrop>
  <Company/>
  <LinksUpToDate>false</LinksUpToDate>
  <CharactersWithSpaces>26176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ioan roman</cp:lastModifiedBy>
  <cp:revision>15</cp:revision>
  <dcterms:created xsi:type="dcterms:W3CDTF">2024-11-05T17:31:00Z</dcterms:created>
  <dcterms:modified xsi:type="dcterms:W3CDTF">2024-11-08T12:44:00Z</dcterms:modified>
</cp:coreProperties>
</file>