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B1489" w14:textId="77777777" w:rsidR="002B4472" w:rsidRDefault="002B4472" w:rsidP="00416FB6">
      <w:pPr>
        <w:jc w:val="center"/>
        <w:rPr>
          <w:lang w:val="en-US"/>
        </w:rPr>
      </w:pPr>
      <w:r>
        <w:rPr>
          <w:noProof/>
        </w:rPr>
        <w:drawing>
          <wp:inline distT="0" distB="0" distL="0" distR="0" wp14:anchorId="402BC187" wp14:editId="69AC41C4">
            <wp:extent cx="2619375" cy="1165860"/>
            <wp:effectExtent l="0" t="0" r="9525"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1165860"/>
                    </a:xfrm>
                    <a:prstGeom prst="rect">
                      <a:avLst/>
                    </a:prstGeom>
                    <a:noFill/>
                  </pic:spPr>
                </pic:pic>
              </a:graphicData>
            </a:graphic>
          </wp:inline>
        </w:drawing>
      </w:r>
    </w:p>
    <w:p w14:paraId="486FA36F" w14:textId="77777777" w:rsidR="002B4472" w:rsidRDefault="002B4472" w:rsidP="00416FB6">
      <w:pPr>
        <w:jc w:val="center"/>
        <w:rPr>
          <w:lang w:val="en-US"/>
        </w:rPr>
      </w:pPr>
    </w:p>
    <w:p w14:paraId="055A53A7" w14:textId="77777777" w:rsidR="002B4472" w:rsidRDefault="002B4472" w:rsidP="00416FB6">
      <w:pPr>
        <w:spacing w:before="30" w:after="30"/>
        <w:jc w:val="center"/>
        <w:rPr>
          <w:rFonts w:cs="Arial"/>
          <w:szCs w:val="22"/>
          <w:lang w:val="en-US"/>
        </w:rPr>
      </w:pPr>
      <w:r w:rsidRPr="006873CB">
        <w:rPr>
          <w:rFonts w:cs="Arial"/>
          <w:szCs w:val="22"/>
          <w:lang w:val="en-US"/>
        </w:rPr>
        <w:t>Name: Katrina Khakh</w:t>
      </w:r>
      <w:r w:rsidRPr="006873CB">
        <w:rPr>
          <w:rFonts w:cs="Arial"/>
          <w:szCs w:val="22"/>
          <w:lang w:val="en-US"/>
        </w:rPr>
        <w:br/>
        <w:t>Student ID: 2417736</w:t>
      </w:r>
      <w:r w:rsidRPr="006873CB">
        <w:rPr>
          <w:rFonts w:cs="Arial"/>
          <w:szCs w:val="22"/>
          <w:lang w:val="en-US"/>
        </w:rPr>
        <w:br/>
        <w:t xml:space="preserve">Module: </w:t>
      </w:r>
      <w:r>
        <w:rPr>
          <w:rFonts w:cs="Arial"/>
          <w:szCs w:val="22"/>
          <w:lang w:val="en-US"/>
        </w:rPr>
        <w:t>Introduction to Health and Social Care</w:t>
      </w:r>
      <w:r w:rsidRPr="006873CB">
        <w:rPr>
          <w:rFonts w:cs="Arial"/>
          <w:szCs w:val="22"/>
          <w:lang w:val="en-US"/>
        </w:rPr>
        <w:br/>
        <w:t xml:space="preserve">Module Code: </w:t>
      </w:r>
      <w:r w:rsidRPr="006873CB">
        <w:rPr>
          <w:rFonts w:cs="Arial"/>
          <w:szCs w:val="22"/>
        </w:rPr>
        <w:t>LCHS400</w:t>
      </w:r>
      <w:r>
        <w:rPr>
          <w:rFonts w:cs="Arial"/>
          <w:szCs w:val="22"/>
        </w:rPr>
        <w:t>3</w:t>
      </w:r>
      <w:r w:rsidRPr="006873CB">
        <w:rPr>
          <w:rFonts w:cs="Arial"/>
          <w:szCs w:val="22"/>
          <w:lang w:val="en-US"/>
        </w:rPr>
        <w:br/>
        <w:t xml:space="preserve">Lecturer: </w:t>
      </w:r>
      <w:r>
        <w:rPr>
          <w:rFonts w:cs="Arial"/>
          <w:szCs w:val="22"/>
          <w:lang w:val="en-US"/>
        </w:rPr>
        <w:t>Farah Islam</w:t>
      </w:r>
    </w:p>
    <w:p w14:paraId="63D4003F" w14:textId="77777777" w:rsidR="002B4472" w:rsidRDefault="002B4472" w:rsidP="00416FB6">
      <w:pPr>
        <w:spacing w:before="30" w:after="30"/>
        <w:jc w:val="center"/>
        <w:rPr>
          <w:rFonts w:cs="Arial"/>
          <w:szCs w:val="22"/>
          <w:lang w:val="en-US"/>
        </w:rPr>
      </w:pPr>
    </w:p>
    <w:p w14:paraId="299CF19E" w14:textId="77777777" w:rsidR="002B4472" w:rsidRDefault="002B4472" w:rsidP="00416FB6">
      <w:pPr>
        <w:spacing w:before="30" w:after="30"/>
        <w:jc w:val="center"/>
        <w:rPr>
          <w:rFonts w:cs="Arial"/>
          <w:szCs w:val="22"/>
          <w:lang w:val="en-US"/>
        </w:rPr>
      </w:pPr>
    </w:p>
    <w:p w14:paraId="3CE175F4" w14:textId="77777777" w:rsidR="002B4472" w:rsidRDefault="002B4472" w:rsidP="00416FB6">
      <w:pPr>
        <w:spacing w:before="30" w:after="30"/>
        <w:jc w:val="center"/>
        <w:rPr>
          <w:rFonts w:cs="Arial"/>
          <w:szCs w:val="22"/>
          <w:lang w:val="en-US"/>
        </w:rPr>
      </w:pPr>
    </w:p>
    <w:p w14:paraId="5BDBAEE0" w14:textId="77777777" w:rsidR="002B4472" w:rsidRDefault="002B4472" w:rsidP="00416FB6">
      <w:pPr>
        <w:spacing w:before="30" w:after="30"/>
        <w:jc w:val="center"/>
        <w:rPr>
          <w:rFonts w:cs="Arial"/>
          <w:szCs w:val="22"/>
          <w:lang w:val="en-US"/>
        </w:rPr>
      </w:pPr>
    </w:p>
    <w:p w14:paraId="7F1354AB" w14:textId="77777777" w:rsidR="002B4472" w:rsidRDefault="002B4472" w:rsidP="00416FB6">
      <w:pPr>
        <w:spacing w:before="30" w:after="30"/>
        <w:jc w:val="center"/>
        <w:rPr>
          <w:rFonts w:cs="Arial"/>
          <w:szCs w:val="22"/>
          <w:lang w:val="en-US"/>
        </w:rPr>
      </w:pPr>
    </w:p>
    <w:p w14:paraId="690CED2D" w14:textId="77777777" w:rsidR="002B4472" w:rsidRDefault="002B4472" w:rsidP="00416FB6">
      <w:pPr>
        <w:spacing w:before="30" w:after="30"/>
        <w:jc w:val="center"/>
        <w:rPr>
          <w:rFonts w:cs="Arial"/>
          <w:szCs w:val="22"/>
          <w:lang w:val="en-US"/>
        </w:rPr>
      </w:pPr>
    </w:p>
    <w:p w14:paraId="35C9CE9D" w14:textId="77777777" w:rsidR="002B4472" w:rsidRDefault="002B4472" w:rsidP="00416FB6">
      <w:pPr>
        <w:spacing w:before="30" w:after="30"/>
        <w:jc w:val="center"/>
        <w:rPr>
          <w:rFonts w:cs="Arial"/>
          <w:szCs w:val="22"/>
          <w:lang w:val="en-US"/>
        </w:rPr>
      </w:pPr>
    </w:p>
    <w:p w14:paraId="4922560E" w14:textId="77777777" w:rsidR="002B4472" w:rsidRDefault="002B4472" w:rsidP="00416FB6">
      <w:pPr>
        <w:spacing w:before="30" w:after="30"/>
        <w:jc w:val="center"/>
        <w:rPr>
          <w:rFonts w:cs="Arial"/>
          <w:szCs w:val="22"/>
          <w:lang w:val="en-US"/>
        </w:rPr>
      </w:pPr>
    </w:p>
    <w:p w14:paraId="162BEF37" w14:textId="77777777" w:rsidR="002B4472" w:rsidRDefault="002B4472" w:rsidP="00416FB6">
      <w:pPr>
        <w:spacing w:before="30" w:after="30"/>
        <w:jc w:val="center"/>
        <w:rPr>
          <w:rFonts w:cs="Arial"/>
          <w:szCs w:val="22"/>
          <w:lang w:val="en-US"/>
        </w:rPr>
      </w:pPr>
    </w:p>
    <w:p w14:paraId="3577796E" w14:textId="77777777" w:rsidR="002B4472" w:rsidRDefault="002B4472" w:rsidP="00416FB6">
      <w:pPr>
        <w:spacing w:before="30" w:after="30"/>
        <w:jc w:val="center"/>
        <w:rPr>
          <w:rFonts w:cs="Arial"/>
          <w:szCs w:val="22"/>
          <w:lang w:val="en-US"/>
        </w:rPr>
      </w:pPr>
    </w:p>
    <w:p w14:paraId="41C0383F" w14:textId="77777777" w:rsidR="002B4472" w:rsidRDefault="002B4472" w:rsidP="00416FB6">
      <w:pPr>
        <w:spacing w:before="30" w:after="30"/>
        <w:jc w:val="center"/>
        <w:rPr>
          <w:rFonts w:cs="Arial"/>
          <w:szCs w:val="22"/>
          <w:lang w:val="en-US"/>
        </w:rPr>
      </w:pPr>
    </w:p>
    <w:p w14:paraId="10510477" w14:textId="77777777" w:rsidR="002B4472" w:rsidRDefault="002B4472" w:rsidP="00416FB6">
      <w:pPr>
        <w:spacing w:before="30" w:after="30"/>
        <w:jc w:val="center"/>
        <w:rPr>
          <w:rFonts w:cs="Arial"/>
          <w:szCs w:val="22"/>
          <w:lang w:val="en-US"/>
        </w:rPr>
      </w:pPr>
    </w:p>
    <w:p w14:paraId="18A0A1B2" w14:textId="77777777" w:rsidR="002B4472" w:rsidRDefault="002B4472" w:rsidP="00416FB6">
      <w:pPr>
        <w:spacing w:before="30" w:after="30"/>
        <w:jc w:val="center"/>
        <w:rPr>
          <w:rFonts w:cs="Arial"/>
          <w:szCs w:val="22"/>
          <w:lang w:val="en-US"/>
        </w:rPr>
      </w:pPr>
    </w:p>
    <w:p w14:paraId="5FAC3C71" w14:textId="77777777" w:rsidR="002B4472" w:rsidRDefault="002B4472" w:rsidP="00416FB6">
      <w:pPr>
        <w:spacing w:before="30" w:after="30"/>
        <w:jc w:val="center"/>
        <w:rPr>
          <w:rFonts w:cs="Arial"/>
          <w:szCs w:val="22"/>
          <w:lang w:val="en-US"/>
        </w:rPr>
      </w:pPr>
    </w:p>
    <w:p w14:paraId="6F0634A8" w14:textId="77777777" w:rsidR="002B4472" w:rsidRDefault="002B4472" w:rsidP="00416FB6">
      <w:pPr>
        <w:spacing w:before="30" w:after="30"/>
        <w:jc w:val="center"/>
        <w:rPr>
          <w:rFonts w:cs="Arial"/>
          <w:szCs w:val="22"/>
          <w:lang w:val="en-US"/>
        </w:rPr>
      </w:pPr>
    </w:p>
    <w:p w14:paraId="2C7258BD" w14:textId="77777777" w:rsidR="002B4472" w:rsidRDefault="002B4472" w:rsidP="00416FB6">
      <w:pPr>
        <w:spacing w:before="30" w:after="30"/>
        <w:jc w:val="center"/>
        <w:rPr>
          <w:rFonts w:cs="Arial"/>
          <w:szCs w:val="22"/>
          <w:lang w:val="en-US"/>
        </w:rPr>
      </w:pPr>
    </w:p>
    <w:p w14:paraId="0BFD8F77" w14:textId="77777777" w:rsidR="002B4472" w:rsidRDefault="002B4472" w:rsidP="00416FB6">
      <w:pPr>
        <w:spacing w:before="30" w:after="30"/>
        <w:jc w:val="center"/>
        <w:rPr>
          <w:rFonts w:cs="Arial"/>
          <w:szCs w:val="22"/>
          <w:lang w:val="en-US"/>
        </w:rPr>
      </w:pPr>
    </w:p>
    <w:p w14:paraId="491AD751" w14:textId="77777777" w:rsidR="002B4472" w:rsidRDefault="002B4472" w:rsidP="00416FB6">
      <w:pPr>
        <w:spacing w:before="30" w:after="30"/>
        <w:jc w:val="center"/>
        <w:rPr>
          <w:rFonts w:cs="Arial"/>
          <w:szCs w:val="22"/>
          <w:lang w:val="en-US"/>
        </w:rPr>
      </w:pPr>
    </w:p>
    <w:p w14:paraId="48899A3F" w14:textId="77777777" w:rsidR="002B4472" w:rsidRDefault="002B4472" w:rsidP="00416FB6">
      <w:pPr>
        <w:spacing w:before="30" w:after="30"/>
        <w:jc w:val="center"/>
        <w:rPr>
          <w:rFonts w:cs="Arial"/>
          <w:szCs w:val="22"/>
          <w:lang w:val="en-US"/>
        </w:rPr>
      </w:pPr>
    </w:p>
    <w:p w14:paraId="314A2522" w14:textId="77777777" w:rsidR="002B4472" w:rsidRDefault="002B4472" w:rsidP="00416FB6">
      <w:pPr>
        <w:spacing w:before="30" w:after="30"/>
        <w:jc w:val="center"/>
        <w:rPr>
          <w:rFonts w:cs="Arial"/>
          <w:szCs w:val="22"/>
          <w:lang w:val="en-US"/>
        </w:rPr>
      </w:pPr>
    </w:p>
    <w:p w14:paraId="23699EDE" w14:textId="77777777" w:rsidR="002B4472" w:rsidRDefault="002B4472" w:rsidP="00416FB6">
      <w:pPr>
        <w:spacing w:before="30" w:after="30"/>
        <w:jc w:val="center"/>
        <w:rPr>
          <w:rFonts w:cs="Arial"/>
          <w:szCs w:val="22"/>
          <w:lang w:val="en-US"/>
        </w:rPr>
      </w:pPr>
    </w:p>
    <w:p w14:paraId="40FC6786" w14:textId="77777777" w:rsidR="002B4472" w:rsidRDefault="002B4472" w:rsidP="00416FB6">
      <w:pPr>
        <w:spacing w:before="30" w:after="30"/>
        <w:rPr>
          <w:rFonts w:cs="Arial"/>
          <w:szCs w:val="22"/>
          <w:lang w:val="en-US"/>
        </w:rPr>
      </w:pPr>
    </w:p>
    <w:p w14:paraId="6B1C3CC8" w14:textId="7A769043" w:rsidR="00416FB6" w:rsidRDefault="002B4472" w:rsidP="00416FB6">
      <w:pPr>
        <w:spacing w:before="30" w:after="30"/>
        <w:rPr>
          <w:rFonts w:cs="Arial"/>
          <w:szCs w:val="22"/>
          <w:lang w:val="en-US"/>
        </w:rPr>
      </w:pPr>
      <w:r>
        <w:rPr>
          <w:rFonts w:cs="Arial"/>
          <w:szCs w:val="22"/>
          <w:lang w:val="en-US"/>
        </w:rPr>
        <w:lastRenderedPageBreak/>
        <w:t>This report will discuss the case study of Mrs</w:t>
      </w:r>
      <w:r w:rsidR="001033CE">
        <w:rPr>
          <w:rFonts w:cs="Arial"/>
          <w:szCs w:val="22"/>
          <w:lang w:val="en-US"/>
        </w:rPr>
        <w:t xml:space="preserve"> </w:t>
      </w:r>
      <w:r>
        <w:rPr>
          <w:rFonts w:cs="Arial"/>
          <w:szCs w:val="22"/>
          <w:lang w:val="en-US"/>
        </w:rPr>
        <w:t xml:space="preserve">Thompson, an 84-year-old woman who has recently been discharged from hospital after being treated for pneumonia. Mrs Thompson lives alone in sheltered accommodation and receives domiciliary care twice a day. She also has mild dementia, which has led to her forgetting to take her medication and becoming confused. Recent incidents have raised concerns </w:t>
      </w:r>
      <w:r w:rsidR="001033CE">
        <w:rPr>
          <w:rFonts w:cs="Arial"/>
          <w:szCs w:val="22"/>
          <w:lang w:val="en-US"/>
        </w:rPr>
        <w:t>about</w:t>
      </w:r>
      <w:r>
        <w:rPr>
          <w:rFonts w:cs="Arial"/>
          <w:szCs w:val="22"/>
          <w:lang w:val="en-US"/>
        </w:rPr>
        <w:t xml:space="preserve"> her health, safety and well-being. This report will explain why effective communication is essential when caring for Mrs Thompson and how the Equality Act 2010 and a communication model can help professionals communicate with her and her family. It will also justify the importance </w:t>
      </w:r>
      <w:r w:rsidR="00416FB6">
        <w:rPr>
          <w:rFonts w:cs="Arial"/>
          <w:szCs w:val="22"/>
          <w:lang w:val="en-US"/>
        </w:rPr>
        <w:t>of</w:t>
      </w:r>
      <w:r>
        <w:rPr>
          <w:rFonts w:cs="Arial"/>
          <w:szCs w:val="22"/>
          <w:lang w:val="en-US"/>
        </w:rPr>
        <w:t xml:space="preserve"> </w:t>
      </w:r>
      <w:r w:rsidR="001033CE">
        <w:rPr>
          <w:rFonts w:cs="Arial"/>
          <w:szCs w:val="22"/>
          <w:lang w:val="en-US"/>
        </w:rPr>
        <w:t>good record-keeping and administration while following the Data Protection Act 2018. Finally, this report will explain why working together with other health and social care professionals is important to provide safe, person-centered care and achieve the best outcomes for Mrs Thompson.</w:t>
      </w:r>
    </w:p>
    <w:p w14:paraId="7BD6AA16" w14:textId="77777777" w:rsidR="00416FB6" w:rsidRDefault="00416FB6" w:rsidP="00416FB6">
      <w:pPr>
        <w:spacing w:before="30" w:after="30"/>
        <w:rPr>
          <w:rFonts w:cs="Arial"/>
          <w:szCs w:val="22"/>
          <w:lang w:val="en-US"/>
        </w:rPr>
      </w:pPr>
    </w:p>
    <w:p w14:paraId="0C342A29" w14:textId="63376059" w:rsidR="00416FB6" w:rsidRDefault="00416FB6" w:rsidP="00416FB6">
      <w:pPr>
        <w:spacing w:before="30" w:after="30"/>
        <w:rPr>
          <w:rFonts w:cs="Arial"/>
          <w:szCs w:val="22"/>
          <w:lang w:val="en-US"/>
        </w:rPr>
      </w:pPr>
      <w:r>
        <w:rPr>
          <w:rFonts w:cs="Arial"/>
          <w:szCs w:val="22"/>
          <w:lang w:val="en-US"/>
        </w:rPr>
        <w:t>Importance of effective communication:</w:t>
      </w:r>
    </w:p>
    <w:p w14:paraId="5BFDCA66" w14:textId="10FA9E1F" w:rsidR="008F1698" w:rsidRDefault="00E61321" w:rsidP="00416FB6">
      <w:pPr>
        <w:spacing w:before="30" w:after="30"/>
        <w:rPr>
          <w:rFonts w:cs="Arial"/>
          <w:szCs w:val="22"/>
          <w:lang w:val="en-US"/>
        </w:rPr>
      </w:pPr>
      <w:r>
        <w:rPr>
          <w:rFonts w:cs="Arial"/>
          <w:szCs w:val="22"/>
          <w:lang w:val="en-US"/>
        </w:rPr>
        <w:t xml:space="preserve">Communicating effectively is a key principle within health and social care practices and is critical for delivering safe, </w:t>
      </w:r>
      <w:r w:rsidR="008F1698">
        <w:rPr>
          <w:rFonts w:cs="Arial"/>
          <w:szCs w:val="22"/>
          <w:lang w:val="en-US"/>
        </w:rPr>
        <w:t xml:space="preserve">effective and personalized care. </w:t>
      </w:r>
      <w:r w:rsidR="008F1698">
        <w:rPr>
          <w:rFonts w:cs="Arial"/>
          <w:szCs w:val="22"/>
          <w:lang w:val="en-US"/>
        </w:rPr>
        <w:tab/>
        <w:t>It allows professionals to construct trusting relationships, understand the needs of individuals, communicate information precisely and engage service users in decisions regarding their own care</w:t>
      </w:r>
      <w:r w:rsidR="000438BF">
        <w:rPr>
          <w:rFonts w:cs="Arial"/>
          <w:szCs w:val="22"/>
          <w:lang w:val="en-US"/>
        </w:rPr>
        <w:t xml:space="preserve"> </w:t>
      </w:r>
      <w:r w:rsidR="000438BF" w:rsidRPr="000438BF">
        <w:rPr>
          <w:rFonts w:cs="Arial"/>
          <w:szCs w:val="22"/>
        </w:rPr>
        <w:t>(Health and Casper, 2025)</w:t>
      </w:r>
      <w:r w:rsidR="008F1698">
        <w:rPr>
          <w:rFonts w:cs="Arial"/>
          <w:szCs w:val="22"/>
          <w:lang w:val="en-US"/>
        </w:rPr>
        <w:t xml:space="preserve">. In the circumstances of Mrs Thompson, effective communication is important as she has already left the hospital after suffering from pneumonia and is experiencing mild dementia, which affects her memory and information processing capacities. The case study indicates that Mrs Thompson has forgotten her prescribed medication and was recently discovered outdoors in inappropriate attire. These experiences highlight how inadequate communication, or interaction that fails to address her specific </w:t>
      </w:r>
      <w:r w:rsidR="000438BF">
        <w:rPr>
          <w:rFonts w:cs="Arial"/>
          <w:szCs w:val="22"/>
          <w:lang w:val="en-US"/>
        </w:rPr>
        <w:t>needs</w:t>
      </w:r>
      <w:r w:rsidR="008F1698">
        <w:rPr>
          <w:rFonts w:cs="Arial"/>
          <w:szCs w:val="22"/>
          <w:lang w:val="en-US"/>
        </w:rPr>
        <w:t xml:space="preserve"> may increase her risk of harm and adversely influence her overall health and well-being</w:t>
      </w:r>
      <w:r w:rsidR="000438BF">
        <w:rPr>
          <w:rFonts w:cs="Arial"/>
          <w:szCs w:val="22"/>
          <w:lang w:val="en-US"/>
        </w:rPr>
        <w:t xml:space="preserve">. </w:t>
      </w:r>
    </w:p>
    <w:p w14:paraId="17C566F8" w14:textId="5AE802CC" w:rsidR="003A49F6" w:rsidRDefault="00C5170A" w:rsidP="00416FB6">
      <w:pPr>
        <w:spacing w:before="30" w:after="30"/>
        <w:rPr>
          <w:rFonts w:cs="Arial"/>
          <w:szCs w:val="22"/>
          <w:lang w:val="en-US"/>
        </w:rPr>
      </w:pPr>
      <w:r>
        <w:rPr>
          <w:rFonts w:cs="Arial"/>
          <w:szCs w:val="22"/>
          <w:lang w:val="en-US"/>
        </w:rPr>
        <w:t xml:space="preserve">According to Lee (2021) Communication within the health and social care sector can be considered productive when the receiver, who could be the patient, the patient’s friends or family or a health and social care worker, understands completely the information that is being given by the sender, in this case GPs, hospital staff and carers. </w:t>
      </w:r>
      <w:r w:rsidR="00623555">
        <w:rPr>
          <w:rFonts w:cs="Arial"/>
          <w:szCs w:val="22"/>
          <w:lang w:val="en-US"/>
        </w:rPr>
        <w:t>Due to  her having dem</w:t>
      </w:r>
      <w:r w:rsidR="00564EF3">
        <w:rPr>
          <w:rFonts w:cs="Arial"/>
          <w:szCs w:val="22"/>
          <w:lang w:val="en-US"/>
        </w:rPr>
        <w:t xml:space="preserve">entia, </w:t>
      </w:r>
      <w:r w:rsidR="003A49F6">
        <w:rPr>
          <w:rFonts w:cs="Arial"/>
          <w:szCs w:val="22"/>
          <w:lang w:val="en-US"/>
        </w:rPr>
        <w:t xml:space="preserve">her family or carers can do things to ensure Mrs. Thompson takes the correct medication at the correct time. These are things such as setting reminders on her phone, writing </w:t>
      </w:r>
      <w:proofErr w:type="spellStart"/>
      <w:r w:rsidR="003A49F6">
        <w:rPr>
          <w:rFonts w:cs="Arial"/>
          <w:szCs w:val="22"/>
          <w:lang w:val="en-US"/>
        </w:rPr>
        <w:t>post</w:t>
      </w:r>
      <w:r w:rsidR="003B10D5">
        <w:rPr>
          <w:rFonts w:cs="Arial"/>
          <w:szCs w:val="22"/>
          <w:lang w:val="en-US"/>
        </w:rPr>
        <w:t>-</w:t>
      </w:r>
      <w:r w:rsidR="003A49F6">
        <w:rPr>
          <w:rFonts w:cs="Arial"/>
          <w:szCs w:val="22"/>
          <w:lang w:val="en-US"/>
        </w:rPr>
        <w:t>it</w:t>
      </w:r>
      <w:proofErr w:type="spellEnd"/>
      <w:r w:rsidR="003A49F6">
        <w:rPr>
          <w:rFonts w:cs="Arial"/>
          <w:szCs w:val="22"/>
          <w:lang w:val="en-US"/>
        </w:rPr>
        <w:t xml:space="preserve"> notes and leaving them around the house to prompt her and arranging an AM and PM medication box to enable her to know what she needs to be taking at the correct time. </w:t>
      </w:r>
    </w:p>
    <w:p w14:paraId="001CD890" w14:textId="77777777" w:rsidR="003A49F6" w:rsidRDefault="003A49F6" w:rsidP="00416FB6">
      <w:pPr>
        <w:spacing w:before="30" w:after="30"/>
        <w:rPr>
          <w:rFonts w:cs="Arial"/>
          <w:szCs w:val="22"/>
          <w:lang w:val="en-US"/>
        </w:rPr>
      </w:pPr>
    </w:p>
    <w:p w14:paraId="433C8FF3" w14:textId="29783A0C" w:rsidR="000438BF" w:rsidRDefault="004B4436" w:rsidP="00416FB6">
      <w:pPr>
        <w:spacing w:before="30" w:after="30"/>
        <w:rPr>
          <w:rFonts w:cs="Arial"/>
          <w:szCs w:val="22"/>
        </w:rPr>
      </w:pPr>
      <w:r>
        <w:rPr>
          <w:rFonts w:cs="Arial"/>
          <w:szCs w:val="22"/>
          <w:lang w:val="en-US"/>
        </w:rPr>
        <w:lastRenderedPageBreak/>
        <w:t xml:space="preserve">According to NHS England (2022), </w:t>
      </w:r>
      <w:r w:rsidR="00F2417D">
        <w:rPr>
          <w:rFonts w:cs="Arial"/>
          <w:szCs w:val="22"/>
          <w:lang w:val="en-US"/>
        </w:rPr>
        <w:t xml:space="preserve">The Equality Act 2010 says that </w:t>
      </w:r>
      <w:r>
        <w:rPr>
          <w:rFonts w:cs="Arial"/>
          <w:szCs w:val="22"/>
          <w:lang w:val="en-US"/>
        </w:rPr>
        <w:t xml:space="preserve">every organisation within health and social care must make reasonable adjustments for service users to enable them to understand clearly </w:t>
      </w:r>
      <w:r w:rsidR="00F2417D">
        <w:rPr>
          <w:rFonts w:cs="Arial"/>
          <w:szCs w:val="22"/>
          <w:lang w:val="en-US"/>
        </w:rPr>
        <w:t>the information that is being provided to them. By 30</w:t>
      </w:r>
      <w:r w:rsidR="00F2417D" w:rsidRPr="00F2417D">
        <w:rPr>
          <w:rFonts w:cs="Arial"/>
          <w:szCs w:val="22"/>
          <w:vertAlign w:val="superscript"/>
          <w:lang w:val="en-US"/>
        </w:rPr>
        <w:t>th</w:t>
      </w:r>
      <w:r w:rsidR="00F2417D">
        <w:rPr>
          <w:rFonts w:cs="Arial"/>
          <w:szCs w:val="22"/>
          <w:lang w:val="en-US"/>
        </w:rPr>
        <w:t xml:space="preserve"> September 2026, all health and social care providers must ensure that they have processes in place that enables them to identify, record, flag, share, </w:t>
      </w:r>
      <w:r w:rsidR="008B61EF">
        <w:rPr>
          <w:rFonts w:cs="Arial"/>
          <w:szCs w:val="22"/>
          <w:lang w:val="en-US"/>
        </w:rPr>
        <w:t>meet, review and update personal adjustments within the organisations software systems, in this report, the incidents that have happened have been reported and intervention is needed immediately to prevent further occurrence of these incidents. With  Mrs Thompson just recovering from pneumonia, being outside in the cold would be dangerous giving her age and current medical circumstances.</w:t>
      </w:r>
      <w:r w:rsidR="0076417E">
        <w:rPr>
          <w:rFonts w:cs="Arial"/>
          <w:szCs w:val="22"/>
          <w:lang w:val="en-US"/>
        </w:rPr>
        <w:t xml:space="preserve"> </w:t>
      </w:r>
      <w:r w:rsidR="0076417E" w:rsidRPr="0076417E">
        <w:rPr>
          <w:rFonts w:cs="Arial"/>
          <w:szCs w:val="22"/>
        </w:rPr>
        <w:t xml:space="preserve">According to Equality Act (2010) we can determine </w:t>
      </w:r>
      <w:r w:rsidR="0076417E">
        <w:rPr>
          <w:rFonts w:cs="Arial"/>
          <w:szCs w:val="22"/>
        </w:rPr>
        <w:t xml:space="preserve">the nine protected characteristics, age, disability, gender reassignment, marriage and civil partnership, pregnancy and maternity, race, religion or belief, sex and sexual orientation. The Equality Act 2010 aims to eradicate discrimination among all these characteristics to promote an inclusive society and have equal opportunities. </w:t>
      </w:r>
    </w:p>
    <w:p w14:paraId="52BF1FF2" w14:textId="024A53CB" w:rsidR="007A7CA0" w:rsidRDefault="00470560" w:rsidP="00416FB6">
      <w:pPr>
        <w:spacing w:before="30" w:after="30"/>
        <w:rPr>
          <w:rFonts w:cs="Arial"/>
          <w:szCs w:val="22"/>
        </w:rPr>
      </w:pPr>
      <w:r>
        <w:rPr>
          <w:rFonts w:cs="Arial"/>
          <w:szCs w:val="22"/>
        </w:rPr>
        <w:t>According to K</w:t>
      </w:r>
      <w:r w:rsidR="00E51707">
        <w:rPr>
          <w:rFonts w:cs="Arial"/>
          <w:szCs w:val="22"/>
        </w:rPr>
        <w:t>apoor</w:t>
      </w:r>
      <w:r>
        <w:rPr>
          <w:rFonts w:cs="Arial"/>
          <w:szCs w:val="22"/>
        </w:rPr>
        <w:t xml:space="preserve"> (20</w:t>
      </w:r>
      <w:r w:rsidR="00E51707">
        <w:rPr>
          <w:rFonts w:cs="Arial"/>
          <w:szCs w:val="22"/>
        </w:rPr>
        <w:t>1</w:t>
      </w:r>
      <w:r>
        <w:rPr>
          <w:rFonts w:cs="Arial"/>
          <w:szCs w:val="22"/>
        </w:rPr>
        <w:t>4) a</w:t>
      </w:r>
      <w:r w:rsidR="0076417E">
        <w:rPr>
          <w:rFonts w:cs="Arial"/>
          <w:szCs w:val="22"/>
        </w:rPr>
        <w:t xml:space="preserve"> communication model that can be applied to Mrs Thompsons care is Berlos model of communication 1960. Berlo discovered that there are four key parts to communication, </w:t>
      </w:r>
      <w:r w:rsidR="003A49F6">
        <w:rPr>
          <w:rFonts w:cs="Arial"/>
          <w:szCs w:val="22"/>
        </w:rPr>
        <w:t>sender</w:t>
      </w:r>
      <w:r w:rsidR="0076417E">
        <w:rPr>
          <w:rFonts w:cs="Arial"/>
          <w:szCs w:val="22"/>
        </w:rPr>
        <w:t xml:space="preserve">, </w:t>
      </w:r>
      <w:r w:rsidR="00A2699E">
        <w:rPr>
          <w:rFonts w:cs="Arial"/>
          <w:szCs w:val="22"/>
        </w:rPr>
        <w:t xml:space="preserve">message, channel and receiver. In this case the care worker would be the </w:t>
      </w:r>
      <w:r w:rsidR="003A49F6">
        <w:rPr>
          <w:rFonts w:cs="Arial"/>
          <w:szCs w:val="22"/>
        </w:rPr>
        <w:t>sender</w:t>
      </w:r>
      <w:r w:rsidR="00A2699E">
        <w:rPr>
          <w:rFonts w:cs="Arial"/>
          <w:szCs w:val="22"/>
        </w:rPr>
        <w:t>, who provides clear information about Mrs Thompsons medication. The message is the instructions of when and how to take the medication. The channel is how the message is communicated, including listening, speaking, body language</w:t>
      </w:r>
      <w:r w:rsidR="003A49F6">
        <w:rPr>
          <w:rFonts w:cs="Arial"/>
          <w:szCs w:val="22"/>
        </w:rPr>
        <w:t xml:space="preserve">, phone and </w:t>
      </w:r>
      <w:r w:rsidR="00A2699E">
        <w:rPr>
          <w:rFonts w:cs="Arial"/>
          <w:szCs w:val="22"/>
        </w:rPr>
        <w:t>written reminders. Mrs Thompson would be the receiver, who interprets the information</w:t>
      </w:r>
      <w:r w:rsidR="003A49F6">
        <w:rPr>
          <w:rFonts w:cs="Arial"/>
          <w:szCs w:val="22"/>
        </w:rPr>
        <w:t xml:space="preserve">. </w:t>
      </w:r>
    </w:p>
    <w:p w14:paraId="4781E74D" w14:textId="77777777" w:rsidR="00416FB6" w:rsidRDefault="00416FB6" w:rsidP="00416FB6">
      <w:pPr>
        <w:spacing w:before="30" w:after="30"/>
        <w:rPr>
          <w:rFonts w:cs="Arial"/>
          <w:szCs w:val="22"/>
        </w:rPr>
      </w:pPr>
    </w:p>
    <w:p w14:paraId="78C481E7" w14:textId="2F0B2890" w:rsidR="00416FB6" w:rsidRDefault="00416FB6" w:rsidP="00416FB6">
      <w:pPr>
        <w:spacing w:before="30" w:after="30"/>
        <w:rPr>
          <w:rFonts w:cs="Arial"/>
          <w:szCs w:val="22"/>
        </w:rPr>
      </w:pPr>
      <w:r>
        <w:rPr>
          <w:rFonts w:cs="Arial"/>
          <w:szCs w:val="22"/>
        </w:rPr>
        <w:t>Importance of effective administration skills in healthcare:</w:t>
      </w:r>
    </w:p>
    <w:p w14:paraId="3572888B" w14:textId="6860558E" w:rsidR="0076417E" w:rsidRDefault="003B10D5" w:rsidP="00416FB6">
      <w:pPr>
        <w:spacing w:before="30" w:after="30"/>
        <w:rPr>
          <w:rFonts w:cs="Arial"/>
          <w:szCs w:val="22"/>
        </w:rPr>
      </w:pPr>
      <w:r>
        <w:rPr>
          <w:rFonts w:cs="Arial"/>
          <w:szCs w:val="22"/>
        </w:rPr>
        <w:t xml:space="preserve">Good administrative skills are crucial in health and social care because they help make sure people receive safe and effective person-centred care. They include keeping up-to-date accurate records, reporting of incidents correctly, managing medication records and protecting confidential information. These tasks help professionals to communicate effectively and make informed decisions. In Mrs Thompsons case, good administration is especially important because she has recently been discharged from hospital after suffering from Pneumonia, has mild dementia and receives domiciliary care. Without accurate administration, </w:t>
      </w:r>
      <w:r w:rsidR="007516FB">
        <w:rPr>
          <w:rFonts w:cs="Arial"/>
          <w:szCs w:val="22"/>
        </w:rPr>
        <w:t xml:space="preserve">there is a greater risk of mistakes that could negatively affect her health. </w:t>
      </w:r>
    </w:p>
    <w:p w14:paraId="4BBBEAB7" w14:textId="71DFCC1B" w:rsidR="000B3962" w:rsidRDefault="000B3962" w:rsidP="00416FB6">
      <w:pPr>
        <w:spacing w:before="30" w:after="30"/>
        <w:rPr>
          <w:rFonts w:cs="Arial"/>
          <w:szCs w:val="22"/>
        </w:rPr>
      </w:pPr>
      <w:r w:rsidRPr="000B3962">
        <w:rPr>
          <w:rFonts w:cs="Arial"/>
          <w:szCs w:val="22"/>
        </w:rPr>
        <w:t>Health &amp; Care Profession Council (2024)</w:t>
      </w:r>
      <w:r>
        <w:rPr>
          <w:rFonts w:cs="Arial"/>
          <w:szCs w:val="22"/>
        </w:rPr>
        <w:t xml:space="preserve"> suggests that health and care professionals have a responsibility to keep full, clear and accurate records. Accurate record keeping helps maintain continuity of care, ensures services users receive appropriate treatment, meets legal requirements and provides evidence of decisions if they are later questioned or investigated. In Mrs. Thompson case, it is important that staff accurately record the two days </w:t>
      </w:r>
      <w:r>
        <w:rPr>
          <w:rFonts w:cs="Arial"/>
          <w:szCs w:val="22"/>
        </w:rPr>
        <w:lastRenderedPageBreak/>
        <w:t>she missed her medication, her increased confusion and the request for a medication review. This information allows professionals involved in her care to understand any changes in her condition and provide appropriate support.</w:t>
      </w:r>
    </w:p>
    <w:p w14:paraId="2B5BE616" w14:textId="2325E6D5" w:rsidR="00613729" w:rsidRDefault="00986BEF" w:rsidP="00416FB6">
      <w:pPr>
        <w:spacing w:before="30" w:after="30"/>
        <w:rPr>
          <w:rFonts w:cs="Arial"/>
          <w:szCs w:val="22"/>
        </w:rPr>
      </w:pPr>
      <w:r>
        <w:rPr>
          <w:rFonts w:cs="Arial"/>
          <w:szCs w:val="22"/>
        </w:rPr>
        <w:t>The Nursing and Midwifery council (2018), states that healthcare professionals must maintain records that are clear</w:t>
      </w:r>
      <w:r w:rsidR="00613729">
        <w:rPr>
          <w:rFonts w:cs="Arial"/>
          <w:szCs w:val="22"/>
        </w:rPr>
        <w:t>, accurate and relevant to the care they provide. Records should be completed at the time of an event, or as soon as possible afterwards, and should clearly identify any risks, concerns and actions taken. Information must be factual, dated, timed and attribute to the professional completing the documents, while avoiding unnecessary information and opinion. In addition, all records must be stored securely to protect confidentiality and comply with legal and professional standards.</w:t>
      </w:r>
    </w:p>
    <w:p w14:paraId="605AD88F" w14:textId="4F7C0198" w:rsidR="007A7CA0" w:rsidRDefault="00716181" w:rsidP="00416FB6">
      <w:pPr>
        <w:spacing w:before="30" w:after="30"/>
        <w:rPr>
          <w:rFonts w:cs="Arial"/>
          <w:szCs w:val="22"/>
        </w:rPr>
      </w:pPr>
      <w:r>
        <w:rPr>
          <w:rFonts w:cs="Arial"/>
          <w:szCs w:val="22"/>
        </w:rPr>
        <w:t>Within the UK, the Data Protection Act 2018, together with the Uk General Data Protection Regulation (GDPR) sets out how personal information should be collected, stored and shared within health and social care. These laws ensure that information is processed fairly, lawfully and transparently. In Mrs Thompson case, this means that details about her dementia, medication, hospital discharge and incident reports should only be shared with professionals directly involved with her care and should be stored securely to protect her confidentiality</w:t>
      </w:r>
      <w:r w:rsidR="007A7CA0">
        <w:rPr>
          <w:rFonts w:cs="Arial"/>
          <w:szCs w:val="22"/>
        </w:rPr>
        <w:t xml:space="preserve"> (Data Protection Act 2018).</w:t>
      </w:r>
    </w:p>
    <w:p w14:paraId="78B7CC50" w14:textId="77777777" w:rsidR="007A7CA0" w:rsidRDefault="007A7CA0" w:rsidP="00416FB6">
      <w:pPr>
        <w:spacing w:before="30" w:after="30"/>
        <w:rPr>
          <w:rFonts w:cs="Arial"/>
          <w:szCs w:val="22"/>
        </w:rPr>
      </w:pPr>
    </w:p>
    <w:p w14:paraId="173027F9" w14:textId="1C36CBE5" w:rsidR="00416FB6" w:rsidRDefault="00416FB6" w:rsidP="00416FB6">
      <w:pPr>
        <w:spacing w:before="30" w:after="30"/>
        <w:rPr>
          <w:rFonts w:cs="Arial"/>
          <w:szCs w:val="22"/>
        </w:rPr>
      </w:pPr>
      <w:r>
        <w:rPr>
          <w:rFonts w:cs="Arial"/>
          <w:szCs w:val="22"/>
        </w:rPr>
        <w:t>Importance of effective collaborative work:</w:t>
      </w:r>
    </w:p>
    <w:p w14:paraId="535F9D02" w14:textId="2D328ED1" w:rsidR="007A7CA0" w:rsidRDefault="007A7CA0" w:rsidP="00416FB6">
      <w:pPr>
        <w:spacing w:before="30" w:after="30"/>
        <w:rPr>
          <w:rFonts w:cs="Arial"/>
          <w:szCs w:val="22"/>
        </w:rPr>
      </w:pPr>
      <w:r>
        <w:rPr>
          <w:rFonts w:cs="Arial"/>
          <w:szCs w:val="22"/>
        </w:rPr>
        <w:t xml:space="preserve">Collaborative working is essential in health and social care because it allows professionals from different </w:t>
      </w:r>
      <w:r w:rsidR="00E66EF8">
        <w:rPr>
          <w:rFonts w:cs="Arial"/>
          <w:szCs w:val="22"/>
        </w:rPr>
        <w:t>services</w:t>
      </w:r>
      <w:r>
        <w:rPr>
          <w:rFonts w:cs="Arial"/>
          <w:szCs w:val="22"/>
        </w:rPr>
        <w:t xml:space="preserve"> to share their knowledge and work together to provide safe, person-centred care. In Mrs. Thompsons case, collaboration between her GP, Community Nurse, domiciliary care workers, hospital staff and the local council is important due to her recent discharge from hospital, mild dementia and missed medication. By working together, professionals can identify changes in her condition early and ensure that her physical, emotional and social needs are met</w:t>
      </w:r>
      <w:r w:rsidR="00E66EF8">
        <w:rPr>
          <w:rFonts w:cs="Arial"/>
          <w:szCs w:val="22"/>
        </w:rPr>
        <w:t xml:space="preserve"> </w:t>
      </w:r>
      <w:r w:rsidR="00E66EF8" w:rsidRPr="00E66EF8">
        <w:rPr>
          <w:rFonts w:cs="Arial"/>
          <w:szCs w:val="22"/>
        </w:rPr>
        <w:t xml:space="preserve">(Social Care Institute </w:t>
      </w:r>
      <w:proofErr w:type="gramStart"/>
      <w:r w:rsidR="00E66EF8" w:rsidRPr="00E66EF8">
        <w:rPr>
          <w:rFonts w:cs="Arial"/>
          <w:szCs w:val="22"/>
        </w:rPr>
        <w:t>For</w:t>
      </w:r>
      <w:proofErr w:type="gramEnd"/>
      <w:r w:rsidR="00E66EF8" w:rsidRPr="00E66EF8">
        <w:rPr>
          <w:rFonts w:cs="Arial"/>
          <w:szCs w:val="22"/>
        </w:rPr>
        <w:t xml:space="preserve"> Excellence, 2022)</w:t>
      </w:r>
      <w:r w:rsidR="00E66EF8">
        <w:rPr>
          <w:rFonts w:cs="Arial"/>
          <w:szCs w:val="22"/>
        </w:rPr>
        <w:t>.</w:t>
      </w:r>
      <w:r w:rsidR="00E66EF8">
        <w:rPr>
          <w:rFonts w:cs="Arial"/>
          <w:szCs w:val="22"/>
        </w:rPr>
        <w:br/>
        <w:t xml:space="preserve">Effective collaboration is achieved through regular multi-disciplinary meetings, shared electronic care records, clearly defined professional roles and designated team leaders who coordinate care. These approaches help reduce poor care and ensures that all professionals have access to accurate and up-to-date information.  </w:t>
      </w:r>
    </w:p>
    <w:p w14:paraId="5036F83E" w14:textId="77777777" w:rsidR="00416FB6" w:rsidRDefault="00E66EF8" w:rsidP="00416FB6">
      <w:pPr>
        <w:spacing w:before="30" w:after="30"/>
        <w:rPr>
          <w:rFonts w:cs="Arial"/>
          <w:szCs w:val="22"/>
        </w:rPr>
      </w:pPr>
      <w:r>
        <w:rPr>
          <w:rFonts w:cs="Arial"/>
          <w:szCs w:val="22"/>
        </w:rPr>
        <w:t>For Mrs Thompson, collaborative working is particularly important because her care needs are complex. Following her discharge</w:t>
      </w:r>
      <w:r w:rsidR="00BA1EA4">
        <w:rPr>
          <w:rFonts w:cs="Arial"/>
          <w:szCs w:val="22"/>
        </w:rPr>
        <w:t xml:space="preserve"> from hospital from pneumonia, she requires on going monitoring of her recovery, support with medication and assessment of the risks associated with her dementia. The domiciliary care worker who noticed that she had missed two days of medication plays a key role in identifying concerns early, while the GP can review her medication and the community nurse can monitor her physical health. However, if </w:t>
      </w:r>
      <w:r w:rsidR="00BA1EA4">
        <w:rPr>
          <w:rFonts w:cs="Arial"/>
          <w:szCs w:val="22"/>
        </w:rPr>
        <w:lastRenderedPageBreak/>
        <w:t xml:space="preserve">communication between professionals is poor or information is not shared promptly, there is an increased risk of medication errors, repeated hospital admissions or further safeguarding incidents, such as Mrs Thompson leaving her home without appropriate clothing. Therefore, effective communication, shared responsibility and coordinated decision making are essential to improve Mrs Thompson safety, maintain independence and ensure continuity of care. </w:t>
      </w:r>
    </w:p>
    <w:p w14:paraId="036C5C0E" w14:textId="77777777" w:rsidR="00416FB6" w:rsidRDefault="00416FB6" w:rsidP="00416FB6">
      <w:pPr>
        <w:spacing w:before="30" w:after="30"/>
        <w:rPr>
          <w:rFonts w:cs="Arial"/>
          <w:szCs w:val="22"/>
        </w:rPr>
      </w:pPr>
    </w:p>
    <w:p w14:paraId="181276D6" w14:textId="54094A18" w:rsidR="00E66EF8" w:rsidRDefault="00416FB6" w:rsidP="00416FB6">
      <w:pPr>
        <w:spacing w:before="30" w:after="30"/>
        <w:rPr>
          <w:rFonts w:cs="Arial"/>
          <w:szCs w:val="22"/>
        </w:rPr>
      </w:pPr>
      <w:r w:rsidRPr="00416FB6">
        <w:rPr>
          <w:rFonts w:cs="Arial"/>
          <w:szCs w:val="22"/>
        </w:rPr>
        <w:t>In conclusion, providing high-quality care for Mrs Thompson requires effective communication, accurate administration and strong collaborative working between health and social care professionals. As Mrs Thompson is living with mild dementia and has recently been discharged from hospital following pneumonia, it is essential that professionals communicate clearly and adapt their approach to meet her individual needs. Legislation such as the Equality Act 2010 and the Data Protection Act 2018 supports person-centred practice by promoting equality, protecting confidentiality and ensuring personal information is handled appropriately. Maintaining accurate records and reporting incidents promptly enables professionals to monitor changes in Mrs Thompson’s condition, reduce risks and make informed decisions about her ongoing care. In addition, multidisciplinary working allows professionals to share information, coordinate interventions and respond quickly to concerns, helping to prevent further incidents and improve continuity of care. Overall, the combination of effective communication, lawful record keeping and collaborative practice ensures that Mrs Thompson receives safe, compassionate and person-centred care. By following professional standards and relevant legislation, health and social care professionals can promote her independence, protect her wellbeing and improve her overall quality of life.</w:t>
      </w:r>
    </w:p>
    <w:p w14:paraId="571E22EB" w14:textId="77777777" w:rsidR="00416FB6" w:rsidRDefault="00416FB6" w:rsidP="00416FB6">
      <w:pPr>
        <w:spacing w:before="30" w:after="30"/>
        <w:rPr>
          <w:rFonts w:cs="Arial"/>
          <w:szCs w:val="22"/>
        </w:rPr>
      </w:pPr>
    </w:p>
    <w:p w14:paraId="24AB0792" w14:textId="77777777" w:rsidR="00416FB6" w:rsidRDefault="00416FB6" w:rsidP="00416FB6">
      <w:pPr>
        <w:spacing w:before="30" w:after="30"/>
        <w:rPr>
          <w:rFonts w:cs="Arial"/>
          <w:szCs w:val="22"/>
        </w:rPr>
      </w:pPr>
    </w:p>
    <w:p w14:paraId="64C4C6F4" w14:textId="77777777" w:rsidR="00416FB6" w:rsidRDefault="00416FB6" w:rsidP="00416FB6">
      <w:pPr>
        <w:spacing w:before="30" w:after="30"/>
        <w:rPr>
          <w:rFonts w:cs="Arial"/>
          <w:szCs w:val="22"/>
        </w:rPr>
      </w:pPr>
    </w:p>
    <w:p w14:paraId="72D4FD53" w14:textId="77777777" w:rsidR="00416FB6" w:rsidRDefault="00416FB6" w:rsidP="00416FB6">
      <w:pPr>
        <w:spacing w:before="30" w:after="30"/>
        <w:rPr>
          <w:rFonts w:cs="Arial"/>
          <w:szCs w:val="22"/>
        </w:rPr>
      </w:pPr>
    </w:p>
    <w:p w14:paraId="62556853" w14:textId="77777777" w:rsidR="00416FB6" w:rsidRDefault="00416FB6" w:rsidP="00416FB6">
      <w:pPr>
        <w:spacing w:before="30" w:after="30"/>
        <w:rPr>
          <w:rFonts w:cs="Arial"/>
          <w:szCs w:val="22"/>
        </w:rPr>
      </w:pPr>
    </w:p>
    <w:p w14:paraId="12116C4A" w14:textId="77777777" w:rsidR="00416FB6" w:rsidRDefault="00416FB6" w:rsidP="00416FB6">
      <w:pPr>
        <w:spacing w:before="30" w:after="30"/>
        <w:rPr>
          <w:rFonts w:cs="Arial"/>
          <w:szCs w:val="22"/>
        </w:rPr>
      </w:pPr>
    </w:p>
    <w:p w14:paraId="1C4A0768" w14:textId="77777777" w:rsidR="00416FB6" w:rsidRDefault="00416FB6" w:rsidP="00416FB6">
      <w:pPr>
        <w:spacing w:before="30" w:after="30"/>
        <w:rPr>
          <w:rFonts w:cs="Arial"/>
          <w:szCs w:val="22"/>
        </w:rPr>
      </w:pPr>
    </w:p>
    <w:p w14:paraId="3FDC3E5C" w14:textId="77777777" w:rsidR="00416FB6" w:rsidRDefault="00416FB6" w:rsidP="00416FB6">
      <w:pPr>
        <w:spacing w:before="30" w:after="30"/>
        <w:rPr>
          <w:rFonts w:cs="Arial"/>
          <w:szCs w:val="22"/>
        </w:rPr>
      </w:pPr>
    </w:p>
    <w:p w14:paraId="69830BAC" w14:textId="77777777" w:rsidR="00416FB6" w:rsidRDefault="00416FB6" w:rsidP="00416FB6">
      <w:pPr>
        <w:spacing w:before="30" w:after="30"/>
        <w:rPr>
          <w:rFonts w:cs="Arial"/>
          <w:szCs w:val="22"/>
        </w:rPr>
      </w:pPr>
    </w:p>
    <w:p w14:paraId="016AF33D" w14:textId="77777777" w:rsidR="00416FB6" w:rsidRDefault="00416FB6" w:rsidP="00416FB6">
      <w:pPr>
        <w:spacing w:before="30" w:after="30"/>
        <w:rPr>
          <w:rFonts w:cs="Arial"/>
          <w:szCs w:val="22"/>
        </w:rPr>
      </w:pPr>
    </w:p>
    <w:p w14:paraId="118BCBCD" w14:textId="77777777" w:rsidR="00416FB6" w:rsidRDefault="00416FB6" w:rsidP="00416FB6">
      <w:pPr>
        <w:spacing w:before="30" w:after="30"/>
        <w:rPr>
          <w:rFonts w:cs="Arial"/>
          <w:szCs w:val="22"/>
        </w:rPr>
      </w:pPr>
    </w:p>
    <w:p w14:paraId="5F0FA034" w14:textId="77777777" w:rsidR="00416FB6" w:rsidRDefault="00416FB6" w:rsidP="00416FB6">
      <w:pPr>
        <w:spacing w:before="30" w:after="30"/>
        <w:rPr>
          <w:rFonts w:cs="Arial"/>
          <w:szCs w:val="22"/>
        </w:rPr>
      </w:pPr>
    </w:p>
    <w:p w14:paraId="654884F1" w14:textId="77777777" w:rsidR="00416FB6" w:rsidRPr="00416FB6" w:rsidRDefault="00416FB6" w:rsidP="00416FB6">
      <w:pPr>
        <w:spacing w:before="30" w:after="30"/>
        <w:rPr>
          <w:rFonts w:cs="Arial"/>
          <w:szCs w:val="22"/>
        </w:rPr>
      </w:pPr>
      <w:r w:rsidRPr="00416FB6">
        <w:rPr>
          <w:rFonts w:cs="Arial"/>
          <w:szCs w:val="22"/>
        </w:rPr>
        <w:lastRenderedPageBreak/>
        <w:t>Reference list</w:t>
      </w:r>
    </w:p>
    <w:p w14:paraId="2A21077D" w14:textId="0F283A25" w:rsidR="00416FB6" w:rsidRDefault="00416FB6" w:rsidP="00416FB6">
      <w:pPr>
        <w:spacing w:before="30" w:after="30"/>
        <w:rPr>
          <w:rFonts w:cs="Arial"/>
          <w:szCs w:val="22"/>
        </w:rPr>
      </w:pPr>
      <w:r w:rsidRPr="00416FB6">
        <w:rPr>
          <w:rFonts w:cs="Arial"/>
          <w:szCs w:val="22"/>
        </w:rPr>
        <w:t>Equality Act (2010). </w:t>
      </w:r>
      <w:r w:rsidRPr="00416FB6">
        <w:rPr>
          <w:rFonts w:cs="Arial"/>
          <w:i/>
          <w:iCs/>
          <w:szCs w:val="22"/>
        </w:rPr>
        <w:t>Equality Act 2010</w:t>
      </w:r>
      <w:r w:rsidRPr="00416FB6">
        <w:rPr>
          <w:rFonts w:cs="Arial"/>
          <w:szCs w:val="22"/>
        </w:rPr>
        <w:t>. [online] </w:t>
      </w:r>
      <w:r w:rsidRPr="00416FB6">
        <w:rPr>
          <w:rFonts w:cs="Arial"/>
          <w:i/>
          <w:iCs/>
          <w:szCs w:val="22"/>
        </w:rPr>
        <w:t>Legislation.gov.uk</w:t>
      </w:r>
      <w:r w:rsidRPr="00416FB6">
        <w:rPr>
          <w:rFonts w:cs="Arial"/>
          <w:szCs w:val="22"/>
        </w:rPr>
        <w:t>. Available at: https://www.legislation.gov.uk/ukpga/2010/15/section/4 [Accessed 20 July 2026].</w:t>
      </w:r>
    </w:p>
    <w:p w14:paraId="06C50987" w14:textId="77777777" w:rsidR="00416FB6" w:rsidRPr="00416FB6" w:rsidRDefault="00416FB6" w:rsidP="00416FB6">
      <w:pPr>
        <w:spacing w:before="30" w:after="30"/>
        <w:rPr>
          <w:rFonts w:cs="Arial"/>
          <w:szCs w:val="22"/>
        </w:rPr>
      </w:pPr>
    </w:p>
    <w:p w14:paraId="50291C81" w14:textId="63230ED9" w:rsidR="00416FB6" w:rsidRDefault="00416FB6" w:rsidP="00416FB6">
      <w:pPr>
        <w:spacing w:before="30" w:after="30"/>
        <w:rPr>
          <w:rFonts w:cs="Arial"/>
          <w:szCs w:val="22"/>
        </w:rPr>
      </w:pPr>
      <w:r>
        <w:rPr>
          <w:rFonts w:cs="Arial"/>
          <w:szCs w:val="22"/>
        </w:rPr>
        <w:t>Data protection Act</w:t>
      </w:r>
      <w:r w:rsidRPr="00416FB6">
        <w:rPr>
          <w:rFonts w:cs="Arial"/>
          <w:szCs w:val="22"/>
        </w:rPr>
        <w:t xml:space="preserve"> (2018). </w:t>
      </w:r>
      <w:r w:rsidRPr="00416FB6">
        <w:rPr>
          <w:rFonts w:cs="Arial"/>
          <w:i/>
          <w:iCs/>
          <w:szCs w:val="22"/>
        </w:rPr>
        <w:t>Data Protection Act 2018</w:t>
      </w:r>
      <w:r w:rsidRPr="00416FB6">
        <w:rPr>
          <w:rFonts w:cs="Arial"/>
          <w:szCs w:val="22"/>
        </w:rPr>
        <w:t>. [online] </w:t>
      </w:r>
      <w:r w:rsidRPr="00416FB6">
        <w:rPr>
          <w:rFonts w:cs="Arial"/>
          <w:i/>
          <w:iCs/>
          <w:szCs w:val="22"/>
        </w:rPr>
        <w:t>Legislation.gov.uk</w:t>
      </w:r>
      <w:r w:rsidRPr="00416FB6">
        <w:rPr>
          <w:rFonts w:cs="Arial"/>
          <w:szCs w:val="22"/>
        </w:rPr>
        <w:t>. Available at: https://www.legislation.gov.uk/ukpga/2018/12/contents [Accessed 27 July 2026].</w:t>
      </w:r>
    </w:p>
    <w:p w14:paraId="59540085" w14:textId="77777777" w:rsidR="00416FB6" w:rsidRPr="00416FB6" w:rsidRDefault="00416FB6" w:rsidP="00416FB6">
      <w:pPr>
        <w:spacing w:before="30" w:after="30"/>
        <w:rPr>
          <w:rFonts w:cs="Arial"/>
          <w:szCs w:val="22"/>
        </w:rPr>
      </w:pPr>
    </w:p>
    <w:p w14:paraId="54374F63" w14:textId="77777777" w:rsidR="00416FB6" w:rsidRDefault="00416FB6" w:rsidP="00416FB6">
      <w:pPr>
        <w:spacing w:before="30" w:after="30"/>
        <w:rPr>
          <w:rFonts w:cs="Arial"/>
          <w:szCs w:val="22"/>
        </w:rPr>
      </w:pPr>
      <w:r w:rsidRPr="00416FB6">
        <w:rPr>
          <w:rFonts w:cs="Arial"/>
          <w:szCs w:val="22"/>
        </w:rPr>
        <w:t>Health, M. and Casper, L. (2025). </w:t>
      </w:r>
      <w:r w:rsidRPr="00416FB6">
        <w:rPr>
          <w:rFonts w:cs="Arial"/>
          <w:i/>
          <w:iCs/>
          <w:szCs w:val="22"/>
        </w:rPr>
        <w:t>The role of communication in health and social care: Why it matters</w:t>
      </w:r>
      <w:r w:rsidRPr="00416FB6">
        <w:rPr>
          <w:rFonts w:cs="Arial"/>
          <w:szCs w:val="22"/>
        </w:rPr>
        <w:t>. [online] </w:t>
      </w:r>
      <w:r w:rsidRPr="00416FB6">
        <w:rPr>
          <w:rFonts w:cs="Arial"/>
          <w:i/>
          <w:iCs/>
          <w:szCs w:val="22"/>
        </w:rPr>
        <w:t>Institute of Mental Health</w:t>
      </w:r>
      <w:r w:rsidRPr="00416FB6">
        <w:rPr>
          <w:rFonts w:cs="Arial"/>
          <w:szCs w:val="22"/>
        </w:rPr>
        <w:t>. Available at: https://iomh.co.uk/the-role-of-communication-in-health-and-social-care-why-it-matters/ [Accessed 14 July 2026].</w:t>
      </w:r>
    </w:p>
    <w:p w14:paraId="5B1B256F" w14:textId="77777777" w:rsidR="00E51707" w:rsidRDefault="00E51707" w:rsidP="00416FB6">
      <w:pPr>
        <w:spacing w:before="30" w:after="30"/>
        <w:rPr>
          <w:rFonts w:cs="Arial"/>
          <w:szCs w:val="22"/>
        </w:rPr>
      </w:pPr>
    </w:p>
    <w:p w14:paraId="0298B885" w14:textId="53121215" w:rsidR="00E51707" w:rsidRDefault="00E51707" w:rsidP="00416FB6">
      <w:pPr>
        <w:spacing w:before="30" w:after="30"/>
        <w:rPr>
          <w:rFonts w:cs="Arial"/>
          <w:szCs w:val="22"/>
        </w:rPr>
      </w:pPr>
      <w:r w:rsidRPr="00E51707">
        <w:rPr>
          <w:rFonts w:cs="Arial"/>
          <w:szCs w:val="22"/>
        </w:rPr>
        <w:t xml:space="preserve">Kapoor, N. (2019). </w:t>
      </w:r>
      <w:r w:rsidRPr="00E51707">
        <w:rPr>
          <w:rFonts w:cs="Arial"/>
          <w:i/>
          <w:iCs/>
          <w:szCs w:val="22"/>
        </w:rPr>
        <w:t>Berlo’s SMCR model of communication</w:t>
      </w:r>
      <w:r w:rsidRPr="00E51707">
        <w:rPr>
          <w:rFonts w:cs="Arial"/>
          <w:szCs w:val="22"/>
        </w:rPr>
        <w:t xml:space="preserve">. [online] </w:t>
      </w:r>
      <w:r w:rsidRPr="00E51707">
        <w:rPr>
          <w:rFonts w:cs="Arial"/>
          <w:i/>
          <w:iCs/>
          <w:szCs w:val="22"/>
        </w:rPr>
        <w:t>JMC Study Hub</w:t>
      </w:r>
      <w:r w:rsidRPr="00E51707">
        <w:rPr>
          <w:rFonts w:cs="Arial"/>
          <w:szCs w:val="22"/>
        </w:rPr>
        <w:t>. Available at: https://jmcstudyhub.com/berlos-smcr-model-of-communication/ [Accessed 27 July 2026].</w:t>
      </w:r>
    </w:p>
    <w:p w14:paraId="7E2BCF55" w14:textId="77777777" w:rsidR="00416FB6" w:rsidRPr="00416FB6" w:rsidRDefault="00416FB6" w:rsidP="00416FB6">
      <w:pPr>
        <w:spacing w:before="30" w:after="30"/>
        <w:rPr>
          <w:rFonts w:cs="Arial"/>
          <w:szCs w:val="22"/>
        </w:rPr>
      </w:pPr>
    </w:p>
    <w:p w14:paraId="68ED7097" w14:textId="77777777" w:rsidR="00416FB6" w:rsidRDefault="00416FB6" w:rsidP="00416FB6">
      <w:pPr>
        <w:spacing w:before="30" w:after="30"/>
        <w:rPr>
          <w:rFonts w:cs="Arial"/>
          <w:szCs w:val="22"/>
        </w:rPr>
      </w:pPr>
      <w:r w:rsidRPr="00416FB6">
        <w:rPr>
          <w:rFonts w:cs="Arial"/>
          <w:szCs w:val="22"/>
        </w:rPr>
        <w:t>Lee, E. (2021). </w:t>
      </w:r>
      <w:r w:rsidRPr="00416FB6">
        <w:rPr>
          <w:rFonts w:cs="Arial"/>
          <w:i/>
          <w:iCs/>
          <w:szCs w:val="22"/>
        </w:rPr>
        <w:t>Effective communication in health and social care</w:t>
      </w:r>
      <w:r w:rsidRPr="00416FB6">
        <w:rPr>
          <w:rFonts w:cs="Arial"/>
          <w:szCs w:val="22"/>
        </w:rPr>
        <w:t>. [online] </w:t>
      </w:r>
      <w:r w:rsidRPr="00416FB6">
        <w:rPr>
          <w:rFonts w:cs="Arial"/>
          <w:i/>
          <w:iCs/>
          <w:szCs w:val="22"/>
        </w:rPr>
        <w:t>CPD Online College</w:t>
      </w:r>
      <w:r w:rsidRPr="00416FB6">
        <w:rPr>
          <w:rFonts w:cs="Arial"/>
          <w:szCs w:val="22"/>
        </w:rPr>
        <w:t>. Available at: https://cpdonline.co.uk/knowledge-base/care/effective-communication/#why-is-effective-communication-needed-in-health-and-social-care [Accessed 15 July 2026].</w:t>
      </w:r>
    </w:p>
    <w:p w14:paraId="1EEF6488" w14:textId="77777777" w:rsidR="00416FB6" w:rsidRPr="00416FB6" w:rsidRDefault="00416FB6" w:rsidP="00416FB6">
      <w:pPr>
        <w:spacing w:before="30" w:after="30"/>
        <w:rPr>
          <w:rFonts w:cs="Arial"/>
          <w:szCs w:val="22"/>
        </w:rPr>
      </w:pPr>
    </w:p>
    <w:p w14:paraId="780532B5" w14:textId="77777777" w:rsidR="00416FB6" w:rsidRDefault="00416FB6" w:rsidP="00416FB6">
      <w:pPr>
        <w:spacing w:before="30" w:after="30"/>
        <w:rPr>
          <w:rFonts w:cs="Arial"/>
          <w:szCs w:val="22"/>
        </w:rPr>
      </w:pPr>
      <w:r w:rsidRPr="00416FB6">
        <w:rPr>
          <w:rFonts w:cs="Arial"/>
          <w:szCs w:val="22"/>
        </w:rPr>
        <w:t>NHS England (2022). </w:t>
      </w:r>
      <w:r w:rsidRPr="00416FB6">
        <w:rPr>
          <w:rFonts w:cs="Arial"/>
          <w:i/>
          <w:iCs/>
          <w:szCs w:val="22"/>
        </w:rPr>
        <w:t>Reasonable adjustments</w:t>
      </w:r>
      <w:r w:rsidRPr="00416FB6">
        <w:rPr>
          <w:rFonts w:cs="Arial"/>
          <w:szCs w:val="22"/>
        </w:rPr>
        <w:t>. [online] </w:t>
      </w:r>
      <w:r w:rsidRPr="00416FB6">
        <w:rPr>
          <w:rFonts w:cs="Arial"/>
          <w:i/>
          <w:iCs/>
          <w:szCs w:val="22"/>
        </w:rPr>
        <w:t>www.england.nhs.uk</w:t>
      </w:r>
      <w:r w:rsidRPr="00416FB6">
        <w:rPr>
          <w:rFonts w:cs="Arial"/>
          <w:szCs w:val="22"/>
        </w:rPr>
        <w:t>. NHS England. Available at: https://www.england.nhs.uk/learning-disabilities/improving-health/reasonable-adjustments/ [Accessed 20 July 2026].</w:t>
      </w:r>
    </w:p>
    <w:p w14:paraId="069A823C" w14:textId="77777777" w:rsidR="00416FB6" w:rsidRPr="00416FB6" w:rsidRDefault="00416FB6" w:rsidP="00416FB6">
      <w:pPr>
        <w:spacing w:before="30" w:after="30"/>
        <w:rPr>
          <w:rFonts w:cs="Arial"/>
          <w:szCs w:val="22"/>
        </w:rPr>
      </w:pPr>
    </w:p>
    <w:p w14:paraId="7A77527F" w14:textId="77777777" w:rsidR="00416FB6" w:rsidRPr="00416FB6" w:rsidRDefault="00416FB6" w:rsidP="00416FB6">
      <w:pPr>
        <w:spacing w:before="30" w:after="30"/>
        <w:rPr>
          <w:rFonts w:cs="Arial"/>
          <w:szCs w:val="22"/>
        </w:rPr>
      </w:pPr>
      <w:r w:rsidRPr="00416FB6">
        <w:rPr>
          <w:rFonts w:cs="Arial"/>
          <w:szCs w:val="22"/>
        </w:rPr>
        <w:t xml:space="preserve">Social Care Institute </w:t>
      </w:r>
      <w:proofErr w:type="gramStart"/>
      <w:r w:rsidRPr="00416FB6">
        <w:rPr>
          <w:rFonts w:cs="Arial"/>
          <w:szCs w:val="22"/>
        </w:rPr>
        <w:t>For</w:t>
      </w:r>
      <w:proofErr w:type="gramEnd"/>
      <w:r w:rsidRPr="00416FB6">
        <w:rPr>
          <w:rFonts w:cs="Arial"/>
          <w:szCs w:val="22"/>
        </w:rPr>
        <w:t xml:space="preserve"> Excellence (2022). </w:t>
      </w:r>
      <w:r w:rsidRPr="00416FB6">
        <w:rPr>
          <w:rFonts w:cs="Arial"/>
          <w:i/>
          <w:iCs/>
          <w:szCs w:val="22"/>
        </w:rPr>
        <w:t>Multidisciplinary teams working for Integrated care</w:t>
      </w:r>
      <w:r w:rsidRPr="00416FB6">
        <w:rPr>
          <w:rFonts w:cs="Arial"/>
          <w:szCs w:val="22"/>
        </w:rPr>
        <w:t>. [online] </w:t>
      </w:r>
      <w:r w:rsidRPr="00416FB6">
        <w:rPr>
          <w:rFonts w:cs="Arial"/>
          <w:i/>
          <w:iCs/>
          <w:szCs w:val="22"/>
        </w:rPr>
        <w:t xml:space="preserve">Social Care Institute for </w:t>
      </w:r>
      <w:proofErr w:type="gramStart"/>
      <w:r w:rsidRPr="00416FB6">
        <w:rPr>
          <w:rFonts w:cs="Arial"/>
          <w:i/>
          <w:iCs/>
          <w:szCs w:val="22"/>
        </w:rPr>
        <w:t>Excellence </w:t>
      </w:r>
      <w:r w:rsidRPr="00416FB6">
        <w:rPr>
          <w:rFonts w:cs="Arial"/>
          <w:szCs w:val="22"/>
        </w:rPr>
        <w:t>.</w:t>
      </w:r>
      <w:proofErr w:type="gramEnd"/>
      <w:r w:rsidRPr="00416FB6">
        <w:rPr>
          <w:rFonts w:cs="Arial"/>
          <w:szCs w:val="22"/>
        </w:rPr>
        <w:t xml:space="preserve"> Available at: https://www.scie.org.uk/integrated-care/research-practice/activities/multidisciplinary-teams/ [Accessed 22 July 2026].</w:t>
      </w:r>
    </w:p>
    <w:p w14:paraId="1002F8FC" w14:textId="77777777" w:rsidR="00416FB6" w:rsidRPr="003B10D5" w:rsidRDefault="00416FB6" w:rsidP="00416FB6">
      <w:pPr>
        <w:spacing w:before="30" w:after="30"/>
        <w:rPr>
          <w:rFonts w:cs="Arial"/>
          <w:szCs w:val="22"/>
        </w:rPr>
      </w:pPr>
    </w:p>
    <w:sectPr w:rsidR="00416FB6" w:rsidRPr="003B10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AA3D52"/>
    <w:multiLevelType w:val="hybridMultilevel"/>
    <w:tmpl w:val="D8EEBFD6"/>
    <w:lvl w:ilvl="0" w:tplc="01A6B4E2">
      <w:start w:val="1"/>
      <w:numFmt w:val="decimal"/>
      <w:lvlText w:val="%1."/>
      <w:lvlJc w:val="left"/>
      <w:pPr>
        <w:ind w:left="1440" w:hanging="360"/>
      </w:pPr>
      <w:rPr>
        <w:rFonts w:ascii="Arial" w:eastAsia="Times New Roman" w:hAnsi="Arial" w:cs="Arial"/>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992875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472"/>
    <w:rsid w:val="000438BF"/>
    <w:rsid w:val="000B22AA"/>
    <w:rsid w:val="000B3962"/>
    <w:rsid w:val="001033CE"/>
    <w:rsid w:val="00160116"/>
    <w:rsid w:val="002B4472"/>
    <w:rsid w:val="00310BFF"/>
    <w:rsid w:val="003A49F6"/>
    <w:rsid w:val="003B10D5"/>
    <w:rsid w:val="00416FB6"/>
    <w:rsid w:val="00470560"/>
    <w:rsid w:val="004B4436"/>
    <w:rsid w:val="004B4924"/>
    <w:rsid w:val="00564EF3"/>
    <w:rsid w:val="00613729"/>
    <w:rsid w:val="00623555"/>
    <w:rsid w:val="00716181"/>
    <w:rsid w:val="007516FB"/>
    <w:rsid w:val="0076417E"/>
    <w:rsid w:val="007A1B2F"/>
    <w:rsid w:val="007A7CA0"/>
    <w:rsid w:val="008B61EF"/>
    <w:rsid w:val="008F1698"/>
    <w:rsid w:val="00986BEF"/>
    <w:rsid w:val="00A2699E"/>
    <w:rsid w:val="00AE030E"/>
    <w:rsid w:val="00BA1EA4"/>
    <w:rsid w:val="00C5170A"/>
    <w:rsid w:val="00C53E5C"/>
    <w:rsid w:val="00C9653F"/>
    <w:rsid w:val="00E51707"/>
    <w:rsid w:val="00E61321"/>
    <w:rsid w:val="00E66EF8"/>
    <w:rsid w:val="00F24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5B0DB"/>
  <w15:chartTrackingRefBased/>
  <w15:docId w15:val="{B0232363-1D9D-481C-9A67-E50D4B2CE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4472"/>
    <w:pPr>
      <w:spacing w:before="120" w:after="120" w:line="360" w:lineRule="auto"/>
    </w:pPr>
    <w:rPr>
      <w:rFonts w:ascii="Arial" w:hAnsi="Arial"/>
      <w:sz w:val="22"/>
    </w:rPr>
  </w:style>
  <w:style w:type="paragraph" w:styleId="Heading1">
    <w:name w:val="heading 1"/>
    <w:basedOn w:val="Normal"/>
    <w:next w:val="Normal"/>
    <w:link w:val="Heading1Char"/>
    <w:uiPriority w:val="9"/>
    <w:qFormat/>
    <w:rsid w:val="002B44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44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44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44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44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44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44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44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44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44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44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44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44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44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44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44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44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4472"/>
    <w:rPr>
      <w:rFonts w:eastAsiaTheme="majorEastAsia" w:cstheme="majorBidi"/>
      <w:color w:val="272727" w:themeColor="text1" w:themeTint="D8"/>
    </w:rPr>
  </w:style>
  <w:style w:type="paragraph" w:styleId="Title">
    <w:name w:val="Title"/>
    <w:basedOn w:val="Normal"/>
    <w:next w:val="Normal"/>
    <w:link w:val="TitleChar"/>
    <w:uiPriority w:val="10"/>
    <w:qFormat/>
    <w:rsid w:val="002B44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44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44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44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4472"/>
    <w:pPr>
      <w:spacing w:before="160"/>
      <w:jc w:val="center"/>
    </w:pPr>
    <w:rPr>
      <w:i/>
      <w:iCs/>
      <w:color w:val="404040" w:themeColor="text1" w:themeTint="BF"/>
    </w:rPr>
  </w:style>
  <w:style w:type="character" w:customStyle="1" w:styleId="QuoteChar">
    <w:name w:val="Quote Char"/>
    <w:basedOn w:val="DefaultParagraphFont"/>
    <w:link w:val="Quote"/>
    <w:uiPriority w:val="29"/>
    <w:rsid w:val="002B4472"/>
    <w:rPr>
      <w:i/>
      <w:iCs/>
      <w:color w:val="404040" w:themeColor="text1" w:themeTint="BF"/>
    </w:rPr>
  </w:style>
  <w:style w:type="paragraph" w:styleId="ListParagraph">
    <w:name w:val="List Paragraph"/>
    <w:basedOn w:val="Normal"/>
    <w:link w:val="ListParagraphChar"/>
    <w:uiPriority w:val="34"/>
    <w:qFormat/>
    <w:rsid w:val="002B4472"/>
    <w:pPr>
      <w:ind w:left="720"/>
      <w:contextualSpacing/>
    </w:pPr>
  </w:style>
  <w:style w:type="character" w:styleId="IntenseEmphasis">
    <w:name w:val="Intense Emphasis"/>
    <w:basedOn w:val="DefaultParagraphFont"/>
    <w:uiPriority w:val="21"/>
    <w:qFormat/>
    <w:rsid w:val="002B4472"/>
    <w:rPr>
      <w:i/>
      <w:iCs/>
      <w:color w:val="0F4761" w:themeColor="accent1" w:themeShade="BF"/>
    </w:rPr>
  </w:style>
  <w:style w:type="paragraph" w:styleId="IntenseQuote">
    <w:name w:val="Intense Quote"/>
    <w:basedOn w:val="Normal"/>
    <w:next w:val="Normal"/>
    <w:link w:val="IntenseQuoteChar"/>
    <w:uiPriority w:val="30"/>
    <w:qFormat/>
    <w:rsid w:val="002B44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4472"/>
    <w:rPr>
      <w:i/>
      <w:iCs/>
      <w:color w:val="0F4761" w:themeColor="accent1" w:themeShade="BF"/>
    </w:rPr>
  </w:style>
  <w:style w:type="character" w:styleId="IntenseReference">
    <w:name w:val="Intense Reference"/>
    <w:basedOn w:val="DefaultParagraphFont"/>
    <w:uiPriority w:val="32"/>
    <w:qFormat/>
    <w:rsid w:val="002B4472"/>
    <w:rPr>
      <w:b/>
      <w:bCs/>
      <w:smallCaps/>
      <w:color w:val="0F4761" w:themeColor="accent1" w:themeShade="BF"/>
      <w:spacing w:val="5"/>
    </w:rPr>
  </w:style>
  <w:style w:type="character" w:customStyle="1" w:styleId="ListParagraphChar">
    <w:name w:val="List Paragraph Char"/>
    <w:link w:val="ListParagraph"/>
    <w:uiPriority w:val="34"/>
    <w:locked/>
    <w:rsid w:val="00E613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06b4cef484c0750a2b3ebd2f0ba4ab40">
  <xsd:schema xmlns:xsd="http://www.w3.org/2001/XMLSchema" xmlns:xs="http://www.w3.org/2001/XMLSchema" xmlns:p="http://schemas.microsoft.com/office/2006/metadata/properties" xmlns:ns3="901b7179-a49d-4669-ab88-101a0e80079b" targetNamespace="http://schemas.microsoft.com/office/2006/metadata/properties" ma:root="true" ma:fieldsID="d6196e2191cbddd4e040f3aebb9b27e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07CBA3-F5C2-45AA-96B8-CD86FAF8A6FF}">
  <ds:schemaRefs>
    <ds:schemaRef ds:uri="http://schemas.microsoft.com/office/2006/metadata/properties"/>
    <ds:schemaRef ds:uri="http://schemas.microsoft.com/office/infopath/2007/PartnerControls"/>
    <ds:schemaRef ds:uri="901b7179-a49d-4669-ab88-101a0e80079b"/>
  </ds:schemaRefs>
</ds:datastoreItem>
</file>

<file path=customXml/itemProps2.xml><?xml version="1.0" encoding="utf-8"?>
<ds:datastoreItem xmlns:ds="http://schemas.openxmlformats.org/officeDocument/2006/customXml" ds:itemID="{5AB37549-E027-4220-8EAC-FEEFCD37F773}">
  <ds:schemaRefs>
    <ds:schemaRef ds:uri="http://schemas.microsoft.com/sharepoint/v3/contenttype/forms"/>
  </ds:schemaRefs>
</ds:datastoreItem>
</file>

<file path=customXml/itemProps3.xml><?xml version="1.0" encoding="utf-8"?>
<ds:datastoreItem xmlns:ds="http://schemas.openxmlformats.org/officeDocument/2006/customXml" ds:itemID="{54E7655F-0C2E-46FC-8856-9FBE9C2BD9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1826</Words>
  <Characters>10412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Khakh (2417736)</dc:creator>
  <cp:keywords/>
  <dc:description/>
  <cp:lastModifiedBy>Katrina Khakh (2417736)</cp:lastModifiedBy>
  <cp:revision>2</cp:revision>
  <dcterms:created xsi:type="dcterms:W3CDTF">2026-07-27T13:55:00Z</dcterms:created>
  <dcterms:modified xsi:type="dcterms:W3CDTF">2026-07-27T13:55:00Z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