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6E57" w:rsidRDefault="00E35CB6">
      <w:pPr>
        <w:jc w:val="center"/>
        <w:rPr>
          <w:b/>
          <w:sz w:val="36"/>
          <w:szCs w:val="36"/>
        </w:rPr>
      </w:pPr>
      <w:r>
        <w:rPr>
          <w:b/>
          <w:noProof/>
          <w:sz w:val="36"/>
          <w:szCs w:val="36"/>
        </w:rPr>
        <w:drawing>
          <wp:inline distT="0" distB="0" distL="0" distR="0" wp14:anchorId="1D71B22B" wp14:editId="2DCCEB92">
            <wp:extent cx="1990725" cy="714375"/>
            <wp:effectExtent l="0" t="0" r="9525" b="9525"/>
            <wp:docPr id="14978779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01658" cy="718298"/>
                    </a:xfrm>
                    <a:prstGeom prst="rect">
                      <a:avLst/>
                    </a:prstGeom>
                    <a:ln/>
                  </pic:spPr>
                </pic:pic>
              </a:graphicData>
            </a:graphic>
          </wp:inline>
        </w:drawing>
      </w:r>
    </w:p>
    <w:p w:rsidR="005F6E57" w:rsidRDefault="005F6E57">
      <w:pPr>
        <w:jc w:val="center"/>
        <w:rPr>
          <w:b/>
          <w:sz w:val="36"/>
          <w:szCs w:val="36"/>
        </w:rPr>
      </w:pPr>
    </w:p>
    <w:p w:rsidR="005F6E57" w:rsidRDefault="005F6E57">
      <w:pPr>
        <w:jc w:val="center"/>
        <w:rPr>
          <w:b/>
          <w:sz w:val="36"/>
          <w:szCs w:val="36"/>
        </w:rPr>
      </w:pPr>
    </w:p>
    <w:p w:rsidR="005F6E57" w:rsidRPr="00E35CB6" w:rsidRDefault="005F6E57">
      <w:pPr>
        <w:jc w:val="center"/>
        <w:rPr>
          <w:b/>
          <w:sz w:val="36"/>
          <w:szCs w:val="36"/>
        </w:rPr>
      </w:pPr>
    </w:p>
    <w:p w:rsidR="005F6E57" w:rsidRPr="00E35CB6" w:rsidRDefault="005365C1">
      <w:pPr>
        <w:jc w:val="center"/>
        <w:rPr>
          <w:b/>
          <w:sz w:val="36"/>
          <w:szCs w:val="36"/>
        </w:rPr>
      </w:pPr>
      <w:r w:rsidRPr="00E35CB6">
        <w:rPr>
          <w:b/>
          <w:sz w:val="36"/>
          <w:szCs w:val="36"/>
        </w:rPr>
        <w:t>Module Title:</w:t>
      </w:r>
      <w:r w:rsidRPr="00E35CB6">
        <w:rPr>
          <w:sz w:val="36"/>
          <w:szCs w:val="36"/>
        </w:rPr>
        <w:t xml:space="preserve"> </w:t>
      </w:r>
      <w:r w:rsidRPr="00E35CB6">
        <w:rPr>
          <w:b/>
          <w:sz w:val="36"/>
          <w:szCs w:val="36"/>
        </w:rPr>
        <w:t>International Financial Management</w:t>
      </w:r>
    </w:p>
    <w:p w:rsidR="005F6E57" w:rsidRPr="00E35CB6" w:rsidRDefault="005365C1">
      <w:pPr>
        <w:jc w:val="center"/>
        <w:rPr>
          <w:b/>
          <w:sz w:val="36"/>
          <w:szCs w:val="36"/>
        </w:rPr>
      </w:pPr>
      <w:r w:rsidRPr="00E35CB6">
        <w:rPr>
          <w:b/>
          <w:sz w:val="36"/>
          <w:szCs w:val="36"/>
        </w:rPr>
        <w:t>(LCBB6002)</w:t>
      </w:r>
    </w:p>
    <w:p w:rsidR="005F6E57" w:rsidRPr="00E35CB6" w:rsidRDefault="005365C1">
      <w:pPr>
        <w:jc w:val="center"/>
        <w:rPr>
          <w:b/>
          <w:sz w:val="36"/>
          <w:szCs w:val="36"/>
        </w:rPr>
      </w:pPr>
      <w:proofErr w:type="gramStart"/>
      <w:r w:rsidRPr="00E35CB6">
        <w:rPr>
          <w:b/>
          <w:sz w:val="36"/>
          <w:szCs w:val="36"/>
        </w:rPr>
        <w:t xml:space="preserve">Assignment </w:t>
      </w:r>
      <w:r w:rsidR="00122710">
        <w:rPr>
          <w:b/>
          <w:sz w:val="36"/>
          <w:szCs w:val="36"/>
        </w:rPr>
        <w:t>1.</w:t>
      </w:r>
      <w:proofErr w:type="gramEnd"/>
      <w:r w:rsidR="00122710">
        <w:rPr>
          <w:b/>
          <w:sz w:val="36"/>
          <w:szCs w:val="36"/>
        </w:rPr>
        <w:t xml:space="preserve"> </w:t>
      </w:r>
      <w:r w:rsidRPr="00E35CB6">
        <w:rPr>
          <w:b/>
          <w:sz w:val="36"/>
          <w:szCs w:val="36"/>
        </w:rPr>
        <w:t>Title: Report</w:t>
      </w:r>
    </w:p>
    <w:p w:rsidR="005F6E57" w:rsidRPr="00E35CB6" w:rsidRDefault="005365C1">
      <w:pPr>
        <w:jc w:val="center"/>
        <w:rPr>
          <w:b/>
          <w:sz w:val="36"/>
          <w:szCs w:val="36"/>
        </w:rPr>
      </w:pPr>
      <w:r w:rsidRPr="00E35CB6">
        <w:rPr>
          <w:b/>
          <w:sz w:val="36"/>
          <w:szCs w:val="36"/>
        </w:rPr>
        <w:t>Student Name:</w:t>
      </w:r>
      <w:r w:rsidR="00E35CB6">
        <w:rPr>
          <w:b/>
          <w:sz w:val="36"/>
          <w:szCs w:val="36"/>
        </w:rPr>
        <w:t xml:space="preserve"> </w:t>
      </w:r>
      <w:r w:rsidR="00B34C01">
        <w:rPr>
          <w:b/>
          <w:sz w:val="36"/>
          <w:szCs w:val="36"/>
        </w:rPr>
        <w:t>Georgiana Repciuc</w:t>
      </w:r>
      <w:bookmarkStart w:id="0" w:name="_GoBack"/>
      <w:bookmarkEnd w:id="0"/>
    </w:p>
    <w:p w:rsidR="005F6E57" w:rsidRPr="00E35CB6" w:rsidRDefault="005365C1">
      <w:pPr>
        <w:jc w:val="center"/>
        <w:rPr>
          <w:b/>
          <w:sz w:val="36"/>
          <w:szCs w:val="36"/>
        </w:rPr>
      </w:pPr>
      <w:r w:rsidRPr="00E35CB6">
        <w:rPr>
          <w:b/>
          <w:sz w:val="36"/>
          <w:szCs w:val="36"/>
        </w:rPr>
        <w:t>Student ID</w:t>
      </w:r>
      <w:proofErr w:type="gramStart"/>
      <w:r w:rsidRPr="00E35CB6">
        <w:rPr>
          <w:b/>
          <w:sz w:val="36"/>
          <w:szCs w:val="36"/>
        </w:rPr>
        <w:t>:</w:t>
      </w:r>
      <w:r w:rsidR="00E35CB6">
        <w:rPr>
          <w:b/>
          <w:sz w:val="36"/>
          <w:szCs w:val="36"/>
        </w:rPr>
        <w:t>2123846</w:t>
      </w:r>
      <w:proofErr w:type="gramEnd"/>
    </w:p>
    <w:p w:rsidR="005F6E57" w:rsidRDefault="005365C1">
      <w:pPr>
        <w:spacing w:line="276" w:lineRule="auto"/>
        <w:jc w:val="left"/>
        <w:rPr>
          <w:b/>
        </w:rPr>
      </w:pPr>
      <w:r>
        <w:br w:type="page"/>
      </w:r>
    </w:p>
    <w:p w:rsidR="005F6E57" w:rsidRPr="00E35CB6" w:rsidRDefault="005365C1" w:rsidP="00E35CB6">
      <w:pPr>
        <w:pBdr>
          <w:top w:val="nil"/>
          <w:left w:val="nil"/>
          <w:bottom w:val="nil"/>
          <w:right w:val="nil"/>
          <w:between w:val="nil"/>
        </w:pBdr>
        <w:spacing w:after="0"/>
        <w:jc w:val="center"/>
        <w:rPr>
          <w:color w:val="000000"/>
          <w:sz w:val="28"/>
          <w:szCs w:val="28"/>
        </w:rPr>
      </w:pPr>
      <w:r w:rsidRPr="00E35CB6">
        <w:rPr>
          <w:b/>
          <w:color w:val="000000"/>
          <w:sz w:val="28"/>
          <w:szCs w:val="28"/>
        </w:rPr>
        <w:lastRenderedPageBreak/>
        <w:t>Executive Summary</w:t>
      </w:r>
    </w:p>
    <w:p w:rsidR="005F6E57" w:rsidRPr="00E35CB6" w:rsidRDefault="005365C1" w:rsidP="00E35CB6">
      <w:pPr>
        <w:pBdr>
          <w:top w:val="nil"/>
          <w:left w:val="nil"/>
          <w:bottom w:val="nil"/>
          <w:right w:val="nil"/>
          <w:between w:val="nil"/>
        </w:pBdr>
        <w:spacing w:after="0"/>
        <w:rPr>
          <w:color w:val="000000"/>
          <w:sz w:val="28"/>
          <w:szCs w:val="28"/>
        </w:rPr>
      </w:pPr>
      <w:r w:rsidRPr="00E35CB6">
        <w:rPr>
          <w:color w:val="000000"/>
          <w:sz w:val="28"/>
          <w:szCs w:val="28"/>
        </w:rPr>
        <w:t xml:space="preserve">The term finance management could be referred to as the process of collecting and handling the investments gained from potential stakeholders. British Petroleum is a widely renowned business venture and hence this following report has demonstrated a brief overview of the company.  The interest rate parity model has elaborated the international financial regulation concept. The aspects of the trade-off model have also been illustrated in this report. Apart from that, as a part of their international investment approach, the </w:t>
      </w:r>
      <w:proofErr w:type="gramStart"/>
      <w:r w:rsidRPr="00E35CB6">
        <w:rPr>
          <w:color w:val="000000"/>
          <w:sz w:val="28"/>
          <w:szCs w:val="28"/>
        </w:rPr>
        <w:t>opportunity of higher investment opportunities and innovative projects have</w:t>
      </w:r>
      <w:proofErr w:type="gramEnd"/>
      <w:r w:rsidRPr="00E35CB6">
        <w:rPr>
          <w:color w:val="000000"/>
          <w:sz w:val="28"/>
          <w:szCs w:val="28"/>
        </w:rPr>
        <w:t xml:space="preserve"> been outlined as well. Additionally, joint ventures and the global bond market have again been incorporated as financial resources for British Petroleum at the very end of the report.</w:t>
      </w:r>
    </w:p>
    <w:p w:rsidR="005F6E57" w:rsidRPr="00E35CB6" w:rsidRDefault="005365C1" w:rsidP="00E35CB6">
      <w:pPr>
        <w:jc w:val="left"/>
        <w:rPr>
          <w:b/>
          <w:sz w:val="28"/>
          <w:szCs w:val="28"/>
        </w:rPr>
      </w:pPr>
      <w:r w:rsidRPr="00E35CB6">
        <w:rPr>
          <w:sz w:val="28"/>
          <w:szCs w:val="28"/>
        </w:rPr>
        <w:br w:type="page"/>
      </w:r>
    </w:p>
    <w:p w:rsidR="005F6E57" w:rsidRPr="00E35CB6" w:rsidRDefault="00E35CB6" w:rsidP="00E35CB6">
      <w:pPr>
        <w:keepNext/>
        <w:keepLines/>
        <w:pBdr>
          <w:top w:val="nil"/>
          <w:left w:val="nil"/>
          <w:bottom w:val="nil"/>
          <w:right w:val="nil"/>
          <w:between w:val="nil"/>
        </w:pBdr>
        <w:spacing w:before="480" w:after="0"/>
        <w:jc w:val="left"/>
        <w:rPr>
          <w:sz w:val="28"/>
          <w:szCs w:val="28"/>
        </w:rPr>
      </w:pPr>
      <w:r>
        <w:rPr>
          <w:rFonts w:ascii="Cambria" w:eastAsia="Cambria" w:hAnsi="Cambria" w:cs="Cambria"/>
          <w:b/>
          <w:color w:val="366091"/>
          <w:sz w:val="28"/>
          <w:szCs w:val="28"/>
        </w:rPr>
        <w:lastRenderedPageBreak/>
        <w:t>Table of Contents</w:t>
      </w:r>
    </w:p>
    <w:sdt>
      <w:sdtPr>
        <w:rPr>
          <w:sz w:val="28"/>
          <w:szCs w:val="28"/>
        </w:rPr>
        <w:id w:val="1128438598"/>
        <w:docPartObj>
          <w:docPartGallery w:val="Table of Contents"/>
          <w:docPartUnique/>
        </w:docPartObj>
      </w:sdtPr>
      <w:sdtEndPr/>
      <w:sdtContent>
        <w:p w:rsidR="005F6E57" w:rsidRPr="00E35CB6" w:rsidRDefault="005365C1" w:rsidP="00E35CB6">
          <w:pPr>
            <w:widowControl w:val="0"/>
            <w:tabs>
              <w:tab w:val="right" w:leader="dot" w:pos="9360"/>
            </w:tabs>
            <w:spacing w:before="60" w:after="0"/>
            <w:jc w:val="left"/>
            <w:rPr>
              <w:b/>
              <w:color w:val="000000"/>
              <w:sz w:val="28"/>
              <w:szCs w:val="28"/>
            </w:rPr>
          </w:pPr>
          <w:r w:rsidRPr="00E35CB6">
            <w:rPr>
              <w:sz w:val="28"/>
              <w:szCs w:val="28"/>
            </w:rPr>
            <w:fldChar w:fldCharType="begin"/>
          </w:r>
          <w:r w:rsidRPr="00E35CB6">
            <w:rPr>
              <w:sz w:val="28"/>
              <w:szCs w:val="28"/>
            </w:rPr>
            <w:instrText xml:space="preserve"> TOC \h \u \z \t "Heading 1,1,Heading 2,2,Heading 3,3,Heading 4,4,Heading 5,5,Heading 6,6,"</w:instrText>
          </w:r>
          <w:r w:rsidRPr="00E35CB6">
            <w:rPr>
              <w:sz w:val="28"/>
              <w:szCs w:val="28"/>
            </w:rPr>
            <w:fldChar w:fldCharType="separate"/>
          </w:r>
          <w:hyperlink w:anchor="_heading=h.gjdgxs">
            <w:r w:rsidRPr="00E35CB6">
              <w:rPr>
                <w:b/>
                <w:color w:val="000000"/>
                <w:sz w:val="28"/>
                <w:szCs w:val="28"/>
              </w:rPr>
              <w:t>Introduction</w:t>
            </w:r>
            <w:r w:rsidRPr="00E35CB6">
              <w:rPr>
                <w:b/>
                <w:color w:val="000000"/>
                <w:sz w:val="28"/>
                <w:szCs w:val="28"/>
              </w:rPr>
              <w:tab/>
            </w:r>
          </w:hyperlink>
          <w:r w:rsidRPr="00E35CB6">
            <w:rPr>
              <w:sz w:val="28"/>
              <w:szCs w:val="28"/>
            </w:rPr>
            <w:fldChar w:fldCharType="begin"/>
          </w:r>
          <w:r w:rsidRPr="00E35CB6">
            <w:rPr>
              <w:sz w:val="28"/>
              <w:szCs w:val="28"/>
            </w:rPr>
            <w:instrText xml:space="preserve"> PAGEREF _heading=h.gjdgxs \h </w:instrText>
          </w:r>
          <w:r w:rsidRPr="00E35CB6">
            <w:rPr>
              <w:sz w:val="28"/>
              <w:szCs w:val="28"/>
            </w:rPr>
          </w:r>
          <w:r w:rsidRPr="00E35CB6">
            <w:rPr>
              <w:sz w:val="28"/>
              <w:szCs w:val="28"/>
            </w:rPr>
            <w:fldChar w:fldCharType="separate"/>
          </w:r>
          <w:r w:rsidRPr="00E35CB6">
            <w:rPr>
              <w:b/>
              <w:sz w:val="28"/>
              <w:szCs w:val="28"/>
            </w:rPr>
            <w:t>4</w:t>
          </w:r>
          <w:r w:rsidRPr="00E35CB6">
            <w:rPr>
              <w:sz w:val="28"/>
              <w:szCs w:val="28"/>
            </w:rPr>
            <w:fldChar w:fldCharType="end"/>
          </w:r>
        </w:p>
        <w:p w:rsidR="005F6E57" w:rsidRPr="00E35CB6" w:rsidRDefault="004F6372" w:rsidP="00E35CB6">
          <w:pPr>
            <w:widowControl w:val="0"/>
            <w:tabs>
              <w:tab w:val="right" w:leader="dot" w:pos="9360"/>
            </w:tabs>
            <w:spacing w:before="60" w:after="0"/>
            <w:ind w:left="360"/>
            <w:jc w:val="left"/>
            <w:rPr>
              <w:color w:val="000000"/>
              <w:sz w:val="28"/>
              <w:szCs w:val="28"/>
            </w:rPr>
          </w:pPr>
          <w:hyperlink w:anchor="_heading=h.30j0zll">
            <w:r w:rsidR="005365C1" w:rsidRPr="00E35CB6">
              <w:rPr>
                <w:color w:val="000000"/>
                <w:sz w:val="28"/>
                <w:szCs w:val="28"/>
              </w:rPr>
              <w:t>Overview of British Petroleum</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_heading=h.30j0zll \h </w:instrText>
          </w:r>
          <w:r w:rsidR="005365C1" w:rsidRPr="00E35CB6">
            <w:rPr>
              <w:sz w:val="28"/>
              <w:szCs w:val="28"/>
            </w:rPr>
          </w:r>
          <w:r w:rsidR="005365C1" w:rsidRPr="00E35CB6">
            <w:rPr>
              <w:sz w:val="28"/>
              <w:szCs w:val="28"/>
            </w:rPr>
            <w:fldChar w:fldCharType="separate"/>
          </w:r>
          <w:r w:rsidR="005365C1" w:rsidRPr="00E35CB6">
            <w:rPr>
              <w:sz w:val="28"/>
              <w:szCs w:val="28"/>
            </w:rPr>
            <w:t>5</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360"/>
            <w:jc w:val="left"/>
            <w:rPr>
              <w:color w:val="000000"/>
              <w:sz w:val="28"/>
              <w:szCs w:val="28"/>
            </w:rPr>
          </w:pPr>
          <w:hyperlink w:anchor="_heading=h.1fob9te">
            <w:r w:rsidR="005365C1" w:rsidRPr="00E35CB6">
              <w:rPr>
                <w:color w:val="000000"/>
                <w:sz w:val="28"/>
                <w:szCs w:val="28"/>
              </w:rPr>
              <w:t>Analysis of distinct theoretical frameworks and models of International finance regulation</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_heading=h.1fob9te \h </w:instrText>
          </w:r>
          <w:r w:rsidR="005365C1" w:rsidRPr="00E35CB6">
            <w:rPr>
              <w:sz w:val="28"/>
              <w:szCs w:val="28"/>
            </w:rPr>
          </w:r>
          <w:r w:rsidR="005365C1" w:rsidRPr="00E35CB6">
            <w:rPr>
              <w:sz w:val="28"/>
              <w:szCs w:val="28"/>
            </w:rPr>
            <w:fldChar w:fldCharType="separate"/>
          </w:r>
          <w:r w:rsidR="005365C1" w:rsidRPr="00E35CB6">
            <w:rPr>
              <w:sz w:val="28"/>
              <w:szCs w:val="28"/>
            </w:rPr>
            <w:t>6</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720"/>
            <w:jc w:val="left"/>
            <w:rPr>
              <w:color w:val="000000"/>
              <w:sz w:val="28"/>
              <w:szCs w:val="28"/>
            </w:rPr>
          </w:pPr>
          <w:hyperlink w:anchor="_heading=h.3znysh7">
            <w:r w:rsidR="005365C1" w:rsidRPr="00E35CB6">
              <w:rPr>
                <w:color w:val="000000"/>
                <w:sz w:val="28"/>
                <w:szCs w:val="28"/>
              </w:rPr>
              <w:t>Concept</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_heading=h.3znysh7 \h </w:instrText>
          </w:r>
          <w:r w:rsidR="005365C1" w:rsidRPr="00E35CB6">
            <w:rPr>
              <w:sz w:val="28"/>
              <w:szCs w:val="28"/>
            </w:rPr>
          </w:r>
          <w:r w:rsidR="005365C1" w:rsidRPr="00E35CB6">
            <w:rPr>
              <w:sz w:val="28"/>
              <w:szCs w:val="28"/>
            </w:rPr>
            <w:fldChar w:fldCharType="separate"/>
          </w:r>
          <w:r w:rsidR="005365C1" w:rsidRPr="00E35CB6">
            <w:rPr>
              <w:sz w:val="28"/>
              <w:szCs w:val="28"/>
            </w:rPr>
            <w:t>6</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720"/>
            <w:jc w:val="left"/>
            <w:rPr>
              <w:color w:val="000000"/>
              <w:sz w:val="28"/>
              <w:szCs w:val="28"/>
            </w:rPr>
          </w:pPr>
          <w:hyperlink w:anchor="_heading=h.2et92p0">
            <w:r w:rsidR="005365C1" w:rsidRPr="00E35CB6">
              <w:rPr>
                <w:color w:val="000000"/>
                <w:sz w:val="28"/>
                <w:szCs w:val="28"/>
              </w:rPr>
              <w:t>Theoretical frameworks and models linked with international finance regulation</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_heading=h.2et92p0 \h </w:instrText>
          </w:r>
          <w:r w:rsidR="005365C1" w:rsidRPr="00E35CB6">
            <w:rPr>
              <w:sz w:val="28"/>
              <w:szCs w:val="28"/>
            </w:rPr>
          </w:r>
          <w:r w:rsidR="005365C1" w:rsidRPr="00E35CB6">
            <w:rPr>
              <w:sz w:val="28"/>
              <w:szCs w:val="28"/>
            </w:rPr>
            <w:fldChar w:fldCharType="separate"/>
          </w:r>
          <w:r w:rsidR="005365C1" w:rsidRPr="00E35CB6">
            <w:rPr>
              <w:sz w:val="28"/>
              <w:szCs w:val="28"/>
            </w:rPr>
            <w:t>7</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360"/>
            <w:jc w:val="left"/>
            <w:rPr>
              <w:color w:val="000000"/>
              <w:sz w:val="28"/>
              <w:szCs w:val="28"/>
            </w:rPr>
          </w:pPr>
          <w:hyperlink w:anchor="_heading=h.tyjcwt">
            <w:r w:rsidR="005365C1" w:rsidRPr="00E35CB6">
              <w:rPr>
                <w:color w:val="000000"/>
                <w:sz w:val="28"/>
                <w:szCs w:val="28"/>
              </w:rPr>
              <w:t>Assessment of the role and impact of diverse financing sources and measures adopted by British Petroleum for financing international operations</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_heading=h.tyjcwt \h </w:instrText>
          </w:r>
          <w:r w:rsidR="005365C1" w:rsidRPr="00E35CB6">
            <w:rPr>
              <w:sz w:val="28"/>
              <w:szCs w:val="28"/>
            </w:rPr>
          </w:r>
          <w:r w:rsidR="005365C1" w:rsidRPr="00E35CB6">
            <w:rPr>
              <w:sz w:val="28"/>
              <w:szCs w:val="28"/>
            </w:rPr>
            <w:fldChar w:fldCharType="separate"/>
          </w:r>
          <w:r w:rsidR="005365C1" w:rsidRPr="00E35CB6">
            <w:rPr>
              <w:sz w:val="28"/>
              <w:szCs w:val="28"/>
            </w:rPr>
            <w:t>9</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720"/>
            <w:jc w:val="left"/>
            <w:rPr>
              <w:color w:val="000000"/>
              <w:sz w:val="28"/>
              <w:szCs w:val="28"/>
            </w:rPr>
          </w:pPr>
          <w:hyperlink w:anchor="_heading=h.3dy6vkm">
            <w:r w:rsidR="005365C1" w:rsidRPr="00E35CB6">
              <w:rPr>
                <w:color w:val="000000"/>
                <w:sz w:val="28"/>
                <w:szCs w:val="28"/>
              </w:rPr>
              <w:t>Diverse financing sources and strategies of British Petroleum</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_heading=h.3dy6vkm \h </w:instrText>
          </w:r>
          <w:r w:rsidR="005365C1" w:rsidRPr="00E35CB6">
            <w:rPr>
              <w:sz w:val="28"/>
              <w:szCs w:val="28"/>
            </w:rPr>
          </w:r>
          <w:r w:rsidR="005365C1" w:rsidRPr="00E35CB6">
            <w:rPr>
              <w:sz w:val="28"/>
              <w:szCs w:val="28"/>
            </w:rPr>
            <w:fldChar w:fldCharType="separate"/>
          </w:r>
          <w:r w:rsidR="005365C1" w:rsidRPr="00E35CB6">
            <w:rPr>
              <w:sz w:val="28"/>
              <w:szCs w:val="28"/>
            </w:rPr>
            <w:t>9</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720"/>
            <w:jc w:val="left"/>
            <w:rPr>
              <w:color w:val="000000"/>
              <w:sz w:val="28"/>
              <w:szCs w:val="28"/>
            </w:rPr>
          </w:pPr>
          <w:hyperlink w:anchor="_heading=h.1t3h5sf">
            <w:r w:rsidR="005365C1" w:rsidRPr="00E35CB6">
              <w:rPr>
                <w:color w:val="000000"/>
                <w:sz w:val="28"/>
                <w:szCs w:val="28"/>
              </w:rPr>
              <w:t>Application of the international financial strategies of British Petroleum</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_heading=h.1t3h5sf \h </w:instrText>
          </w:r>
          <w:r w:rsidR="005365C1" w:rsidRPr="00E35CB6">
            <w:rPr>
              <w:sz w:val="28"/>
              <w:szCs w:val="28"/>
            </w:rPr>
          </w:r>
          <w:r w:rsidR="005365C1" w:rsidRPr="00E35CB6">
            <w:rPr>
              <w:sz w:val="28"/>
              <w:szCs w:val="28"/>
            </w:rPr>
            <w:fldChar w:fldCharType="separate"/>
          </w:r>
          <w:r w:rsidR="005365C1" w:rsidRPr="00E35CB6">
            <w:rPr>
              <w:sz w:val="28"/>
              <w:szCs w:val="28"/>
            </w:rPr>
            <w:t>9</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720"/>
            <w:jc w:val="left"/>
            <w:rPr>
              <w:color w:val="000000"/>
              <w:sz w:val="28"/>
              <w:szCs w:val="28"/>
            </w:rPr>
          </w:pPr>
          <w:hyperlink w:anchor="_heading=h.4d34og8">
            <w:r w:rsidR="005365C1" w:rsidRPr="00E35CB6">
              <w:rPr>
                <w:color w:val="000000"/>
                <w:sz w:val="28"/>
                <w:szCs w:val="28"/>
              </w:rPr>
              <w:t>Impact of the financial measures adopted by British Petroleum</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_heading=h.4d34og8 \h </w:instrText>
          </w:r>
          <w:r w:rsidR="005365C1" w:rsidRPr="00E35CB6">
            <w:rPr>
              <w:sz w:val="28"/>
              <w:szCs w:val="28"/>
            </w:rPr>
          </w:r>
          <w:r w:rsidR="005365C1" w:rsidRPr="00E35CB6">
            <w:rPr>
              <w:sz w:val="28"/>
              <w:szCs w:val="28"/>
            </w:rPr>
            <w:fldChar w:fldCharType="separate"/>
          </w:r>
          <w:r w:rsidR="005365C1" w:rsidRPr="00E35CB6">
            <w:rPr>
              <w:sz w:val="28"/>
              <w:szCs w:val="28"/>
            </w:rPr>
            <w:t>10</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360"/>
            <w:jc w:val="left"/>
            <w:rPr>
              <w:color w:val="000000"/>
              <w:sz w:val="28"/>
              <w:szCs w:val="28"/>
            </w:rPr>
          </w:pPr>
          <w:hyperlink w:anchor="_heading=h.2s8eyo1">
            <w:r w:rsidR="005365C1" w:rsidRPr="00E35CB6">
              <w:rPr>
                <w:color w:val="000000"/>
                <w:sz w:val="28"/>
                <w:szCs w:val="28"/>
              </w:rPr>
              <w:t>Analysis of diverse models and theoretical framework of corporate value, financial structure and international cost of capital</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_heading=h.2s8eyo1 \h </w:instrText>
          </w:r>
          <w:r w:rsidR="005365C1" w:rsidRPr="00E35CB6">
            <w:rPr>
              <w:sz w:val="28"/>
              <w:szCs w:val="28"/>
            </w:rPr>
          </w:r>
          <w:r w:rsidR="005365C1" w:rsidRPr="00E35CB6">
            <w:rPr>
              <w:sz w:val="28"/>
              <w:szCs w:val="28"/>
            </w:rPr>
            <w:fldChar w:fldCharType="separate"/>
          </w:r>
          <w:r w:rsidR="005365C1" w:rsidRPr="00E35CB6">
            <w:rPr>
              <w:sz w:val="28"/>
              <w:szCs w:val="28"/>
            </w:rPr>
            <w:t>11</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720"/>
            <w:jc w:val="left"/>
            <w:rPr>
              <w:color w:val="000000"/>
              <w:sz w:val="28"/>
              <w:szCs w:val="28"/>
            </w:rPr>
          </w:pPr>
          <w:hyperlink w:anchor="_heading=h.17dp8vu">
            <w:r w:rsidR="005365C1" w:rsidRPr="00E35CB6">
              <w:rPr>
                <w:color w:val="000000"/>
                <w:sz w:val="28"/>
                <w:szCs w:val="28"/>
              </w:rPr>
              <w:t>The theoretical framework of corporate value</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_heading=h.17dp8vu \h </w:instrText>
          </w:r>
          <w:r w:rsidR="005365C1" w:rsidRPr="00E35CB6">
            <w:rPr>
              <w:sz w:val="28"/>
              <w:szCs w:val="28"/>
            </w:rPr>
          </w:r>
          <w:r w:rsidR="005365C1" w:rsidRPr="00E35CB6">
            <w:rPr>
              <w:sz w:val="28"/>
              <w:szCs w:val="28"/>
            </w:rPr>
            <w:fldChar w:fldCharType="separate"/>
          </w:r>
          <w:r w:rsidR="005365C1" w:rsidRPr="00E35CB6">
            <w:rPr>
              <w:sz w:val="28"/>
              <w:szCs w:val="28"/>
            </w:rPr>
            <w:t>11</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720"/>
            <w:jc w:val="left"/>
            <w:rPr>
              <w:color w:val="000000"/>
              <w:sz w:val="28"/>
              <w:szCs w:val="28"/>
            </w:rPr>
          </w:pPr>
          <w:hyperlink w:anchor="_heading=h.3rdcrjn">
            <w:r w:rsidR="005365C1" w:rsidRPr="00E35CB6">
              <w:rPr>
                <w:color w:val="000000"/>
                <w:sz w:val="28"/>
                <w:szCs w:val="28"/>
              </w:rPr>
              <w:t>Theoretical framework of financial structure</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_heading=h.3rdcrjn \h </w:instrText>
          </w:r>
          <w:r w:rsidR="005365C1" w:rsidRPr="00E35CB6">
            <w:rPr>
              <w:sz w:val="28"/>
              <w:szCs w:val="28"/>
            </w:rPr>
          </w:r>
          <w:r w:rsidR="005365C1" w:rsidRPr="00E35CB6">
            <w:rPr>
              <w:sz w:val="28"/>
              <w:szCs w:val="28"/>
            </w:rPr>
            <w:fldChar w:fldCharType="separate"/>
          </w:r>
          <w:r w:rsidR="005365C1" w:rsidRPr="00E35CB6">
            <w:rPr>
              <w:sz w:val="28"/>
              <w:szCs w:val="28"/>
            </w:rPr>
            <w:t>11</w:t>
          </w:r>
          <w:r w:rsidR="005365C1" w:rsidRPr="00E35CB6">
            <w:rPr>
              <w:sz w:val="28"/>
              <w:szCs w:val="28"/>
            </w:rPr>
            <w:fldChar w:fldCharType="end"/>
          </w:r>
        </w:p>
        <w:p w:rsidR="005F6E57" w:rsidRPr="00E35CB6" w:rsidRDefault="004F6372" w:rsidP="00E35CB6">
          <w:pPr>
            <w:widowControl w:val="0"/>
            <w:tabs>
              <w:tab w:val="right" w:leader="dot" w:pos="9360"/>
            </w:tabs>
            <w:spacing w:before="60" w:after="0"/>
            <w:ind w:left="720"/>
            <w:jc w:val="left"/>
            <w:rPr>
              <w:color w:val="000000"/>
              <w:sz w:val="28"/>
              <w:szCs w:val="28"/>
            </w:rPr>
          </w:pPr>
          <w:hyperlink w:anchor="_heading=h.26in1rg">
            <w:r w:rsidR="005365C1" w:rsidRPr="00E35CB6">
              <w:rPr>
                <w:color w:val="000000"/>
                <w:sz w:val="28"/>
                <w:szCs w:val="28"/>
              </w:rPr>
              <w:t xml:space="preserve">The theoretical framework of International cost of capital </w:t>
            </w:r>
            <w:r w:rsidR="005365C1" w:rsidRPr="00E35CB6">
              <w:rPr>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_heading=h.26in1rg \h </w:instrText>
          </w:r>
          <w:r w:rsidR="005365C1" w:rsidRPr="00E35CB6">
            <w:rPr>
              <w:sz w:val="28"/>
              <w:szCs w:val="28"/>
            </w:rPr>
          </w:r>
          <w:r w:rsidR="005365C1" w:rsidRPr="00E35CB6">
            <w:rPr>
              <w:sz w:val="28"/>
              <w:szCs w:val="28"/>
            </w:rPr>
            <w:fldChar w:fldCharType="separate"/>
          </w:r>
          <w:r w:rsidR="005365C1" w:rsidRPr="00E35CB6">
            <w:rPr>
              <w:sz w:val="28"/>
              <w:szCs w:val="28"/>
            </w:rPr>
            <w:t>12</w:t>
          </w:r>
          <w:r w:rsidR="005365C1" w:rsidRPr="00E35CB6">
            <w:rPr>
              <w:sz w:val="28"/>
              <w:szCs w:val="28"/>
            </w:rPr>
            <w:fldChar w:fldCharType="end"/>
          </w:r>
        </w:p>
        <w:p w:rsidR="005F6E57" w:rsidRPr="00E35CB6" w:rsidRDefault="004F6372" w:rsidP="00E35CB6">
          <w:pPr>
            <w:widowControl w:val="0"/>
            <w:tabs>
              <w:tab w:val="right" w:leader="dot" w:pos="9360"/>
            </w:tabs>
            <w:spacing w:before="60" w:after="0"/>
            <w:jc w:val="left"/>
            <w:rPr>
              <w:b/>
              <w:color w:val="000000"/>
              <w:sz w:val="28"/>
              <w:szCs w:val="28"/>
            </w:rPr>
          </w:pPr>
          <w:hyperlink w:anchor="_heading=h.lnxbz9">
            <w:r w:rsidR="005365C1" w:rsidRPr="00E35CB6">
              <w:rPr>
                <w:b/>
                <w:color w:val="000000"/>
                <w:sz w:val="28"/>
                <w:szCs w:val="28"/>
              </w:rPr>
              <w:t>Conclusion</w:t>
            </w:r>
            <w:r w:rsidR="005365C1" w:rsidRPr="00E35CB6">
              <w:rPr>
                <w:b/>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_heading=h.lnxbz9 \h </w:instrText>
          </w:r>
          <w:r w:rsidR="005365C1" w:rsidRPr="00E35CB6">
            <w:rPr>
              <w:sz w:val="28"/>
              <w:szCs w:val="28"/>
            </w:rPr>
          </w:r>
          <w:r w:rsidR="005365C1" w:rsidRPr="00E35CB6">
            <w:rPr>
              <w:sz w:val="28"/>
              <w:szCs w:val="28"/>
            </w:rPr>
            <w:fldChar w:fldCharType="separate"/>
          </w:r>
          <w:r w:rsidR="005365C1" w:rsidRPr="00E35CB6">
            <w:rPr>
              <w:b/>
              <w:sz w:val="28"/>
              <w:szCs w:val="28"/>
            </w:rPr>
            <w:t>13</w:t>
          </w:r>
          <w:r w:rsidR="005365C1" w:rsidRPr="00E35CB6">
            <w:rPr>
              <w:sz w:val="28"/>
              <w:szCs w:val="28"/>
            </w:rPr>
            <w:fldChar w:fldCharType="end"/>
          </w:r>
        </w:p>
        <w:p w:rsidR="005F6E57" w:rsidRPr="00E35CB6" w:rsidRDefault="004F6372" w:rsidP="00E35CB6">
          <w:pPr>
            <w:widowControl w:val="0"/>
            <w:tabs>
              <w:tab w:val="right" w:leader="dot" w:pos="9360"/>
            </w:tabs>
            <w:spacing w:before="60" w:after="0"/>
            <w:jc w:val="left"/>
            <w:rPr>
              <w:b/>
              <w:color w:val="000000"/>
              <w:sz w:val="28"/>
              <w:szCs w:val="28"/>
            </w:rPr>
          </w:pPr>
          <w:hyperlink w:anchor="_heading=h.35nkun2">
            <w:r w:rsidR="005365C1" w:rsidRPr="00E35CB6">
              <w:rPr>
                <w:b/>
                <w:color w:val="000000"/>
                <w:sz w:val="28"/>
                <w:szCs w:val="28"/>
              </w:rPr>
              <w:t>References</w:t>
            </w:r>
            <w:r w:rsidR="005365C1" w:rsidRPr="00E35CB6">
              <w:rPr>
                <w:b/>
                <w:color w:val="000000"/>
                <w:sz w:val="28"/>
                <w:szCs w:val="28"/>
              </w:rPr>
              <w:tab/>
            </w:r>
          </w:hyperlink>
          <w:r w:rsidR="005365C1" w:rsidRPr="00E35CB6">
            <w:rPr>
              <w:sz w:val="28"/>
              <w:szCs w:val="28"/>
            </w:rPr>
            <w:fldChar w:fldCharType="begin"/>
          </w:r>
          <w:r w:rsidR="005365C1" w:rsidRPr="00E35CB6">
            <w:rPr>
              <w:sz w:val="28"/>
              <w:szCs w:val="28"/>
            </w:rPr>
            <w:instrText xml:space="preserve"> PAGEREF _heading=h.35nkun2 \h </w:instrText>
          </w:r>
          <w:r w:rsidR="005365C1" w:rsidRPr="00E35CB6">
            <w:rPr>
              <w:sz w:val="28"/>
              <w:szCs w:val="28"/>
            </w:rPr>
          </w:r>
          <w:r w:rsidR="005365C1" w:rsidRPr="00E35CB6">
            <w:rPr>
              <w:sz w:val="28"/>
              <w:szCs w:val="28"/>
            </w:rPr>
            <w:fldChar w:fldCharType="separate"/>
          </w:r>
          <w:r w:rsidR="005365C1" w:rsidRPr="00E35CB6">
            <w:rPr>
              <w:b/>
              <w:sz w:val="28"/>
              <w:szCs w:val="28"/>
            </w:rPr>
            <w:t>14</w:t>
          </w:r>
          <w:r w:rsidR="005365C1" w:rsidRPr="00E35CB6">
            <w:rPr>
              <w:sz w:val="28"/>
              <w:szCs w:val="28"/>
            </w:rPr>
            <w:fldChar w:fldCharType="end"/>
          </w:r>
          <w:r w:rsidR="005365C1" w:rsidRPr="00E35CB6">
            <w:rPr>
              <w:sz w:val="28"/>
              <w:szCs w:val="28"/>
            </w:rPr>
            <w:fldChar w:fldCharType="end"/>
          </w:r>
        </w:p>
      </w:sdtContent>
    </w:sdt>
    <w:p w:rsidR="005F6E57" w:rsidRPr="00E35CB6" w:rsidRDefault="005365C1" w:rsidP="00E35CB6">
      <w:pPr>
        <w:pStyle w:val="Heading1"/>
      </w:pPr>
      <w:bookmarkStart w:id="1" w:name="_heading=h.bi4vvgawv2pi" w:colFirst="0" w:colLast="0"/>
      <w:bookmarkEnd w:id="1"/>
      <w:r w:rsidRPr="00E35CB6">
        <w:br w:type="page"/>
      </w:r>
    </w:p>
    <w:p w:rsidR="005F6E57" w:rsidRPr="00E35CB6" w:rsidRDefault="005365C1" w:rsidP="00E35CB6">
      <w:pPr>
        <w:pStyle w:val="Heading1"/>
      </w:pPr>
      <w:bookmarkStart w:id="2" w:name="_heading=h.gjdgxs" w:colFirst="0" w:colLast="0"/>
      <w:bookmarkEnd w:id="2"/>
      <w:r w:rsidRPr="00E35CB6">
        <w:lastRenderedPageBreak/>
        <w:t>Introduction</w:t>
      </w:r>
    </w:p>
    <w:p w:rsidR="005F6E57" w:rsidRPr="00E35CB6" w:rsidRDefault="005365C1" w:rsidP="00E35CB6">
      <w:pPr>
        <w:spacing w:after="0"/>
        <w:rPr>
          <w:sz w:val="28"/>
          <w:szCs w:val="28"/>
        </w:rPr>
      </w:pPr>
      <w:r w:rsidRPr="00E35CB6">
        <w:rPr>
          <w:color w:val="000000"/>
          <w:sz w:val="28"/>
          <w:szCs w:val="28"/>
        </w:rPr>
        <w:t>Finance management is considered a pivotal aspect of a business that enables it to raise investments from domestic and foreign markets. Therefore, the following report will be constructed with the intent of determining the influence of international finance management on British Petroleum. The relevant models and theoretical framework linked with global finance regulation will be evaluated. Along with that, the measures planned and adopted by British Petroleum to regulate foreign investments will be incorporated in the report. The theoretical models of international cost of capital and corporate value will be discussed. Eventually, the theories linked with financial structure will be analysed.</w:t>
      </w:r>
    </w:p>
    <w:p w:rsidR="005F6E57" w:rsidRPr="00E35CB6" w:rsidRDefault="005365C1" w:rsidP="00E35CB6">
      <w:pPr>
        <w:jc w:val="left"/>
        <w:rPr>
          <w:b/>
          <w:color w:val="000000"/>
          <w:sz w:val="28"/>
          <w:szCs w:val="28"/>
        </w:rPr>
      </w:pPr>
      <w:r w:rsidRPr="00E35CB6">
        <w:rPr>
          <w:sz w:val="28"/>
          <w:szCs w:val="28"/>
        </w:rPr>
        <w:br w:type="page"/>
      </w:r>
    </w:p>
    <w:p w:rsidR="005F6E57" w:rsidRPr="00E35CB6" w:rsidRDefault="005365C1" w:rsidP="00E35CB6">
      <w:pPr>
        <w:pStyle w:val="Heading2"/>
        <w:rPr>
          <w:sz w:val="28"/>
          <w:szCs w:val="28"/>
        </w:rPr>
      </w:pPr>
      <w:bookmarkStart w:id="3" w:name="_heading=h.30j0zll" w:colFirst="0" w:colLast="0"/>
      <w:bookmarkEnd w:id="3"/>
      <w:r w:rsidRPr="00E35CB6">
        <w:rPr>
          <w:sz w:val="28"/>
          <w:szCs w:val="28"/>
        </w:rPr>
        <w:lastRenderedPageBreak/>
        <w:t>Overview of British Petroleum</w:t>
      </w:r>
    </w:p>
    <w:p w:rsidR="005F6E57" w:rsidRPr="00E35CB6" w:rsidRDefault="005365C1" w:rsidP="00E35CB6">
      <w:pPr>
        <w:jc w:val="center"/>
        <w:rPr>
          <w:sz w:val="28"/>
          <w:szCs w:val="28"/>
        </w:rPr>
      </w:pPr>
      <w:r w:rsidRPr="00E35CB6">
        <w:rPr>
          <w:noProof/>
          <w:sz w:val="28"/>
          <w:szCs w:val="28"/>
        </w:rPr>
        <w:drawing>
          <wp:inline distT="0" distB="0" distL="0" distR="0" wp14:anchorId="1308CFAA" wp14:editId="5413731D">
            <wp:extent cx="5206575" cy="3395955"/>
            <wp:effectExtent l="38100" t="38100" r="38100" b="38100"/>
            <wp:docPr id="1497877932" name="image3.jpg" descr="British Petroleum sells Oman Gas stake to Thailand's PTT - Bnreport"/>
            <wp:cNvGraphicFramePr/>
            <a:graphic xmlns:a="http://schemas.openxmlformats.org/drawingml/2006/main">
              <a:graphicData uri="http://schemas.openxmlformats.org/drawingml/2006/picture">
                <pic:pic xmlns:pic="http://schemas.openxmlformats.org/drawingml/2006/picture">
                  <pic:nvPicPr>
                    <pic:cNvPr id="0" name="image3.jpg" descr="British Petroleum sells Oman Gas stake to Thailand's PTT - Bnreport"/>
                    <pic:cNvPicPr preferRelativeResize="0"/>
                  </pic:nvPicPr>
                  <pic:blipFill>
                    <a:blip r:embed="rId9"/>
                    <a:srcRect/>
                    <a:stretch>
                      <a:fillRect/>
                    </a:stretch>
                  </pic:blipFill>
                  <pic:spPr>
                    <a:xfrm>
                      <a:off x="0" y="0"/>
                      <a:ext cx="5206575" cy="3395955"/>
                    </a:xfrm>
                    <a:prstGeom prst="rect">
                      <a:avLst/>
                    </a:prstGeom>
                    <a:ln w="38100">
                      <a:solidFill>
                        <a:srgbClr val="000000"/>
                      </a:solidFill>
                      <a:prstDash val="solid"/>
                    </a:ln>
                  </pic:spPr>
                </pic:pic>
              </a:graphicData>
            </a:graphic>
          </wp:inline>
        </w:drawing>
      </w:r>
    </w:p>
    <w:p w:rsidR="005F6E57" w:rsidRPr="00E35CB6" w:rsidRDefault="005365C1" w:rsidP="00E35CB6">
      <w:pPr>
        <w:jc w:val="center"/>
        <w:rPr>
          <w:sz w:val="28"/>
          <w:szCs w:val="28"/>
        </w:rPr>
      </w:pPr>
      <w:r w:rsidRPr="00E35CB6">
        <w:rPr>
          <w:sz w:val="28"/>
          <w:szCs w:val="28"/>
        </w:rPr>
        <w:t>Source - (</w:t>
      </w:r>
      <w:proofErr w:type="spellStart"/>
      <w:r w:rsidRPr="00E35CB6">
        <w:rPr>
          <w:sz w:val="28"/>
          <w:szCs w:val="28"/>
        </w:rPr>
        <w:t>bp</w:t>
      </w:r>
      <w:proofErr w:type="spellEnd"/>
      <w:r w:rsidRPr="00E35CB6">
        <w:rPr>
          <w:sz w:val="28"/>
          <w:szCs w:val="28"/>
        </w:rPr>
        <w:t>, 2024)</w:t>
      </w:r>
    </w:p>
    <w:p w:rsidR="005F6E57" w:rsidRPr="00E35CB6" w:rsidRDefault="005365C1" w:rsidP="00E35CB6">
      <w:pPr>
        <w:spacing w:after="0"/>
        <w:rPr>
          <w:sz w:val="28"/>
          <w:szCs w:val="28"/>
        </w:rPr>
      </w:pPr>
      <w:r w:rsidRPr="00E35CB6">
        <w:rPr>
          <w:color w:val="000000"/>
          <w:sz w:val="28"/>
          <w:szCs w:val="28"/>
        </w:rPr>
        <w:t xml:space="preserve">British Petroleum is a recognized gas and oil company in the UK that was established in 1909. The headquarters of the business is located in London. The company has approximately 87800 employees. The annual revenue generated by the company in 2023 was around £165 million. The market share of the company is around £82 billion in 2023. </w:t>
      </w:r>
      <w:proofErr w:type="gramStart"/>
      <w:r w:rsidRPr="00E35CB6">
        <w:rPr>
          <w:color w:val="000000"/>
          <w:sz w:val="28"/>
          <w:szCs w:val="28"/>
        </w:rPr>
        <w:t>The net profit margin of British Petroleum increased by over 800% from the previous year.</w:t>
      </w:r>
      <w:proofErr w:type="gramEnd"/>
      <w:r w:rsidRPr="00E35CB6">
        <w:rPr>
          <w:color w:val="000000"/>
          <w:sz w:val="28"/>
          <w:szCs w:val="28"/>
        </w:rPr>
        <w:t xml:space="preserve"> The competitors of the company are Shell </w:t>
      </w:r>
      <w:proofErr w:type="spellStart"/>
      <w:r w:rsidRPr="00E35CB6">
        <w:rPr>
          <w:color w:val="000000"/>
          <w:sz w:val="28"/>
          <w:szCs w:val="28"/>
        </w:rPr>
        <w:t>Plc</w:t>
      </w:r>
      <w:proofErr w:type="spellEnd"/>
      <w:r w:rsidRPr="00E35CB6">
        <w:rPr>
          <w:color w:val="000000"/>
          <w:sz w:val="28"/>
          <w:szCs w:val="28"/>
        </w:rPr>
        <w:t xml:space="preserve">, </w:t>
      </w:r>
      <w:proofErr w:type="spellStart"/>
      <w:r w:rsidRPr="00E35CB6">
        <w:rPr>
          <w:color w:val="000000"/>
          <w:sz w:val="28"/>
          <w:szCs w:val="28"/>
        </w:rPr>
        <w:t>TotalEnergies</w:t>
      </w:r>
      <w:proofErr w:type="spellEnd"/>
      <w:r w:rsidRPr="00E35CB6">
        <w:rPr>
          <w:color w:val="000000"/>
          <w:sz w:val="28"/>
          <w:szCs w:val="28"/>
        </w:rPr>
        <w:t xml:space="preserve"> SE and many more (</w:t>
      </w:r>
      <w:proofErr w:type="spellStart"/>
      <w:r w:rsidRPr="00E35CB6">
        <w:rPr>
          <w:color w:val="000000"/>
          <w:sz w:val="28"/>
          <w:szCs w:val="28"/>
        </w:rPr>
        <w:t>globaldata</w:t>
      </w:r>
      <w:proofErr w:type="spellEnd"/>
      <w:r w:rsidRPr="00E35CB6">
        <w:rPr>
          <w:color w:val="000000"/>
          <w:sz w:val="28"/>
          <w:szCs w:val="28"/>
        </w:rPr>
        <w:t>, 2024).</w:t>
      </w:r>
    </w:p>
    <w:p w:rsidR="005F6E57" w:rsidRPr="00E35CB6" w:rsidRDefault="005365C1" w:rsidP="00E35CB6">
      <w:pPr>
        <w:jc w:val="left"/>
        <w:rPr>
          <w:b/>
          <w:color w:val="000000"/>
          <w:sz w:val="28"/>
          <w:szCs w:val="28"/>
        </w:rPr>
      </w:pPr>
      <w:r w:rsidRPr="00E35CB6">
        <w:rPr>
          <w:sz w:val="28"/>
          <w:szCs w:val="28"/>
        </w:rPr>
        <w:br w:type="page"/>
      </w:r>
    </w:p>
    <w:p w:rsidR="005F6E57" w:rsidRPr="00E35CB6" w:rsidRDefault="005365C1" w:rsidP="00E35CB6">
      <w:pPr>
        <w:pStyle w:val="Heading2"/>
        <w:rPr>
          <w:sz w:val="28"/>
          <w:szCs w:val="28"/>
        </w:rPr>
      </w:pPr>
      <w:bookmarkStart w:id="4" w:name="_heading=h.1fob9te" w:colFirst="0" w:colLast="0"/>
      <w:bookmarkEnd w:id="4"/>
      <w:r w:rsidRPr="00E35CB6">
        <w:rPr>
          <w:sz w:val="28"/>
          <w:szCs w:val="28"/>
        </w:rPr>
        <w:lastRenderedPageBreak/>
        <w:t>Analysis of distinct theoretical frameworks and models of International finance regulation</w:t>
      </w:r>
    </w:p>
    <w:p w:rsidR="005F6E57" w:rsidRPr="00E35CB6" w:rsidRDefault="005365C1" w:rsidP="00E35CB6">
      <w:pPr>
        <w:pStyle w:val="Heading3"/>
        <w:rPr>
          <w:sz w:val="28"/>
          <w:szCs w:val="28"/>
        </w:rPr>
      </w:pPr>
      <w:bookmarkStart w:id="5" w:name="_heading=h.3znysh7" w:colFirst="0" w:colLast="0"/>
      <w:bookmarkEnd w:id="5"/>
      <w:r w:rsidRPr="00E35CB6">
        <w:rPr>
          <w:sz w:val="28"/>
          <w:szCs w:val="28"/>
        </w:rPr>
        <w:t>Concept</w:t>
      </w:r>
    </w:p>
    <w:p w:rsidR="005F6E57" w:rsidRPr="00E35CB6" w:rsidRDefault="005365C1" w:rsidP="00E35CB6">
      <w:pPr>
        <w:spacing w:after="0"/>
        <w:rPr>
          <w:sz w:val="28"/>
          <w:szCs w:val="28"/>
        </w:rPr>
      </w:pPr>
      <w:r w:rsidRPr="00E35CB6">
        <w:rPr>
          <w:color w:val="000000"/>
          <w:sz w:val="28"/>
          <w:szCs w:val="28"/>
        </w:rPr>
        <w:t>International finance monitoring refers to the thorough assessment of the global market to regulate and manage capital resources effectively during foreign investment. The international market involves numerous risks and opportunities for growth for businesses. However, the application of an appropriate finance management framework allows businesses to minimise the risks. The major aspects of the global market are currency exchange rate, price volatility, and many more. The major implications of global finance regulation by businesses have been listed below (Case, 2023).</w:t>
      </w:r>
    </w:p>
    <w:p w:rsidR="005F6E57" w:rsidRPr="00E35CB6" w:rsidRDefault="005365C1" w:rsidP="00E35CB6">
      <w:pPr>
        <w:spacing w:after="0"/>
        <w:rPr>
          <w:sz w:val="28"/>
          <w:szCs w:val="28"/>
        </w:rPr>
      </w:pPr>
      <w:r w:rsidRPr="00E35CB6">
        <w:rPr>
          <w:b/>
          <w:color w:val="000000"/>
          <w:sz w:val="28"/>
          <w:szCs w:val="28"/>
        </w:rPr>
        <w:t>Investment</w:t>
      </w:r>
    </w:p>
    <w:p w:rsidR="005F6E57" w:rsidRDefault="005365C1" w:rsidP="00E35CB6">
      <w:pPr>
        <w:spacing w:after="0"/>
        <w:rPr>
          <w:color w:val="000000"/>
          <w:sz w:val="28"/>
          <w:szCs w:val="28"/>
        </w:rPr>
      </w:pPr>
      <w:r w:rsidRPr="00E35CB6">
        <w:rPr>
          <w:color w:val="000000"/>
          <w:sz w:val="28"/>
          <w:szCs w:val="28"/>
        </w:rPr>
        <w:t>The international market offers ample opportunities for investment for businesses that enable them to achieve higher income as well as higher brand awareness. It also creates a scope for angel investors to put capital resources in the foreign market. Therefore, businesses achieve investment from the global world through effective finance management. British Petroleum is known to have effective finance management and economic policies that fostered the company to attract foreign investment.</w:t>
      </w:r>
    </w:p>
    <w:p w:rsidR="008445ED" w:rsidRPr="00E35CB6" w:rsidRDefault="008445ED" w:rsidP="00E35CB6">
      <w:pPr>
        <w:spacing w:after="0"/>
        <w:rPr>
          <w:sz w:val="28"/>
          <w:szCs w:val="28"/>
        </w:rPr>
      </w:pPr>
    </w:p>
    <w:p w:rsidR="005F6E57" w:rsidRPr="00E35CB6" w:rsidRDefault="005365C1" w:rsidP="00E35CB6">
      <w:pPr>
        <w:spacing w:after="0"/>
        <w:rPr>
          <w:sz w:val="28"/>
          <w:szCs w:val="28"/>
        </w:rPr>
      </w:pPr>
      <w:r w:rsidRPr="00E35CB6">
        <w:rPr>
          <w:b/>
          <w:color w:val="000000"/>
          <w:sz w:val="28"/>
          <w:szCs w:val="28"/>
        </w:rPr>
        <w:lastRenderedPageBreak/>
        <w:t>Currency exchange</w:t>
      </w:r>
    </w:p>
    <w:p w:rsidR="005F6E57" w:rsidRPr="00E35CB6" w:rsidRDefault="005365C1" w:rsidP="00E35CB6">
      <w:pPr>
        <w:spacing w:after="0"/>
        <w:rPr>
          <w:sz w:val="28"/>
          <w:szCs w:val="28"/>
        </w:rPr>
      </w:pPr>
      <w:r w:rsidRPr="00E35CB6">
        <w:rPr>
          <w:color w:val="000000"/>
          <w:sz w:val="28"/>
          <w:szCs w:val="28"/>
        </w:rPr>
        <w:t>It is regarded as the key aspect of the global market that fosters businesses to acquire higher revenue from the foreign market. The higher exchange rates of a nation ensure better revenue generation from the international market through exports and secondary investments. British Petroleum has acquired high profits by selling gas and oil in the international market due to higher exchange rates in the UK (</w:t>
      </w:r>
      <w:proofErr w:type="spellStart"/>
      <w:r w:rsidRPr="00E35CB6">
        <w:rPr>
          <w:color w:val="000000"/>
          <w:sz w:val="28"/>
          <w:szCs w:val="28"/>
        </w:rPr>
        <w:t>Borchers</w:t>
      </w:r>
      <w:proofErr w:type="spellEnd"/>
      <w:r w:rsidRPr="00E35CB6">
        <w:rPr>
          <w:color w:val="000000"/>
          <w:sz w:val="28"/>
          <w:szCs w:val="28"/>
        </w:rPr>
        <w:t>, 2023).</w:t>
      </w:r>
    </w:p>
    <w:p w:rsidR="005F6E57" w:rsidRPr="00E35CB6" w:rsidRDefault="005365C1" w:rsidP="00E35CB6">
      <w:pPr>
        <w:pStyle w:val="Heading3"/>
        <w:rPr>
          <w:sz w:val="28"/>
          <w:szCs w:val="28"/>
        </w:rPr>
      </w:pPr>
      <w:bookmarkStart w:id="6" w:name="_heading=h.2et92p0" w:colFirst="0" w:colLast="0"/>
      <w:bookmarkEnd w:id="6"/>
      <w:r w:rsidRPr="00E35CB6">
        <w:rPr>
          <w:sz w:val="28"/>
          <w:szCs w:val="28"/>
        </w:rPr>
        <w:t>Theoretical frameworks and models linked with international finance regulation</w:t>
      </w:r>
    </w:p>
    <w:p w:rsidR="005F6E57" w:rsidRPr="00E35CB6" w:rsidRDefault="005365C1" w:rsidP="00E35CB6">
      <w:pPr>
        <w:spacing w:after="0"/>
        <w:rPr>
          <w:sz w:val="28"/>
          <w:szCs w:val="28"/>
          <w:u w:val="single"/>
        </w:rPr>
      </w:pPr>
      <w:r w:rsidRPr="00E35CB6">
        <w:rPr>
          <w:b/>
          <w:color w:val="000000"/>
          <w:sz w:val="28"/>
          <w:szCs w:val="28"/>
          <w:u w:val="single"/>
        </w:rPr>
        <w:t>Interest Rate Parity model</w:t>
      </w:r>
    </w:p>
    <w:p w:rsidR="005F6E57" w:rsidRPr="00E35CB6" w:rsidRDefault="005365C1" w:rsidP="00E35CB6">
      <w:pPr>
        <w:spacing w:after="0"/>
        <w:rPr>
          <w:sz w:val="28"/>
          <w:szCs w:val="28"/>
        </w:rPr>
      </w:pPr>
      <w:r w:rsidRPr="00E35CB6">
        <w:rPr>
          <w:b/>
          <w:color w:val="000000"/>
          <w:sz w:val="28"/>
          <w:szCs w:val="28"/>
        </w:rPr>
        <w:t>Concept</w:t>
      </w:r>
    </w:p>
    <w:p w:rsidR="005F6E57" w:rsidRPr="00E35CB6" w:rsidRDefault="005365C1" w:rsidP="00E35CB6">
      <w:pPr>
        <w:spacing w:after="0"/>
        <w:rPr>
          <w:sz w:val="28"/>
          <w:szCs w:val="28"/>
        </w:rPr>
      </w:pPr>
      <w:r w:rsidRPr="00E35CB6">
        <w:rPr>
          <w:color w:val="000000"/>
          <w:sz w:val="28"/>
          <w:szCs w:val="28"/>
        </w:rPr>
        <w:t>It is the theoretical model that projects the view that the disparity between two nations in terms of interest rates can be commensurate with the currency exchange rates. Therefore, the above theory provides insight into the link between the exchange rate and the government interest rate. The disparity in the interest rate influences the investors to carry out investments in the secondary market</w:t>
      </w:r>
      <w:r w:rsidRPr="00E35CB6">
        <w:rPr>
          <w:sz w:val="28"/>
          <w:szCs w:val="28"/>
        </w:rPr>
        <w:t xml:space="preserve"> (</w:t>
      </w:r>
      <w:proofErr w:type="spellStart"/>
      <w:r w:rsidRPr="00E35CB6">
        <w:rPr>
          <w:sz w:val="28"/>
          <w:szCs w:val="28"/>
        </w:rPr>
        <w:t>Fabozzi</w:t>
      </w:r>
      <w:proofErr w:type="spellEnd"/>
      <w:r w:rsidRPr="00E35CB6">
        <w:rPr>
          <w:sz w:val="28"/>
          <w:szCs w:val="28"/>
        </w:rPr>
        <w:t xml:space="preserve"> et al., 2021)</w:t>
      </w:r>
      <w:r w:rsidRPr="00E35CB6">
        <w:rPr>
          <w:color w:val="000000"/>
          <w:sz w:val="28"/>
          <w:szCs w:val="28"/>
        </w:rPr>
        <w:t>.</w:t>
      </w:r>
    </w:p>
    <w:p w:rsidR="005F6E57" w:rsidRPr="00E35CB6" w:rsidRDefault="005365C1" w:rsidP="00E35CB6">
      <w:pPr>
        <w:spacing w:after="0"/>
        <w:rPr>
          <w:sz w:val="28"/>
          <w:szCs w:val="28"/>
        </w:rPr>
      </w:pPr>
      <w:r w:rsidRPr="00E35CB6">
        <w:rPr>
          <w:b/>
          <w:color w:val="000000"/>
          <w:sz w:val="28"/>
          <w:szCs w:val="28"/>
        </w:rPr>
        <w:t>Evaluation</w:t>
      </w:r>
    </w:p>
    <w:p w:rsidR="005F6E57" w:rsidRPr="00E35CB6" w:rsidRDefault="005365C1" w:rsidP="00E35CB6">
      <w:pPr>
        <w:spacing w:after="0"/>
        <w:rPr>
          <w:sz w:val="28"/>
          <w:szCs w:val="28"/>
        </w:rPr>
      </w:pPr>
      <w:r w:rsidRPr="00E35CB6">
        <w:rPr>
          <w:color w:val="000000"/>
          <w:sz w:val="28"/>
          <w:szCs w:val="28"/>
        </w:rPr>
        <w:t xml:space="preserve">The above theory is highly beneficial for businesses in managing financial decisions. It allows businesses to fetch maximum return by investing in the market with distinct interest rates. Along with that, it fosters businesses in regulating </w:t>
      </w:r>
      <w:r w:rsidRPr="00E35CB6">
        <w:rPr>
          <w:color w:val="000000"/>
          <w:sz w:val="28"/>
          <w:szCs w:val="28"/>
        </w:rPr>
        <w:lastRenderedPageBreak/>
        <w:t>financial risks in an effective manner. British Petroleum employs the above theory to invest in the global market as it enables them to gather maximum returns from the investment.</w:t>
      </w:r>
    </w:p>
    <w:p w:rsidR="005F6E57" w:rsidRPr="00E35CB6" w:rsidRDefault="005365C1" w:rsidP="00E35CB6">
      <w:pPr>
        <w:spacing w:after="0"/>
        <w:rPr>
          <w:sz w:val="28"/>
          <w:szCs w:val="28"/>
          <w:u w:val="single"/>
        </w:rPr>
      </w:pPr>
      <w:proofErr w:type="spellStart"/>
      <w:r w:rsidRPr="00E35CB6">
        <w:rPr>
          <w:b/>
          <w:color w:val="000000"/>
          <w:sz w:val="28"/>
          <w:szCs w:val="28"/>
          <w:u w:val="single"/>
        </w:rPr>
        <w:t>Mundell</w:t>
      </w:r>
      <w:proofErr w:type="spellEnd"/>
      <w:r w:rsidRPr="00E35CB6">
        <w:rPr>
          <w:b/>
          <w:color w:val="000000"/>
          <w:sz w:val="28"/>
          <w:szCs w:val="28"/>
          <w:u w:val="single"/>
        </w:rPr>
        <w:t>-Fleming theory</w:t>
      </w:r>
    </w:p>
    <w:p w:rsidR="005F6E57" w:rsidRPr="00E35CB6" w:rsidRDefault="005365C1" w:rsidP="00E35CB6">
      <w:pPr>
        <w:spacing w:after="0"/>
        <w:rPr>
          <w:sz w:val="28"/>
          <w:szCs w:val="28"/>
        </w:rPr>
      </w:pPr>
      <w:r w:rsidRPr="00E35CB6">
        <w:rPr>
          <w:b/>
          <w:color w:val="000000"/>
          <w:sz w:val="28"/>
          <w:szCs w:val="28"/>
        </w:rPr>
        <w:t>Concept</w:t>
      </w:r>
    </w:p>
    <w:p w:rsidR="005F6E57" w:rsidRPr="00E35CB6" w:rsidRDefault="005365C1" w:rsidP="00E35CB6">
      <w:pPr>
        <w:spacing w:after="0"/>
        <w:jc w:val="center"/>
        <w:rPr>
          <w:color w:val="000000"/>
          <w:sz w:val="28"/>
          <w:szCs w:val="28"/>
        </w:rPr>
      </w:pPr>
      <w:r w:rsidRPr="00E35CB6">
        <w:rPr>
          <w:noProof/>
          <w:sz w:val="28"/>
          <w:szCs w:val="28"/>
        </w:rPr>
        <w:drawing>
          <wp:inline distT="0" distB="0" distL="0" distR="0" wp14:anchorId="09340EE2" wp14:editId="2D2BA46F">
            <wp:extent cx="3840480" cy="3276600"/>
            <wp:effectExtent l="0" t="0" r="0" b="0"/>
            <wp:docPr id="1497877931" name="image2.png" descr="Mundell-Fleming Model as more relaxed version of ISLM - Research-Methodology"/>
            <wp:cNvGraphicFramePr/>
            <a:graphic xmlns:a="http://schemas.openxmlformats.org/drawingml/2006/main">
              <a:graphicData uri="http://schemas.openxmlformats.org/drawingml/2006/picture">
                <pic:pic xmlns:pic="http://schemas.openxmlformats.org/drawingml/2006/picture">
                  <pic:nvPicPr>
                    <pic:cNvPr id="0" name="image2.png" descr="Mundell-Fleming Model as more relaxed version of ISLM - Research-Methodology"/>
                    <pic:cNvPicPr preferRelativeResize="0"/>
                  </pic:nvPicPr>
                  <pic:blipFill>
                    <a:blip r:embed="rId10"/>
                    <a:srcRect/>
                    <a:stretch>
                      <a:fillRect/>
                    </a:stretch>
                  </pic:blipFill>
                  <pic:spPr>
                    <a:xfrm>
                      <a:off x="0" y="0"/>
                      <a:ext cx="3840480" cy="3276600"/>
                    </a:xfrm>
                    <a:prstGeom prst="rect">
                      <a:avLst/>
                    </a:prstGeom>
                    <a:ln/>
                  </pic:spPr>
                </pic:pic>
              </a:graphicData>
            </a:graphic>
          </wp:inline>
        </w:drawing>
      </w:r>
    </w:p>
    <w:p w:rsidR="005F6E57" w:rsidRPr="00E35CB6" w:rsidRDefault="005365C1" w:rsidP="00E35CB6">
      <w:pPr>
        <w:spacing w:after="0"/>
        <w:jc w:val="center"/>
        <w:rPr>
          <w:color w:val="000000"/>
          <w:sz w:val="28"/>
          <w:szCs w:val="28"/>
        </w:rPr>
      </w:pPr>
      <w:r w:rsidRPr="00E35CB6">
        <w:rPr>
          <w:color w:val="000000"/>
          <w:sz w:val="28"/>
          <w:szCs w:val="28"/>
        </w:rPr>
        <w:t>Source- (John, 2023)</w:t>
      </w:r>
    </w:p>
    <w:p w:rsidR="005F6E57" w:rsidRDefault="005365C1" w:rsidP="00E35CB6">
      <w:pPr>
        <w:spacing w:after="0"/>
        <w:rPr>
          <w:color w:val="000000"/>
          <w:sz w:val="28"/>
          <w:szCs w:val="28"/>
        </w:rPr>
      </w:pPr>
      <w:r w:rsidRPr="00E35CB6">
        <w:rPr>
          <w:color w:val="000000"/>
          <w:sz w:val="28"/>
          <w:szCs w:val="28"/>
        </w:rPr>
        <w:t>It is a theory that focuses on the alignment of the monetary and fiscal mechanism of the economy with the currency exchange rates. The theory proposed that the fiscal policy framed by the government and the monetary policy laid down by the Central Bank directly impact the interest rates and other economic parameters and variables</w:t>
      </w:r>
      <w:r w:rsidRPr="00E35CB6">
        <w:rPr>
          <w:sz w:val="28"/>
          <w:szCs w:val="28"/>
        </w:rPr>
        <w:t xml:space="preserve"> (</w:t>
      </w:r>
      <w:proofErr w:type="spellStart"/>
      <w:r w:rsidRPr="00E35CB6">
        <w:rPr>
          <w:sz w:val="28"/>
          <w:szCs w:val="28"/>
        </w:rPr>
        <w:t>Egilsson</w:t>
      </w:r>
      <w:proofErr w:type="spellEnd"/>
      <w:r w:rsidRPr="00E35CB6">
        <w:rPr>
          <w:sz w:val="28"/>
          <w:szCs w:val="28"/>
        </w:rPr>
        <w:t>, 2024)</w:t>
      </w:r>
      <w:r w:rsidRPr="00E35CB6">
        <w:rPr>
          <w:color w:val="000000"/>
          <w:sz w:val="28"/>
          <w:szCs w:val="28"/>
        </w:rPr>
        <w:t>.</w:t>
      </w:r>
    </w:p>
    <w:p w:rsidR="008445ED" w:rsidRPr="00E35CB6" w:rsidRDefault="008445ED" w:rsidP="00E35CB6">
      <w:pPr>
        <w:spacing w:after="0"/>
        <w:rPr>
          <w:sz w:val="28"/>
          <w:szCs w:val="28"/>
        </w:rPr>
      </w:pPr>
    </w:p>
    <w:p w:rsidR="005F6E57" w:rsidRPr="00E35CB6" w:rsidRDefault="005365C1" w:rsidP="00E35CB6">
      <w:pPr>
        <w:spacing w:after="0"/>
        <w:rPr>
          <w:sz w:val="28"/>
          <w:szCs w:val="28"/>
        </w:rPr>
      </w:pPr>
      <w:r w:rsidRPr="00E35CB6">
        <w:rPr>
          <w:b/>
          <w:color w:val="000000"/>
          <w:sz w:val="28"/>
          <w:szCs w:val="28"/>
        </w:rPr>
        <w:lastRenderedPageBreak/>
        <w:t>Evaluation</w:t>
      </w:r>
    </w:p>
    <w:p w:rsidR="005F6E57" w:rsidRPr="00E35CB6" w:rsidRDefault="005365C1" w:rsidP="00E35CB6">
      <w:pPr>
        <w:spacing w:after="0"/>
        <w:rPr>
          <w:sz w:val="28"/>
          <w:szCs w:val="28"/>
        </w:rPr>
      </w:pPr>
      <w:r w:rsidRPr="00E35CB6">
        <w:rPr>
          <w:color w:val="000000"/>
          <w:sz w:val="28"/>
          <w:szCs w:val="28"/>
        </w:rPr>
        <w:t>The given theory has an impactful role in identifying the influence of policy and governance on the financial sector. However, the above theory undermines the implications of international fluctuations and volatility in the economic market. Still, it is a crucial framework for businesses to manage international finance in a prudent way (Kelly, 2023).</w:t>
      </w:r>
    </w:p>
    <w:p w:rsidR="005F6E57" w:rsidRPr="00E35CB6" w:rsidRDefault="005365C1" w:rsidP="00E35CB6">
      <w:pPr>
        <w:jc w:val="left"/>
        <w:rPr>
          <w:b/>
          <w:color w:val="000000"/>
          <w:sz w:val="28"/>
          <w:szCs w:val="28"/>
        </w:rPr>
      </w:pPr>
      <w:r w:rsidRPr="00E35CB6">
        <w:rPr>
          <w:sz w:val="28"/>
          <w:szCs w:val="28"/>
        </w:rPr>
        <w:br w:type="page"/>
      </w:r>
    </w:p>
    <w:p w:rsidR="005F6E57" w:rsidRPr="00E35CB6" w:rsidRDefault="005365C1" w:rsidP="00E35CB6">
      <w:pPr>
        <w:pStyle w:val="Heading2"/>
        <w:rPr>
          <w:sz w:val="28"/>
          <w:szCs w:val="28"/>
        </w:rPr>
      </w:pPr>
      <w:bookmarkStart w:id="7" w:name="_heading=h.tyjcwt" w:colFirst="0" w:colLast="0"/>
      <w:bookmarkEnd w:id="7"/>
      <w:r w:rsidRPr="00E35CB6">
        <w:rPr>
          <w:sz w:val="28"/>
          <w:szCs w:val="28"/>
        </w:rPr>
        <w:lastRenderedPageBreak/>
        <w:t>Assessment of the role and impact of diverse financing sources and measures adopted by British Petroleum for financing international operations</w:t>
      </w:r>
    </w:p>
    <w:p w:rsidR="005F6E57" w:rsidRPr="00E35CB6" w:rsidRDefault="005365C1" w:rsidP="00E35CB6">
      <w:pPr>
        <w:pStyle w:val="Heading3"/>
        <w:rPr>
          <w:sz w:val="28"/>
          <w:szCs w:val="28"/>
        </w:rPr>
      </w:pPr>
      <w:bookmarkStart w:id="8" w:name="_heading=h.3dy6vkm" w:colFirst="0" w:colLast="0"/>
      <w:bookmarkEnd w:id="8"/>
      <w:r w:rsidRPr="00E35CB6">
        <w:rPr>
          <w:sz w:val="28"/>
          <w:szCs w:val="28"/>
        </w:rPr>
        <w:t>Diverse financing sources and strategies of British Petroleum</w:t>
      </w:r>
    </w:p>
    <w:p w:rsidR="005F6E57" w:rsidRPr="00E35CB6" w:rsidRDefault="005365C1" w:rsidP="00E35CB6">
      <w:pPr>
        <w:spacing w:after="0"/>
        <w:rPr>
          <w:sz w:val="28"/>
          <w:szCs w:val="28"/>
        </w:rPr>
      </w:pPr>
      <w:r w:rsidRPr="00E35CB6">
        <w:rPr>
          <w:b/>
          <w:color w:val="000000"/>
          <w:sz w:val="28"/>
          <w:szCs w:val="28"/>
        </w:rPr>
        <w:t>Joint ventures</w:t>
      </w:r>
    </w:p>
    <w:p w:rsidR="005F6E57" w:rsidRPr="00E35CB6" w:rsidRDefault="005365C1" w:rsidP="00E35CB6">
      <w:pPr>
        <w:spacing w:after="0"/>
        <w:rPr>
          <w:sz w:val="28"/>
          <w:szCs w:val="28"/>
        </w:rPr>
      </w:pPr>
      <w:r w:rsidRPr="00E35CB6">
        <w:rPr>
          <w:color w:val="000000"/>
          <w:sz w:val="28"/>
          <w:szCs w:val="28"/>
        </w:rPr>
        <w:t>British Petroleum has been engaging in joint ventures in order to carry out investment in the international market through mutual agreement and efforts. It has allowed the company to minimise certain financial risks of the international market to a considerable extent. Along with that, it enabled the company to explore new markets by acknowledging the trends through collaborative practices (Kelly, 2023).</w:t>
      </w:r>
    </w:p>
    <w:p w:rsidR="005F6E57" w:rsidRPr="00E35CB6" w:rsidRDefault="005365C1" w:rsidP="00E35CB6">
      <w:pPr>
        <w:spacing w:after="0"/>
        <w:rPr>
          <w:sz w:val="28"/>
          <w:szCs w:val="28"/>
        </w:rPr>
      </w:pPr>
      <w:r w:rsidRPr="00E35CB6">
        <w:rPr>
          <w:b/>
          <w:color w:val="000000"/>
          <w:sz w:val="28"/>
          <w:szCs w:val="28"/>
        </w:rPr>
        <w:t>Global bond market</w:t>
      </w:r>
    </w:p>
    <w:p w:rsidR="005F6E57" w:rsidRPr="00E35CB6" w:rsidRDefault="005365C1" w:rsidP="00E35CB6">
      <w:pPr>
        <w:spacing w:after="0"/>
        <w:rPr>
          <w:sz w:val="28"/>
          <w:szCs w:val="28"/>
        </w:rPr>
      </w:pPr>
      <w:r w:rsidRPr="00E35CB6">
        <w:rPr>
          <w:color w:val="000000"/>
          <w:sz w:val="28"/>
          <w:szCs w:val="28"/>
        </w:rPr>
        <w:t>British Petroleum is known to issue certificates and bonds in the foreign market in order to attract investment. It has fostered the company to issue bonds in different currencies which enabled them to achieve higher returns. The higher brand value and market reputation in the oil and gas industry helped British Petroleum acquire capital during strategic circumstances.</w:t>
      </w:r>
    </w:p>
    <w:p w:rsidR="005F6E57" w:rsidRPr="00E35CB6" w:rsidRDefault="005365C1" w:rsidP="00E35CB6">
      <w:pPr>
        <w:spacing w:after="0"/>
        <w:rPr>
          <w:sz w:val="28"/>
          <w:szCs w:val="28"/>
        </w:rPr>
      </w:pPr>
      <w:r w:rsidRPr="00E35CB6">
        <w:rPr>
          <w:b/>
          <w:color w:val="000000"/>
          <w:sz w:val="28"/>
          <w:szCs w:val="28"/>
        </w:rPr>
        <w:t>Sustainability backed financing</w:t>
      </w:r>
    </w:p>
    <w:p w:rsidR="005F6E57" w:rsidRPr="00E35CB6" w:rsidRDefault="005365C1" w:rsidP="00E35CB6">
      <w:pPr>
        <w:spacing w:after="0"/>
        <w:rPr>
          <w:sz w:val="28"/>
          <w:szCs w:val="28"/>
        </w:rPr>
      </w:pPr>
      <w:r w:rsidRPr="00E35CB6">
        <w:rPr>
          <w:color w:val="000000"/>
          <w:sz w:val="28"/>
          <w:szCs w:val="28"/>
        </w:rPr>
        <w:t xml:space="preserve">Sustainable financing is regarded as the key strategy of British Petroleum that encourages investors to put capital into considering higher benefits in the </w:t>
      </w:r>
      <w:r w:rsidRPr="00E35CB6">
        <w:rPr>
          <w:color w:val="000000"/>
          <w:sz w:val="28"/>
          <w:szCs w:val="28"/>
        </w:rPr>
        <w:lastRenderedPageBreak/>
        <w:t>contemporary market. It has fostered the company in achieving investment from environmentally conscious investors (BP, 2024).</w:t>
      </w:r>
    </w:p>
    <w:p w:rsidR="005F6E57" w:rsidRPr="00E35CB6" w:rsidRDefault="005365C1" w:rsidP="00E35CB6">
      <w:pPr>
        <w:pStyle w:val="Heading3"/>
        <w:rPr>
          <w:sz w:val="28"/>
          <w:szCs w:val="28"/>
        </w:rPr>
      </w:pPr>
      <w:bookmarkStart w:id="9" w:name="_heading=h.1t3h5sf" w:colFirst="0" w:colLast="0"/>
      <w:bookmarkEnd w:id="9"/>
      <w:r w:rsidRPr="00E35CB6">
        <w:rPr>
          <w:sz w:val="28"/>
          <w:szCs w:val="28"/>
        </w:rPr>
        <w:t>Application of the international financial strategies of British Petroleum</w:t>
      </w:r>
    </w:p>
    <w:p w:rsidR="005F6E57" w:rsidRPr="00E35CB6" w:rsidRDefault="005365C1" w:rsidP="00E35CB6">
      <w:pPr>
        <w:spacing w:after="0"/>
        <w:rPr>
          <w:sz w:val="28"/>
          <w:szCs w:val="28"/>
        </w:rPr>
      </w:pPr>
      <w:r w:rsidRPr="00E35CB6">
        <w:rPr>
          <w:b/>
          <w:color w:val="000000"/>
          <w:sz w:val="28"/>
          <w:szCs w:val="28"/>
        </w:rPr>
        <w:t>Higher investment opportunities</w:t>
      </w:r>
    </w:p>
    <w:p w:rsidR="005F6E57" w:rsidRPr="00E35CB6" w:rsidRDefault="005365C1" w:rsidP="00E35CB6">
      <w:pPr>
        <w:spacing w:after="0"/>
        <w:rPr>
          <w:sz w:val="28"/>
          <w:szCs w:val="28"/>
        </w:rPr>
      </w:pPr>
      <w:r w:rsidRPr="00E35CB6">
        <w:rPr>
          <w:color w:val="000000"/>
          <w:sz w:val="28"/>
          <w:szCs w:val="28"/>
        </w:rPr>
        <w:t>The sources adopted by British Petroleum for international financing assisted in investment in foreign portfolio investment that benefited the company in attracting higher profit from the market. Along with that, it also enabled the company to manage financial risks associated with the market in an effective way (Case, 2023).</w:t>
      </w:r>
    </w:p>
    <w:p w:rsidR="005F6E57" w:rsidRPr="00E35CB6" w:rsidRDefault="005365C1" w:rsidP="00E35CB6">
      <w:pPr>
        <w:spacing w:after="0"/>
        <w:rPr>
          <w:sz w:val="28"/>
          <w:szCs w:val="28"/>
        </w:rPr>
      </w:pPr>
      <w:r w:rsidRPr="00E35CB6">
        <w:rPr>
          <w:b/>
          <w:color w:val="000000"/>
          <w:sz w:val="28"/>
          <w:szCs w:val="28"/>
        </w:rPr>
        <w:t>Innovative projects</w:t>
      </w:r>
    </w:p>
    <w:p w:rsidR="005F6E57" w:rsidRPr="00E35CB6" w:rsidRDefault="005365C1" w:rsidP="00E35CB6">
      <w:pPr>
        <w:spacing w:after="0"/>
        <w:rPr>
          <w:sz w:val="28"/>
          <w:szCs w:val="28"/>
        </w:rPr>
      </w:pPr>
      <w:r w:rsidRPr="00E35CB6">
        <w:rPr>
          <w:color w:val="000000"/>
          <w:sz w:val="28"/>
          <w:szCs w:val="28"/>
        </w:rPr>
        <w:t>The above financing strategies helped British Petroleum to achieve capital for investment in innovative works. As a result, it fostered the company to gain a competitive advantage over its rivals.</w:t>
      </w:r>
    </w:p>
    <w:p w:rsidR="005F6E57" w:rsidRPr="00E35CB6" w:rsidRDefault="005365C1" w:rsidP="00E35CB6">
      <w:pPr>
        <w:pStyle w:val="Heading3"/>
        <w:rPr>
          <w:sz w:val="28"/>
          <w:szCs w:val="28"/>
        </w:rPr>
      </w:pPr>
      <w:bookmarkStart w:id="10" w:name="_heading=h.4d34og8" w:colFirst="0" w:colLast="0"/>
      <w:bookmarkEnd w:id="10"/>
      <w:r w:rsidRPr="00E35CB6">
        <w:rPr>
          <w:sz w:val="28"/>
          <w:szCs w:val="28"/>
        </w:rPr>
        <w:t>Impact of the financial measures adopted by British Petroleum</w:t>
      </w:r>
    </w:p>
    <w:p w:rsidR="005F6E57" w:rsidRPr="00E35CB6" w:rsidRDefault="005365C1" w:rsidP="00E35CB6">
      <w:pPr>
        <w:spacing w:after="0"/>
        <w:rPr>
          <w:sz w:val="28"/>
          <w:szCs w:val="28"/>
        </w:rPr>
      </w:pPr>
      <w:r w:rsidRPr="00E35CB6">
        <w:rPr>
          <w:b/>
          <w:color w:val="000000"/>
          <w:sz w:val="28"/>
          <w:szCs w:val="28"/>
        </w:rPr>
        <w:t>Financial risk analysis and mitigation</w:t>
      </w:r>
    </w:p>
    <w:p w:rsidR="005F6E57" w:rsidRPr="00E35CB6" w:rsidRDefault="005365C1" w:rsidP="00E35CB6">
      <w:pPr>
        <w:spacing w:after="0"/>
        <w:rPr>
          <w:sz w:val="28"/>
          <w:szCs w:val="28"/>
        </w:rPr>
      </w:pPr>
      <w:r w:rsidRPr="00E35CB6">
        <w:rPr>
          <w:color w:val="000000"/>
          <w:sz w:val="28"/>
          <w:szCs w:val="28"/>
        </w:rPr>
        <w:t>The financial strategy of maintaining capital inflow through joint ventures fostered British Petroleum to analyse the financial threats of the market within the time. It ensured maximum output for the company through investments (Meyer, 2022).</w:t>
      </w:r>
    </w:p>
    <w:p w:rsidR="005F6E57" w:rsidRPr="00E35CB6" w:rsidRDefault="005365C1" w:rsidP="00E35CB6">
      <w:pPr>
        <w:spacing w:after="0"/>
        <w:rPr>
          <w:sz w:val="28"/>
          <w:szCs w:val="28"/>
        </w:rPr>
      </w:pPr>
      <w:r w:rsidRPr="00E35CB6">
        <w:rPr>
          <w:b/>
          <w:color w:val="000000"/>
          <w:sz w:val="28"/>
          <w:szCs w:val="28"/>
        </w:rPr>
        <w:t>Trends analysis</w:t>
      </w:r>
    </w:p>
    <w:p w:rsidR="008445ED" w:rsidRDefault="005365C1" w:rsidP="00E35CB6">
      <w:pPr>
        <w:spacing w:after="0"/>
        <w:rPr>
          <w:color w:val="000000"/>
          <w:sz w:val="28"/>
          <w:szCs w:val="28"/>
        </w:rPr>
      </w:pPr>
      <w:r w:rsidRPr="00E35CB6">
        <w:rPr>
          <w:color w:val="000000"/>
          <w:sz w:val="28"/>
          <w:szCs w:val="28"/>
        </w:rPr>
        <w:t xml:space="preserve">The financial investment through joint ventures allowed the company to detect growth opportunities in the market through research and analytics. </w:t>
      </w:r>
    </w:p>
    <w:p w:rsidR="005F6E57" w:rsidRDefault="005365C1" w:rsidP="00E35CB6">
      <w:pPr>
        <w:spacing w:after="0"/>
        <w:rPr>
          <w:color w:val="000000"/>
          <w:sz w:val="28"/>
          <w:szCs w:val="28"/>
        </w:rPr>
      </w:pPr>
      <w:r w:rsidRPr="00E35CB6">
        <w:rPr>
          <w:color w:val="000000"/>
          <w:sz w:val="28"/>
          <w:szCs w:val="28"/>
        </w:rPr>
        <w:lastRenderedPageBreak/>
        <w:t>The thorough inspection of financial trends in the international market enabled the company to put capital into the right strategy that fetched maximum output.</w:t>
      </w:r>
    </w:p>
    <w:p w:rsidR="008445ED" w:rsidRPr="00E35CB6" w:rsidRDefault="008445ED" w:rsidP="00E35CB6">
      <w:pPr>
        <w:spacing w:after="0"/>
        <w:rPr>
          <w:sz w:val="28"/>
          <w:szCs w:val="28"/>
        </w:rPr>
      </w:pPr>
    </w:p>
    <w:p w:rsidR="005F6E57" w:rsidRPr="008445ED" w:rsidRDefault="005365C1" w:rsidP="008445ED">
      <w:pPr>
        <w:jc w:val="left"/>
        <w:rPr>
          <w:b/>
          <w:color w:val="000000"/>
          <w:sz w:val="28"/>
          <w:szCs w:val="28"/>
        </w:rPr>
      </w:pPr>
      <w:bookmarkStart w:id="11" w:name="_heading=h.2s8eyo1" w:colFirst="0" w:colLast="0"/>
      <w:bookmarkEnd w:id="11"/>
      <w:r w:rsidRPr="008445ED">
        <w:rPr>
          <w:b/>
          <w:sz w:val="28"/>
          <w:szCs w:val="28"/>
        </w:rPr>
        <w:t>Analysis of diverse models and theoretical framework of corporate value, financial structure and international cost of capital</w:t>
      </w:r>
    </w:p>
    <w:p w:rsidR="005F6E57" w:rsidRPr="00E35CB6" w:rsidRDefault="005365C1" w:rsidP="00E35CB6">
      <w:pPr>
        <w:pStyle w:val="Heading3"/>
        <w:rPr>
          <w:sz w:val="28"/>
          <w:szCs w:val="28"/>
        </w:rPr>
      </w:pPr>
      <w:bookmarkStart w:id="12" w:name="_heading=h.17dp8vu" w:colFirst="0" w:colLast="0"/>
      <w:bookmarkEnd w:id="12"/>
      <w:r w:rsidRPr="00E35CB6">
        <w:rPr>
          <w:sz w:val="28"/>
          <w:szCs w:val="28"/>
        </w:rPr>
        <w:t>The theoretical framework of corporate value</w:t>
      </w:r>
    </w:p>
    <w:p w:rsidR="005F6E57" w:rsidRPr="00E35CB6" w:rsidRDefault="005365C1" w:rsidP="00E35CB6">
      <w:pPr>
        <w:spacing w:after="0"/>
        <w:rPr>
          <w:sz w:val="28"/>
          <w:szCs w:val="28"/>
          <w:u w:val="single"/>
        </w:rPr>
      </w:pPr>
      <w:r w:rsidRPr="00E35CB6">
        <w:rPr>
          <w:b/>
          <w:color w:val="000000"/>
          <w:sz w:val="28"/>
          <w:szCs w:val="28"/>
          <w:u w:val="single"/>
        </w:rPr>
        <w:t>Market-based model</w:t>
      </w:r>
    </w:p>
    <w:p w:rsidR="005F6E57" w:rsidRPr="00E35CB6" w:rsidRDefault="005365C1" w:rsidP="00E35CB6">
      <w:pPr>
        <w:spacing w:after="0"/>
        <w:rPr>
          <w:sz w:val="28"/>
          <w:szCs w:val="28"/>
        </w:rPr>
      </w:pPr>
      <w:r w:rsidRPr="00E35CB6">
        <w:rPr>
          <w:b/>
          <w:color w:val="000000"/>
          <w:sz w:val="28"/>
          <w:szCs w:val="28"/>
        </w:rPr>
        <w:t>Concept</w:t>
      </w:r>
    </w:p>
    <w:p w:rsidR="005F6E57" w:rsidRPr="00E35CB6" w:rsidRDefault="005365C1" w:rsidP="00E35CB6">
      <w:pPr>
        <w:spacing w:after="0"/>
        <w:rPr>
          <w:sz w:val="28"/>
          <w:szCs w:val="28"/>
        </w:rPr>
      </w:pPr>
      <w:r w:rsidRPr="00E35CB6">
        <w:rPr>
          <w:color w:val="000000"/>
          <w:sz w:val="28"/>
          <w:szCs w:val="28"/>
        </w:rPr>
        <w:t>It is a theoretical model of corporate value that lays emphasis on the market strength of the company in determining the value in the industry. The above theory identifies certain economic parameters such as sales volume, revenue and many more as the variables that ensure the higher value of the business</w:t>
      </w:r>
      <w:r w:rsidRPr="00E35CB6">
        <w:rPr>
          <w:sz w:val="28"/>
          <w:szCs w:val="28"/>
        </w:rPr>
        <w:t xml:space="preserve"> (Macdonald, 2021)</w:t>
      </w:r>
      <w:r w:rsidRPr="00E35CB6">
        <w:rPr>
          <w:color w:val="000000"/>
          <w:sz w:val="28"/>
          <w:szCs w:val="28"/>
        </w:rPr>
        <w:t>.</w:t>
      </w:r>
    </w:p>
    <w:p w:rsidR="005F6E57" w:rsidRPr="00E35CB6" w:rsidRDefault="005365C1" w:rsidP="00E35CB6">
      <w:pPr>
        <w:spacing w:after="0"/>
        <w:rPr>
          <w:sz w:val="28"/>
          <w:szCs w:val="28"/>
        </w:rPr>
      </w:pPr>
      <w:r w:rsidRPr="00E35CB6">
        <w:rPr>
          <w:b/>
          <w:color w:val="000000"/>
          <w:sz w:val="28"/>
          <w:szCs w:val="28"/>
        </w:rPr>
        <w:t>Analysis</w:t>
      </w:r>
    </w:p>
    <w:p w:rsidR="005F6E57" w:rsidRPr="00E35CB6" w:rsidRDefault="005365C1" w:rsidP="00E35CB6">
      <w:pPr>
        <w:spacing w:after="0"/>
        <w:rPr>
          <w:sz w:val="28"/>
          <w:szCs w:val="28"/>
        </w:rPr>
      </w:pPr>
      <w:r w:rsidRPr="00E35CB6">
        <w:rPr>
          <w:color w:val="000000"/>
          <w:sz w:val="28"/>
          <w:szCs w:val="28"/>
        </w:rPr>
        <w:t>The above theory is highly significant in demonstrating the strengths of the company based on financial indicators. British Petroleum is recognised for its enhanced turnover in the industry. The company achieved higher recognition in the gas and oil sector due to its high revenue generation capability.</w:t>
      </w:r>
    </w:p>
    <w:p w:rsidR="005F6E57" w:rsidRPr="00E35CB6" w:rsidRDefault="005365C1" w:rsidP="00E35CB6">
      <w:pPr>
        <w:pStyle w:val="Heading3"/>
        <w:rPr>
          <w:sz w:val="28"/>
          <w:szCs w:val="28"/>
        </w:rPr>
      </w:pPr>
      <w:bookmarkStart w:id="13" w:name="_heading=h.3rdcrjn" w:colFirst="0" w:colLast="0"/>
      <w:bookmarkEnd w:id="13"/>
      <w:r w:rsidRPr="00E35CB6">
        <w:rPr>
          <w:sz w:val="28"/>
          <w:szCs w:val="28"/>
        </w:rPr>
        <w:t>Theoretical framework of financial structure</w:t>
      </w:r>
    </w:p>
    <w:p w:rsidR="005F6E57" w:rsidRPr="00E35CB6" w:rsidRDefault="005365C1" w:rsidP="00E35CB6">
      <w:pPr>
        <w:spacing w:after="0"/>
        <w:rPr>
          <w:b/>
          <w:color w:val="000000"/>
          <w:sz w:val="28"/>
          <w:szCs w:val="28"/>
          <w:u w:val="single"/>
        </w:rPr>
      </w:pPr>
      <w:r w:rsidRPr="00E35CB6">
        <w:rPr>
          <w:b/>
          <w:color w:val="000000"/>
          <w:sz w:val="28"/>
          <w:szCs w:val="28"/>
          <w:u w:val="single"/>
        </w:rPr>
        <w:t>Trade-off model</w:t>
      </w:r>
    </w:p>
    <w:p w:rsidR="005F6E57" w:rsidRPr="00E35CB6" w:rsidRDefault="005365C1" w:rsidP="00E35CB6">
      <w:pPr>
        <w:spacing w:after="0"/>
        <w:rPr>
          <w:b/>
          <w:sz w:val="28"/>
          <w:szCs w:val="28"/>
        </w:rPr>
      </w:pPr>
      <w:r w:rsidRPr="00E35CB6">
        <w:rPr>
          <w:b/>
          <w:color w:val="000000"/>
          <w:sz w:val="28"/>
          <w:szCs w:val="28"/>
        </w:rPr>
        <w:lastRenderedPageBreak/>
        <w:t>Concept</w:t>
      </w:r>
    </w:p>
    <w:p w:rsidR="005F6E57" w:rsidRPr="00E35CB6" w:rsidRDefault="005365C1" w:rsidP="00E35CB6">
      <w:pPr>
        <w:spacing w:after="0"/>
        <w:rPr>
          <w:sz w:val="28"/>
          <w:szCs w:val="28"/>
        </w:rPr>
      </w:pPr>
      <w:r w:rsidRPr="00E35CB6">
        <w:rPr>
          <w:color w:val="000000"/>
          <w:sz w:val="28"/>
          <w:szCs w:val="28"/>
        </w:rPr>
        <w:t>It is a financial structure theory that projects the view that the optimum capital framework lies within the range between financial cost and interest rate. It fosters the businesses to acknowledge the amount needed to balance the expenses through debt financing</w:t>
      </w:r>
      <w:r w:rsidRPr="00E35CB6">
        <w:rPr>
          <w:sz w:val="28"/>
          <w:szCs w:val="28"/>
          <w:highlight w:val="white"/>
        </w:rPr>
        <w:t xml:space="preserve"> (</w:t>
      </w:r>
      <w:proofErr w:type="spellStart"/>
      <w:r w:rsidRPr="00E35CB6">
        <w:rPr>
          <w:sz w:val="28"/>
          <w:szCs w:val="28"/>
          <w:highlight w:val="white"/>
        </w:rPr>
        <w:t>Neves</w:t>
      </w:r>
      <w:proofErr w:type="spellEnd"/>
      <w:r w:rsidRPr="00E35CB6">
        <w:rPr>
          <w:sz w:val="28"/>
          <w:szCs w:val="28"/>
          <w:highlight w:val="white"/>
        </w:rPr>
        <w:t xml:space="preserve"> et al., 2020)</w:t>
      </w:r>
      <w:r w:rsidRPr="00E35CB6">
        <w:rPr>
          <w:color w:val="000000"/>
          <w:sz w:val="28"/>
          <w:szCs w:val="28"/>
        </w:rPr>
        <w:t>.</w:t>
      </w:r>
    </w:p>
    <w:p w:rsidR="005F6E57" w:rsidRPr="00E35CB6" w:rsidRDefault="005365C1" w:rsidP="00E35CB6">
      <w:pPr>
        <w:spacing w:after="0"/>
        <w:rPr>
          <w:sz w:val="28"/>
          <w:szCs w:val="28"/>
        </w:rPr>
      </w:pPr>
      <w:r w:rsidRPr="00E35CB6">
        <w:rPr>
          <w:b/>
          <w:color w:val="000000"/>
          <w:sz w:val="28"/>
          <w:szCs w:val="28"/>
        </w:rPr>
        <w:t>Analysis</w:t>
      </w:r>
    </w:p>
    <w:p w:rsidR="005F6E57" w:rsidRPr="00E35CB6" w:rsidRDefault="005365C1" w:rsidP="00E35CB6">
      <w:pPr>
        <w:spacing w:after="0"/>
        <w:rPr>
          <w:sz w:val="28"/>
          <w:szCs w:val="28"/>
        </w:rPr>
      </w:pPr>
      <w:r w:rsidRPr="00E35CB6">
        <w:rPr>
          <w:color w:val="000000"/>
          <w:sz w:val="28"/>
          <w:szCs w:val="28"/>
        </w:rPr>
        <w:t>The above theory is considered effective in identifying the appropriate amount that can be utilised to raise funds through equity financing and debt financing. The businesses generally carry out debt financing in order to fund the projects in a quicker way. However, equity financing serves a key role for businesses as it facilitates maximum control of the business in terms of regulation and ownership (John, 2023).</w:t>
      </w:r>
    </w:p>
    <w:p w:rsidR="005F6E57" w:rsidRPr="00E35CB6" w:rsidRDefault="005365C1" w:rsidP="00E35CB6">
      <w:pPr>
        <w:pStyle w:val="Heading3"/>
        <w:rPr>
          <w:sz w:val="28"/>
          <w:szCs w:val="28"/>
        </w:rPr>
      </w:pPr>
      <w:bookmarkStart w:id="14" w:name="_heading=h.26in1rg" w:colFirst="0" w:colLast="0"/>
      <w:bookmarkEnd w:id="14"/>
      <w:r w:rsidRPr="00E35CB6">
        <w:rPr>
          <w:sz w:val="28"/>
          <w:szCs w:val="28"/>
        </w:rPr>
        <w:t>The theoretical framework of International cost of capital </w:t>
      </w:r>
    </w:p>
    <w:p w:rsidR="005F6E57" w:rsidRPr="00E35CB6" w:rsidRDefault="005365C1" w:rsidP="00E35CB6">
      <w:pPr>
        <w:spacing w:after="0"/>
        <w:rPr>
          <w:sz w:val="28"/>
          <w:szCs w:val="28"/>
          <w:u w:val="single"/>
        </w:rPr>
      </w:pPr>
      <w:r w:rsidRPr="00E35CB6">
        <w:rPr>
          <w:b/>
          <w:color w:val="000000"/>
          <w:sz w:val="28"/>
          <w:szCs w:val="28"/>
          <w:u w:val="single"/>
        </w:rPr>
        <w:t>Country Risk Premium model</w:t>
      </w:r>
    </w:p>
    <w:p w:rsidR="005F6E57" w:rsidRPr="00E35CB6" w:rsidRDefault="005365C1" w:rsidP="00E35CB6">
      <w:pPr>
        <w:spacing w:after="0"/>
        <w:rPr>
          <w:sz w:val="28"/>
          <w:szCs w:val="28"/>
        </w:rPr>
      </w:pPr>
      <w:r w:rsidRPr="00E35CB6">
        <w:rPr>
          <w:b/>
          <w:color w:val="000000"/>
          <w:sz w:val="28"/>
          <w:szCs w:val="28"/>
        </w:rPr>
        <w:t>Concept</w:t>
      </w:r>
    </w:p>
    <w:p w:rsidR="005F6E57" w:rsidRPr="00E35CB6" w:rsidRDefault="005365C1" w:rsidP="00E35CB6">
      <w:pPr>
        <w:spacing w:after="0"/>
        <w:rPr>
          <w:sz w:val="28"/>
          <w:szCs w:val="28"/>
        </w:rPr>
      </w:pPr>
      <w:r w:rsidRPr="00E35CB6">
        <w:rPr>
          <w:color w:val="000000"/>
          <w:sz w:val="28"/>
          <w:szCs w:val="28"/>
        </w:rPr>
        <w:t>It is the model that concentrates on certain key risks associated with the global market. This includes the political balance and stability of the country, fluctuations in exchange rate, price volatility and many more. The above theory is highly effective in forecasting overall threats in the international financial market</w:t>
      </w:r>
      <w:r w:rsidRPr="00E35CB6">
        <w:rPr>
          <w:sz w:val="28"/>
          <w:szCs w:val="28"/>
        </w:rPr>
        <w:t xml:space="preserve"> (</w:t>
      </w:r>
      <w:proofErr w:type="spellStart"/>
      <w:r w:rsidRPr="00E35CB6">
        <w:rPr>
          <w:sz w:val="28"/>
          <w:szCs w:val="28"/>
        </w:rPr>
        <w:t>Damodaran</w:t>
      </w:r>
      <w:proofErr w:type="spellEnd"/>
      <w:r w:rsidRPr="00E35CB6">
        <w:rPr>
          <w:sz w:val="28"/>
          <w:szCs w:val="28"/>
        </w:rPr>
        <w:t>, 2020)</w:t>
      </w:r>
      <w:r w:rsidRPr="00E35CB6">
        <w:rPr>
          <w:color w:val="000000"/>
          <w:sz w:val="28"/>
          <w:szCs w:val="28"/>
        </w:rPr>
        <w:t>.</w:t>
      </w:r>
    </w:p>
    <w:p w:rsidR="005F6E57" w:rsidRPr="00E35CB6" w:rsidRDefault="005365C1" w:rsidP="00E35CB6">
      <w:pPr>
        <w:spacing w:after="0"/>
        <w:rPr>
          <w:sz w:val="28"/>
          <w:szCs w:val="28"/>
        </w:rPr>
      </w:pPr>
      <w:r w:rsidRPr="00E35CB6">
        <w:rPr>
          <w:b/>
          <w:color w:val="000000"/>
          <w:sz w:val="28"/>
          <w:szCs w:val="28"/>
        </w:rPr>
        <w:lastRenderedPageBreak/>
        <w:t>Analysis</w:t>
      </w:r>
    </w:p>
    <w:p w:rsidR="005F6E57" w:rsidRPr="00E35CB6" w:rsidRDefault="005365C1" w:rsidP="00E35CB6">
      <w:pPr>
        <w:spacing w:after="0"/>
        <w:rPr>
          <w:sz w:val="28"/>
          <w:szCs w:val="28"/>
        </w:rPr>
      </w:pPr>
      <w:r w:rsidRPr="00E35CB6">
        <w:rPr>
          <w:color w:val="000000"/>
          <w:sz w:val="28"/>
          <w:szCs w:val="28"/>
        </w:rPr>
        <w:t>The Country Risk Premium model is considered highly beneficial for businesses in acknowledging threats such as political stability, inflation and other aspects. British Petroleum employs the above strategy to reduce losses from international investment.</w:t>
      </w:r>
    </w:p>
    <w:p w:rsidR="005F6E57" w:rsidRPr="00E35CB6" w:rsidRDefault="005365C1" w:rsidP="00E35CB6">
      <w:pPr>
        <w:jc w:val="left"/>
        <w:rPr>
          <w:b/>
          <w:color w:val="000000"/>
          <w:sz w:val="28"/>
          <w:szCs w:val="28"/>
        </w:rPr>
      </w:pPr>
      <w:r w:rsidRPr="00E35CB6">
        <w:rPr>
          <w:sz w:val="28"/>
          <w:szCs w:val="28"/>
        </w:rPr>
        <w:br w:type="page"/>
      </w:r>
    </w:p>
    <w:p w:rsidR="005F6E57" w:rsidRPr="00E35CB6" w:rsidRDefault="005365C1" w:rsidP="00E35CB6">
      <w:pPr>
        <w:pStyle w:val="Heading1"/>
      </w:pPr>
      <w:bookmarkStart w:id="15" w:name="_heading=h.lnxbz9" w:colFirst="0" w:colLast="0"/>
      <w:bookmarkEnd w:id="15"/>
      <w:r w:rsidRPr="00E35CB6">
        <w:lastRenderedPageBreak/>
        <w:t>Conclusion</w:t>
      </w:r>
    </w:p>
    <w:p w:rsidR="005F6E57" w:rsidRPr="00E35CB6" w:rsidRDefault="005365C1" w:rsidP="00E35CB6">
      <w:pPr>
        <w:spacing w:after="0"/>
        <w:rPr>
          <w:sz w:val="28"/>
          <w:szCs w:val="28"/>
        </w:rPr>
      </w:pPr>
      <w:r w:rsidRPr="00E35CB6">
        <w:rPr>
          <w:color w:val="000000"/>
          <w:sz w:val="28"/>
          <w:szCs w:val="28"/>
        </w:rPr>
        <w:t xml:space="preserve">Managing finance has been considered crucial for many businesses. Here, it is advantageous for companies to attract both local and international investment and opportunities. In this context, the impacts of finance management at the international level on British Petroleum have been carried out in this report. Explanation of crucial frameworks and models regarding global finance restrictions have also been incorporated in this discussion. Besides that, the strategies implemented by British Petroleum related to the maintenance of foreign investment have been added here.  Moreover, this report has explained international capital cost along with corporate valuation-related theoretic models in a detailed way. The last section of this report, named theoretical model analysis, has attached specific financial structures. </w:t>
      </w:r>
    </w:p>
    <w:p w:rsidR="005F6E57" w:rsidRPr="00E35CB6" w:rsidRDefault="005F6E57" w:rsidP="00E35CB6">
      <w:pPr>
        <w:pStyle w:val="Heading1"/>
      </w:pPr>
    </w:p>
    <w:p w:rsidR="005F6E57" w:rsidRPr="00E35CB6" w:rsidRDefault="005365C1" w:rsidP="00E35CB6">
      <w:pPr>
        <w:jc w:val="left"/>
        <w:rPr>
          <w:b/>
          <w:sz w:val="28"/>
          <w:szCs w:val="28"/>
        </w:rPr>
      </w:pPr>
      <w:r w:rsidRPr="00E35CB6">
        <w:rPr>
          <w:sz w:val="28"/>
          <w:szCs w:val="28"/>
        </w:rPr>
        <w:br w:type="page"/>
      </w:r>
    </w:p>
    <w:p w:rsidR="005F6E57" w:rsidRPr="00E35CB6" w:rsidRDefault="005365C1" w:rsidP="00E35CB6">
      <w:pPr>
        <w:pStyle w:val="Heading1"/>
      </w:pPr>
      <w:bookmarkStart w:id="16" w:name="_heading=h.35nkun2" w:colFirst="0" w:colLast="0"/>
      <w:bookmarkEnd w:id="16"/>
      <w:r w:rsidRPr="00E35CB6">
        <w:lastRenderedPageBreak/>
        <w:t>References</w:t>
      </w:r>
    </w:p>
    <w:p w:rsidR="005F6E57" w:rsidRPr="00E35CB6" w:rsidRDefault="005365C1" w:rsidP="00E35CB6">
      <w:pPr>
        <w:rPr>
          <w:sz w:val="28"/>
          <w:szCs w:val="28"/>
        </w:rPr>
      </w:pPr>
      <w:proofErr w:type="spellStart"/>
      <w:r w:rsidRPr="00E35CB6">
        <w:rPr>
          <w:sz w:val="28"/>
          <w:szCs w:val="28"/>
        </w:rPr>
        <w:t>Borchers</w:t>
      </w:r>
      <w:proofErr w:type="spellEnd"/>
      <w:r w:rsidRPr="00E35CB6">
        <w:rPr>
          <w:sz w:val="28"/>
          <w:szCs w:val="28"/>
        </w:rPr>
        <w:t xml:space="preserve">, J., (2023). Revenue-Based Financing </w:t>
      </w:r>
      <w:proofErr w:type="gramStart"/>
      <w:r w:rsidRPr="00E35CB6">
        <w:rPr>
          <w:sz w:val="28"/>
          <w:szCs w:val="28"/>
        </w:rPr>
        <w:t>Vs</w:t>
      </w:r>
      <w:proofErr w:type="gramEnd"/>
      <w:r w:rsidRPr="00E35CB6">
        <w:rPr>
          <w:sz w:val="28"/>
          <w:szCs w:val="28"/>
        </w:rPr>
        <w:t>. Traditional Venture Debt. [Online] Available at: https://www.forbes.com/sites/forbesbusinesscouncil/2023/12/01/revenue-based-financing-vs-traditional-venture-debt-unpacking-the-distinctions/?sh=39162aeff04e[Accessed 14 March 2023].</w:t>
      </w:r>
    </w:p>
    <w:p w:rsidR="005F6E57" w:rsidRPr="00E35CB6" w:rsidRDefault="005365C1" w:rsidP="00E35CB6">
      <w:pPr>
        <w:rPr>
          <w:sz w:val="28"/>
          <w:szCs w:val="28"/>
        </w:rPr>
      </w:pPr>
      <w:proofErr w:type="spellStart"/>
      <w:proofErr w:type="gramStart"/>
      <w:r w:rsidRPr="00E35CB6">
        <w:rPr>
          <w:sz w:val="28"/>
          <w:szCs w:val="28"/>
        </w:rPr>
        <w:t>bp</w:t>
      </w:r>
      <w:proofErr w:type="spellEnd"/>
      <w:proofErr w:type="gramEnd"/>
      <w:r w:rsidRPr="00E35CB6">
        <w:rPr>
          <w:sz w:val="28"/>
          <w:szCs w:val="28"/>
        </w:rPr>
        <w:t xml:space="preserve">, (2024). </w:t>
      </w:r>
      <w:proofErr w:type="gramStart"/>
      <w:r w:rsidRPr="00E35CB6">
        <w:rPr>
          <w:sz w:val="28"/>
          <w:szCs w:val="28"/>
        </w:rPr>
        <w:t>Sustainability.</w:t>
      </w:r>
      <w:proofErr w:type="gramEnd"/>
      <w:r w:rsidRPr="00E35CB6">
        <w:rPr>
          <w:sz w:val="28"/>
          <w:szCs w:val="28"/>
        </w:rPr>
        <w:t xml:space="preserve"> [Online] Available at: https://www.bp.com/en/global/corporate/sustainability.html[Accessed 14 March 2024].</w:t>
      </w:r>
    </w:p>
    <w:p w:rsidR="005F6E57" w:rsidRPr="00E35CB6" w:rsidRDefault="005365C1" w:rsidP="00E35CB6">
      <w:pPr>
        <w:rPr>
          <w:sz w:val="28"/>
          <w:szCs w:val="28"/>
        </w:rPr>
      </w:pPr>
      <w:proofErr w:type="gramStart"/>
      <w:r w:rsidRPr="00E35CB6">
        <w:rPr>
          <w:sz w:val="28"/>
          <w:szCs w:val="28"/>
        </w:rPr>
        <w:t>Case, J., (2023).</w:t>
      </w:r>
      <w:proofErr w:type="gramEnd"/>
      <w:r w:rsidRPr="00E35CB6">
        <w:rPr>
          <w:sz w:val="28"/>
          <w:szCs w:val="28"/>
        </w:rPr>
        <w:t xml:space="preserve"> Leveraging </w:t>
      </w:r>
      <w:proofErr w:type="gramStart"/>
      <w:r w:rsidRPr="00E35CB6">
        <w:rPr>
          <w:sz w:val="28"/>
          <w:szCs w:val="28"/>
        </w:rPr>
        <w:t>The</w:t>
      </w:r>
      <w:proofErr w:type="gramEnd"/>
      <w:r w:rsidRPr="00E35CB6">
        <w:rPr>
          <w:sz w:val="28"/>
          <w:szCs w:val="28"/>
        </w:rPr>
        <w:t xml:space="preserve"> Power Of Financial Management Systems. [Online] Available at: https://www.forbes.com/sites/forbestechcouncil/2023/05/26/from-survival-to-growth-leveraging-the-power-of-financial-management-systems/?sh=5aa069d97db2[Accessed 14 March 2023].</w:t>
      </w:r>
    </w:p>
    <w:p w:rsidR="005F6E57" w:rsidRPr="00E35CB6" w:rsidRDefault="005365C1" w:rsidP="00E35CB6">
      <w:pPr>
        <w:rPr>
          <w:sz w:val="28"/>
          <w:szCs w:val="28"/>
        </w:rPr>
      </w:pPr>
      <w:proofErr w:type="spellStart"/>
      <w:r w:rsidRPr="00E35CB6">
        <w:rPr>
          <w:sz w:val="28"/>
          <w:szCs w:val="28"/>
        </w:rPr>
        <w:t>Damodaran</w:t>
      </w:r>
      <w:proofErr w:type="spellEnd"/>
      <w:r w:rsidRPr="00E35CB6">
        <w:rPr>
          <w:sz w:val="28"/>
          <w:szCs w:val="28"/>
        </w:rPr>
        <w:t xml:space="preserve">, A., (2020). Equity risk premiums: Determinants, estimation and implications-the 2020 edition. </w:t>
      </w:r>
      <w:proofErr w:type="gramStart"/>
      <w:r w:rsidRPr="00E35CB6">
        <w:rPr>
          <w:sz w:val="28"/>
          <w:szCs w:val="28"/>
        </w:rPr>
        <w:t>NYU Stern School of Business.</w:t>
      </w:r>
      <w:proofErr w:type="gramEnd"/>
    </w:p>
    <w:p w:rsidR="005F6E57" w:rsidRPr="00E35CB6" w:rsidRDefault="005365C1" w:rsidP="00E35CB6">
      <w:pPr>
        <w:rPr>
          <w:sz w:val="28"/>
          <w:szCs w:val="28"/>
        </w:rPr>
      </w:pPr>
      <w:proofErr w:type="spellStart"/>
      <w:r w:rsidRPr="00E35CB6">
        <w:rPr>
          <w:sz w:val="28"/>
          <w:szCs w:val="28"/>
        </w:rPr>
        <w:t>Egilsson</w:t>
      </w:r>
      <w:proofErr w:type="spellEnd"/>
      <w:r w:rsidRPr="00E35CB6">
        <w:rPr>
          <w:sz w:val="28"/>
          <w:szCs w:val="28"/>
        </w:rPr>
        <w:t xml:space="preserve">, J.H., (2024). </w:t>
      </w:r>
      <w:proofErr w:type="gramStart"/>
      <w:r w:rsidRPr="00E35CB6">
        <w:rPr>
          <w:sz w:val="28"/>
          <w:szCs w:val="28"/>
        </w:rPr>
        <w:t xml:space="preserve">Refining </w:t>
      </w:r>
      <w:proofErr w:type="spellStart"/>
      <w:r w:rsidRPr="00E35CB6">
        <w:rPr>
          <w:sz w:val="28"/>
          <w:szCs w:val="28"/>
        </w:rPr>
        <w:t>Mundell</w:t>
      </w:r>
      <w:proofErr w:type="spellEnd"/>
      <w:r w:rsidRPr="00E35CB6">
        <w:rPr>
          <w:sz w:val="28"/>
          <w:szCs w:val="28"/>
        </w:rPr>
        <w:t>-Fleming: The Transformative Impact of Integrating FX Exposure on Output Response.</w:t>
      </w:r>
      <w:proofErr w:type="gramEnd"/>
      <w:r w:rsidRPr="00E35CB6">
        <w:rPr>
          <w:sz w:val="28"/>
          <w:szCs w:val="28"/>
        </w:rPr>
        <w:t xml:space="preserve"> </w:t>
      </w:r>
      <w:proofErr w:type="gramStart"/>
      <w:r w:rsidRPr="00E35CB6">
        <w:rPr>
          <w:sz w:val="28"/>
          <w:szCs w:val="28"/>
        </w:rPr>
        <w:t>Available at SSRN 4750703.</w:t>
      </w:r>
      <w:proofErr w:type="gramEnd"/>
    </w:p>
    <w:p w:rsidR="005F6E57" w:rsidRPr="00E35CB6" w:rsidRDefault="005365C1" w:rsidP="00E35CB6">
      <w:pPr>
        <w:rPr>
          <w:sz w:val="28"/>
          <w:szCs w:val="28"/>
        </w:rPr>
      </w:pPr>
      <w:proofErr w:type="spellStart"/>
      <w:r w:rsidRPr="00E35CB6">
        <w:rPr>
          <w:sz w:val="28"/>
          <w:szCs w:val="28"/>
        </w:rPr>
        <w:lastRenderedPageBreak/>
        <w:t>Fabozzi</w:t>
      </w:r>
      <w:proofErr w:type="spellEnd"/>
      <w:r w:rsidRPr="00E35CB6">
        <w:rPr>
          <w:sz w:val="28"/>
          <w:szCs w:val="28"/>
        </w:rPr>
        <w:t xml:space="preserve">, F.A., </w:t>
      </w:r>
      <w:proofErr w:type="spellStart"/>
      <w:r w:rsidRPr="00E35CB6">
        <w:rPr>
          <w:sz w:val="28"/>
          <w:szCs w:val="28"/>
        </w:rPr>
        <w:t>Simonian</w:t>
      </w:r>
      <w:proofErr w:type="spellEnd"/>
      <w:r w:rsidRPr="00E35CB6">
        <w:rPr>
          <w:sz w:val="28"/>
          <w:szCs w:val="28"/>
        </w:rPr>
        <w:t xml:space="preserve">, J. and </w:t>
      </w:r>
      <w:proofErr w:type="spellStart"/>
      <w:r w:rsidRPr="00E35CB6">
        <w:rPr>
          <w:sz w:val="28"/>
          <w:szCs w:val="28"/>
        </w:rPr>
        <w:t>Fabozzi</w:t>
      </w:r>
      <w:proofErr w:type="spellEnd"/>
      <w:r w:rsidRPr="00E35CB6">
        <w:rPr>
          <w:sz w:val="28"/>
          <w:szCs w:val="28"/>
        </w:rPr>
        <w:t xml:space="preserve">, F.J., (2021). Risk parity: The democratization of risk in asset allocation. </w:t>
      </w:r>
      <w:proofErr w:type="gramStart"/>
      <w:r w:rsidRPr="00E35CB6">
        <w:rPr>
          <w:sz w:val="28"/>
          <w:szCs w:val="28"/>
        </w:rPr>
        <w:t>The Journal of Portfolio Management, 47(5), pp.41-50.</w:t>
      </w:r>
      <w:proofErr w:type="gramEnd"/>
    </w:p>
    <w:p w:rsidR="005F6E57" w:rsidRPr="00E35CB6" w:rsidRDefault="005365C1" w:rsidP="00E35CB6">
      <w:pPr>
        <w:rPr>
          <w:sz w:val="28"/>
          <w:szCs w:val="28"/>
        </w:rPr>
      </w:pPr>
      <w:proofErr w:type="spellStart"/>
      <w:proofErr w:type="gramStart"/>
      <w:r w:rsidRPr="00E35CB6">
        <w:rPr>
          <w:sz w:val="28"/>
          <w:szCs w:val="28"/>
        </w:rPr>
        <w:t>globaldata</w:t>
      </w:r>
      <w:proofErr w:type="spellEnd"/>
      <w:proofErr w:type="gramEnd"/>
      <w:r w:rsidRPr="00E35CB6">
        <w:rPr>
          <w:sz w:val="28"/>
          <w:szCs w:val="28"/>
        </w:rPr>
        <w:t xml:space="preserve">, (2024). BP </w:t>
      </w:r>
      <w:proofErr w:type="spellStart"/>
      <w:r w:rsidRPr="00E35CB6">
        <w:rPr>
          <w:sz w:val="28"/>
          <w:szCs w:val="28"/>
        </w:rPr>
        <w:t>Plc</w:t>
      </w:r>
      <w:proofErr w:type="spellEnd"/>
      <w:r w:rsidRPr="00E35CB6">
        <w:rPr>
          <w:sz w:val="28"/>
          <w:szCs w:val="28"/>
        </w:rPr>
        <w:t xml:space="preserve"> - Company Profile. [Online] Available at: https://www.globaldata.com/company-profile/bp-plc/[Accessed 14 March 2024].</w:t>
      </w:r>
    </w:p>
    <w:p w:rsidR="005F6E57" w:rsidRPr="00E35CB6" w:rsidRDefault="005365C1" w:rsidP="00E35CB6">
      <w:pPr>
        <w:rPr>
          <w:sz w:val="28"/>
          <w:szCs w:val="28"/>
        </w:rPr>
      </w:pPr>
      <w:r w:rsidRPr="00E35CB6">
        <w:rPr>
          <w:sz w:val="28"/>
          <w:szCs w:val="28"/>
        </w:rPr>
        <w:t>John, M. S., (2023). What Is International Business? [Online] Available at: https://www.forbes.com/advisor/education/business-and-marketing/what-is-international-business/[Accessed 14 March 2024].</w:t>
      </w:r>
    </w:p>
    <w:p w:rsidR="005F6E57" w:rsidRPr="00E35CB6" w:rsidRDefault="005365C1" w:rsidP="00E35CB6">
      <w:pPr>
        <w:rPr>
          <w:sz w:val="28"/>
          <w:szCs w:val="28"/>
        </w:rPr>
      </w:pPr>
      <w:r w:rsidRPr="00E35CB6">
        <w:rPr>
          <w:sz w:val="28"/>
          <w:szCs w:val="28"/>
        </w:rPr>
        <w:t xml:space="preserve">Kelly, R., (2023). How Debt Can Help Your Business More Than </w:t>
      </w:r>
      <w:proofErr w:type="gramStart"/>
      <w:r w:rsidRPr="00E35CB6">
        <w:rPr>
          <w:sz w:val="28"/>
          <w:szCs w:val="28"/>
        </w:rPr>
        <w:t>Equity ....</w:t>
      </w:r>
      <w:proofErr w:type="gramEnd"/>
      <w:r w:rsidRPr="00E35CB6">
        <w:rPr>
          <w:sz w:val="28"/>
          <w:szCs w:val="28"/>
        </w:rPr>
        <w:t xml:space="preserve"> [Online] Available at: https://www.forbes.com/sites/forbesbusinesscouncil/2023/01/19/how-debt-can-help-your-business-more-than-equity-financing/?sh=2a2420bb1607[Accessed 14 March 2024].</w:t>
      </w:r>
    </w:p>
    <w:p w:rsidR="005F6E57" w:rsidRPr="00E35CB6" w:rsidRDefault="005365C1" w:rsidP="00E35CB6">
      <w:pPr>
        <w:rPr>
          <w:sz w:val="28"/>
          <w:szCs w:val="28"/>
        </w:rPr>
      </w:pPr>
      <w:proofErr w:type="gramStart"/>
      <w:r w:rsidRPr="00E35CB6">
        <w:rPr>
          <w:sz w:val="28"/>
          <w:szCs w:val="28"/>
        </w:rPr>
        <w:t>Macdonald, F., (2021).</w:t>
      </w:r>
      <w:proofErr w:type="gramEnd"/>
      <w:r w:rsidRPr="00E35CB6">
        <w:rPr>
          <w:sz w:val="28"/>
          <w:szCs w:val="28"/>
        </w:rPr>
        <w:t xml:space="preserve"> </w:t>
      </w:r>
      <w:proofErr w:type="gramStart"/>
      <w:r w:rsidRPr="00E35CB6">
        <w:rPr>
          <w:sz w:val="28"/>
          <w:szCs w:val="28"/>
        </w:rPr>
        <w:t>'Personalised risk ' in paid care work and the impacts of 'gig economy platforms and other market-based organisations.</w:t>
      </w:r>
      <w:proofErr w:type="gramEnd"/>
      <w:r w:rsidRPr="00E35CB6">
        <w:rPr>
          <w:sz w:val="28"/>
          <w:szCs w:val="28"/>
        </w:rPr>
        <w:t xml:space="preserve"> </w:t>
      </w:r>
      <w:proofErr w:type="gramStart"/>
      <w:r w:rsidRPr="00E35CB6">
        <w:rPr>
          <w:sz w:val="28"/>
          <w:szCs w:val="28"/>
        </w:rPr>
        <w:t>International Journal of Care and Caring, 5(1), pp.9-25.</w:t>
      </w:r>
      <w:proofErr w:type="gramEnd"/>
    </w:p>
    <w:p w:rsidR="005F6E57" w:rsidRPr="00E35CB6" w:rsidRDefault="005365C1" w:rsidP="00E35CB6">
      <w:pPr>
        <w:rPr>
          <w:sz w:val="28"/>
          <w:szCs w:val="28"/>
        </w:rPr>
      </w:pPr>
      <w:proofErr w:type="gramStart"/>
      <w:r w:rsidRPr="00E35CB6">
        <w:rPr>
          <w:sz w:val="28"/>
          <w:szCs w:val="28"/>
        </w:rPr>
        <w:t>Meyer, T., (2022).</w:t>
      </w:r>
      <w:proofErr w:type="gramEnd"/>
      <w:r w:rsidRPr="00E35CB6">
        <w:rPr>
          <w:sz w:val="28"/>
          <w:szCs w:val="28"/>
        </w:rPr>
        <w:t xml:space="preserve"> What's Cheaper: Raising Debt Or Surrendering Equity? [Online] Available at: </w:t>
      </w:r>
      <w:r w:rsidRPr="00E35CB6">
        <w:rPr>
          <w:sz w:val="28"/>
          <w:szCs w:val="28"/>
        </w:rPr>
        <w:lastRenderedPageBreak/>
        <w:t>https://www.forbes.com/sites/forbesbusinesscouncil/2022/10/03/whats-cheaper-raising-debt-or-surrendering-equity/?sh=5b65095316e4[Accessed 14 March 2024].</w:t>
      </w:r>
    </w:p>
    <w:p w:rsidR="005F6E57" w:rsidRPr="00E35CB6" w:rsidRDefault="005365C1" w:rsidP="00E35CB6">
      <w:pPr>
        <w:rPr>
          <w:sz w:val="28"/>
          <w:szCs w:val="28"/>
          <w:highlight w:val="white"/>
        </w:rPr>
      </w:pPr>
      <w:proofErr w:type="spellStart"/>
      <w:proofErr w:type="gramStart"/>
      <w:r w:rsidRPr="00E35CB6">
        <w:rPr>
          <w:sz w:val="28"/>
          <w:szCs w:val="28"/>
          <w:highlight w:val="white"/>
        </w:rPr>
        <w:t>Neves</w:t>
      </w:r>
      <w:proofErr w:type="spellEnd"/>
      <w:r w:rsidRPr="00E35CB6">
        <w:rPr>
          <w:sz w:val="28"/>
          <w:szCs w:val="28"/>
          <w:highlight w:val="white"/>
        </w:rPr>
        <w:t xml:space="preserve">, M.E., </w:t>
      </w:r>
      <w:proofErr w:type="spellStart"/>
      <w:r w:rsidRPr="00E35CB6">
        <w:rPr>
          <w:sz w:val="28"/>
          <w:szCs w:val="28"/>
          <w:highlight w:val="white"/>
        </w:rPr>
        <w:t>Serrasqueiro</w:t>
      </w:r>
      <w:proofErr w:type="spellEnd"/>
      <w:r w:rsidRPr="00E35CB6">
        <w:rPr>
          <w:sz w:val="28"/>
          <w:szCs w:val="28"/>
          <w:highlight w:val="white"/>
        </w:rPr>
        <w:t xml:space="preserve">, Z., Dias, A. and </w:t>
      </w:r>
      <w:proofErr w:type="spellStart"/>
      <w:r w:rsidRPr="00E35CB6">
        <w:rPr>
          <w:sz w:val="28"/>
          <w:szCs w:val="28"/>
          <w:highlight w:val="white"/>
        </w:rPr>
        <w:t>Hermano</w:t>
      </w:r>
      <w:proofErr w:type="spellEnd"/>
      <w:r w:rsidRPr="00E35CB6">
        <w:rPr>
          <w:sz w:val="28"/>
          <w:szCs w:val="28"/>
          <w:highlight w:val="white"/>
        </w:rPr>
        <w:t>, C., (2020).</w:t>
      </w:r>
      <w:proofErr w:type="gramEnd"/>
      <w:r w:rsidRPr="00E35CB6">
        <w:rPr>
          <w:sz w:val="28"/>
          <w:szCs w:val="28"/>
          <w:highlight w:val="white"/>
        </w:rPr>
        <w:t xml:space="preserve"> Capital structure decisions in a period of economic intervention: Empirical evidence of Portuguese companies with panel data. </w:t>
      </w:r>
      <w:proofErr w:type="gramStart"/>
      <w:r w:rsidRPr="00E35CB6">
        <w:rPr>
          <w:i/>
          <w:sz w:val="28"/>
          <w:szCs w:val="28"/>
          <w:highlight w:val="white"/>
        </w:rPr>
        <w:t>International Journal of Accounting &amp; Information Management</w:t>
      </w:r>
      <w:r w:rsidRPr="00E35CB6">
        <w:rPr>
          <w:sz w:val="28"/>
          <w:szCs w:val="28"/>
          <w:highlight w:val="white"/>
        </w:rPr>
        <w:t>, </w:t>
      </w:r>
      <w:r w:rsidRPr="00E35CB6">
        <w:rPr>
          <w:i/>
          <w:sz w:val="28"/>
          <w:szCs w:val="28"/>
          <w:highlight w:val="white"/>
        </w:rPr>
        <w:t>28</w:t>
      </w:r>
      <w:r w:rsidRPr="00E35CB6">
        <w:rPr>
          <w:sz w:val="28"/>
          <w:szCs w:val="28"/>
          <w:highlight w:val="white"/>
        </w:rPr>
        <w:t>(3), pp.465-495.</w:t>
      </w:r>
      <w:proofErr w:type="gramEnd"/>
    </w:p>
    <w:p w:rsidR="005F6E57" w:rsidRPr="00E35CB6" w:rsidRDefault="005F6E57" w:rsidP="00E35CB6">
      <w:pPr>
        <w:rPr>
          <w:sz w:val="28"/>
          <w:szCs w:val="28"/>
        </w:rPr>
      </w:pPr>
    </w:p>
    <w:p w:rsidR="005F6E57" w:rsidRPr="00E35CB6" w:rsidRDefault="005F6E57" w:rsidP="00E35CB6">
      <w:pPr>
        <w:rPr>
          <w:sz w:val="28"/>
          <w:szCs w:val="28"/>
        </w:rPr>
      </w:pPr>
    </w:p>
    <w:sectPr w:rsidR="005F6E57" w:rsidRPr="00E35CB6">
      <w:headerReference w:type="default" r:id="rId11"/>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F6372" w:rsidRDefault="004F6372">
      <w:pPr>
        <w:spacing w:after="0" w:line="240" w:lineRule="auto"/>
      </w:pPr>
      <w:r>
        <w:separator/>
      </w:r>
    </w:p>
  </w:endnote>
  <w:endnote w:type="continuationSeparator" w:id="0">
    <w:p w:rsidR="004F6372" w:rsidRDefault="004F6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F6E57" w:rsidRDefault="005365C1">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B34C01">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B34C01">
      <w:rPr>
        <w:b/>
        <w:noProof/>
        <w:color w:val="000000"/>
      </w:rPr>
      <w:t>19</w:t>
    </w:r>
    <w:r>
      <w:rPr>
        <w:b/>
        <w:color w:val="000000"/>
      </w:rPr>
      <w:fldChar w:fldCharType="end"/>
    </w:r>
  </w:p>
  <w:p w:rsidR="005F6E57" w:rsidRDefault="005F6E5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F6372" w:rsidRDefault="004F6372">
      <w:pPr>
        <w:spacing w:after="0" w:line="240" w:lineRule="auto"/>
      </w:pPr>
      <w:r>
        <w:separator/>
      </w:r>
    </w:p>
  </w:footnote>
  <w:footnote w:type="continuationSeparator" w:id="0">
    <w:p w:rsidR="004F6372" w:rsidRDefault="004F637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F6E57" w:rsidRDefault="005365C1">
    <w:pPr>
      <w:pBdr>
        <w:top w:val="nil"/>
        <w:left w:val="nil"/>
        <w:bottom w:val="nil"/>
        <w:right w:val="nil"/>
        <w:between w:val="nil"/>
      </w:pBdr>
      <w:tabs>
        <w:tab w:val="center" w:pos="4680"/>
        <w:tab w:val="right" w:pos="9360"/>
      </w:tabs>
      <w:spacing w:after="0" w:line="240" w:lineRule="auto"/>
      <w:jc w:val="right"/>
      <w:rPr>
        <w:color w:val="000000"/>
      </w:rPr>
    </w:pPr>
    <w:r>
      <w:rPr>
        <w:color w:val="000000"/>
      </w:rPr>
      <w:t>International Financial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5F6E57"/>
    <w:rsid w:val="00122710"/>
    <w:rsid w:val="002B65C5"/>
    <w:rsid w:val="004F6372"/>
    <w:rsid w:val="005365C1"/>
    <w:rsid w:val="005F6E57"/>
    <w:rsid w:val="00751E58"/>
    <w:rsid w:val="008445ED"/>
    <w:rsid w:val="00B34C01"/>
    <w:rsid w:val="00E35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GB" w:bidi="ar-SA"/>
      </w:rPr>
    </w:rPrDefault>
    <w:pPrDefault>
      <w:pPr>
        <w:spacing w:after="20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3D03"/>
    <w:rPr>
      <w:lang w:val="en-GB"/>
    </w:rPr>
  </w:style>
  <w:style w:type="paragraph" w:styleId="Heading1">
    <w:name w:val="heading 1"/>
    <w:basedOn w:val="Normal"/>
    <w:next w:val="Normal"/>
    <w:link w:val="Heading1Char"/>
    <w:autoRedefine/>
    <w:uiPriority w:val="9"/>
    <w:qFormat/>
    <w:rsid w:val="00972558"/>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972558"/>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573A9"/>
    <w:pPr>
      <w:keepNext/>
      <w:keepLines/>
      <w:spacing w:before="200" w:after="0"/>
      <w:outlineLvl w:val="2"/>
    </w:pPr>
    <w:rPr>
      <w:rFonts w:eastAsiaTheme="majorEastAsia" w:cstheme="majorBidi"/>
      <w:bCs/>
      <w:i/>
      <w:u w:val="single"/>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3"/>
    <w:basedOn w:val="Normal"/>
    <w:next w:val="Normal"/>
    <w:link w:val="TitleChar"/>
    <w:autoRedefine/>
    <w:uiPriority w:val="10"/>
    <w:qFormat/>
    <w:rsid w:val="00972558"/>
    <w:pPr>
      <w:pBdr>
        <w:bottom w:val="single" w:sz="8" w:space="4" w:color="4F81BD" w:themeColor="accent1"/>
      </w:pBdr>
      <w:spacing w:after="300"/>
      <w:contextualSpacing/>
    </w:pPr>
    <w:rPr>
      <w:rFonts w:eastAsiaTheme="majorEastAsia" w:cstheme="majorBidi"/>
      <w:i/>
      <w:spacing w:val="5"/>
      <w:kern w:val="28"/>
      <w:szCs w:val="52"/>
      <w:u w:val="single"/>
    </w:rPr>
  </w:style>
  <w:style w:type="character" w:customStyle="1" w:styleId="Heading1Char">
    <w:name w:val="Heading 1 Char"/>
    <w:basedOn w:val="DefaultParagraphFont"/>
    <w:link w:val="Heading1"/>
    <w:uiPriority w:val="9"/>
    <w:rsid w:val="0097255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72558"/>
    <w:rPr>
      <w:rFonts w:ascii="Times New Roman" w:eastAsiaTheme="majorEastAsia" w:hAnsi="Times New Roman" w:cstheme="majorBidi"/>
      <w:b/>
      <w:bCs/>
      <w:sz w:val="26"/>
      <w:szCs w:val="26"/>
    </w:rPr>
  </w:style>
  <w:style w:type="character" w:customStyle="1" w:styleId="TitleChar">
    <w:name w:val="Title Char"/>
    <w:aliases w:val="H3 Char"/>
    <w:basedOn w:val="DefaultParagraphFont"/>
    <w:link w:val="Title"/>
    <w:uiPriority w:val="10"/>
    <w:rsid w:val="00972558"/>
    <w:rPr>
      <w:rFonts w:ascii="Times New Roman" w:eastAsiaTheme="majorEastAsia" w:hAnsi="Times New Roman" w:cstheme="majorBidi"/>
      <w:i/>
      <w:spacing w:val="5"/>
      <w:kern w:val="28"/>
      <w:sz w:val="24"/>
      <w:szCs w:val="52"/>
      <w:u w:val="single"/>
    </w:rPr>
  </w:style>
  <w:style w:type="character" w:customStyle="1" w:styleId="Heading3Char">
    <w:name w:val="Heading 3 Char"/>
    <w:basedOn w:val="DefaultParagraphFont"/>
    <w:link w:val="Heading3"/>
    <w:uiPriority w:val="9"/>
    <w:rsid w:val="008573A9"/>
    <w:rPr>
      <w:rFonts w:ascii="Times New Roman" w:eastAsiaTheme="majorEastAsia" w:hAnsi="Times New Roman" w:cstheme="majorBidi"/>
      <w:bCs/>
      <w:i/>
      <w:sz w:val="24"/>
      <w:u w:val="single"/>
    </w:rPr>
  </w:style>
  <w:style w:type="paragraph" w:styleId="Header">
    <w:name w:val="header"/>
    <w:basedOn w:val="Normal"/>
    <w:link w:val="HeaderChar"/>
    <w:uiPriority w:val="99"/>
    <w:unhideWhenUsed/>
    <w:rsid w:val="00483D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3D03"/>
    <w:rPr>
      <w:rFonts w:ascii="Times New Roman" w:hAnsi="Times New Roman"/>
      <w:sz w:val="24"/>
      <w:lang w:val="en-GB"/>
    </w:rPr>
  </w:style>
  <w:style w:type="paragraph" w:styleId="Footer">
    <w:name w:val="footer"/>
    <w:basedOn w:val="Normal"/>
    <w:link w:val="FooterChar"/>
    <w:uiPriority w:val="99"/>
    <w:unhideWhenUsed/>
    <w:rsid w:val="00483D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D03"/>
    <w:rPr>
      <w:rFonts w:ascii="Times New Roman" w:hAnsi="Times New Roman"/>
      <w:sz w:val="24"/>
      <w:lang w:val="en-GB"/>
    </w:rPr>
  </w:style>
  <w:style w:type="paragraph" w:styleId="BalloonText">
    <w:name w:val="Balloon Text"/>
    <w:basedOn w:val="Normal"/>
    <w:link w:val="BalloonTextChar"/>
    <w:uiPriority w:val="99"/>
    <w:semiHidden/>
    <w:unhideWhenUsed/>
    <w:rsid w:val="004953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31B"/>
    <w:rPr>
      <w:rFonts w:ascii="Tahoma" w:hAnsi="Tahoma" w:cs="Tahoma"/>
      <w:sz w:val="16"/>
      <w:szCs w:val="16"/>
      <w:lang w:val="en-GB"/>
    </w:rPr>
  </w:style>
  <w:style w:type="paragraph" w:styleId="NormalWeb">
    <w:name w:val="Normal (Web)"/>
    <w:basedOn w:val="Normal"/>
    <w:uiPriority w:val="99"/>
    <w:semiHidden/>
    <w:unhideWhenUsed/>
    <w:rsid w:val="00990CE2"/>
    <w:pPr>
      <w:spacing w:before="100" w:beforeAutospacing="1" w:after="100" w:afterAutospacing="1" w:line="240" w:lineRule="auto"/>
      <w:jc w:val="left"/>
    </w:pPr>
    <w:rPr>
      <w:lang w:val="en-US"/>
    </w:rPr>
  </w:style>
  <w:style w:type="paragraph" w:styleId="Bibliography">
    <w:name w:val="Bibliography"/>
    <w:basedOn w:val="Normal"/>
    <w:next w:val="Normal"/>
    <w:uiPriority w:val="37"/>
    <w:unhideWhenUsed/>
    <w:rsid w:val="00080E8E"/>
  </w:style>
  <w:style w:type="character" w:styleId="Hyperlink">
    <w:name w:val="Hyperlink"/>
    <w:basedOn w:val="DefaultParagraphFont"/>
    <w:uiPriority w:val="99"/>
    <w:unhideWhenUsed/>
    <w:rsid w:val="00080E8E"/>
    <w:rPr>
      <w:color w:val="0000FF" w:themeColor="hyperlink"/>
      <w:u w:val="single"/>
    </w:rPr>
  </w:style>
  <w:style w:type="paragraph" w:styleId="ListParagraph">
    <w:name w:val="List Paragraph"/>
    <w:basedOn w:val="Normal"/>
    <w:uiPriority w:val="34"/>
    <w:qFormat/>
    <w:rsid w:val="00080E8E"/>
    <w:pPr>
      <w:ind w:left="720"/>
      <w:contextualSpacing/>
    </w:pPr>
  </w:style>
  <w:style w:type="paragraph" w:styleId="TOCHeading">
    <w:name w:val="TOC Heading"/>
    <w:basedOn w:val="Heading1"/>
    <w:next w:val="Normal"/>
    <w:uiPriority w:val="39"/>
    <w:unhideWhenUsed/>
    <w:qFormat/>
    <w:rsid w:val="00EA5DF1"/>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A5DF1"/>
    <w:pPr>
      <w:spacing w:after="100"/>
    </w:pPr>
  </w:style>
  <w:style w:type="paragraph" w:styleId="TOC2">
    <w:name w:val="toc 2"/>
    <w:basedOn w:val="Normal"/>
    <w:next w:val="Normal"/>
    <w:autoRedefine/>
    <w:uiPriority w:val="39"/>
    <w:unhideWhenUsed/>
    <w:rsid w:val="00EA5DF1"/>
    <w:pPr>
      <w:spacing w:after="100"/>
      <w:ind w:left="240"/>
    </w:pPr>
  </w:style>
  <w:style w:type="paragraph" w:styleId="TOC3">
    <w:name w:val="toc 3"/>
    <w:basedOn w:val="Normal"/>
    <w:next w:val="Normal"/>
    <w:autoRedefine/>
    <w:uiPriority w:val="39"/>
    <w:unhideWhenUsed/>
    <w:rsid w:val="00EA5DF1"/>
    <w:pPr>
      <w:spacing w:after="100"/>
      <w:ind w:left="480"/>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GB" w:bidi="ar-SA"/>
      </w:rPr>
    </w:rPrDefault>
    <w:pPrDefault>
      <w:pPr>
        <w:spacing w:after="20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3D03"/>
    <w:rPr>
      <w:lang w:val="en-GB"/>
    </w:rPr>
  </w:style>
  <w:style w:type="paragraph" w:styleId="Heading1">
    <w:name w:val="heading 1"/>
    <w:basedOn w:val="Normal"/>
    <w:next w:val="Normal"/>
    <w:link w:val="Heading1Char"/>
    <w:autoRedefine/>
    <w:uiPriority w:val="9"/>
    <w:qFormat/>
    <w:rsid w:val="00972558"/>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972558"/>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573A9"/>
    <w:pPr>
      <w:keepNext/>
      <w:keepLines/>
      <w:spacing w:before="200" w:after="0"/>
      <w:outlineLvl w:val="2"/>
    </w:pPr>
    <w:rPr>
      <w:rFonts w:eastAsiaTheme="majorEastAsia" w:cstheme="majorBidi"/>
      <w:bCs/>
      <w:i/>
      <w:u w:val="single"/>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3"/>
    <w:basedOn w:val="Normal"/>
    <w:next w:val="Normal"/>
    <w:link w:val="TitleChar"/>
    <w:autoRedefine/>
    <w:uiPriority w:val="10"/>
    <w:qFormat/>
    <w:rsid w:val="00972558"/>
    <w:pPr>
      <w:pBdr>
        <w:bottom w:val="single" w:sz="8" w:space="4" w:color="4F81BD" w:themeColor="accent1"/>
      </w:pBdr>
      <w:spacing w:after="300"/>
      <w:contextualSpacing/>
    </w:pPr>
    <w:rPr>
      <w:rFonts w:eastAsiaTheme="majorEastAsia" w:cstheme="majorBidi"/>
      <w:i/>
      <w:spacing w:val="5"/>
      <w:kern w:val="28"/>
      <w:szCs w:val="52"/>
      <w:u w:val="single"/>
    </w:rPr>
  </w:style>
  <w:style w:type="character" w:customStyle="1" w:styleId="Heading1Char">
    <w:name w:val="Heading 1 Char"/>
    <w:basedOn w:val="DefaultParagraphFont"/>
    <w:link w:val="Heading1"/>
    <w:uiPriority w:val="9"/>
    <w:rsid w:val="0097255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72558"/>
    <w:rPr>
      <w:rFonts w:ascii="Times New Roman" w:eastAsiaTheme="majorEastAsia" w:hAnsi="Times New Roman" w:cstheme="majorBidi"/>
      <w:b/>
      <w:bCs/>
      <w:sz w:val="26"/>
      <w:szCs w:val="26"/>
    </w:rPr>
  </w:style>
  <w:style w:type="character" w:customStyle="1" w:styleId="TitleChar">
    <w:name w:val="Title Char"/>
    <w:aliases w:val="H3 Char"/>
    <w:basedOn w:val="DefaultParagraphFont"/>
    <w:link w:val="Title"/>
    <w:uiPriority w:val="10"/>
    <w:rsid w:val="00972558"/>
    <w:rPr>
      <w:rFonts w:ascii="Times New Roman" w:eastAsiaTheme="majorEastAsia" w:hAnsi="Times New Roman" w:cstheme="majorBidi"/>
      <w:i/>
      <w:spacing w:val="5"/>
      <w:kern w:val="28"/>
      <w:sz w:val="24"/>
      <w:szCs w:val="52"/>
      <w:u w:val="single"/>
    </w:rPr>
  </w:style>
  <w:style w:type="character" w:customStyle="1" w:styleId="Heading3Char">
    <w:name w:val="Heading 3 Char"/>
    <w:basedOn w:val="DefaultParagraphFont"/>
    <w:link w:val="Heading3"/>
    <w:uiPriority w:val="9"/>
    <w:rsid w:val="008573A9"/>
    <w:rPr>
      <w:rFonts w:ascii="Times New Roman" w:eastAsiaTheme="majorEastAsia" w:hAnsi="Times New Roman" w:cstheme="majorBidi"/>
      <w:bCs/>
      <w:i/>
      <w:sz w:val="24"/>
      <w:u w:val="single"/>
    </w:rPr>
  </w:style>
  <w:style w:type="paragraph" w:styleId="Header">
    <w:name w:val="header"/>
    <w:basedOn w:val="Normal"/>
    <w:link w:val="HeaderChar"/>
    <w:uiPriority w:val="99"/>
    <w:unhideWhenUsed/>
    <w:rsid w:val="00483D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3D03"/>
    <w:rPr>
      <w:rFonts w:ascii="Times New Roman" w:hAnsi="Times New Roman"/>
      <w:sz w:val="24"/>
      <w:lang w:val="en-GB"/>
    </w:rPr>
  </w:style>
  <w:style w:type="paragraph" w:styleId="Footer">
    <w:name w:val="footer"/>
    <w:basedOn w:val="Normal"/>
    <w:link w:val="FooterChar"/>
    <w:uiPriority w:val="99"/>
    <w:unhideWhenUsed/>
    <w:rsid w:val="00483D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D03"/>
    <w:rPr>
      <w:rFonts w:ascii="Times New Roman" w:hAnsi="Times New Roman"/>
      <w:sz w:val="24"/>
      <w:lang w:val="en-GB"/>
    </w:rPr>
  </w:style>
  <w:style w:type="paragraph" w:styleId="BalloonText">
    <w:name w:val="Balloon Text"/>
    <w:basedOn w:val="Normal"/>
    <w:link w:val="BalloonTextChar"/>
    <w:uiPriority w:val="99"/>
    <w:semiHidden/>
    <w:unhideWhenUsed/>
    <w:rsid w:val="004953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31B"/>
    <w:rPr>
      <w:rFonts w:ascii="Tahoma" w:hAnsi="Tahoma" w:cs="Tahoma"/>
      <w:sz w:val="16"/>
      <w:szCs w:val="16"/>
      <w:lang w:val="en-GB"/>
    </w:rPr>
  </w:style>
  <w:style w:type="paragraph" w:styleId="NormalWeb">
    <w:name w:val="Normal (Web)"/>
    <w:basedOn w:val="Normal"/>
    <w:uiPriority w:val="99"/>
    <w:semiHidden/>
    <w:unhideWhenUsed/>
    <w:rsid w:val="00990CE2"/>
    <w:pPr>
      <w:spacing w:before="100" w:beforeAutospacing="1" w:after="100" w:afterAutospacing="1" w:line="240" w:lineRule="auto"/>
      <w:jc w:val="left"/>
    </w:pPr>
    <w:rPr>
      <w:lang w:val="en-US"/>
    </w:rPr>
  </w:style>
  <w:style w:type="paragraph" w:styleId="Bibliography">
    <w:name w:val="Bibliography"/>
    <w:basedOn w:val="Normal"/>
    <w:next w:val="Normal"/>
    <w:uiPriority w:val="37"/>
    <w:unhideWhenUsed/>
    <w:rsid w:val="00080E8E"/>
  </w:style>
  <w:style w:type="character" w:styleId="Hyperlink">
    <w:name w:val="Hyperlink"/>
    <w:basedOn w:val="DefaultParagraphFont"/>
    <w:uiPriority w:val="99"/>
    <w:unhideWhenUsed/>
    <w:rsid w:val="00080E8E"/>
    <w:rPr>
      <w:color w:val="0000FF" w:themeColor="hyperlink"/>
      <w:u w:val="single"/>
    </w:rPr>
  </w:style>
  <w:style w:type="paragraph" w:styleId="ListParagraph">
    <w:name w:val="List Paragraph"/>
    <w:basedOn w:val="Normal"/>
    <w:uiPriority w:val="34"/>
    <w:qFormat/>
    <w:rsid w:val="00080E8E"/>
    <w:pPr>
      <w:ind w:left="720"/>
      <w:contextualSpacing/>
    </w:pPr>
  </w:style>
  <w:style w:type="paragraph" w:styleId="TOCHeading">
    <w:name w:val="TOC Heading"/>
    <w:basedOn w:val="Heading1"/>
    <w:next w:val="Normal"/>
    <w:uiPriority w:val="39"/>
    <w:unhideWhenUsed/>
    <w:qFormat/>
    <w:rsid w:val="00EA5DF1"/>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A5DF1"/>
    <w:pPr>
      <w:spacing w:after="100"/>
    </w:pPr>
  </w:style>
  <w:style w:type="paragraph" w:styleId="TOC2">
    <w:name w:val="toc 2"/>
    <w:basedOn w:val="Normal"/>
    <w:next w:val="Normal"/>
    <w:autoRedefine/>
    <w:uiPriority w:val="39"/>
    <w:unhideWhenUsed/>
    <w:rsid w:val="00EA5DF1"/>
    <w:pPr>
      <w:spacing w:after="100"/>
      <w:ind w:left="240"/>
    </w:pPr>
  </w:style>
  <w:style w:type="paragraph" w:styleId="TOC3">
    <w:name w:val="toc 3"/>
    <w:basedOn w:val="Normal"/>
    <w:next w:val="Normal"/>
    <w:autoRedefine/>
    <w:uiPriority w:val="39"/>
    <w:unhideWhenUsed/>
    <w:rsid w:val="00EA5DF1"/>
    <w:pPr>
      <w:spacing w:after="100"/>
      <w:ind w:left="480"/>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Iwi+aGElK6KTxNH1kix28Y1+UA==">CgMxLjAyDmguYmk0dnZnYXd2MnBpMghoLmdqZGd4czIJaC4zMGowemxsMgloLjFmb2I5dGUyCWguM3pueXNoNzIJaC4yZXQ5MnAwMghoLnR5amN3dDIJaC4zZHk2dmttMgloLjF0M2g1c2YyCWguNGQzNG9nODIJaC4yczhleW8xMgloLjE3ZHA4dnUyCWguM3JkY3JqbjIJaC4yNmluMXJnMghoLmxueGJ6OTIJaC4zNW5rdW4yOAByITFVdzBoTm5NZk5lbl96U0VrWElLeko5azRERU5nMXpV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2397</Words>
  <Characters>13666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dc:creator>
  <cp:lastModifiedBy>X</cp:lastModifiedBy>
  <cp:revision>6</cp:revision>
  <dcterms:created xsi:type="dcterms:W3CDTF">2024-04-01T21:16:00Z</dcterms:created>
  <dcterms:modified xsi:type="dcterms:W3CDTF">2024-04-01T21:32:00Z</dcterms:modified>
</cp:coreProperties>
</file>