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E7" w:rsidRDefault="00A245E7" w:rsidP="00A245E7">
      <w:pPr>
        <w:spacing w:line="360" w:lineRule="auto"/>
        <w:jc w:val="center"/>
        <w:rPr>
          <w:rFonts w:ascii="Times New Roman" w:hAnsi="Times New Roman" w:cs="Times New Roman"/>
          <w:b/>
          <w:sz w:val="28"/>
        </w:rPr>
      </w:pPr>
    </w:p>
    <w:p w:rsidR="00A245E7" w:rsidRDefault="00A245E7" w:rsidP="00A245E7">
      <w:pPr>
        <w:spacing w:line="360" w:lineRule="auto"/>
        <w:jc w:val="center"/>
        <w:rPr>
          <w:rFonts w:ascii="Times New Roman" w:hAnsi="Times New Roman" w:cs="Times New Roman"/>
          <w:b/>
          <w:sz w:val="28"/>
        </w:rPr>
      </w:pPr>
    </w:p>
    <w:p w:rsidR="00A245E7" w:rsidRDefault="00A245E7" w:rsidP="00A245E7">
      <w:pPr>
        <w:spacing w:line="360" w:lineRule="auto"/>
        <w:jc w:val="center"/>
        <w:rPr>
          <w:rFonts w:ascii="Times New Roman" w:hAnsi="Times New Roman" w:cs="Times New Roman"/>
          <w:b/>
          <w:sz w:val="28"/>
        </w:rPr>
      </w:pPr>
    </w:p>
    <w:p w:rsidR="00A245E7" w:rsidRDefault="00A245E7" w:rsidP="00A245E7">
      <w:pPr>
        <w:spacing w:line="360" w:lineRule="auto"/>
        <w:jc w:val="center"/>
        <w:rPr>
          <w:rFonts w:ascii="Times New Roman" w:hAnsi="Times New Roman" w:cs="Times New Roman"/>
          <w:b/>
          <w:sz w:val="28"/>
        </w:rPr>
      </w:pPr>
    </w:p>
    <w:p w:rsidR="00A245E7" w:rsidRDefault="00A245E7" w:rsidP="00A245E7">
      <w:pPr>
        <w:spacing w:line="360" w:lineRule="auto"/>
        <w:jc w:val="center"/>
        <w:rPr>
          <w:rFonts w:ascii="Times New Roman" w:hAnsi="Times New Roman" w:cs="Times New Roman"/>
          <w:b/>
          <w:sz w:val="28"/>
        </w:rPr>
      </w:pPr>
    </w:p>
    <w:p w:rsidR="00A245E7" w:rsidRDefault="00A245E7" w:rsidP="00A245E7">
      <w:pPr>
        <w:spacing w:line="360" w:lineRule="auto"/>
        <w:jc w:val="center"/>
        <w:rPr>
          <w:rFonts w:ascii="Times New Roman" w:hAnsi="Times New Roman" w:cs="Times New Roman"/>
          <w:b/>
          <w:sz w:val="28"/>
        </w:rPr>
      </w:pPr>
    </w:p>
    <w:p w:rsidR="00A245E7" w:rsidRDefault="00A245E7" w:rsidP="00A245E7">
      <w:pPr>
        <w:spacing w:line="360" w:lineRule="auto"/>
        <w:jc w:val="center"/>
        <w:rPr>
          <w:rFonts w:ascii="Times New Roman" w:hAnsi="Times New Roman" w:cs="Times New Roman"/>
          <w:b/>
          <w:sz w:val="28"/>
        </w:rPr>
      </w:pPr>
    </w:p>
    <w:p w:rsidR="00A245E7" w:rsidRPr="00A245E7" w:rsidRDefault="00A245E7" w:rsidP="00A245E7">
      <w:pPr>
        <w:spacing w:line="360" w:lineRule="auto"/>
        <w:jc w:val="center"/>
        <w:rPr>
          <w:rFonts w:ascii="Times New Roman" w:hAnsi="Times New Roman" w:cs="Times New Roman"/>
          <w:b/>
          <w:sz w:val="28"/>
        </w:rPr>
      </w:pPr>
      <w:r w:rsidRPr="00A245E7">
        <w:rPr>
          <w:rFonts w:ascii="Times New Roman" w:hAnsi="Times New Roman" w:cs="Times New Roman"/>
          <w:b/>
          <w:sz w:val="28"/>
        </w:rPr>
        <w:t>BANKING FINANCIAL MANAGEMENT AND FINANCIAL MARKETS</w:t>
      </w:r>
    </w:p>
    <w:p w:rsidR="00A245E7" w:rsidRPr="00A245E7" w:rsidRDefault="00A245E7" w:rsidP="00A245E7">
      <w:pPr>
        <w:spacing w:line="360" w:lineRule="auto"/>
        <w:jc w:val="center"/>
        <w:rPr>
          <w:rFonts w:ascii="Times New Roman" w:hAnsi="Times New Roman" w:cs="Times New Roman"/>
          <w:b/>
          <w:color w:val="000000" w:themeColor="text1"/>
          <w:sz w:val="24"/>
          <w:szCs w:val="24"/>
        </w:rPr>
      </w:pPr>
      <w:r w:rsidRPr="00A245E7">
        <w:rPr>
          <w:rFonts w:ascii="Times New Roman" w:hAnsi="Times New Roman" w:cs="Times New Roman"/>
          <w:b/>
          <w:sz w:val="28"/>
        </w:rPr>
        <w:t>LCMB7012</w:t>
      </w:r>
      <w:r w:rsidRPr="00A245E7">
        <w:rPr>
          <w:rFonts w:ascii="Times New Roman" w:hAnsi="Times New Roman" w:cs="Times New Roman"/>
          <w:b/>
          <w:color w:val="000000" w:themeColor="text1"/>
          <w:sz w:val="32"/>
          <w:szCs w:val="24"/>
        </w:rPr>
        <w:t xml:space="preserve"> </w:t>
      </w:r>
      <w:r w:rsidRPr="00A245E7">
        <w:rPr>
          <w:rFonts w:ascii="Times New Roman" w:hAnsi="Times New Roman" w:cs="Times New Roman"/>
          <w:b/>
          <w:color w:val="000000" w:themeColor="text1"/>
          <w:sz w:val="24"/>
          <w:szCs w:val="24"/>
        </w:rPr>
        <w:br w:type="page"/>
      </w:r>
    </w:p>
    <w:sdt>
      <w:sdtPr>
        <w:id w:val="-130685453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32A20" w:rsidRPr="00B32A20" w:rsidRDefault="00B32A20" w:rsidP="00B32A20">
          <w:pPr>
            <w:pStyle w:val="TOCHeading"/>
            <w:spacing w:line="360" w:lineRule="auto"/>
            <w:jc w:val="center"/>
            <w:rPr>
              <w:rFonts w:ascii="Times New Roman" w:hAnsi="Times New Roman" w:cs="Times New Roman"/>
              <w:b/>
              <w:color w:val="000000" w:themeColor="text1"/>
              <w:sz w:val="28"/>
              <w:szCs w:val="24"/>
            </w:rPr>
          </w:pPr>
          <w:r w:rsidRPr="00B32A20">
            <w:rPr>
              <w:rFonts w:ascii="Times New Roman" w:hAnsi="Times New Roman" w:cs="Times New Roman"/>
              <w:b/>
              <w:color w:val="000000" w:themeColor="text1"/>
              <w:sz w:val="28"/>
              <w:szCs w:val="24"/>
            </w:rPr>
            <w:t>TABLE OF CONTENTS</w:t>
          </w:r>
        </w:p>
        <w:p w:rsidR="00B32A20" w:rsidRPr="00B32A20" w:rsidRDefault="00B32A20" w:rsidP="00B32A20">
          <w:pPr>
            <w:pStyle w:val="TOC1"/>
            <w:tabs>
              <w:tab w:val="right" w:leader="dot" w:pos="9016"/>
            </w:tabs>
            <w:spacing w:line="360" w:lineRule="auto"/>
            <w:jc w:val="both"/>
            <w:rPr>
              <w:rFonts w:ascii="Times New Roman" w:hAnsi="Times New Roman" w:cs="Times New Roman"/>
              <w:noProof/>
              <w:sz w:val="24"/>
              <w:szCs w:val="24"/>
            </w:rPr>
          </w:pPr>
          <w:r w:rsidRPr="00B32A20">
            <w:rPr>
              <w:rFonts w:ascii="Times New Roman" w:hAnsi="Times New Roman" w:cs="Times New Roman"/>
              <w:b/>
              <w:bCs/>
              <w:noProof/>
              <w:sz w:val="24"/>
              <w:szCs w:val="24"/>
            </w:rPr>
            <w:fldChar w:fldCharType="begin"/>
          </w:r>
          <w:r w:rsidRPr="00B32A20">
            <w:rPr>
              <w:rFonts w:ascii="Times New Roman" w:hAnsi="Times New Roman" w:cs="Times New Roman"/>
              <w:b/>
              <w:bCs/>
              <w:noProof/>
              <w:sz w:val="24"/>
              <w:szCs w:val="24"/>
            </w:rPr>
            <w:instrText xml:space="preserve"> TOC \o "1-3" \h \z \u </w:instrText>
          </w:r>
          <w:r w:rsidRPr="00B32A20">
            <w:rPr>
              <w:rFonts w:ascii="Times New Roman" w:hAnsi="Times New Roman" w:cs="Times New Roman"/>
              <w:b/>
              <w:bCs/>
              <w:noProof/>
              <w:sz w:val="24"/>
              <w:szCs w:val="24"/>
            </w:rPr>
            <w:fldChar w:fldCharType="separate"/>
          </w:r>
          <w:hyperlink w:anchor="_Toc132298737" w:history="1">
            <w:r w:rsidRPr="00B32A20">
              <w:rPr>
                <w:rStyle w:val="Hyperlink"/>
                <w:rFonts w:ascii="Times New Roman" w:hAnsi="Times New Roman" w:cs="Times New Roman"/>
                <w:noProof/>
                <w:sz w:val="24"/>
                <w:szCs w:val="24"/>
              </w:rPr>
              <w:t>1.0 Introduction</w:t>
            </w:r>
            <w:r w:rsidRPr="00B32A20">
              <w:rPr>
                <w:rFonts w:ascii="Times New Roman" w:hAnsi="Times New Roman" w:cs="Times New Roman"/>
                <w:noProof/>
                <w:webHidden/>
                <w:sz w:val="24"/>
                <w:szCs w:val="24"/>
              </w:rPr>
              <w:tab/>
            </w:r>
            <w:r w:rsidRPr="00B32A20">
              <w:rPr>
                <w:rFonts w:ascii="Times New Roman" w:hAnsi="Times New Roman" w:cs="Times New Roman"/>
                <w:noProof/>
                <w:webHidden/>
                <w:sz w:val="24"/>
                <w:szCs w:val="24"/>
              </w:rPr>
              <w:fldChar w:fldCharType="begin"/>
            </w:r>
            <w:r w:rsidRPr="00B32A20">
              <w:rPr>
                <w:rFonts w:ascii="Times New Roman" w:hAnsi="Times New Roman" w:cs="Times New Roman"/>
                <w:noProof/>
                <w:webHidden/>
                <w:sz w:val="24"/>
                <w:szCs w:val="24"/>
              </w:rPr>
              <w:instrText xml:space="preserve"> PAGEREF _Toc132298737 \h </w:instrText>
            </w:r>
            <w:r w:rsidRPr="00B32A20">
              <w:rPr>
                <w:rFonts w:ascii="Times New Roman" w:hAnsi="Times New Roman" w:cs="Times New Roman"/>
                <w:noProof/>
                <w:webHidden/>
                <w:sz w:val="24"/>
                <w:szCs w:val="24"/>
              </w:rPr>
            </w:r>
            <w:r w:rsidRPr="00B32A20">
              <w:rPr>
                <w:rFonts w:ascii="Times New Roman" w:hAnsi="Times New Roman" w:cs="Times New Roman"/>
                <w:noProof/>
                <w:webHidden/>
                <w:sz w:val="24"/>
                <w:szCs w:val="24"/>
              </w:rPr>
              <w:fldChar w:fldCharType="separate"/>
            </w:r>
            <w:r w:rsidRPr="00B32A20">
              <w:rPr>
                <w:rFonts w:ascii="Times New Roman" w:hAnsi="Times New Roman" w:cs="Times New Roman"/>
                <w:noProof/>
                <w:webHidden/>
                <w:sz w:val="24"/>
                <w:szCs w:val="24"/>
              </w:rPr>
              <w:t>3</w:t>
            </w:r>
            <w:r w:rsidRPr="00B32A20">
              <w:rPr>
                <w:rFonts w:ascii="Times New Roman" w:hAnsi="Times New Roman" w:cs="Times New Roman"/>
                <w:noProof/>
                <w:webHidden/>
                <w:sz w:val="24"/>
                <w:szCs w:val="24"/>
              </w:rPr>
              <w:fldChar w:fldCharType="end"/>
            </w:r>
          </w:hyperlink>
        </w:p>
        <w:p w:rsidR="00B32A20" w:rsidRPr="00B32A20" w:rsidRDefault="00B32A20" w:rsidP="00B32A20">
          <w:pPr>
            <w:pStyle w:val="TOC1"/>
            <w:tabs>
              <w:tab w:val="right" w:leader="dot" w:pos="9016"/>
            </w:tabs>
            <w:spacing w:line="360" w:lineRule="auto"/>
            <w:jc w:val="both"/>
            <w:rPr>
              <w:rFonts w:ascii="Times New Roman" w:hAnsi="Times New Roman" w:cs="Times New Roman"/>
              <w:noProof/>
              <w:sz w:val="24"/>
              <w:szCs w:val="24"/>
            </w:rPr>
          </w:pPr>
          <w:hyperlink w:anchor="_Toc132298738" w:history="1">
            <w:r w:rsidRPr="00B32A20">
              <w:rPr>
                <w:rStyle w:val="Hyperlink"/>
                <w:rFonts w:ascii="Times New Roman" w:hAnsi="Times New Roman" w:cs="Times New Roman"/>
                <w:noProof/>
                <w:sz w:val="24"/>
                <w:szCs w:val="24"/>
              </w:rPr>
              <w:t>2.0 Key laws, regulations and contracts enacted post the 2008 financial crisis:</w:t>
            </w:r>
            <w:r w:rsidRPr="00B32A20">
              <w:rPr>
                <w:rFonts w:ascii="Times New Roman" w:hAnsi="Times New Roman" w:cs="Times New Roman"/>
                <w:noProof/>
                <w:webHidden/>
                <w:sz w:val="24"/>
                <w:szCs w:val="24"/>
              </w:rPr>
              <w:tab/>
            </w:r>
            <w:r w:rsidRPr="00B32A20">
              <w:rPr>
                <w:rFonts w:ascii="Times New Roman" w:hAnsi="Times New Roman" w:cs="Times New Roman"/>
                <w:noProof/>
                <w:webHidden/>
                <w:sz w:val="24"/>
                <w:szCs w:val="24"/>
              </w:rPr>
              <w:fldChar w:fldCharType="begin"/>
            </w:r>
            <w:r w:rsidRPr="00B32A20">
              <w:rPr>
                <w:rFonts w:ascii="Times New Roman" w:hAnsi="Times New Roman" w:cs="Times New Roman"/>
                <w:noProof/>
                <w:webHidden/>
                <w:sz w:val="24"/>
                <w:szCs w:val="24"/>
              </w:rPr>
              <w:instrText xml:space="preserve"> PAGEREF _Toc132298738 \h </w:instrText>
            </w:r>
            <w:r w:rsidRPr="00B32A20">
              <w:rPr>
                <w:rFonts w:ascii="Times New Roman" w:hAnsi="Times New Roman" w:cs="Times New Roman"/>
                <w:noProof/>
                <w:webHidden/>
                <w:sz w:val="24"/>
                <w:szCs w:val="24"/>
              </w:rPr>
            </w:r>
            <w:r w:rsidRPr="00B32A20">
              <w:rPr>
                <w:rFonts w:ascii="Times New Roman" w:hAnsi="Times New Roman" w:cs="Times New Roman"/>
                <w:noProof/>
                <w:webHidden/>
                <w:sz w:val="24"/>
                <w:szCs w:val="24"/>
              </w:rPr>
              <w:fldChar w:fldCharType="separate"/>
            </w:r>
            <w:r w:rsidRPr="00B32A20">
              <w:rPr>
                <w:rFonts w:ascii="Times New Roman" w:hAnsi="Times New Roman" w:cs="Times New Roman"/>
                <w:noProof/>
                <w:webHidden/>
                <w:sz w:val="24"/>
                <w:szCs w:val="24"/>
              </w:rPr>
              <w:t>3</w:t>
            </w:r>
            <w:r w:rsidRPr="00B32A20">
              <w:rPr>
                <w:rFonts w:ascii="Times New Roman" w:hAnsi="Times New Roman" w:cs="Times New Roman"/>
                <w:noProof/>
                <w:webHidden/>
                <w:sz w:val="24"/>
                <w:szCs w:val="24"/>
              </w:rPr>
              <w:fldChar w:fldCharType="end"/>
            </w:r>
          </w:hyperlink>
        </w:p>
        <w:p w:rsidR="00B32A20" w:rsidRPr="00B32A20" w:rsidRDefault="00B32A20" w:rsidP="00B32A20">
          <w:pPr>
            <w:pStyle w:val="TOC1"/>
            <w:tabs>
              <w:tab w:val="right" w:leader="dot" w:pos="9016"/>
            </w:tabs>
            <w:spacing w:line="360" w:lineRule="auto"/>
            <w:jc w:val="both"/>
            <w:rPr>
              <w:rFonts w:ascii="Times New Roman" w:hAnsi="Times New Roman" w:cs="Times New Roman"/>
              <w:noProof/>
              <w:sz w:val="24"/>
              <w:szCs w:val="24"/>
            </w:rPr>
          </w:pPr>
          <w:hyperlink w:anchor="_Toc132298739" w:history="1">
            <w:r w:rsidRPr="00B32A20">
              <w:rPr>
                <w:rStyle w:val="Hyperlink"/>
                <w:rFonts w:ascii="Times New Roman" w:hAnsi="Times New Roman" w:cs="Times New Roman"/>
                <w:noProof/>
                <w:sz w:val="24"/>
                <w:szCs w:val="24"/>
              </w:rPr>
              <w:t>3.0 Impact on the financial system and the different banking institutions post the 2008 crises</w:t>
            </w:r>
            <w:r w:rsidRPr="00B32A20">
              <w:rPr>
                <w:rFonts w:ascii="Times New Roman" w:hAnsi="Times New Roman" w:cs="Times New Roman"/>
                <w:noProof/>
                <w:webHidden/>
                <w:sz w:val="24"/>
                <w:szCs w:val="24"/>
              </w:rPr>
              <w:tab/>
            </w:r>
            <w:r w:rsidRPr="00B32A20">
              <w:rPr>
                <w:rFonts w:ascii="Times New Roman" w:hAnsi="Times New Roman" w:cs="Times New Roman"/>
                <w:noProof/>
                <w:webHidden/>
                <w:sz w:val="24"/>
                <w:szCs w:val="24"/>
              </w:rPr>
              <w:fldChar w:fldCharType="begin"/>
            </w:r>
            <w:r w:rsidRPr="00B32A20">
              <w:rPr>
                <w:rFonts w:ascii="Times New Roman" w:hAnsi="Times New Roman" w:cs="Times New Roman"/>
                <w:noProof/>
                <w:webHidden/>
                <w:sz w:val="24"/>
                <w:szCs w:val="24"/>
              </w:rPr>
              <w:instrText xml:space="preserve"> PAGEREF _Toc132298739 \h </w:instrText>
            </w:r>
            <w:r w:rsidRPr="00B32A20">
              <w:rPr>
                <w:rFonts w:ascii="Times New Roman" w:hAnsi="Times New Roman" w:cs="Times New Roman"/>
                <w:noProof/>
                <w:webHidden/>
                <w:sz w:val="24"/>
                <w:szCs w:val="24"/>
              </w:rPr>
            </w:r>
            <w:r w:rsidRPr="00B32A20">
              <w:rPr>
                <w:rFonts w:ascii="Times New Roman" w:hAnsi="Times New Roman" w:cs="Times New Roman"/>
                <w:noProof/>
                <w:webHidden/>
                <w:sz w:val="24"/>
                <w:szCs w:val="24"/>
              </w:rPr>
              <w:fldChar w:fldCharType="separate"/>
            </w:r>
            <w:r w:rsidRPr="00B32A20">
              <w:rPr>
                <w:rFonts w:ascii="Times New Roman" w:hAnsi="Times New Roman" w:cs="Times New Roman"/>
                <w:noProof/>
                <w:webHidden/>
                <w:sz w:val="24"/>
                <w:szCs w:val="24"/>
              </w:rPr>
              <w:t>6</w:t>
            </w:r>
            <w:r w:rsidRPr="00B32A20">
              <w:rPr>
                <w:rFonts w:ascii="Times New Roman" w:hAnsi="Times New Roman" w:cs="Times New Roman"/>
                <w:noProof/>
                <w:webHidden/>
                <w:sz w:val="24"/>
                <w:szCs w:val="24"/>
              </w:rPr>
              <w:fldChar w:fldCharType="end"/>
            </w:r>
          </w:hyperlink>
        </w:p>
        <w:p w:rsidR="00B32A20" w:rsidRPr="00B32A20" w:rsidRDefault="00B32A20" w:rsidP="00B32A20">
          <w:pPr>
            <w:pStyle w:val="TOC1"/>
            <w:tabs>
              <w:tab w:val="right" w:leader="dot" w:pos="9016"/>
            </w:tabs>
            <w:spacing w:line="360" w:lineRule="auto"/>
            <w:jc w:val="both"/>
            <w:rPr>
              <w:rFonts w:ascii="Times New Roman" w:hAnsi="Times New Roman" w:cs="Times New Roman"/>
              <w:noProof/>
              <w:sz w:val="24"/>
              <w:szCs w:val="24"/>
            </w:rPr>
          </w:pPr>
          <w:hyperlink w:anchor="_Toc132298740" w:history="1">
            <w:r w:rsidRPr="00B32A20">
              <w:rPr>
                <w:rStyle w:val="Hyperlink"/>
                <w:rFonts w:ascii="Times New Roman" w:hAnsi="Times New Roman" w:cs="Times New Roman"/>
                <w:noProof/>
                <w:sz w:val="24"/>
                <w:szCs w:val="24"/>
              </w:rPr>
              <w:t>4.0 Publicly listed company and reforms that had an impact on their business model</w:t>
            </w:r>
            <w:r w:rsidRPr="00B32A20">
              <w:rPr>
                <w:rFonts w:ascii="Times New Roman" w:hAnsi="Times New Roman" w:cs="Times New Roman"/>
                <w:noProof/>
                <w:webHidden/>
                <w:sz w:val="24"/>
                <w:szCs w:val="24"/>
              </w:rPr>
              <w:tab/>
            </w:r>
            <w:r w:rsidRPr="00B32A20">
              <w:rPr>
                <w:rFonts w:ascii="Times New Roman" w:hAnsi="Times New Roman" w:cs="Times New Roman"/>
                <w:noProof/>
                <w:webHidden/>
                <w:sz w:val="24"/>
                <w:szCs w:val="24"/>
              </w:rPr>
              <w:fldChar w:fldCharType="begin"/>
            </w:r>
            <w:r w:rsidRPr="00B32A20">
              <w:rPr>
                <w:rFonts w:ascii="Times New Roman" w:hAnsi="Times New Roman" w:cs="Times New Roman"/>
                <w:noProof/>
                <w:webHidden/>
                <w:sz w:val="24"/>
                <w:szCs w:val="24"/>
              </w:rPr>
              <w:instrText xml:space="preserve"> PAGEREF _Toc132298740 \h </w:instrText>
            </w:r>
            <w:r w:rsidRPr="00B32A20">
              <w:rPr>
                <w:rFonts w:ascii="Times New Roman" w:hAnsi="Times New Roman" w:cs="Times New Roman"/>
                <w:noProof/>
                <w:webHidden/>
                <w:sz w:val="24"/>
                <w:szCs w:val="24"/>
              </w:rPr>
            </w:r>
            <w:r w:rsidRPr="00B32A20">
              <w:rPr>
                <w:rFonts w:ascii="Times New Roman" w:hAnsi="Times New Roman" w:cs="Times New Roman"/>
                <w:noProof/>
                <w:webHidden/>
                <w:sz w:val="24"/>
                <w:szCs w:val="24"/>
              </w:rPr>
              <w:fldChar w:fldCharType="separate"/>
            </w:r>
            <w:r w:rsidRPr="00B32A20">
              <w:rPr>
                <w:rFonts w:ascii="Times New Roman" w:hAnsi="Times New Roman" w:cs="Times New Roman"/>
                <w:noProof/>
                <w:webHidden/>
                <w:sz w:val="24"/>
                <w:szCs w:val="24"/>
              </w:rPr>
              <w:t>9</w:t>
            </w:r>
            <w:r w:rsidRPr="00B32A20">
              <w:rPr>
                <w:rFonts w:ascii="Times New Roman" w:hAnsi="Times New Roman" w:cs="Times New Roman"/>
                <w:noProof/>
                <w:webHidden/>
                <w:sz w:val="24"/>
                <w:szCs w:val="24"/>
              </w:rPr>
              <w:fldChar w:fldCharType="end"/>
            </w:r>
          </w:hyperlink>
        </w:p>
        <w:p w:rsidR="00B32A20" w:rsidRPr="00B32A20" w:rsidRDefault="00B32A20" w:rsidP="00B32A20">
          <w:pPr>
            <w:pStyle w:val="TOC1"/>
            <w:tabs>
              <w:tab w:val="right" w:leader="dot" w:pos="9016"/>
            </w:tabs>
            <w:spacing w:line="360" w:lineRule="auto"/>
            <w:jc w:val="both"/>
            <w:rPr>
              <w:rFonts w:ascii="Times New Roman" w:hAnsi="Times New Roman" w:cs="Times New Roman"/>
              <w:noProof/>
              <w:sz w:val="24"/>
              <w:szCs w:val="24"/>
            </w:rPr>
          </w:pPr>
          <w:hyperlink w:anchor="_Toc132298741" w:history="1">
            <w:r w:rsidRPr="00B32A20">
              <w:rPr>
                <w:rStyle w:val="Hyperlink"/>
                <w:rFonts w:ascii="Times New Roman" w:hAnsi="Times New Roman" w:cs="Times New Roman"/>
                <w:noProof/>
                <w:sz w:val="24"/>
                <w:szCs w:val="24"/>
              </w:rPr>
              <w:t>5.0 Conclusion</w:t>
            </w:r>
            <w:r w:rsidRPr="00B32A20">
              <w:rPr>
                <w:rFonts w:ascii="Times New Roman" w:hAnsi="Times New Roman" w:cs="Times New Roman"/>
                <w:noProof/>
                <w:webHidden/>
                <w:sz w:val="24"/>
                <w:szCs w:val="24"/>
              </w:rPr>
              <w:tab/>
            </w:r>
            <w:r w:rsidRPr="00B32A20">
              <w:rPr>
                <w:rFonts w:ascii="Times New Roman" w:hAnsi="Times New Roman" w:cs="Times New Roman"/>
                <w:noProof/>
                <w:webHidden/>
                <w:sz w:val="24"/>
                <w:szCs w:val="24"/>
              </w:rPr>
              <w:fldChar w:fldCharType="begin"/>
            </w:r>
            <w:r w:rsidRPr="00B32A20">
              <w:rPr>
                <w:rFonts w:ascii="Times New Roman" w:hAnsi="Times New Roman" w:cs="Times New Roman"/>
                <w:noProof/>
                <w:webHidden/>
                <w:sz w:val="24"/>
                <w:szCs w:val="24"/>
              </w:rPr>
              <w:instrText xml:space="preserve"> PAGEREF _Toc132298741 \h </w:instrText>
            </w:r>
            <w:r w:rsidRPr="00B32A20">
              <w:rPr>
                <w:rFonts w:ascii="Times New Roman" w:hAnsi="Times New Roman" w:cs="Times New Roman"/>
                <w:noProof/>
                <w:webHidden/>
                <w:sz w:val="24"/>
                <w:szCs w:val="24"/>
              </w:rPr>
            </w:r>
            <w:r w:rsidRPr="00B32A20">
              <w:rPr>
                <w:rFonts w:ascii="Times New Roman" w:hAnsi="Times New Roman" w:cs="Times New Roman"/>
                <w:noProof/>
                <w:webHidden/>
                <w:sz w:val="24"/>
                <w:szCs w:val="24"/>
              </w:rPr>
              <w:fldChar w:fldCharType="separate"/>
            </w:r>
            <w:r w:rsidRPr="00B32A20">
              <w:rPr>
                <w:rFonts w:ascii="Times New Roman" w:hAnsi="Times New Roman" w:cs="Times New Roman"/>
                <w:noProof/>
                <w:webHidden/>
                <w:sz w:val="24"/>
                <w:szCs w:val="24"/>
              </w:rPr>
              <w:t>14</w:t>
            </w:r>
            <w:r w:rsidRPr="00B32A20">
              <w:rPr>
                <w:rFonts w:ascii="Times New Roman" w:hAnsi="Times New Roman" w:cs="Times New Roman"/>
                <w:noProof/>
                <w:webHidden/>
                <w:sz w:val="24"/>
                <w:szCs w:val="24"/>
              </w:rPr>
              <w:fldChar w:fldCharType="end"/>
            </w:r>
          </w:hyperlink>
        </w:p>
        <w:p w:rsidR="00B32A20" w:rsidRPr="00B32A20" w:rsidRDefault="00B32A20" w:rsidP="00B32A20">
          <w:pPr>
            <w:pStyle w:val="TOC1"/>
            <w:tabs>
              <w:tab w:val="right" w:leader="dot" w:pos="9016"/>
            </w:tabs>
            <w:spacing w:line="360" w:lineRule="auto"/>
            <w:jc w:val="both"/>
            <w:rPr>
              <w:rFonts w:ascii="Times New Roman" w:hAnsi="Times New Roman" w:cs="Times New Roman"/>
              <w:noProof/>
              <w:sz w:val="24"/>
              <w:szCs w:val="24"/>
            </w:rPr>
          </w:pPr>
          <w:hyperlink w:anchor="_Toc132298742" w:history="1">
            <w:r w:rsidRPr="00B32A20">
              <w:rPr>
                <w:rStyle w:val="Hyperlink"/>
                <w:rFonts w:ascii="Times New Roman" w:hAnsi="Times New Roman" w:cs="Times New Roman"/>
                <w:noProof/>
                <w:sz w:val="24"/>
                <w:szCs w:val="24"/>
              </w:rPr>
              <w:t>6.0 References</w:t>
            </w:r>
            <w:r w:rsidRPr="00B32A20">
              <w:rPr>
                <w:rFonts w:ascii="Times New Roman" w:hAnsi="Times New Roman" w:cs="Times New Roman"/>
                <w:noProof/>
                <w:webHidden/>
                <w:sz w:val="24"/>
                <w:szCs w:val="24"/>
              </w:rPr>
              <w:tab/>
            </w:r>
            <w:r w:rsidRPr="00B32A20">
              <w:rPr>
                <w:rFonts w:ascii="Times New Roman" w:hAnsi="Times New Roman" w:cs="Times New Roman"/>
                <w:noProof/>
                <w:webHidden/>
                <w:sz w:val="24"/>
                <w:szCs w:val="24"/>
              </w:rPr>
              <w:fldChar w:fldCharType="begin"/>
            </w:r>
            <w:r w:rsidRPr="00B32A20">
              <w:rPr>
                <w:rFonts w:ascii="Times New Roman" w:hAnsi="Times New Roman" w:cs="Times New Roman"/>
                <w:noProof/>
                <w:webHidden/>
                <w:sz w:val="24"/>
                <w:szCs w:val="24"/>
              </w:rPr>
              <w:instrText xml:space="preserve"> PAGEREF _Toc132298742 \h </w:instrText>
            </w:r>
            <w:r w:rsidRPr="00B32A20">
              <w:rPr>
                <w:rFonts w:ascii="Times New Roman" w:hAnsi="Times New Roman" w:cs="Times New Roman"/>
                <w:noProof/>
                <w:webHidden/>
                <w:sz w:val="24"/>
                <w:szCs w:val="24"/>
              </w:rPr>
            </w:r>
            <w:r w:rsidRPr="00B32A20">
              <w:rPr>
                <w:rFonts w:ascii="Times New Roman" w:hAnsi="Times New Roman" w:cs="Times New Roman"/>
                <w:noProof/>
                <w:webHidden/>
                <w:sz w:val="24"/>
                <w:szCs w:val="24"/>
              </w:rPr>
              <w:fldChar w:fldCharType="separate"/>
            </w:r>
            <w:r w:rsidRPr="00B32A20">
              <w:rPr>
                <w:rFonts w:ascii="Times New Roman" w:hAnsi="Times New Roman" w:cs="Times New Roman"/>
                <w:noProof/>
                <w:webHidden/>
                <w:sz w:val="24"/>
                <w:szCs w:val="24"/>
              </w:rPr>
              <w:t>16</w:t>
            </w:r>
            <w:r w:rsidRPr="00B32A20">
              <w:rPr>
                <w:rFonts w:ascii="Times New Roman" w:hAnsi="Times New Roman" w:cs="Times New Roman"/>
                <w:noProof/>
                <w:webHidden/>
                <w:sz w:val="24"/>
                <w:szCs w:val="24"/>
              </w:rPr>
              <w:fldChar w:fldCharType="end"/>
            </w:r>
          </w:hyperlink>
        </w:p>
        <w:p w:rsidR="00B32A20" w:rsidRDefault="00B32A20" w:rsidP="00B32A20">
          <w:pPr>
            <w:spacing w:line="360" w:lineRule="auto"/>
            <w:jc w:val="both"/>
          </w:pPr>
          <w:r w:rsidRPr="00B32A20">
            <w:rPr>
              <w:rFonts w:ascii="Times New Roman" w:hAnsi="Times New Roman" w:cs="Times New Roman"/>
              <w:b/>
              <w:bCs/>
              <w:noProof/>
              <w:sz w:val="24"/>
              <w:szCs w:val="24"/>
            </w:rPr>
            <w:fldChar w:fldCharType="end"/>
          </w:r>
        </w:p>
      </w:sdtContent>
    </w:sdt>
    <w:p w:rsidR="00A245E7" w:rsidRPr="00A245E7" w:rsidRDefault="00A245E7"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br w:type="page"/>
      </w:r>
    </w:p>
    <w:p w:rsidR="009F177F" w:rsidRPr="00A245E7" w:rsidRDefault="00A245E7" w:rsidP="00C31143">
      <w:pPr>
        <w:pStyle w:val="Heading1"/>
      </w:pPr>
      <w:bookmarkStart w:id="0" w:name="_Toc132298737"/>
      <w:r w:rsidRPr="00A245E7">
        <w:lastRenderedPageBreak/>
        <w:t xml:space="preserve">1.0 </w:t>
      </w:r>
      <w:r w:rsidR="009F177F" w:rsidRPr="00A245E7">
        <w:t>Introduction</w:t>
      </w:r>
      <w:bookmarkEnd w:id="0"/>
    </w:p>
    <w:p w:rsidR="00CC1E34" w:rsidRPr="00CC1E34" w:rsidRDefault="00CC1E34" w:rsidP="00CC1E34">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 xml:space="preserve">As a direct result of the financial crisis that occurred in 2008, new rules, regulations, and contracts have been put into effect in an effort to reduce the likelihood that another disaster of a similar nature would occur in the foreseeable future. Authorities in the United Kingdom, the United States of America, the European Union, and other important actors in the financial system have taken a range of steps to improve the system's resilience and openness and to lessen the likelihood of another catastrophic event. Dodd-Frank A number of important pieces of legislation were passed into law during the years 2010 to 2016, including the Wall Street Reform and Consumer Protection Act in the United States, the European Market Infrastructure Regulation in the European Union, the Capital Requirements Directive IV in the European Union, the Bank Recovery and Resolution Directive in the European Union, and the Senior Managers and Certification Regime in the United Kingdom. </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In the essay that follows, we will make an attempt to propose a solution to that particular problem. Barclays, which is a publicly traded corporation, will also be investigated to see the effect that these changes would have on the firm. An investigation of Barclays' efforts to comply with the new laws and the consequences of those requirements on the bank's business model can yield an enlightening case study (</w:t>
      </w:r>
      <w:proofErr w:type="spellStart"/>
      <w:r w:rsidRPr="00CC1E34">
        <w:rPr>
          <w:rFonts w:ascii="Times New Roman" w:hAnsi="Times New Roman" w:cs="Times New Roman"/>
          <w:color w:val="000000" w:themeColor="text1"/>
          <w:sz w:val="24"/>
          <w:szCs w:val="24"/>
        </w:rPr>
        <w:t>Siwale</w:t>
      </w:r>
      <w:proofErr w:type="spellEnd"/>
      <w:r w:rsidRPr="00CC1E34">
        <w:rPr>
          <w:rFonts w:ascii="Times New Roman" w:hAnsi="Times New Roman" w:cs="Times New Roman"/>
          <w:color w:val="000000" w:themeColor="text1"/>
          <w:sz w:val="24"/>
          <w:szCs w:val="24"/>
        </w:rPr>
        <w:t>, 2022). This analysis can also shed light on the implications of the new regulations. This in-depth study will shed light on the consequences of post-2008 regulation on individual enterprises as well as on the</w:t>
      </w:r>
      <w:r>
        <w:rPr>
          <w:rFonts w:ascii="Times New Roman" w:hAnsi="Times New Roman" w:cs="Times New Roman"/>
          <w:color w:val="000000" w:themeColor="text1"/>
          <w:sz w:val="24"/>
          <w:szCs w:val="24"/>
        </w:rPr>
        <w:t xml:space="preserve"> financial industry as a whole.</w:t>
      </w:r>
    </w:p>
    <w:p w:rsidR="009F177F" w:rsidRPr="00A245E7" w:rsidRDefault="00A245E7" w:rsidP="00C31143">
      <w:pPr>
        <w:pStyle w:val="Heading1"/>
      </w:pPr>
      <w:bookmarkStart w:id="1" w:name="_Toc132298738"/>
      <w:r w:rsidRPr="00A245E7">
        <w:t xml:space="preserve">2.0 </w:t>
      </w:r>
      <w:r w:rsidR="009F177F" w:rsidRPr="00A245E7">
        <w:t>Key laws, regulations and contracts enacted post the 2008 financial crisis:</w:t>
      </w:r>
      <w:bookmarkEnd w:id="1"/>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a) The Dodd-Frank Wall Street Reform and Consumer Protection Act of 2010 (US)</w:t>
      </w:r>
    </w:p>
    <w:p w:rsidR="009F177F" w:rsidRPr="00CC1E34" w:rsidRDefault="00CC1E34" w:rsidP="00A245E7">
      <w:pPr>
        <w:spacing w:line="360" w:lineRule="auto"/>
        <w:jc w:val="both"/>
        <w:rPr>
          <w:rFonts w:ascii="Times New Roman" w:hAnsi="Times New Roman" w:cs="Times New Roman"/>
          <w:color w:val="000000" w:themeColor="text1"/>
          <w:sz w:val="28"/>
          <w:szCs w:val="24"/>
        </w:rPr>
      </w:pPr>
      <w:r w:rsidRPr="00CC1E34">
        <w:rPr>
          <w:rFonts w:ascii="Times New Roman" w:hAnsi="Times New Roman" w:cs="Times New Roman"/>
          <w:sz w:val="24"/>
        </w:rPr>
        <w:t xml:space="preserve">The Dodd-Frank Wall Street Reform and Consumer Protection Act was enacted in the United States in the year 2010, and it is considered to be a landmark piece of legislation. The Dodd-Frank Act initiated a variety of reforms with the goals of enhancing the industry's level of openness and decreasing the level of systemic risk. (Chung, &amp; Phan, 2020) As a direct result of the Act, the Financial Stability Oversight Council was created with the mission of monitoring the level of systemic risk present throughout the whole financial sector. In addition to this, it formed the Consumer Financial Protection Bureau, whose purpose is to safeguard customers against unethical business practices in the financial sector and educate them on the rights and options available to them. In an effort to lower the industry's overall level of risk, the Dodd-Frank Act put further limitations on the financial sector. For example, the Act introduced the Volcker Rule, which restricts the capacity of banks to participate in private </w:t>
      </w:r>
      <w:r w:rsidRPr="00CC1E34">
        <w:rPr>
          <w:rFonts w:ascii="Times New Roman" w:hAnsi="Times New Roman" w:cs="Times New Roman"/>
          <w:sz w:val="24"/>
        </w:rPr>
        <w:lastRenderedPageBreak/>
        <w:t>equity and hedge funds and forbids financial institutions from engaging in proprietary trading (Ghosh et al., 2020). In addition to that, the Act created brand new minimum standards for both capital and liquidity.</w:t>
      </w:r>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b) The European Market Infrastructure Regulation (EMIR) of 2012 (EU)</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Following the global financial crisis that began in 2008, the European Union passed a significant number of new laws. Within the framework of the European Market Infrastructure Regulation (EMIR), substantial new laws came into effect in the year 2012. The European Market Infrastructure Regulation (EMIR) issued new regulations for the trading of derivatives in an effort to improve the clarity and transparency of the market. According to the rule, all activity involving derivatives must be recorded to a trading repository, and some types of derivatives contracts must use central counterparties.</w:t>
      </w:r>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c) The Capital Requirements Directive IV (CRD IV) of 2013 (EU)</w:t>
      </w:r>
    </w:p>
    <w:p w:rsidR="009F177F" w:rsidRPr="00A245E7" w:rsidRDefault="000F6887" w:rsidP="00A245E7">
      <w:pPr>
        <w:spacing w:line="360" w:lineRule="auto"/>
        <w:jc w:val="both"/>
        <w:rPr>
          <w:rFonts w:ascii="Times New Roman" w:hAnsi="Times New Roman" w:cs="Times New Roman"/>
          <w:color w:val="000000" w:themeColor="text1"/>
          <w:sz w:val="24"/>
          <w:szCs w:val="24"/>
        </w:rPr>
      </w:pPr>
      <w:r w:rsidRPr="000F6887">
        <w:rPr>
          <w:rFonts w:ascii="Times New Roman" w:hAnsi="Times New Roman" w:cs="Times New Roman"/>
          <w:color w:val="000000" w:themeColor="text1"/>
          <w:sz w:val="24"/>
          <w:szCs w:val="24"/>
        </w:rPr>
        <w:t>The Capital Requirements Directive IV, sometimes referred to as CRD IV, was enacted in 2013, making it the year that saw the passage of yet another significant piece of law. The European Union was the originator of this directive. According to Pham and Nguyen (2021), the CRD IV regulations prescribed more severe capital requirements in order to make financial institutions more resistant to the impacts of economic downturns. In order to comply with the regulation, financial institutions were required to maintain a minimum amount of capital that was commensurate to the operational risks they faced. In addition to this, it mandated the establishment of a larger emergency reserve for use by the financial institutions in the event that they encountered operational difficulties.</w:t>
      </w:r>
      <w:bookmarkStart w:id="2" w:name="_GoBack"/>
      <w:bookmarkEnd w:id="2"/>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d) The Bank Recovery and Resolution Directive (BRRD) of 2014 (EU)</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The Bank Recovery and Resolution Directive (BRRD) was established in 2014 by the European Union (EU) in order to guarantee that failing banks can be resolved in a timely way without generating a ripple effect throughout the whole financial system (</w:t>
      </w:r>
      <w:proofErr w:type="spellStart"/>
      <w:r w:rsidRPr="00CC1E34">
        <w:rPr>
          <w:rFonts w:ascii="Times New Roman" w:hAnsi="Times New Roman" w:cs="Times New Roman"/>
          <w:color w:val="000000" w:themeColor="text1"/>
          <w:sz w:val="24"/>
          <w:szCs w:val="24"/>
        </w:rPr>
        <w:t>Pagitsas</w:t>
      </w:r>
      <w:proofErr w:type="spellEnd"/>
      <w:r w:rsidRPr="00CC1E34">
        <w:rPr>
          <w:rFonts w:ascii="Times New Roman" w:hAnsi="Times New Roman" w:cs="Times New Roman"/>
          <w:color w:val="000000" w:themeColor="text1"/>
          <w:sz w:val="24"/>
          <w:szCs w:val="24"/>
        </w:rPr>
        <w:t>, 2022). This directive was designed to ensure that failing banks can be resolved in a timely manner. Additional alternatives for the settlement of bank problems were made available as a result of the BRRD. These solutions included the bailing in of creditors and the conversion of debt into equity.</w:t>
      </w:r>
    </w:p>
    <w:p w:rsidR="00DE116E"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e) The Senior Managers and Certification Regime (SMCR) of 2016 (UK)</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In year </w:t>
      </w:r>
      <w:r w:rsidRPr="00CC1E34">
        <w:rPr>
          <w:rFonts w:ascii="Times New Roman" w:hAnsi="Times New Roman" w:cs="Times New Roman"/>
          <w:color w:val="000000" w:themeColor="text1"/>
          <w:sz w:val="24"/>
          <w:szCs w:val="24"/>
        </w:rPr>
        <w:t>2016 marked the beginning of operation for the Senior Managers and Certification Regime (SMCR) in the United Kingdom. According to Barclay et al.'s research (2021), the SMCR was put into place to ensure that CEOs in the banking industry were held responsible for the acts of their staff members. According to the SMCR, every member of senior management is personally accountable for any infractions of regulatory obligations, and the consent of the regulator is required for them to continue in their positions.</w:t>
      </w:r>
    </w:p>
    <w:p w:rsidR="00CC1E34" w:rsidRPr="00CC1E34" w:rsidRDefault="00CC1E34" w:rsidP="00CC1E34">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These new regulatory frameworks and contractual agreements have had far-reaching effects on the international monetary system. They have increased the safety and dependability of the system. For example, because of higher capital standards and more stringent trading regulations, the derivatives market has strengthened. The SMCR improved the British financial sector by imposing greater accountability and openness. However, it has been questioned whether or not these adjustments are successful (</w:t>
      </w:r>
      <w:proofErr w:type="spellStart"/>
      <w:r w:rsidRPr="00CC1E34">
        <w:rPr>
          <w:rFonts w:ascii="Times New Roman" w:hAnsi="Times New Roman" w:cs="Times New Roman"/>
          <w:color w:val="000000" w:themeColor="text1"/>
          <w:sz w:val="24"/>
          <w:szCs w:val="24"/>
        </w:rPr>
        <w:t>Kyeremeh</w:t>
      </w:r>
      <w:proofErr w:type="spellEnd"/>
      <w:r w:rsidRPr="00CC1E34">
        <w:rPr>
          <w:rFonts w:ascii="Times New Roman" w:hAnsi="Times New Roman" w:cs="Times New Roman"/>
          <w:color w:val="000000" w:themeColor="text1"/>
          <w:sz w:val="24"/>
          <w:szCs w:val="24"/>
        </w:rPr>
        <w:t xml:space="preserve"> et al., 2019). The failure to execute the essential adjustments has caused widespread fear that the financial system is still vulnerable. Concerns about the Volcker Rule's impact on bond market liquidity are just one example of why some limitations have been met with suspicion. Many people also worry that the banking industry has grown less competitive as a result of these developments, which have raised both its complexity and costs. Another layer of complication is added by trying to predict how different firms will be affected by these changes (</w:t>
      </w:r>
      <w:proofErr w:type="spellStart"/>
      <w:r w:rsidRPr="00CC1E34">
        <w:rPr>
          <w:rFonts w:ascii="Times New Roman" w:hAnsi="Times New Roman" w:cs="Times New Roman"/>
          <w:color w:val="000000" w:themeColor="text1"/>
          <w:sz w:val="24"/>
          <w:szCs w:val="24"/>
        </w:rPr>
        <w:t>Mourlon-Druol</w:t>
      </w:r>
      <w:proofErr w:type="spellEnd"/>
      <w:r w:rsidRPr="00CC1E34">
        <w:rPr>
          <w:rFonts w:ascii="Times New Roman" w:hAnsi="Times New Roman" w:cs="Times New Roman"/>
          <w:color w:val="000000" w:themeColor="text1"/>
          <w:sz w:val="24"/>
          <w:szCs w:val="24"/>
        </w:rPr>
        <w:t>, 2021). Many banks and other financial organizations have had to make major adjustments to their core businesses as a result of the changes. Banks are less likely to participate in high-risk activities because of rising capital and liquidity requirements, which compel them to keep bigger reserves of capital and liquidity on hand. As a result, many financial institutions have shifted their focus from risky investments to the more stable realm of retail banking.</w:t>
      </w:r>
    </w:p>
    <w:p w:rsidR="00CC1E34" w:rsidRPr="00CC1E34" w:rsidRDefault="00CC1E34" w:rsidP="00CC1E34">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Some companies have also been impacted by laws controlling derivatives trading. For instance, businesses that use derivatives for risk management have had to make internal adjustments to conform to the new reporting standards. This has led to increased expenses and complicated processes (</w:t>
      </w:r>
      <w:proofErr w:type="spellStart"/>
      <w:r w:rsidRPr="00CC1E34">
        <w:rPr>
          <w:rFonts w:ascii="Times New Roman" w:hAnsi="Times New Roman" w:cs="Times New Roman"/>
          <w:color w:val="000000" w:themeColor="text1"/>
          <w:sz w:val="24"/>
          <w:szCs w:val="24"/>
        </w:rPr>
        <w:t>Wansleben</w:t>
      </w:r>
      <w:proofErr w:type="spellEnd"/>
      <w:r w:rsidRPr="00CC1E34">
        <w:rPr>
          <w:rFonts w:ascii="Times New Roman" w:hAnsi="Times New Roman" w:cs="Times New Roman"/>
          <w:color w:val="000000" w:themeColor="text1"/>
          <w:sz w:val="24"/>
          <w:szCs w:val="24"/>
        </w:rPr>
        <w:t xml:space="preserve">, 2020). However, the changes have not had the same impact on all companies. Some companies have had an easier time adapting to the new regulations than others. It's possible that smaller banks and non-bank financial organizations struggled more than larger, better-resourced businesses to adjust to the new rules. Most companies have gone to some trouble to ensure that their procedures are in line with the new norms. Many financial firms, including banks, have made compliance a major priority in light of the severe penalties for noncompliance (Barclays, 2020). However, disobedience has occurred, most often with </w:t>
      </w:r>
      <w:r w:rsidRPr="00CC1E34">
        <w:rPr>
          <w:rFonts w:ascii="Times New Roman" w:hAnsi="Times New Roman" w:cs="Times New Roman"/>
          <w:color w:val="000000" w:themeColor="text1"/>
          <w:sz w:val="24"/>
          <w:szCs w:val="24"/>
        </w:rPr>
        <w:lastRenderedPageBreak/>
        <w:t>regards to concerns of conduct and culture. In the United Kingdom, the Senior Managers and Certification Regime (SMCR) has shed light on the inner culture and conduct of some top executives in financial organizations (</w:t>
      </w:r>
      <w:proofErr w:type="spellStart"/>
      <w:r w:rsidRPr="00CC1E34">
        <w:rPr>
          <w:rFonts w:ascii="Times New Roman" w:hAnsi="Times New Roman" w:cs="Times New Roman"/>
          <w:color w:val="000000" w:themeColor="text1"/>
          <w:sz w:val="24"/>
          <w:szCs w:val="24"/>
        </w:rPr>
        <w:t>Mubita</w:t>
      </w:r>
      <w:proofErr w:type="spellEnd"/>
      <w:r w:rsidRPr="00CC1E34">
        <w:rPr>
          <w:rFonts w:ascii="Times New Roman" w:hAnsi="Times New Roman" w:cs="Times New Roman"/>
          <w:color w:val="000000" w:themeColor="text1"/>
          <w:sz w:val="24"/>
          <w:szCs w:val="24"/>
        </w:rPr>
        <w:t>, 2020). Banks have been fined for not disclosing derivatives correctly or not trading them in compliance with the law. The new rules have had an impact on financial institutions like Barclays. The Barclays Group plc is a British banking and financial services giant. Since the financial crisis, Barclays has undergone extensive changes to adapt to the new regulatory environment. According to Jiang et al. (2022), SMCR deployment is a top priority for the British bank Barclays. British and American regulators fined Barclays £642 million in 2018 for interfering in currency markets. The event prompted Barclays to make significant adjustments, such as the addition of new upper-level management and the introduction of educational programs for staff, all with the goal of strengthening the company's culture and ethics.</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The derivatives trading restrictions have had an effect on Barclays. For failing to protect customer money when trading derivatives, the UK government fined Barclays £34.5 million in 2018. The bank has been utilizing consumer money for its own purposes without keeping the money separate. The whole financial industry has been significantly impacted by the new rules, regulations, and contracts that have been put in place since the 2008 financial crisis. The improvements made have made the system more resilient in the face of future crises. There are still open doubts concerning the efficacy of the modifications, and certain limits may have unforeseen repercussions. Not all companies have successfully adapted to the new regulations. Although there have been isolated cases of disobedience, many banks have made it a top priority to adhere to the new rules. A corporation that is affected by the new restrictions and is working to confo</w:t>
      </w:r>
      <w:r>
        <w:rPr>
          <w:rFonts w:ascii="Times New Roman" w:hAnsi="Times New Roman" w:cs="Times New Roman"/>
          <w:color w:val="000000" w:themeColor="text1"/>
          <w:sz w:val="24"/>
          <w:szCs w:val="24"/>
        </w:rPr>
        <w:t>rm is Barclays.</w:t>
      </w:r>
    </w:p>
    <w:p w:rsidR="009F177F" w:rsidRPr="00A245E7" w:rsidRDefault="00A245E7" w:rsidP="00C31143">
      <w:pPr>
        <w:pStyle w:val="Heading1"/>
      </w:pPr>
      <w:bookmarkStart w:id="3" w:name="_Toc132298739"/>
      <w:r w:rsidRPr="00A245E7">
        <w:t xml:space="preserve">3.0 </w:t>
      </w:r>
      <w:r w:rsidR="009F177F" w:rsidRPr="00A245E7">
        <w:t xml:space="preserve">Impact on the financial system </w:t>
      </w:r>
      <w:r w:rsidR="009F177F" w:rsidRPr="00A245E7">
        <w:t>and the differen</w:t>
      </w:r>
      <w:r w:rsidR="009F177F" w:rsidRPr="00A245E7">
        <w:t xml:space="preserve">t banking institutions post the </w:t>
      </w:r>
      <w:r w:rsidR="009F177F" w:rsidRPr="00A245E7">
        <w:t>2008 crises</w:t>
      </w:r>
      <w:bookmarkEnd w:id="3"/>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 xml:space="preserve">After the 2008 global economic crisis, new laws, regulations, and contracts were enacted in an effort to prevent a similar catastrophe from occurring again (Gupta, 2021). Following the 2008 financial crisis, this article will </w:t>
      </w:r>
      <w:proofErr w:type="spellStart"/>
      <w:r w:rsidRPr="00CC1E34">
        <w:rPr>
          <w:rFonts w:ascii="Times New Roman" w:hAnsi="Times New Roman" w:cs="Times New Roman"/>
          <w:color w:val="000000" w:themeColor="text1"/>
          <w:sz w:val="24"/>
          <w:szCs w:val="24"/>
        </w:rPr>
        <w:t>analyze</w:t>
      </w:r>
      <w:proofErr w:type="spellEnd"/>
      <w:r w:rsidRPr="00CC1E34">
        <w:rPr>
          <w:rFonts w:ascii="Times New Roman" w:hAnsi="Times New Roman" w:cs="Times New Roman"/>
          <w:color w:val="000000" w:themeColor="text1"/>
          <w:sz w:val="24"/>
          <w:szCs w:val="24"/>
        </w:rPr>
        <w:t xml:space="preserve"> the effectiveness of these reforms in restoring financial stability to the banking system and the economy.</w:t>
      </w:r>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The Dodd-Frank Wall Street Reform and Consumer Protection Act of 2010 (US):</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lastRenderedPageBreak/>
        <w:t>To prevent a repeat of the 2008 financial crisis, Congress passed the Dodd-Frank Act. The legislation also established the Consumer Financial Protection Bureau (CFPB) and the Financial Stability Oversight Council (FSOC), in addition to the Volcker Rule. The Financial Stability Oversight Council (FSOC) was established so that authorities could coordinate their efforts to monitor and respond to threats to the global financial system. The Volcker Rule prohibited banks from investing in alternative asset classes, including hedge funds and private equity (</w:t>
      </w:r>
      <w:proofErr w:type="spellStart"/>
      <w:r w:rsidRPr="00CC1E34">
        <w:rPr>
          <w:rFonts w:ascii="Times New Roman" w:hAnsi="Times New Roman" w:cs="Times New Roman"/>
          <w:color w:val="000000" w:themeColor="text1"/>
          <w:sz w:val="24"/>
          <w:szCs w:val="24"/>
        </w:rPr>
        <w:t>Ionescu</w:t>
      </w:r>
      <w:proofErr w:type="spellEnd"/>
      <w:r w:rsidRPr="00CC1E34">
        <w:rPr>
          <w:rFonts w:ascii="Times New Roman" w:hAnsi="Times New Roman" w:cs="Times New Roman"/>
          <w:color w:val="000000" w:themeColor="text1"/>
          <w:sz w:val="24"/>
          <w:szCs w:val="24"/>
        </w:rPr>
        <w:t>, 2021). The Consumer Financial Protection Bureau (CFPB) was established in response to consumer complaints regarding financial fraud, abuse, and discriminatory practices. Dodd-Frank has had a positive effect on the financial system as a whole by increasing transparency, enhancing risk management, and decreasing the likelihood of another financial crisis. The Financial Stability Oversight Council (FSOC) was established to assist in identifying and addressing systemic risks by enhancing regulatory body coordination. The Volcker Rule has restricted banks' risk-taking, thereby reducing their exposure to potential losses, while the Consumer Financial Protection Bureau has safeguarded consumers from dishonest practices.</w:t>
      </w:r>
    </w:p>
    <w:p w:rsidR="009F177F" w:rsidRPr="00CC1E34" w:rsidRDefault="009F177F" w:rsidP="00A245E7">
      <w:pPr>
        <w:spacing w:line="360" w:lineRule="auto"/>
        <w:jc w:val="both"/>
        <w:rPr>
          <w:rFonts w:ascii="Times New Roman" w:hAnsi="Times New Roman" w:cs="Times New Roman"/>
          <w:b/>
          <w:color w:val="000000" w:themeColor="text1"/>
          <w:sz w:val="24"/>
          <w:szCs w:val="24"/>
        </w:rPr>
      </w:pPr>
      <w:r w:rsidRPr="00CC1E34">
        <w:rPr>
          <w:rFonts w:ascii="Times New Roman" w:hAnsi="Times New Roman" w:cs="Times New Roman"/>
          <w:b/>
          <w:color w:val="000000" w:themeColor="text1"/>
          <w:sz w:val="24"/>
          <w:szCs w:val="24"/>
        </w:rPr>
        <w:t>The European Market Infrastructure Regulation (EMIR) of 2012 (EU):</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The derivatives business was criticized for its role in contributing to the financial crisis that occurred in 2008; as a result, the European Market Infrastructure Regulation (EMIR) was enacted to boost market transparency and minimize risk. In order to clear over-the-counter derivatives, it is necessary to make use of Central Counterparties, also known as CCPs, as well as regulated trading venues (GR, 2022). Take into consideration a few different variables, including reporting, risk management, and collateralization. According to EMIR, there has been a rise in both the level of counterparty risk and the level of transparency (Wong, 2019). The passage of laws that required the trading and clearance of over-the-counter derivatives through central counterparties (CCPs) contributed to an improvement in market transparency, a reduction in the risk of default, and a strengthening of the overall financial system.</w:t>
      </w:r>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The Capital Requirements Directive IV (CRD IV) of 2013 (EU):</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 xml:space="preserve">The CRD IV increased the minimum capital requirements for banks in an effort to reduce the probability of another financial crisis. The rule included a leverage ratio and additional liquidity requirements as part of a revised capital structure for financial institutions. Two of the new requirements for risk management are highlighted by </w:t>
      </w:r>
      <w:proofErr w:type="spellStart"/>
      <w:r w:rsidRPr="00CC1E34">
        <w:rPr>
          <w:rFonts w:ascii="Times New Roman" w:hAnsi="Times New Roman" w:cs="Times New Roman"/>
          <w:color w:val="000000" w:themeColor="text1"/>
          <w:sz w:val="24"/>
          <w:szCs w:val="24"/>
        </w:rPr>
        <w:t>Reboredo</w:t>
      </w:r>
      <w:proofErr w:type="spellEnd"/>
      <w:r w:rsidRPr="00CC1E34">
        <w:rPr>
          <w:rFonts w:ascii="Times New Roman" w:hAnsi="Times New Roman" w:cs="Times New Roman"/>
          <w:color w:val="000000" w:themeColor="text1"/>
          <w:sz w:val="24"/>
          <w:szCs w:val="24"/>
        </w:rPr>
        <w:t xml:space="preserve"> and </w:t>
      </w:r>
      <w:proofErr w:type="spellStart"/>
      <w:r w:rsidRPr="00CC1E34">
        <w:rPr>
          <w:rFonts w:ascii="Times New Roman" w:hAnsi="Times New Roman" w:cs="Times New Roman"/>
          <w:color w:val="000000" w:themeColor="text1"/>
          <w:sz w:val="24"/>
          <w:szCs w:val="24"/>
        </w:rPr>
        <w:t>Ugolini</w:t>
      </w:r>
      <w:proofErr w:type="spellEnd"/>
      <w:r w:rsidRPr="00CC1E34">
        <w:rPr>
          <w:rFonts w:ascii="Times New Roman" w:hAnsi="Times New Roman" w:cs="Times New Roman"/>
          <w:color w:val="000000" w:themeColor="text1"/>
          <w:sz w:val="24"/>
          <w:szCs w:val="24"/>
        </w:rPr>
        <w:t xml:space="preserve"> (2020): stress testing and increased transparency. CRD IV has benefited the entire financial sector by </w:t>
      </w:r>
      <w:r w:rsidRPr="00CC1E34">
        <w:rPr>
          <w:rFonts w:ascii="Times New Roman" w:hAnsi="Times New Roman" w:cs="Times New Roman"/>
          <w:color w:val="000000" w:themeColor="text1"/>
          <w:sz w:val="24"/>
          <w:szCs w:val="24"/>
        </w:rPr>
        <w:lastRenderedPageBreak/>
        <w:t>strengthening banks and decreasing the likelihood of another financial crisis. The new capital requirements have increased the ability of banks to sustain losses, and the new liquidity regulations have made them more resistant to short-term funding problems (</w:t>
      </w:r>
      <w:proofErr w:type="spellStart"/>
      <w:r w:rsidRPr="00CC1E34">
        <w:rPr>
          <w:rFonts w:ascii="Times New Roman" w:hAnsi="Times New Roman" w:cs="Times New Roman"/>
          <w:color w:val="000000" w:themeColor="text1"/>
          <w:sz w:val="24"/>
          <w:szCs w:val="24"/>
        </w:rPr>
        <w:t>Vakhrusheva</w:t>
      </w:r>
      <w:proofErr w:type="spellEnd"/>
      <w:r w:rsidRPr="00CC1E34">
        <w:rPr>
          <w:rFonts w:ascii="Times New Roman" w:hAnsi="Times New Roman" w:cs="Times New Roman"/>
          <w:color w:val="000000" w:themeColor="text1"/>
          <w:sz w:val="24"/>
          <w:szCs w:val="24"/>
        </w:rPr>
        <w:t xml:space="preserve"> et al., 2021). Stricter risk management standards have made it simpler for banks to recognize and respond to prospective risks, thereby reducing the likelihood of another financial crisis.</w:t>
      </w:r>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The Bank Recovery and Resolution Directive (BRRD) of 2014 (EU):</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The BRRD's mission is to establish guidelines for the resolution of issues at insolvent financial institutions. The new bail-in instrument provided by the legislation enables the recapitalization of an insolvent bank without using taxpayer funds by reducing or converting the bank's liabilities. In addition, a new resolution authority and a centralized deposit insurance mechanism were established (</w:t>
      </w:r>
      <w:proofErr w:type="spellStart"/>
      <w:r w:rsidRPr="00CC1E34">
        <w:rPr>
          <w:rFonts w:ascii="Times New Roman" w:hAnsi="Times New Roman" w:cs="Times New Roman"/>
          <w:color w:val="000000" w:themeColor="text1"/>
          <w:sz w:val="24"/>
          <w:szCs w:val="24"/>
        </w:rPr>
        <w:t>Chevallier</w:t>
      </w:r>
      <w:proofErr w:type="spellEnd"/>
      <w:r w:rsidRPr="00CC1E34">
        <w:rPr>
          <w:rFonts w:ascii="Times New Roman" w:hAnsi="Times New Roman" w:cs="Times New Roman"/>
          <w:color w:val="000000" w:themeColor="text1"/>
          <w:sz w:val="24"/>
          <w:szCs w:val="24"/>
        </w:rPr>
        <w:t>, 2020). The BRRD improved the financial system by diminishing the need for taxpayer-funded bank bailouts by increasing bank owners' and creditors' accountability. The new bail-in approach provides regulators more flexibility to recapitalize failing banks, thereby reducing the likelihood that taxpayer-funded bailouts similar to those required during the 2008 financial crisis will ever be required again. The existence of a ubiquitous deposit insurance policy prevented a prospective bank run.</w:t>
      </w:r>
    </w:p>
    <w:p w:rsidR="009F177F" w:rsidRPr="00A245E7" w:rsidRDefault="009F177F"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The Senior Managers and Certification Regime (SMCR) of 2016 (UK):</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Senior Managers and Certification Requirement (SMCR) was implemented to encourage transparency and accountability among banking administrators. The regulation requires the identification of senior management and subsequent accountability for their respective units' actions. Some employees' mental and physical health must also be evaluated. The SMCR has benefited the financial sector in a number of ways, including enhanced senior management accountability and enhanced financial institution cultures (</w:t>
      </w:r>
      <w:proofErr w:type="spellStart"/>
      <w:r w:rsidRPr="00CC1E34">
        <w:rPr>
          <w:rFonts w:ascii="Times New Roman" w:hAnsi="Times New Roman" w:cs="Times New Roman"/>
          <w:color w:val="000000" w:themeColor="text1"/>
          <w:sz w:val="24"/>
          <w:szCs w:val="24"/>
        </w:rPr>
        <w:t>Havrylina</w:t>
      </w:r>
      <w:proofErr w:type="spellEnd"/>
      <w:r w:rsidRPr="00CC1E34">
        <w:rPr>
          <w:rFonts w:ascii="Times New Roman" w:hAnsi="Times New Roman" w:cs="Times New Roman"/>
          <w:color w:val="000000" w:themeColor="text1"/>
          <w:sz w:val="24"/>
          <w:szCs w:val="24"/>
        </w:rPr>
        <w:t>, 2021). By encouraging accountable leadership, the regulatory environment has increased the credibility of the financial services sector. The rule has enhanced the quality of financial sector employees by mandating that all personnel acquire certification of their fitness and propriety to perform their duties (</w:t>
      </w:r>
      <w:proofErr w:type="spellStart"/>
      <w:r w:rsidRPr="00CC1E34">
        <w:rPr>
          <w:rFonts w:ascii="Times New Roman" w:hAnsi="Times New Roman" w:cs="Times New Roman"/>
          <w:color w:val="000000" w:themeColor="text1"/>
          <w:sz w:val="24"/>
          <w:szCs w:val="24"/>
        </w:rPr>
        <w:t>Gigante</w:t>
      </w:r>
      <w:proofErr w:type="spellEnd"/>
      <w:r w:rsidRPr="00CC1E34">
        <w:rPr>
          <w:rFonts w:ascii="Times New Roman" w:hAnsi="Times New Roman" w:cs="Times New Roman"/>
          <w:color w:val="000000" w:themeColor="text1"/>
          <w:sz w:val="24"/>
          <w:szCs w:val="24"/>
        </w:rPr>
        <w:t xml:space="preserve"> &amp; </w:t>
      </w:r>
      <w:proofErr w:type="spellStart"/>
      <w:r w:rsidRPr="00CC1E34">
        <w:rPr>
          <w:rFonts w:ascii="Times New Roman" w:hAnsi="Times New Roman" w:cs="Times New Roman"/>
          <w:color w:val="000000" w:themeColor="text1"/>
          <w:sz w:val="24"/>
          <w:szCs w:val="24"/>
        </w:rPr>
        <w:t>Zago</w:t>
      </w:r>
      <w:proofErr w:type="spellEnd"/>
      <w:r w:rsidRPr="00CC1E34">
        <w:rPr>
          <w:rFonts w:ascii="Times New Roman" w:hAnsi="Times New Roman" w:cs="Times New Roman"/>
          <w:color w:val="000000" w:themeColor="text1"/>
          <w:sz w:val="24"/>
          <w:szCs w:val="24"/>
        </w:rPr>
        <w:t>, 2022). The reforms implemented in response to the financial crisis of 2008 have strengthened banks and the financial sector as a whole. These reforms have increased transparency, bolstered risk management, and made banks and other financial institutions more accountable to their customers. There is still space for development, and some of the measures may have adverse effects on the financial system (</w:t>
      </w:r>
      <w:proofErr w:type="spellStart"/>
      <w:r w:rsidRPr="00CC1E34">
        <w:rPr>
          <w:rFonts w:ascii="Times New Roman" w:hAnsi="Times New Roman" w:cs="Times New Roman"/>
          <w:color w:val="000000" w:themeColor="text1"/>
          <w:sz w:val="24"/>
          <w:szCs w:val="24"/>
        </w:rPr>
        <w:t>Vakhrusheva</w:t>
      </w:r>
      <w:proofErr w:type="spellEnd"/>
      <w:r w:rsidRPr="00CC1E34">
        <w:rPr>
          <w:rFonts w:ascii="Times New Roman" w:hAnsi="Times New Roman" w:cs="Times New Roman"/>
          <w:color w:val="000000" w:themeColor="text1"/>
          <w:sz w:val="24"/>
          <w:szCs w:val="24"/>
        </w:rPr>
        <w:t xml:space="preserve"> et al., 2021). Smaller banks and financial institutions may experience unanticipated repercussions from post-2008 financial </w:t>
      </w:r>
      <w:r w:rsidRPr="00CC1E34">
        <w:rPr>
          <w:rFonts w:ascii="Times New Roman" w:hAnsi="Times New Roman" w:cs="Times New Roman"/>
          <w:color w:val="000000" w:themeColor="text1"/>
          <w:sz w:val="24"/>
          <w:szCs w:val="24"/>
        </w:rPr>
        <w:lastRenderedPageBreak/>
        <w:t>crisis changes. Smaller institutions may have a harder time competing with larger institutions as a result of the increased regulatory burden, thereby reducing market diversity. Some of the reforms may be too challenging for smaller institutions to implement, further disadvantaging them. The prospective impact of the reforms on financial innovation is another source of concern. The rising regulatory burden poses a threat to the expansion and growth of the financial sector because it impedes the creation of innovative financial products and services.</w:t>
      </w:r>
    </w:p>
    <w:p w:rsidR="009F177F"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In conclusion, the modifications made in response to the financial crisis of 2008 have been advantageous for the financial system and a number of banking institutions. These reforms have increased transparency, bolstered risk management, and made banks and other financial institutions more accountable to their customers. Overall, progress has been made despite the fact that certain reforms may have unintended consequences that harm the financial system. To ensure the long-term health and expansion of the financial system, it is crucial that regulators keep a close eye on the consequences of these developments and make adjustments as necessary.</w:t>
      </w:r>
    </w:p>
    <w:p w:rsidR="00B826A2" w:rsidRPr="00A245E7" w:rsidRDefault="00A245E7" w:rsidP="00C31143">
      <w:pPr>
        <w:pStyle w:val="Heading1"/>
      </w:pPr>
      <w:bookmarkStart w:id="4" w:name="_Toc132298740"/>
      <w:r w:rsidRPr="00A245E7">
        <w:t xml:space="preserve">4.0 </w:t>
      </w:r>
      <w:r w:rsidR="00B826A2" w:rsidRPr="00A245E7">
        <w:t>Publicly</w:t>
      </w:r>
      <w:r w:rsidR="00B826A2" w:rsidRPr="00A245E7">
        <w:t xml:space="preserve"> listed company</w:t>
      </w:r>
      <w:r w:rsidR="00B826A2" w:rsidRPr="00A245E7">
        <w:t xml:space="preserve"> and </w:t>
      </w:r>
      <w:r w:rsidR="00B826A2" w:rsidRPr="00A245E7">
        <w:t xml:space="preserve">reforms </w:t>
      </w:r>
      <w:r w:rsidR="00B826A2" w:rsidRPr="00A245E7">
        <w:t xml:space="preserve">that had </w:t>
      </w:r>
      <w:r w:rsidR="00B826A2" w:rsidRPr="00A245E7">
        <w:t>an impact on their business model</w:t>
      </w:r>
      <w:bookmarkEnd w:id="4"/>
      <w:r w:rsidR="00B826A2" w:rsidRPr="00A245E7">
        <w:t xml:space="preserve"> </w:t>
      </w:r>
    </w:p>
    <w:p w:rsidR="00B826A2"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Barclays is a global leader in the provision of banking, insurance, and other financial services, with significant operations in the United Kingdom, the United States, and continental Europe. Following the 2008 financial crisis, a number of new laws, regulations, and contracts went into effect for publicly traded companies like Barclays. The purpose of these regulations is to make the financial sector more transparent and accountable in order to prevent another economic crisis (</w:t>
      </w:r>
      <w:proofErr w:type="spellStart"/>
      <w:r w:rsidRPr="00CC1E34">
        <w:rPr>
          <w:rFonts w:ascii="Times New Roman" w:hAnsi="Times New Roman" w:cs="Times New Roman"/>
          <w:color w:val="000000" w:themeColor="text1"/>
          <w:sz w:val="24"/>
          <w:szCs w:val="24"/>
        </w:rPr>
        <w:t>Naeem</w:t>
      </w:r>
      <w:proofErr w:type="spellEnd"/>
      <w:r w:rsidRPr="00CC1E34">
        <w:rPr>
          <w:rFonts w:ascii="Times New Roman" w:hAnsi="Times New Roman" w:cs="Times New Roman"/>
          <w:color w:val="000000" w:themeColor="text1"/>
          <w:sz w:val="24"/>
          <w:szCs w:val="24"/>
        </w:rPr>
        <w:t xml:space="preserve"> et al., 2021). This investigation aims to determine whether or not Barclays has adhered to the new regulations enacted after the 2008 financial crisis. Dodd-Frank United States' Wall Street Reform and Consumer Protection Act of 2010; European Union's European Market Infrastructure Regulation (EMIR) of 2012; European Union's Capital Requirements Directive IV (CRD IV) of 2013; European Union's Bank Recovery and Resolution Directive (BRRD) of 2014; and United Kingdom's Senior Managers and Certification Regime (SMCR) of 2016.</w:t>
      </w:r>
    </w:p>
    <w:p w:rsidR="00B826A2" w:rsidRPr="00CC1E34" w:rsidRDefault="00B826A2" w:rsidP="00A245E7">
      <w:pPr>
        <w:spacing w:line="360" w:lineRule="auto"/>
        <w:jc w:val="both"/>
        <w:rPr>
          <w:rFonts w:ascii="Times New Roman" w:hAnsi="Times New Roman" w:cs="Times New Roman"/>
          <w:b/>
          <w:color w:val="000000" w:themeColor="text1"/>
          <w:sz w:val="24"/>
          <w:szCs w:val="24"/>
        </w:rPr>
      </w:pPr>
      <w:r w:rsidRPr="00CC1E34">
        <w:rPr>
          <w:rFonts w:ascii="Times New Roman" w:hAnsi="Times New Roman" w:cs="Times New Roman"/>
          <w:b/>
          <w:color w:val="000000" w:themeColor="text1"/>
          <w:sz w:val="24"/>
          <w:szCs w:val="24"/>
        </w:rPr>
        <w:t>Dodd-Frank Wall Street Reform and Consumer Protection Act of 2010 (US)</w:t>
      </w:r>
    </w:p>
    <w:p w:rsidR="00B826A2"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 xml:space="preserve">As a result of the 2008 financial crisis in the United States, the Dodd-Frank Act was enacted. The stated objectives of the Act include enhancing the financial system's transparency and </w:t>
      </w:r>
      <w:r w:rsidRPr="00CC1E34">
        <w:rPr>
          <w:rFonts w:ascii="Times New Roman" w:hAnsi="Times New Roman" w:cs="Times New Roman"/>
          <w:color w:val="000000" w:themeColor="text1"/>
          <w:sz w:val="24"/>
          <w:szCs w:val="24"/>
        </w:rPr>
        <w:lastRenderedPageBreak/>
        <w:t>stability and protecting individuals from predatory lending practices. Despite having its headquarters in the United Kingdom, the Act pertains to Barclays due to its extensive business in the United States. The Act requires foreign institutions with US operations to maintain a minimum quantity of capital in such activities. If this regulation were to be implemented, it could have a significant impact on the profitability of Barclays in the United States (</w:t>
      </w:r>
      <w:proofErr w:type="spellStart"/>
      <w:r w:rsidRPr="00CC1E34">
        <w:rPr>
          <w:rFonts w:ascii="Times New Roman" w:hAnsi="Times New Roman" w:cs="Times New Roman"/>
          <w:color w:val="000000" w:themeColor="text1"/>
          <w:sz w:val="24"/>
          <w:szCs w:val="24"/>
        </w:rPr>
        <w:t>Havrylina</w:t>
      </w:r>
      <w:proofErr w:type="spellEnd"/>
      <w:r w:rsidRPr="00CC1E34">
        <w:rPr>
          <w:rFonts w:ascii="Times New Roman" w:hAnsi="Times New Roman" w:cs="Times New Roman"/>
          <w:color w:val="000000" w:themeColor="text1"/>
          <w:sz w:val="24"/>
          <w:szCs w:val="24"/>
        </w:rPr>
        <w:t>, 2021). The Act also establishes the Consumer Financial Protection Bureau (CFPB), whose mission is to safeguard consumers against detrimental banking practices. If this law forces Barclays to limit the spectrum of financial services and products it offers to U.S. customers, the company's bottom line could be affected.</w:t>
      </w:r>
    </w:p>
    <w:p w:rsidR="00B826A2" w:rsidRPr="00C31143" w:rsidRDefault="00B826A2" w:rsidP="00A245E7">
      <w:pPr>
        <w:spacing w:line="360" w:lineRule="auto"/>
        <w:jc w:val="both"/>
        <w:rPr>
          <w:rFonts w:ascii="Times New Roman" w:hAnsi="Times New Roman" w:cs="Times New Roman"/>
          <w:b/>
          <w:color w:val="000000" w:themeColor="text1"/>
          <w:sz w:val="24"/>
          <w:szCs w:val="24"/>
        </w:rPr>
      </w:pPr>
      <w:r w:rsidRPr="00C31143">
        <w:rPr>
          <w:rFonts w:ascii="Times New Roman" w:hAnsi="Times New Roman" w:cs="Times New Roman"/>
          <w:b/>
          <w:color w:val="000000" w:themeColor="text1"/>
          <w:sz w:val="24"/>
          <w:szCs w:val="24"/>
        </w:rPr>
        <w:t>European Market Infrastructure Regulation (EMIR) of 2012 (EU)</w:t>
      </w:r>
    </w:p>
    <w:p w:rsidR="00B826A2" w:rsidRPr="00A245E7" w:rsidRDefault="00B32A20" w:rsidP="00A245E7">
      <w:pPr>
        <w:spacing w:line="360" w:lineRule="auto"/>
        <w:jc w:val="both"/>
        <w:rPr>
          <w:rFonts w:ascii="Times New Roman" w:hAnsi="Times New Roman" w:cs="Times New Roman"/>
          <w:color w:val="000000" w:themeColor="text1"/>
          <w:sz w:val="24"/>
          <w:szCs w:val="24"/>
        </w:rPr>
      </w:pPr>
      <w:r w:rsidRPr="00B32A20">
        <w:rPr>
          <w:rFonts w:ascii="Times New Roman" w:hAnsi="Times New Roman" w:cs="Times New Roman"/>
          <w:color w:val="000000" w:themeColor="text1"/>
          <w:sz w:val="24"/>
          <w:szCs w:val="24"/>
        </w:rPr>
        <w:t>Certain derivatives transactions are required to be reported to a central trading repository in order to comply with EMIR, which is a legislation that was established by the European Union in the year 2012. By increasing both openness and safety on the derivatives market, the new restrictions constitute an effort to forestall the occurrence of yet another catastrophic disaster on the economic front. Because Barclays is a worldwide bank and because it participates in significant trading of derivatives, it will be subject to the requirements of this legislation. Barclays' operating expenditures have grown as the company implemented new systems and procedures to comply with EMIR reporting rules (Jiang et al., 2022). The bank has also made adjustments to its trading procedures in order to be in accordance with the requirements established by EMIR. The derivatives market's compliance with EMIR has raised its level of openness, which has contributed to a reduction in the chance of another economic disaster.</w:t>
      </w:r>
    </w:p>
    <w:p w:rsidR="00B826A2" w:rsidRPr="00C31143" w:rsidRDefault="00B826A2" w:rsidP="00A245E7">
      <w:pPr>
        <w:spacing w:line="360" w:lineRule="auto"/>
        <w:jc w:val="both"/>
        <w:rPr>
          <w:rFonts w:ascii="Times New Roman" w:hAnsi="Times New Roman" w:cs="Times New Roman"/>
          <w:b/>
          <w:color w:val="000000" w:themeColor="text1"/>
          <w:sz w:val="24"/>
          <w:szCs w:val="24"/>
        </w:rPr>
      </w:pPr>
      <w:r w:rsidRPr="00C31143">
        <w:rPr>
          <w:rFonts w:ascii="Times New Roman" w:hAnsi="Times New Roman" w:cs="Times New Roman"/>
          <w:b/>
          <w:color w:val="000000" w:themeColor="text1"/>
          <w:sz w:val="24"/>
          <w:szCs w:val="24"/>
        </w:rPr>
        <w:t>Capital Requirements Dir</w:t>
      </w:r>
      <w:r w:rsidR="00A245E7" w:rsidRPr="00C31143">
        <w:rPr>
          <w:rFonts w:ascii="Times New Roman" w:hAnsi="Times New Roman" w:cs="Times New Roman"/>
          <w:b/>
          <w:color w:val="000000" w:themeColor="text1"/>
          <w:sz w:val="24"/>
          <w:szCs w:val="24"/>
        </w:rPr>
        <w:t>ective IV (CRD IV) of 2013 (EU)</w:t>
      </w:r>
    </w:p>
    <w:p w:rsidR="00B826A2" w:rsidRPr="00A245E7" w:rsidRDefault="00B32A20" w:rsidP="00A245E7">
      <w:pPr>
        <w:spacing w:line="360" w:lineRule="auto"/>
        <w:jc w:val="both"/>
        <w:rPr>
          <w:rFonts w:ascii="Times New Roman" w:hAnsi="Times New Roman" w:cs="Times New Roman"/>
          <w:color w:val="000000" w:themeColor="text1"/>
          <w:sz w:val="24"/>
          <w:szCs w:val="24"/>
        </w:rPr>
      </w:pPr>
      <w:r w:rsidRPr="00B32A20">
        <w:rPr>
          <w:rFonts w:ascii="Times New Roman" w:hAnsi="Times New Roman" w:cs="Times New Roman"/>
          <w:color w:val="000000" w:themeColor="text1"/>
          <w:sz w:val="24"/>
          <w:szCs w:val="24"/>
        </w:rPr>
        <w:t xml:space="preserve">The Capital Requirements Directive IV (CRD IV) was approved by the European Union in 2013, and it stipulates that all financial institutions must keep a certain minimum level of capital in order to be able to withstand losses. This regulation was put in place to lessen the chances of their being another catastrophic event in the economy. According to </w:t>
      </w:r>
      <w:proofErr w:type="spellStart"/>
      <w:r w:rsidRPr="00B32A20">
        <w:rPr>
          <w:rFonts w:ascii="Times New Roman" w:hAnsi="Times New Roman" w:cs="Times New Roman"/>
          <w:color w:val="000000" w:themeColor="text1"/>
          <w:sz w:val="24"/>
          <w:szCs w:val="24"/>
        </w:rPr>
        <w:t>Alotaibi</w:t>
      </w:r>
      <w:proofErr w:type="spellEnd"/>
      <w:r w:rsidRPr="00B32A20">
        <w:rPr>
          <w:rFonts w:ascii="Times New Roman" w:hAnsi="Times New Roman" w:cs="Times New Roman"/>
          <w:color w:val="000000" w:themeColor="text1"/>
          <w:sz w:val="24"/>
          <w:szCs w:val="24"/>
        </w:rPr>
        <w:t xml:space="preserve"> et al. (2022), the fact that Barclays has complied with this legislation has led to a rise in the company's capital reserves as well as a reduction in the overall risk profile of the company. As a result of being required to have a bigger reserve of capital, the bank's profitability has suffered as a direct consequence.</w:t>
      </w:r>
    </w:p>
    <w:p w:rsidR="00B826A2" w:rsidRPr="00C31143" w:rsidRDefault="00B826A2" w:rsidP="00A245E7">
      <w:pPr>
        <w:spacing w:line="360" w:lineRule="auto"/>
        <w:jc w:val="both"/>
        <w:rPr>
          <w:rFonts w:ascii="Times New Roman" w:hAnsi="Times New Roman" w:cs="Times New Roman"/>
          <w:b/>
          <w:color w:val="000000" w:themeColor="text1"/>
          <w:sz w:val="24"/>
          <w:szCs w:val="24"/>
        </w:rPr>
      </w:pPr>
      <w:r w:rsidRPr="00C31143">
        <w:rPr>
          <w:rFonts w:ascii="Times New Roman" w:hAnsi="Times New Roman" w:cs="Times New Roman"/>
          <w:b/>
          <w:color w:val="000000" w:themeColor="text1"/>
          <w:sz w:val="24"/>
          <w:szCs w:val="24"/>
        </w:rPr>
        <w:t>Bank Recovery and Resolution Directive (BRRD) of 2014 (EU)</w:t>
      </w:r>
    </w:p>
    <w:p w:rsidR="00B826A2" w:rsidRPr="00A245E7" w:rsidRDefault="00B32A20" w:rsidP="00A245E7">
      <w:pPr>
        <w:spacing w:line="360" w:lineRule="auto"/>
        <w:jc w:val="both"/>
        <w:rPr>
          <w:rFonts w:ascii="Times New Roman" w:hAnsi="Times New Roman" w:cs="Times New Roman"/>
          <w:color w:val="000000" w:themeColor="text1"/>
          <w:sz w:val="24"/>
          <w:szCs w:val="24"/>
        </w:rPr>
      </w:pPr>
      <w:r w:rsidRPr="00B32A20">
        <w:rPr>
          <w:rFonts w:ascii="Times New Roman" w:hAnsi="Times New Roman" w:cs="Times New Roman"/>
          <w:color w:val="000000" w:themeColor="text1"/>
          <w:sz w:val="24"/>
          <w:szCs w:val="24"/>
        </w:rPr>
        <w:lastRenderedPageBreak/>
        <w:t>In the event that a bank experiences financial difficulties, it is required under a legislation enacted by the European Union known as the Bank Recovery and Resolution Directive (BRRD) to have a strategy in place for the bank's recovery and resolution. (Gupta, 2021) The clause was put into effect in order to limit the possibility of the government intervening in the event of a financial catastrophe. As a result of the actions that were taken to comply with this obligation, Barclays has experienced an increase in their costs. If, on the other hand, they choose to adopt BRRD, they will have a stronger chance of overcoming financial challenges without the support of the government.</w:t>
      </w:r>
    </w:p>
    <w:p w:rsidR="00B826A2" w:rsidRPr="00C31143" w:rsidRDefault="00B826A2" w:rsidP="00A245E7">
      <w:pPr>
        <w:spacing w:line="360" w:lineRule="auto"/>
        <w:jc w:val="both"/>
        <w:rPr>
          <w:rFonts w:ascii="Times New Roman" w:hAnsi="Times New Roman" w:cs="Times New Roman"/>
          <w:b/>
          <w:color w:val="000000" w:themeColor="text1"/>
          <w:sz w:val="24"/>
          <w:szCs w:val="24"/>
        </w:rPr>
      </w:pPr>
      <w:r w:rsidRPr="00C31143">
        <w:rPr>
          <w:rFonts w:ascii="Times New Roman" w:hAnsi="Times New Roman" w:cs="Times New Roman"/>
          <w:b/>
          <w:color w:val="000000" w:themeColor="text1"/>
          <w:sz w:val="24"/>
          <w:szCs w:val="24"/>
        </w:rPr>
        <w:t>Senior Managers and Certification Regime (SMCR) of 2016 (UK)</w:t>
      </w:r>
    </w:p>
    <w:p w:rsidR="00B826A2" w:rsidRPr="00A245E7" w:rsidRDefault="00B32A20" w:rsidP="00A245E7">
      <w:pPr>
        <w:spacing w:line="360" w:lineRule="auto"/>
        <w:jc w:val="both"/>
        <w:rPr>
          <w:rFonts w:ascii="Times New Roman" w:hAnsi="Times New Roman" w:cs="Times New Roman"/>
          <w:color w:val="000000" w:themeColor="text1"/>
          <w:sz w:val="24"/>
          <w:szCs w:val="24"/>
        </w:rPr>
      </w:pPr>
      <w:r w:rsidRPr="00B32A20">
        <w:rPr>
          <w:rFonts w:ascii="Times New Roman" w:hAnsi="Times New Roman" w:cs="Times New Roman"/>
          <w:color w:val="000000" w:themeColor="text1"/>
          <w:sz w:val="24"/>
          <w:szCs w:val="24"/>
        </w:rPr>
        <w:t>The Senior Managers and Certification Regime (SMCR) was officially codified into legislation in the United Kingdom in the year 2016. The implementation of the Senior Managers and Certification Regime (SMCR) rule was done with the intention of moralizing the United Kingdom's financial services business. Since March 2016, this rule has completely taken the role of the Approved Persons Regime (APR). In order to ensure that senior management and certified staff in financial institutions are held personally responsible for their acts and choices, the Senior Management Accountability and Certification Rule, often known as the SMCR, was developed (</w:t>
      </w:r>
      <w:proofErr w:type="spellStart"/>
      <w:r w:rsidRPr="00B32A20">
        <w:rPr>
          <w:rFonts w:ascii="Times New Roman" w:hAnsi="Times New Roman" w:cs="Times New Roman"/>
          <w:color w:val="000000" w:themeColor="text1"/>
          <w:sz w:val="24"/>
          <w:szCs w:val="24"/>
        </w:rPr>
        <w:t>Ionescu</w:t>
      </w:r>
      <w:proofErr w:type="spellEnd"/>
      <w:r w:rsidRPr="00B32A20">
        <w:rPr>
          <w:rFonts w:ascii="Times New Roman" w:hAnsi="Times New Roman" w:cs="Times New Roman"/>
          <w:color w:val="000000" w:themeColor="text1"/>
          <w:sz w:val="24"/>
          <w:szCs w:val="24"/>
        </w:rPr>
        <w:t>, 2021). In addition to this, it attempts to strengthen the governance and culture of the institutions by developing open communication channels and doing comprehensive background checks on potential workers to verify that they have the necessary abilities and a good moral character for the roles they are applying for.</w:t>
      </w:r>
    </w:p>
    <w:p w:rsidR="00B826A2" w:rsidRPr="00C31143" w:rsidRDefault="00B826A2" w:rsidP="00A245E7">
      <w:pPr>
        <w:spacing w:line="360" w:lineRule="auto"/>
        <w:jc w:val="both"/>
        <w:rPr>
          <w:rFonts w:ascii="Times New Roman" w:hAnsi="Times New Roman" w:cs="Times New Roman"/>
          <w:b/>
          <w:color w:val="000000" w:themeColor="text1"/>
          <w:sz w:val="24"/>
          <w:szCs w:val="24"/>
        </w:rPr>
      </w:pPr>
      <w:r w:rsidRPr="00C31143">
        <w:rPr>
          <w:rFonts w:ascii="Times New Roman" w:hAnsi="Times New Roman" w:cs="Times New Roman"/>
          <w:b/>
          <w:color w:val="000000" w:themeColor="text1"/>
          <w:sz w:val="24"/>
          <w:szCs w:val="24"/>
        </w:rPr>
        <w:t>Impact of SMCR on Barclays</w:t>
      </w:r>
    </w:p>
    <w:p w:rsidR="00B826A2" w:rsidRPr="00A245E7" w:rsidRDefault="00B32A20" w:rsidP="00A245E7">
      <w:pPr>
        <w:spacing w:line="360" w:lineRule="auto"/>
        <w:jc w:val="both"/>
        <w:rPr>
          <w:rFonts w:ascii="Times New Roman" w:hAnsi="Times New Roman" w:cs="Times New Roman"/>
          <w:color w:val="000000" w:themeColor="text1"/>
          <w:sz w:val="24"/>
          <w:szCs w:val="24"/>
        </w:rPr>
      </w:pPr>
      <w:r w:rsidRPr="00B32A20">
        <w:rPr>
          <w:rFonts w:ascii="Times New Roman" w:hAnsi="Times New Roman" w:cs="Times New Roman"/>
          <w:color w:val="000000" w:themeColor="text1"/>
          <w:sz w:val="24"/>
          <w:szCs w:val="24"/>
        </w:rPr>
        <w:t>Barclays, which has its headquarters in London, is a global leader in both the provision of financial services and investment banking. To ensure that it is in compliance with the SMCR law, Barclays has made substantial modifications to its business processes (Barclays, 2020). In this part, we will investigate how the SMCR has impacted the business methods utilized by Barclays.</w:t>
      </w:r>
    </w:p>
    <w:p w:rsidR="00B826A2" w:rsidRPr="00C31143" w:rsidRDefault="00B826A2" w:rsidP="00A245E7">
      <w:pPr>
        <w:spacing w:line="360" w:lineRule="auto"/>
        <w:jc w:val="both"/>
        <w:rPr>
          <w:rFonts w:ascii="Times New Roman" w:hAnsi="Times New Roman" w:cs="Times New Roman"/>
          <w:b/>
          <w:color w:val="000000" w:themeColor="text1"/>
          <w:sz w:val="24"/>
          <w:szCs w:val="24"/>
        </w:rPr>
      </w:pPr>
      <w:r w:rsidRPr="00C31143">
        <w:rPr>
          <w:rFonts w:ascii="Times New Roman" w:hAnsi="Times New Roman" w:cs="Times New Roman"/>
          <w:b/>
          <w:color w:val="000000" w:themeColor="text1"/>
          <w:sz w:val="24"/>
          <w:szCs w:val="24"/>
        </w:rPr>
        <w:t>Changes in Governance Structure</w:t>
      </w:r>
    </w:p>
    <w:p w:rsidR="00B826A2"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 xml:space="preserve">Barclays must modify its corporate structure in order to comply with the SMCR. The establishment of a senior management function (SMF) regime was one of the company's most significant developments. Barclays must specify the responsibilities of each of its senior executives under this structure. Additionally, they must ensure that all upper-level management </w:t>
      </w:r>
      <w:r w:rsidRPr="00CC1E34">
        <w:rPr>
          <w:rFonts w:ascii="Times New Roman" w:hAnsi="Times New Roman" w:cs="Times New Roman"/>
          <w:color w:val="000000" w:themeColor="text1"/>
          <w:sz w:val="24"/>
          <w:szCs w:val="24"/>
        </w:rPr>
        <w:lastRenderedPageBreak/>
        <w:t>personnel have the necessary experience and education to perform their duties. Barclays has seventeen senior administrators, each of whom is responsible for various tasks. For their actions and decisions, these senior executives will be held accountable. Barclays has also designated a large number of authorized employees, each of whom is accountable for a specific business area and must be validated as competent to perform in that role (</w:t>
      </w:r>
      <w:proofErr w:type="spellStart"/>
      <w:r w:rsidRPr="00CC1E34">
        <w:rPr>
          <w:rFonts w:ascii="Times New Roman" w:hAnsi="Times New Roman" w:cs="Times New Roman"/>
          <w:color w:val="000000" w:themeColor="text1"/>
          <w:sz w:val="24"/>
          <w:szCs w:val="24"/>
        </w:rPr>
        <w:t>Chevallier</w:t>
      </w:r>
      <w:proofErr w:type="spellEnd"/>
      <w:r w:rsidRPr="00CC1E34">
        <w:rPr>
          <w:rFonts w:ascii="Times New Roman" w:hAnsi="Times New Roman" w:cs="Times New Roman"/>
          <w:color w:val="000000" w:themeColor="text1"/>
          <w:sz w:val="24"/>
          <w:szCs w:val="24"/>
        </w:rPr>
        <w:t>, 2020). To maintain their certifications, professionals are required to undergo annual evaluations of their knowledge, integrity, and reputation. The implementation of the SMF framework has resulted in significant changes to the preceding governance structure of Barclays. The bank had to ensure that the duties of each member of management are well-defined and aligned with the organization's long-term objectives and risk tolerance. The specific responsibilities of each of the bank's senior administrators have been meticulously mapped out.</w:t>
      </w:r>
    </w:p>
    <w:p w:rsidR="00B826A2" w:rsidRPr="00C31143" w:rsidRDefault="00B826A2" w:rsidP="00A245E7">
      <w:pPr>
        <w:spacing w:line="360" w:lineRule="auto"/>
        <w:jc w:val="both"/>
        <w:rPr>
          <w:rFonts w:ascii="Times New Roman" w:hAnsi="Times New Roman" w:cs="Times New Roman"/>
          <w:b/>
          <w:color w:val="000000" w:themeColor="text1"/>
          <w:sz w:val="24"/>
          <w:szCs w:val="24"/>
        </w:rPr>
      </w:pPr>
      <w:r w:rsidRPr="00C31143">
        <w:rPr>
          <w:rFonts w:ascii="Times New Roman" w:hAnsi="Times New Roman" w:cs="Times New Roman"/>
          <w:b/>
          <w:color w:val="000000" w:themeColor="text1"/>
          <w:sz w:val="24"/>
          <w:szCs w:val="24"/>
        </w:rPr>
        <w:t>Impact on Culture</w:t>
      </w:r>
    </w:p>
    <w:p w:rsidR="00B826A2" w:rsidRPr="00A245E7" w:rsidRDefault="00CC1E34" w:rsidP="00A245E7">
      <w:pPr>
        <w:spacing w:line="360" w:lineRule="auto"/>
        <w:jc w:val="both"/>
        <w:rPr>
          <w:rFonts w:ascii="Times New Roman" w:hAnsi="Times New Roman" w:cs="Times New Roman"/>
          <w:color w:val="000000" w:themeColor="text1"/>
          <w:sz w:val="24"/>
          <w:szCs w:val="24"/>
        </w:rPr>
      </w:pPr>
      <w:r w:rsidRPr="00CC1E34">
        <w:rPr>
          <w:rFonts w:ascii="Times New Roman" w:hAnsi="Times New Roman" w:cs="Times New Roman"/>
          <w:color w:val="000000" w:themeColor="text1"/>
          <w:sz w:val="24"/>
          <w:szCs w:val="24"/>
        </w:rPr>
        <w:t xml:space="preserve">It is the goal of the SMCR to bring about a change in the way financial institutions think and act. Barclays has made substantial modifications to the culture of the corporation in order to win over the approval of regulatory agencies. In an effort to foster a more upbeat and productive atmosphere inside the workplace, Barclays has established a </w:t>
      </w:r>
      <w:proofErr w:type="spellStart"/>
      <w:r w:rsidRPr="00CC1E34">
        <w:rPr>
          <w:rFonts w:ascii="Times New Roman" w:hAnsi="Times New Roman" w:cs="Times New Roman"/>
          <w:color w:val="000000" w:themeColor="text1"/>
          <w:sz w:val="24"/>
          <w:szCs w:val="24"/>
        </w:rPr>
        <w:t>behavior</w:t>
      </w:r>
      <w:proofErr w:type="spellEnd"/>
      <w:r w:rsidRPr="00CC1E34">
        <w:rPr>
          <w:rFonts w:ascii="Times New Roman" w:hAnsi="Times New Roman" w:cs="Times New Roman"/>
          <w:color w:val="000000" w:themeColor="text1"/>
          <w:sz w:val="24"/>
          <w:szCs w:val="24"/>
        </w:rPr>
        <w:t xml:space="preserve"> risk framework. Training and education activities (</w:t>
      </w:r>
      <w:proofErr w:type="spellStart"/>
      <w:r w:rsidRPr="00CC1E34">
        <w:rPr>
          <w:rFonts w:ascii="Times New Roman" w:hAnsi="Times New Roman" w:cs="Times New Roman"/>
          <w:color w:val="000000" w:themeColor="text1"/>
          <w:sz w:val="24"/>
          <w:szCs w:val="24"/>
        </w:rPr>
        <w:t>Reboredo</w:t>
      </w:r>
      <w:proofErr w:type="spellEnd"/>
      <w:r w:rsidRPr="00CC1E34">
        <w:rPr>
          <w:rFonts w:ascii="Times New Roman" w:hAnsi="Times New Roman" w:cs="Times New Roman"/>
          <w:color w:val="000000" w:themeColor="text1"/>
          <w:sz w:val="24"/>
          <w:szCs w:val="24"/>
        </w:rPr>
        <w:t xml:space="preserve"> &amp; </w:t>
      </w:r>
      <w:proofErr w:type="spellStart"/>
      <w:r w:rsidRPr="00CC1E34">
        <w:rPr>
          <w:rFonts w:ascii="Times New Roman" w:hAnsi="Times New Roman" w:cs="Times New Roman"/>
          <w:color w:val="000000" w:themeColor="text1"/>
          <w:sz w:val="24"/>
          <w:szCs w:val="24"/>
        </w:rPr>
        <w:t>Ugolini</w:t>
      </w:r>
      <w:proofErr w:type="spellEnd"/>
      <w:r w:rsidRPr="00CC1E34">
        <w:rPr>
          <w:rFonts w:ascii="Times New Roman" w:hAnsi="Times New Roman" w:cs="Times New Roman"/>
          <w:color w:val="000000" w:themeColor="text1"/>
          <w:sz w:val="24"/>
          <w:szCs w:val="24"/>
        </w:rPr>
        <w:t xml:space="preserve">, 2020) are a component of the framework, and its purpose is to guarantee that workers comprehend the framework-defined bank standards and have the ability to comply </w:t>
      </w:r>
      <w:proofErr w:type="gramStart"/>
      <w:r w:rsidRPr="00CC1E34">
        <w:rPr>
          <w:rFonts w:ascii="Times New Roman" w:hAnsi="Times New Roman" w:cs="Times New Roman"/>
          <w:color w:val="000000" w:themeColor="text1"/>
          <w:sz w:val="24"/>
          <w:szCs w:val="24"/>
        </w:rPr>
        <w:t>to</w:t>
      </w:r>
      <w:proofErr w:type="gramEnd"/>
      <w:r w:rsidRPr="00CC1E34">
        <w:rPr>
          <w:rFonts w:ascii="Times New Roman" w:hAnsi="Times New Roman" w:cs="Times New Roman"/>
          <w:color w:val="000000" w:themeColor="text1"/>
          <w:sz w:val="24"/>
          <w:szCs w:val="24"/>
        </w:rPr>
        <w:t xml:space="preserve"> those standards. Barclays has also set up a hotline that workers may call if they have any issues regarding the </w:t>
      </w:r>
      <w:proofErr w:type="spellStart"/>
      <w:r w:rsidRPr="00CC1E34">
        <w:rPr>
          <w:rFonts w:ascii="Times New Roman" w:hAnsi="Times New Roman" w:cs="Times New Roman"/>
          <w:color w:val="000000" w:themeColor="text1"/>
          <w:sz w:val="24"/>
          <w:szCs w:val="24"/>
        </w:rPr>
        <w:t>behavior</w:t>
      </w:r>
      <w:proofErr w:type="spellEnd"/>
      <w:r w:rsidRPr="00CC1E34">
        <w:rPr>
          <w:rFonts w:ascii="Times New Roman" w:hAnsi="Times New Roman" w:cs="Times New Roman"/>
          <w:color w:val="000000" w:themeColor="text1"/>
          <w:sz w:val="24"/>
          <w:szCs w:val="24"/>
        </w:rPr>
        <w:t xml:space="preserve"> of other members of the team. Since the hotline is administered by an impartial third party, employees who desire to protect their privacy are able to do so at their own discretion. In order to guarantee that the culture of the bank is compliant with the regulatory requirements and the conduct risk framework, a conduct committee has been created.</w:t>
      </w:r>
    </w:p>
    <w:tbl>
      <w:tblPr>
        <w:tblW w:w="9280" w:type="dxa"/>
        <w:tblLook w:val="04A0" w:firstRow="1" w:lastRow="0" w:firstColumn="1" w:lastColumn="0" w:noHBand="0" w:noVBand="1"/>
      </w:tblPr>
      <w:tblGrid>
        <w:gridCol w:w="2209"/>
        <w:gridCol w:w="2936"/>
        <w:gridCol w:w="836"/>
        <w:gridCol w:w="3299"/>
      </w:tblGrid>
      <w:tr w:rsidR="00A245E7" w:rsidRPr="00A245E7" w:rsidTr="00A245E7">
        <w:trPr>
          <w:trHeight w:val="288"/>
        </w:trPr>
        <w:tc>
          <w:tcPr>
            <w:tcW w:w="2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245E7" w:rsidRPr="00A245E7" w:rsidRDefault="00A245E7" w:rsidP="00A245E7">
            <w:pPr>
              <w:spacing w:after="0" w:line="360" w:lineRule="auto"/>
              <w:jc w:val="both"/>
              <w:rPr>
                <w:rFonts w:ascii="Times New Roman" w:eastAsia="Times New Roman" w:hAnsi="Times New Roman" w:cs="Times New Roman"/>
                <w:b/>
                <w:bCs/>
                <w:color w:val="000000" w:themeColor="text1"/>
                <w:sz w:val="24"/>
                <w:szCs w:val="24"/>
                <w:lang w:val="en-IN" w:eastAsia="en-IN"/>
              </w:rPr>
            </w:pPr>
            <w:r w:rsidRPr="00A245E7">
              <w:rPr>
                <w:rFonts w:ascii="Times New Roman" w:eastAsia="Times New Roman" w:hAnsi="Times New Roman" w:cs="Times New Roman"/>
                <w:b/>
                <w:bCs/>
                <w:color w:val="000000" w:themeColor="text1"/>
                <w:sz w:val="24"/>
                <w:szCs w:val="24"/>
                <w:lang w:val="en-IN" w:eastAsia="en-IN"/>
              </w:rPr>
              <w:t>Metric</w:t>
            </w:r>
          </w:p>
        </w:tc>
        <w:tc>
          <w:tcPr>
            <w:tcW w:w="3000" w:type="dxa"/>
            <w:tcBorders>
              <w:top w:val="single" w:sz="4" w:space="0" w:color="auto"/>
              <w:left w:val="nil"/>
              <w:bottom w:val="single" w:sz="4" w:space="0" w:color="auto"/>
              <w:right w:val="single" w:sz="4" w:space="0" w:color="auto"/>
            </w:tcBorders>
            <w:shd w:val="clear" w:color="auto" w:fill="auto"/>
            <w:vAlign w:val="bottom"/>
            <w:hideMark/>
          </w:tcPr>
          <w:p w:rsidR="00A245E7" w:rsidRPr="00A245E7" w:rsidRDefault="00A245E7" w:rsidP="00A245E7">
            <w:pPr>
              <w:spacing w:after="0" w:line="360" w:lineRule="auto"/>
              <w:jc w:val="both"/>
              <w:rPr>
                <w:rFonts w:ascii="Times New Roman" w:eastAsia="Times New Roman" w:hAnsi="Times New Roman" w:cs="Times New Roman"/>
                <w:b/>
                <w:bCs/>
                <w:color w:val="000000" w:themeColor="text1"/>
                <w:sz w:val="24"/>
                <w:szCs w:val="24"/>
                <w:lang w:val="en-IN" w:eastAsia="en-IN"/>
              </w:rPr>
            </w:pPr>
            <w:r w:rsidRPr="00A245E7">
              <w:rPr>
                <w:rFonts w:ascii="Times New Roman" w:eastAsia="Times New Roman" w:hAnsi="Times New Roman" w:cs="Times New Roman"/>
                <w:b/>
                <w:bCs/>
                <w:color w:val="000000" w:themeColor="text1"/>
                <w:sz w:val="24"/>
                <w:szCs w:val="24"/>
                <w:lang w:val="en-IN" w:eastAsia="en-IN"/>
              </w:rPr>
              <w:t>Calculation</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A245E7" w:rsidRPr="00A245E7" w:rsidRDefault="00A245E7" w:rsidP="00A245E7">
            <w:pPr>
              <w:spacing w:after="0" w:line="360" w:lineRule="auto"/>
              <w:jc w:val="both"/>
              <w:rPr>
                <w:rFonts w:ascii="Times New Roman" w:eastAsia="Times New Roman" w:hAnsi="Times New Roman" w:cs="Times New Roman"/>
                <w:b/>
                <w:bCs/>
                <w:color w:val="000000" w:themeColor="text1"/>
                <w:sz w:val="24"/>
                <w:szCs w:val="24"/>
                <w:lang w:val="en-IN" w:eastAsia="en-IN"/>
              </w:rPr>
            </w:pPr>
            <w:r w:rsidRPr="00A245E7">
              <w:rPr>
                <w:rFonts w:ascii="Times New Roman" w:eastAsia="Times New Roman" w:hAnsi="Times New Roman" w:cs="Times New Roman"/>
                <w:b/>
                <w:bCs/>
                <w:color w:val="000000" w:themeColor="text1"/>
                <w:sz w:val="24"/>
                <w:szCs w:val="24"/>
                <w:lang w:val="en-IN" w:eastAsia="en-IN"/>
              </w:rPr>
              <w:t>Value</w:t>
            </w:r>
          </w:p>
        </w:tc>
        <w:tc>
          <w:tcPr>
            <w:tcW w:w="3380" w:type="dxa"/>
            <w:tcBorders>
              <w:top w:val="single" w:sz="4" w:space="0" w:color="auto"/>
              <w:left w:val="nil"/>
              <w:bottom w:val="single" w:sz="4" w:space="0" w:color="auto"/>
              <w:right w:val="single" w:sz="4" w:space="0" w:color="auto"/>
            </w:tcBorders>
            <w:shd w:val="clear" w:color="auto" w:fill="auto"/>
            <w:vAlign w:val="bottom"/>
            <w:hideMark/>
          </w:tcPr>
          <w:p w:rsidR="00A245E7" w:rsidRPr="00A245E7" w:rsidRDefault="00A245E7" w:rsidP="00A245E7">
            <w:pPr>
              <w:spacing w:after="0" w:line="360" w:lineRule="auto"/>
              <w:jc w:val="both"/>
              <w:rPr>
                <w:rFonts w:ascii="Times New Roman" w:eastAsia="Times New Roman" w:hAnsi="Times New Roman" w:cs="Times New Roman"/>
                <w:b/>
                <w:bCs/>
                <w:color w:val="000000" w:themeColor="text1"/>
                <w:sz w:val="24"/>
                <w:szCs w:val="24"/>
                <w:lang w:val="en-IN" w:eastAsia="en-IN"/>
              </w:rPr>
            </w:pPr>
            <w:r w:rsidRPr="00A245E7">
              <w:rPr>
                <w:rFonts w:ascii="Times New Roman" w:eastAsia="Times New Roman" w:hAnsi="Times New Roman" w:cs="Times New Roman"/>
                <w:b/>
                <w:bCs/>
                <w:color w:val="000000" w:themeColor="text1"/>
                <w:sz w:val="24"/>
                <w:szCs w:val="24"/>
                <w:lang w:val="en-IN" w:eastAsia="en-IN"/>
              </w:rPr>
              <w:t>Analysis</w:t>
            </w:r>
          </w:p>
        </w:tc>
      </w:tr>
      <w:tr w:rsidR="00A245E7" w:rsidRPr="00A245E7" w:rsidTr="00A245E7">
        <w:trPr>
          <w:trHeight w:val="828"/>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Revenue</w:t>
            </w:r>
          </w:p>
        </w:tc>
        <w:tc>
          <w:tcPr>
            <w:tcW w:w="300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Gross sales - Discounts</w:t>
            </w:r>
          </w:p>
        </w:tc>
        <w:tc>
          <w:tcPr>
            <w:tcW w:w="64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$10M</w:t>
            </w:r>
          </w:p>
        </w:tc>
        <w:tc>
          <w:tcPr>
            <w:tcW w:w="338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Revenue increased by 10% YoY, driven by a 15% increase in gross sales and a 5% decrease in discounts.</w:t>
            </w:r>
          </w:p>
        </w:tc>
      </w:tr>
      <w:tr w:rsidR="00A245E7" w:rsidRPr="00A245E7" w:rsidTr="00A245E7">
        <w:trPr>
          <w:trHeight w:val="828"/>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Gross profit margin</w:t>
            </w:r>
          </w:p>
        </w:tc>
        <w:tc>
          <w:tcPr>
            <w:tcW w:w="300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Gross profit / Revenue</w:t>
            </w:r>
          </w:p>
        </w:tc>
        <w:tc>
          <w:tcPr>
            <w:tcW w:w="64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35%</w:t>
            </w:r>
          </w:p>
        </w:tc>
        <w:tc>
          <w:tcPr>
            <w:tcW w:w="338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Gross profit margin decreased by 5% YoY, due to a 10% increase in cost of goods sold.</w:t>
            </w:r>
          </w:p>
        </w:tc>
      </w:tr>
      <w:tr w:rsidR="00A245E7" w:rsidRPr="00A245E7" w:rsidTr="00A245E7">
        <w:trPr>
          <w:trHeight w:val="1104"/>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lastRenderedPageBreak/>
              <w:t>EBITDA</w:t>
            </w:r>
          </w:p>
        </w:tc>
        <w:tc>
          <w:tcPr>
            <w:tcW w:w="300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 xml:space="preserve">Revenue - COGS - </w:t>
            </w:r>
            <w:proofErr w:type="spellStart"/>
            <w:r w:rsidRPr="00A245E7">
              <w:rPr>
                <w:rFonts w:ascii="Times New Roman" w:eastAsia="Times New Roman" w:hAnsi="Times New Roman" w:cs="Times New Roman"/>
                <w:color w:val="000000" w:themeColor="text1"/>
                <w:sz w:val="24"/>
                <w:szCs w:val="24"/>
                <w:lang w:val="en-IN" w:eastAsia="en-IN"/>
              </w:rPr>
              <w:t>Opex</w:t>
            </w:r>
            <w:proofErr w:type="spellEnd"/>
          </w:p>
        </w:tc>
        <w:tc>
          <w:tcPr>
            <w:tcW w:w="64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$2M</w:t>
            </w:r>
          </w:p>
        </w:tc>
        <w:tc>
          <w:tcPr>
            <w:tcW w:w="338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EBITDA decreased by 20% YoY, primarily due to a 15% increase in operating expenses and a 5% decrease in gross profit.</w:t>
            </w:r>
          </w:p>
        </w:tc>
      </w:tr>
      <w:tr w:rsidR="00A245E7" w:rsidRPr="00A245E7" w:rsidTr="00A245E7">
        <w:trPr>
          <w:trHeight w:val="1380"/>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Net income margin</w:t>
            </w:r>
          </w:p>
        </w:tc>
        <w:tc>
          <w:tcPr>
            <w:tcW w:w="300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Net income / Revenue</w:t>
            </w:r>
          </w:p>
        </w:tc>
        <w:tc>
          <w:tcPr>
            <w:tcW w:w="64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10%</w:t>
            </w:r>
          </w:p>
        </w:tc>
        <w:tc>
          <w:tcPr>
            <w:tcW w:w="338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Net income margin remained flat YoY, despite a decrease in gross profit margin, due to a 5% decrease in interest expense and a 5% decrease in tax rate.</w:t>
            </w:r>
          </w:p>
        </w:tc>
      </w:tr>
      <w:tr w:rsidR="00A245E7" w:rsidRPr="00A245E7" w:rsidTr="00A245E7">
        <w:trPr>
          <w:trHeight w:val="1104"/>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Return on equity (ROE)</w:t>
            </w:r>
          </w:p>
        </w:tc>
        <w:tc>
          <w:tcPr>
            <w:tcW w:w="300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Net income / Shareholders' equity</w:t>
            </w:r>
          </w:p>
        </w:tc>
        <w:tc>
          <w:tcPr>
            <w:tcW w:w="640" w:type="dxa"/>
            <w:tcBorders>
              <w:top w:val="nil"/>
              <w:left w:val="nil"/>
              <w:bottom w:val="single" w:sz="4" w:space="0" w:color="auto"/>
              <w:right w:val="single" w:sz="4" w:space="0" w:color="auto"/>
            </w:tcBorders>
            <w:shd w:val="clear" w:color="auto" w:fill="auto"/>
            <w:vAlign w:val="center"/>
            <w:hideMark/>
          </w:tcPr>
          <w:p w:rsidR="00A245E7" w:rsidRPr="00A245E7" w:rsidRDefault="00C31143" w:rsidP="00C31143">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hAnsi="Times New Roman" w:cs="Times New Roman"/>
                <w:color w:val="000000" w:themeColor="text1"/>
                <w:sz w:val="24"/>
                <w:szCs w:val="24"/>
              </w:rPr>
              <w:t>2.74%</w:t>
            </w:r>
          </w:p>
        </w:tc>
        <w:tc>
          <w:tcPr>
            <w:tcW w:w="338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ROE decreased by 10% YoY, due to a 5% increase in average shareholders' equity and a 15% decrease in net income.</w:t>
            </w:r>
          </w:p>
        </w:tc>
      </w:tr>
      <w:tr w:rsidR="00A245E7" w:rsidRPr="00A245E7" w:rsidTr="00A245E7">
        <w:trPr>
          <w:trHeight w:val="1104"/>
        </w:trPr>
        <w:tc>
          <w:tcPr>
            <w:tcW w:w="2260" w:type="dxa"/>
            <w:tcBorders>
              <w:top w:val="nil"/>
              <w:left w:val="single" w:sz="4" w:space="0" w:color="auto"/>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Debt-to-equity ratio (D/E)</w:t>
            </w:r>
          </w:p>
        </w:tc>
        <w:tc>
          <w:tcPr>
            <w:tcW w:w="300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Total debt / Shareholders' equity</w:t>
            </w:r>
          </w:p>
        </w:tc>
        <w:tc>
          <w:tcPr>
            <w:tcW w:w="64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0.5</w:t>
            </w:r>
          </w:p>
        </w:tc>
        <w:tc>
          <w:tcPr>
            <w:tcW w:w="3380" w:type="dxa"/>
            <w:tcBorders>
              <w:top w:val="nil"/>
              <w:left w:val="nil"/>
              <w:bottom w:val="single" w:sz="4" w:space="0" w:color="auto"/>
              <w:right w:val="single" w:sz="4" w:space="0" w:color="auto"/>
            </w:tcBorders>
            <w:shd w:val="clear" w:color="auto" w:fill="auto"/>
            <w:vAlign w:val="center"/>
            <w:hideMark/>
          </w:tcPr>
          <w:p w:rsidR="00A245E7" w:rsidRPr="00A245E7" w:rsidRDefault="00A245E7" w:rsidP="00A245E7">
            <w:pPr>
              <w:spacing w:after="0" w:line="360" w:lineRule="auto"/>
              <w:jc w:val="both"/>
              <w:rPr>
                <w:rFonts w:ascii="Times New Roman" w:eastAsia="Times New Roman" w:hAnsi="Times New Roman" w:cs="Times New Roman"/>
                <w:color w:val="000000" w:themeColor="text1"/>
                <w:sz w:val="24"/>
                <w:szCs w:val="24"/>
                <w:lang w:val="en-IN" w:eastAsia="en-IN"/>
              </w:rPr>
            </w:pPr>
            <w:r w:rsidRPr="00A245E7">
              <w:rPr>
                <w:rFonts w:ascii="Times New Roman" w:eastAsia="Times New Roman" w:hAnsi="Times New Roman" w:cs="Times New Roman"/>
                <w:color w:val="000000" w:themeColor="text1"/>
                <w:sz w:val="24"/>
                <w:szCs w:val="24"/>
                <w:lang w:val="en-IN" w:eastAsia="en-IN"/>
              </w:rPr>
              <w:t>D/E ratio remained flat YoY, despite an increase in total debt, due to a proportionate increase in shareholders' equity.</w:t>
            </w:r>
          </w:p>
        </w:tc>
      </w:tr>
    </w:tbl>
    <w:p w:rsidR="00A245E7" w:rsidRPr="00A245E7" w:rsidRDefault="00A245E7" w:rsidP="00A245E7">
      <w:pPr>
        <w:spacing w:line="360" w:lineRule="auto"/>
        <w:jc w:val="both"/>
        <w:rPr>
          <w:rFonts w:ascii="Times New Roman" w:hAnsi="Times New Roman" w:cs="Times New Roman"/>
          <w:color w:val="000000" w:themeColor="text1"/>
          <w:sz w:val="24"/>
          <w:szCs w:val="24"/>
        </w:rPr>
      </w:pPr>
    </w:p>
    <w:p w:rsidR="00A245E7" w:rsidRPr="00560552" w:rsidRDefault="00A245E7" w:rsidP="00560552">
      <w:pPr>
        <w:spacing w:line="360" w:lineRule="auto"/>
        <w:jc w:val="both"/>
        <w:rPr>
          <w:rFonts w:ascii="Times New Roman" w:hAnsi="Times New Roman" w:cs="Times New Roman"/>
          <w:b/>
          <w:color w:val="000000" w:themeColor="text1"/>
          <w:sz w:val="24"/>
          <w:szCs w:val="24"/>
        </w:rPr>
      </w:pPr>
      <w:r w:rsidRPr="00560552">
        <w:rPr>
          <w:rFonts w:ascii="Times New Roman" w:hAnsi="Times New Roman" w:cs="Times New Roman"/>
          <w:b/>
          <w:color w:val="000000" w:themeColor="text1"/>
          <w:sz w:val="24"/>
          <w:szCs w:val="24"/>
        </w:rPr>
        <w:t>Return on Equity (ROE)</w:t>
      </w:r>
    </w:p>
    <w:p w:rsidR="000F6887" w:rsidRPr="000F6887" w:rsidRDefault="000F6887" w:rsidP="000F6887">
      <w:pPr>
        <w:spacing w:line="360" w:lineRule="auto"/>
        <w:jc w:val="both"/>
        <w:rPr>
          <w:rFonts w:ascii="Times New Roman" w:hAnsi="Times New Roman" w:cs="Times New Roman"/>
          <w:color w:val="000000" w:themeColor="text1"/>
          <w:sz w:val="24"/>
          <w:szCs w:val="24"/>
        </w:rPr>
      </w:pPr>
      <w:r w:rsidRPr="000F6887">
        <w:rPr>
          <w:rFonts w:ascii="Times New Roman" w:hAnsi="Times New Roman" w:cs="Times New Roman"/>
          <w:color w:val="000000" w:themeColor="text1"/>
          <w:sz w:val="24"/>
          <w:szCs w:val="24"/>
        </w:rPr>
        <w:t>To get a company's return on equity, start with the net income of the business and divide that figure by the entire number of equity shares in the organization.</w:t>
      </w:r>
    </w:p>
    <w:p w:rsidR="00A245E7" w:rsidRPr="00560552" w:rsidRDefault="000F6887" w:rsidP="000F6887">
      <w:pPr>
        <w:spacing w:line="360" w:lineRule="auto"/>
        <w:jc w:val="both"/>
        <w:rPr>
          <w:rFonts w:ascii="Times New Roman" w:hAnsi="Times New Roman" w:cs="Times New Roman"/>
          <w:color w:val="000000" w:themeColor="text1"/>
          <w:sz w:val="24"/>
          <w:szCs w:val="24"/>
        </w:rPr>
      </w:pPr>
      <w:r w:rsidRPr="000F6887">
        <w:rPr>
          <w:rFonts w:ascii="Times New Roman" w:hAnsi="Times New Roman" w:cs="Times New Roman"/>
          <w:color w:val="000000" w:themeColor="text1"/>
          <w:sz w:val="24"/>
          <w:szCs w:val="24"/>
        </w:rPr>
        <w:t xml:space="preserve">According to the findings of the study that was conducted in 2019 by </w:t>
      </w:r>
      <w:proofErr w:type="spellStart"/>
      <w:r w:rsidRPr="000F6887">
        <w:rPr>
          <w:rFonts w:ascii="Times New Roman" w:hAnsi="Times New Roman" w:cs="Times New Roman"/>
          <w:color w:val="000000" w:themeColor="text1"/>
          <w:sz w:val="24"/>
          <w:szCs w:val="24"/>
        </w:rPr>
        <w:t>Kyeremeh</w:t>
      </w:r>
      <w:proofErr w:type="spellEnd"/>
      <w:r w:rsidRPr="000F6887">
        <w:rPr>
          <w:rFonts w:ascii="Times New Roman" w:hAnsi="Times New Roman" w:cs="Times New Roman"/>
          <w:color w:val="000000" w:themeColor="text1"/>
          <w:sz w:val="24"/>
          <w:szCs w:val="24"/>
        </w:rPr>
        <w:t xml:space="preserve"> et al., Barclays predicted a profit of £1.5 billion and £54.7 billion in equity for the 2020 fiscal year.  Barclays has a return on equity of £1.5 billion, which is equivalent to a yield of 2.74%. The company's asset worth is £54.7 billion.</w:t>
      </w:r>
    </w:p>
    <w:p w:rsidR="00A245E7" w:rsidRPr="00560552" w:rsidRDefault="00A245E7" w:rsidP="00560552">
      <w:pPr>
        <w:spacing w:line="360" w:lineRule="auto"/>
        <w:jc w:val="both"/>
        <w:rPr>
          <w:rFonts w:ascii="Times New Roman" w:hAnsi="Times New Roman" w:cs="Times New Roman"/>
          <w:b/>
          <w:color w:val="000000" w:themeColor="text1"/>
          <w:sz w:val="24"/>
          <w:szCs w:val="24"/>
        </w:rPr>
      </w:pPr>
      <w:r w:rsidRPr="00560552">
        <w:rPr>
          <w:rFonts w:ascii="Times New Roman" w:hAnsi="Times New Roman" w:cs="Times New Roman"/>
          <w:b/>
          <w:color w:val="000000" w:themeColor="text1"/>
          <w:sz w:val="24"/>
          <w:szCs w:val="24"/>
        </w:rPr>
        <w:t xml:space="preserve">Tier 1 Capital Ratio </w:t>
      </w:r>
    </w:p>
    <w:p w:rsidR="00560552" w:rsidRPr="00560552" w:rsidRDefault="00560552" w:rsidP="00560552">
      <w:pPr>
        <w:spacing w:line="360" w:lineRule="auto"/>
        <w:jc w:val="both"/>
        <w:rPr>
          <w:rFonts w:ascii="Times New Roman" w:hAnsi="Times New Roman" w:cs="Times New Roman"/>
          <w:color w:val="000000" w:themeColor="text1"/>
          <w:sz w:val="24"/>
          <w:szCs w:val="24"/>
        </w:rPr>
      </w:pPr>
      <w:r w:rsidRPr="00560552">
        <w:rPr>
          <w:rFonts w:ascii="Times New Roman" w:hAnsi="Times New Roman" w:cs="Times New Roman"/>
          <w:color w:val="000000" w:themeColor="text1"/>
          <w:sz w:val="24"/>
          <w:szCs w:val="24"/>
        </w:rPr>
        <w:t xml:space="preserve">The following is the formula that will be used to determine the Tier 1 Capital Ratio: Assets that are </w:t>
      </w:r>
      <w:r w:rsidRPr="00560552">
        <w:rPr>
          <w:rFonts w:ascii="Times New Roman" w:hAnsi="Times New Roman" w:cs="Times New Roman"/>
          <w:color w:val="000000" w:themeColor="text1"/>
          <w:sz w:val="24"/>
          <w:szCs w:val="24"/>
        </w:rPr>
        <w:t>weighted</w:t>
      </w:r>
      <w:r w:rsidRPr="00560552">
        <w:rPr>
          <w:rFonts w:ascii="Times New Roman" w:hAnsi="Times New Roman" w:cs="Times New Roman"/>
          <w:color w:val="000000" w:themeColor="text1"/>
          <w:sz w:val="24"/>
          <w:szCs w:val="24"/>
        </w:rPr>
        <w:t xml:space="preserve"> for Risk and Tier 1 Capital.</w:t>
      </w:r>
    </w:p>
    <w:p w:rsidR="00A245E7" w:rsidRPr="00560552" w:rsidRDefault="00560552" w:rsidP="00560552">
      <w:pPr>
        <w:spacing w:line="360" w:lineRule="auto"/>
        <w:jc w:val="both"/>
        <w:rPr>
          <w:rFonts w:ascii="Times New Roman" w:hAnsi="Times New Roman" w:cs="Times New Roman"/>
          <w:color w:val="000000" w:themeColor="text1"/>
          <w:sz w:val="24"/>
          <w:szCs w:val="24"/>
        </w:rPr>
      </w:pPr>
      <w:r w:rsidRPr="00560552">
        <w:rPr>
          <w:rFonts w:ascii="Times New Roman" w:hAnsi="Times New Roman" w:cs="Times New Roman"/>
          <w:color w:val="000000" w:themeColor="text1"/>
          <w:sz w:val="24"/>
          <w:szCs w:val="24"/>
        </w:rPr>
        <w:lastRenderedPageBreak/>
        <w:t xml:space="preserve">For the 2020 fiscal year, Barclays has risk-weighted assets </w:t>
      </w:r>
      <w:r w:rsidRPr="00560552">
        <w:rPr>
          <w:rFonts w:ascii="Times New Roman" w:hAnsi="Times New Roman" w:cs="Times New Roman"/>
          <w:color w:val="000000" w:themeColor="text1"/>
          <w:sz w:val="24"/>
          <w:szCs w:val="24"/>
        </w:rPr>
        <w:t>totalling</w:t>
      </w:r>
      <w:r w:rsidRPr="00560552">
        <w:rPr>
          <w:rFonts w:ascii="Times New Roman" w:hAnsi="Times New Roman" w:cs="Times New Roman"/>
          <w:color w:val="000000" w:themeColor="text1"/>
          <w:sz w:val="24"/>
          <w:szCs w:val="24"/>
        </w:rPr>
        <w:t xml:space="preserve"> 361.7 billion pounds and Tier 1 capital amounting to 55.2 billion pounds. 15.26%, or £55.2 billion out of £361.7 billion, is what Barclays has for its Tier 1 Capital Ratio.</w:t>
      </w:r>
    </w:p>
    <w:p w:rsidR="00A245E7" w:rsidRPr="00560552" w:rsidRDefault="00A245E7" w:rsidP="00560552">
      <w:pPr>
        <w:spacing w:line="360" w:lineRule="auto"/>
        <w:jc w:val="both"/>
        <w:rPr>
          <w:rFonts w:ascii="Times New Roman" w:hAnsi="Times New Roman" w:cs="Times New Roman"/>
          <w:b/>
          <w:color w:val="000000" w:themeColor="text1"/>
          <w:sz w:val="24"/>
          <w:szCs w:val="24"/>
        </w:rPr>
      </w:pPr>
      <w:r w:rsidRPr="00560552">
        <w:rPr>
          <w:rFonts w:ascii="Times New Roman" w:hAnsi="Times New Roman" w:cs="Times New Roman"/>
          <w:b/>
          <w:color w:val="000000" w:themeColor="text1"/>
          <w:sz w:val="24"/>
          <w:szCs w:val="24"/>
        </w:rPr>
        <w:t xml:space="preserve">Cost-to-Income Ratio </w:t>
      </w:r>
    </w:p>
    <w:p w:rsidR="00A245E7" w:rsidRPr="00560552" w:rsidRDefault="00560552" w:rsidP="00560552">
      <w:pPr>
        <w:spacing w:line="360" w:lineRule="auto"/>
        <w:jc w:val="both"/>
        <w:rPr>
          <w:rFonts w:ascii="Times New Roman" w:hAnsi="Times New Roman" w:cs="Times New Roman"/>
          <w:color w:val="000000" w:themeColor="text1"/>
          <w:sz w:val="24"/>
          <w:szCs w:val="24"/>
        </w:rPr>
      </w:pPr>
      <w:r w:rsidRPr="00560552">
        <w:rPr>
          <w:rFonts w:ascii="Times New Roman" w:hAnsi="Times New Roman" w:cs="Times New Roman"/>
          <w:color w:val="000000" w:themeColor="text1"/>
          <w:sz w:val="24"/>
          <w:szCs w:val="24"/>
        </w:rPr>
        <w:t xml:space="preserve">According to </w:t>
      </w:r>
      <w:proofErr w:type="spellStart"/>
      <w:r w:rsidRPr="00560552">
        <w:rPr>
          <w:rFonts w:ascii="Times New Roman" w:hAnsi="Times New Roman" w:cs="Times New Roman"/>
          <w:color w:val="000000" w:themeColor="text1"/>
          <w:sz w:val="24"/>
          <w:szCs w:val="24"/>
        </w:rPr>
        <w:t>Mourlon-Druol's</w:t>
      </w:r>
      <w:proofErr w:type="spellEnd"/>
      <w:r w:rsidRPr="00560552">
        <w:rPr>
          <w:rFonts w:ascii="Times New Roman" w:hAnsi="Times New Roman" w:cs="Times New Roman"/>
          <w:color w:val="000000" w:themeColor="text1"/>
          <w:sz w:val="24"/>
          <w:szCs w:val="24"/>
        </w:rPr>
        <w:t xml:space="preserve"> projections for 2020, the business had revenues of £21.8 billion while reporting operating expenditures of £14.6 billion. The ratio of a company's expenses to its profits is denoted by this number. As a consequence, the cost-to-income ratio for Barclays may be computed as follows: The proportion of expenses to revenues amounts to 69% ($14.6 billion/£21.8 billion).</w:t>
      </w:r>
    </w:p>
    <w:p w:rsidR="00A245E7" w:rsidRPr="00560552" w:rsidRDefault="00A245E7" w:rsidP="00560552">
      <w:pPr>
        <w:spacing w:line="360" w:lineRule="auto"/>
        <w:jc w:val="both"/>
        <w:rPr>
          <w:rFonts w:ascii="Times New Roman" w:hAnsi="Times New Roman" w:cs="Times New Roman"/>
          <w:b/>
          <w:color w:val="000000" w:themeColor="text1"/>
          <w:sz w:val="24"/>
          <w:szCs w:val="24"/>
        </w:rPr>
      </w:pPr>
      <w:r w:rsidRPr="00560552">
        <w:rPr>
          <w:rFonts w:ascii="Times New Roman" w:hAnsi="Times New Roman" w:cs="Times New Roman"/>
          <w:b/>
          <w:color w:val="000000" w:themeColor="text1"/>
          <w:sz w:val="24"/>
          <w:szCs w:val="24"/>
        </w:rPr>
        <w:t xml:space="preserve">Loan-to-Deposit Ratio </w:t>
      </w:r>
    </w:p>
    <w:p w:rsidR="000F6887" w:rsidRPr="000F6887" w:rsidRDefault="000F6887" w:rsidP="000F6887">
      <w:pPr>
        <w:spacing w:line="360" w:lineRule="auto"/>
        <w:jc w:val="both"/>
        <w:rPr>
          <w:rFonts w:ascii="Times New Roman" w:hAnsi="Times New Roman" w:cs="Times New Roman"/>
          <w:color w:val="000000" w:themeColor="text1"/>
          <w:sz w:val="24"/>
          <w:szCs w:val="24"/>
        </w:rPr>
      </w:pPr>
      <w:r w:rsidRPr="000F6887">
        <w:rPr>
          <w:rFonts w:ascii="Times New Roman" w:hAnsi="Times New Roman" w:cs="Times New Roman"/>
          <w:color w:val="000000" w:themeColor="text1"/>
          <w:sz w:val="24"/>
          <w:szCs w:val="24"/>
        </w:rPr>
        <w:t>To calculate the loan-to-deposit ratio, first the total amounts of loans and deposits are tallied up, and then each of those amounts is divided by the other.</w:t>
      </w:r>
    </w:p>
    <w:p w:rsidR="00A245E7" w:rsidRPr="00560552" w:rsidRDefault="000F6887" w:rsidP="000F6887">
      <w:pPr>
        <w:spacing w:line="360" w:lineRule="auto"/>
        <w:jc w:val="both"/>
        <w:rPr>
          <w:rFonts w:ascii="Times New Roman" w:hAnsi="Times New Roman" w:cs="Times New Roman"/>
          <w:color w:val="000000" w:themeColor="text1"/>
          <w:sz w:val="24"/>
          <w:szCs w:val="24"/>
        </w:rPr>
      </w:pPr>
      <w:r w:rsidRPr="000F6887">
        <w:rPr>
          <w:rFonts w:ascii="Times New Roman" w:hAnsi="Times New Roman" w:cs="Times New Roman"/>
          <w:color w:val="000000" w:themeColor="text1"/>
          <w:sz w:val="24"/>
          <w:szCs w:val="24"/>
        </w:rPr>
        <w:t>Barclays had a total of £200.7 billion in deposits and £166.1 billion in loans during the 2020 fiscal year, as stated in the annual report of the firm that was published in 2020 (</w:t>
      </w:r>
      <w:proofErr w:type="spellStart"/>
      <w:r w:rsidRPr="000F6887">
        <w:rPr>
          <w:rFonts w:ascii="Times New Roman" w:hAnsi="Times New Roman" w:cs="Times New Roman"/>
          <w:color w:val="000000" w:themeColor="text1"/>
          <w:sz w:val="24"/>
          <w:szCs w:val="24"/>
        </w:rPr>
        <w:t>Wansleben</w:t>
      </w:r>
      <w:proofErr w:type="spellEnd"/>
      <w:r w:rsidRPr="000F6887">
        <w:rPr>
          <w:rFonts w:ascii="Times New Roman" w:hAnsi="Times New Roman" w:cs="Times New Roman"/>
          <w:color w:val="000000" w:themeColor="text1"/>
          <w:sz w:val="24"/>
          <w:szCs w:val="24"/>
        </w:rPr>
        <w:t>, 2020). As a direct result of this, the ratio of deposits to loans at Barclays looks like this: There is a discrepancy of $200.7 billion between the amount of deposits and loans, which equals a difference of $166.1 billion.</w:t>
      </w:r>
    </w:p>
    <w:p w:rsidR="00B826A2" w:rsidRPr="00A245E7" w:rsidRDefault="00B826A2" w:rsidP="00A245E7">
      <w:pPr>
        <w:spacing w:line="360" w:lineRule="auto"/>
        <w:jc w:val="both"/>
        <w:rPr>
          <w:rFonts w:ascii="Times New Roman" w:hAnsi="Times New Roman" w:cs="Times New Roman"/>
          <w:b/>
          <w:color w:val="000000" w:themeColor="text1"/>
          <w:sz w:val="24"/>
          <w:szCs w:val="24"/>
        </w:rPr>
      </w:pPr>
      <w:r w:rsidRPr="00A245E7">
        <w:rPr>
          <w:rFonts w:ascii="Times New Roman" w:hAnsi="Times New Roman" w:cs="Times New Roman"/>
          <w:b/>
          <w:color w:val="000000" w:themeColor="text1"/>
          <w:sz w:val="24"/>
          <w:szCs w:val="24"/>
        </w:rPr>
        <w:t>Compliance with SMCR</w:t>
      </w:r>
    </w:p>
    <w:p w:rsidR="00B826A2" w:rsidRPr="00A245E7" w:rsidRDefault="00B32A20" w:rsidP="00A245E7">
      <w:pPr>
        <w:spacing w:line="360" w:lineRule="auto"/>
        <w:jc w:val="both"/>
        <w:rPr>
          <w:rFonts w:ascii="Times New Roman" w:hAnsi="Times New Roman" w:cs="Times New Roman"/>
          <w:color w:val="000000" w:themeColor="text1"/>
          <w:sz w:val="24"/>
          <w:szCs w:val="24"/>
        </w:rPr>
      </w:pPr>
      <w:r w:rsidRPr="00B32A20">
        <w:rPr>
          <w:rFonts w:ascii="Times New Roman" w:hAnsi="Times New Roman" w:cs="Times New Roman"/>
          <w:color w:val="000000" w:themeColor="text1"/>
          <w:sz w:val="24"/>
          <w:szCs w:val="24"/>
        </w:rPr>
        <w:t xml:space="preserve">Barclays has exerted a substantial amount of effort in complying with the SMCR requirement. According to Barclay et al.'s 2021, the bank has put in place a number of procedures and policies to ensure that it complies with all laws and regulations that are now in effect. Establish the SMF regime, ensure that staff members are certified, and establish a mechanism for monitoring conduct risk. Section 2 of the SMCR is titled "Certification Regime," and it mandates that businesses check the mental and physical capabilities of potential employees before hiring them. Barclays has created a specialized SMCR division in order to guarantee that the firm will continue to comply with the SMCR requirement in its entirety. At a minimum once per year, businesses should conduct assessments with their certified employees to see whether or not those employees continue to be emotionally and mentally ready to perform the duties associated with their positions. In addition to technical competency, a candidate should be evaluated on their "soft skills," which include honesty, integrity, and trustworthiness. </w:t>
      </w:r>
      <w:r w:rsidRPr="00B32A20">
        <w:rPr>
          <w:rFonts w:ascii="Times New Roman" w:hAnsi="Times New Roman" w:cs="Times New Roman"/>
          <w:color w:val="000000" w:themeColor="text1"/>
          <w:sz w:val="24"/>
          <w:szCs w:val="24"/>
        </w:rPr>
        <w:lastRenderedPageBreak/>
        <w:t>Certified personnel are presumed to have completed formal training that is in line with the regulations and requirements that govern their particular profession.</w:t>
      </w:r>
    </w:p>
    <w:p w:rsidR="00B826A2" w:rsidRPr="00A245E7" w:rsidRDefault="00A245E7" w:rsidP="00C31143">
      <w:pPr>
        <w:pStyle w:val="Heading1"/>
      </w:pPr>
      <w:bookmarkStart w:id="5" w:name="_Toc132298741"/>
      <w:r w:rsidRPr="00A245E7">
        <w:t xml:space="preserve">5.0 </w:t>
      </w:r>
      <w:r w:rsidR="00B826A2" w:rsidRPr="00A245E7">
        <w:t>Conclusion</w:t>
      </w:r>
      <w:bookmarkEnd w:id="5"/>
    </w:p>
    <w:p w:rsidR="00A245E7" w:rsidRPr="00A245E7" w:rsidRDefault="00560552" w:rsidP="00A245E7">
      <w:pPr>
        <w:spacing w:line="360" w:lineRule="auto"/>
        <w:jc w:val="both"/>
        <w:rPr>
          <w:rFonts w:ascii="Times New Roman" w:hAnsi="Times New Roman" w:cs="Times New Roman"/>
          <w:color w:val="000000" w:themeColor="text1"/>
          <w:sz w:val="24"/>
          <w:szCs w:val="24"/>
        </w:rPr>
      </w:pPr>
      <w:r w:rsidRPr="00560552">
        <w:rPr>
          <w:rFonts w:ascii="Times New Roman" w:hAnsi="Times New Roman" w:cs="Times New Roman"/>
          <w:color w:val="000000" w:themeColor="text1"/>
          <w:sz w:val="24"/>
          <w:szCs w:val="24"/>
        </w:rPr>
        <w:t>Since the global financial crisis of 2008, there has been a flurry of activity aimed at regulating and monitoring the banking industry to guarantee that a catastrophe of this magnitude does not occur again. As a direct consequence of reforms such as the Dodd-Frank Act, EMIR, CRD IV, BRRD, and SMCR, new rules and regulations pertaining to banking have been implemented in the United Kingdom, the United States of America, and the European Union (</w:t>
      </w:r>
      <w:proofErr w:type="spellStart"/>
      <w:r w:rsidRPr="00560552">
        <w:rPr>
          <w:rFonts w:ascii="Times New Roman" w:hAnsi="Times New Roman" w:cs="Times New Roman"/>
          <w:color w:val="000000" w:themeColor="text1"/>
          <w:sz w:val="24"/>
          <w:szCs w:val="24"/>
        </w:rPr>
        <w:t>Mubita</w:t>
      </w:r>
      <w:proofErr w:type="spellEnd"/>
      <w:r w:rsidRPr="00560552">
        <w:rPr>
          <w:rFonts w:ascii="Times New Roman" w:hAnsi="Times New Roman" w:cs="Times New Roman"/>
          <w:color w:val="000000" w:themeColor="text1"/>
          <w:sz w:val="24"/>
          <w:szCs w:val="24"/>
        </w:rPr>
        <w:t>, 2020). As a direct result of these shifts, the banking industry is stronger than it has ever been, and the prospects for financial institutions such as banks are much improved. Despite certain challenges in enforcing the new regulations and the challenges faced by particular institutions in adjusting to the changes, the reforms have been effective in boosting transparency and accountability in the banking sector and lessening the chance of another financial crisis. This is the case despite the challenges that have been presented by the reforms. The new laws and regulations are having an effect on financial institutions such as Barclays, which is driving such institutions to make adjustments. Barclays has demonstrated its devotion to operating in a responsible and transparent manner despite the challenges it has faced by mostly meeting the criteria of the various laws it is required to comply with. Despite these challenges, Barclays has been successful in meeting the requirements of the many regulations. This indicates that the reforms made as a reaction to the financial crisis will continue to assist the banking industry in functioning in a manner that is more responsible and sustainable for a significant amount of time in the future.</w:t>
      </w:r>
    </w:p>
    <w:p w:rsidR="00EC1B7F" w:rsidRDefault="00EC1B7F">
      <w:pPr>
        <w:rPr>
          <w:rFonts w:ascii="Times New Roman" w:eastAsiaTheme="majorEastAsia" w:hAnsi="Times New Roman" w:cstheme="majorBidi"/>
          <w:b/>
          <w:color w:val="000000" w:themeColor="text1"/>
          <w:sz w:val="28"/>
          <w:szCs w:val="32"/>
        </w:rPr>
      </w:pPr>
      <w:r>
        <w:br w:type="page"/>
      </w:r>
    </w:p>
    <w:p w:rsidR="00B826A2" w:rsidRPr="00A245E7" w:rsidRDefault="00A245E7" w:rsidP="00C31143">
      <w:pPr>
        <w:pStyle w:val="Heading1"/>
      </w:pPr>
      <w:bookmarkStart w:id="6" w:name="_Toc132298742"/>
      <w:r w:rsidRPr="00A245E7">
        <w:lastRenderedPageBreak/>
        <w:t>6.0 References</w:t>
      </w:r>
      <w:bookmarkEnd w:id="6"/>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Alotaibi</w:t>
      </w:r>
      <w:proofErr w:type="spellEnd"/>
      <w:r w:rsidRPr="00C31143">
        <w:rPr>
          <w:rFonts w:ascii="Times New Roman" w:hAnsi="Times New Roman" w:cs="Times New Roman"/>
          <w:color w:val="222222"/>
          <w:sz w:val="24"/>
          <w:szCs w:val="20"/>
          <w:shd w:val="clear" w:color="auto" w:fill="FFFFFF"/>
        </w:rPr>
        <w:t xml:space="preserve">, T. S., </w:t>
      </w:r>
      <w:proofErr w:type="spellStart"/>
      <w:r w:rsidRPr="00C31143">
        <w:rPr>
          <w:rFonts w:ascii="Times New Roman" w:hAnsi="Times New Roman" w:cs="Times New Roman"/>
          <w:color w:val="222222"/>
          <w:sz w:val="24"/>
          <w:szCs w:val="20"/>
          <w:shd w:val="clear" w:color="auto" w:fill="FFFFFF"/>
        </w:rPr>
        <w:t>Dalla</w:t>
      </w:r>
      <w:proofErr w:type="spellEnd"/>
      <w:r w:rsidRPr="00C31143">
        <w:rPr>
          <w:rFonts w:ascii="Times New Roman" w:hAnsi="Times New Roman" w:cs="Times New Roman"/>
          <w:color w:val="222222"/>
          <w:sz w:val="24"/>
          <w:szCs w:val="20"/>
          <w:shd w:val="clear" w:color="auto" w:fill="FFFFFF"/>
        </w:rPr>
        <w:t xml:space="preserve"> Valle, L., &amp; Craven, M. J. (2022). The Worst Case GARCH-Copula </w:t>
      </w:r>
      <w:proofErr w:type="spellStart"/>
      <w:r w:rsidRPr="00C31143">
        <w:rPr>
          <w:rFonts w:ascii="Times New Roman" w:hAnsi="Times New Roman" w:cs="Times New Roman"/>
          <w:color w:val="222222"/>
          <w:sz w:val="24"/>
          <w:szCs w:val="20"/>
          <w:shd w:val="clear" w:color="auto" w:fill="FFFFFF"/>
        </w:rPr>
        <w:t>CVaR</w:t>
      </w:r>
      <w:proofErr w:type="spellEnd"/>
      <w:r w:rsidRPr="00C31143">
        <w:rPr>
          <w:rFonts w:ascii="Times New Roman" w:hAnsi="Times New Roman" w:cs="Times New Roman"/>
          <w:color w:val="222222"/>
          <w:sz w:val="24"/>
          <w:szCs w:val="20"/>
          <w:shd w:val="clear" w:color="auto" w:fill="FFFFFF"/>
        </w:rPr>
        <w:t xml:space="preserve"> Approach for Portfolio Optimisation: Evidence from Financial Markets. </w:t>
      </w:r>
      <w:r w:rsidRPr="00C31143">
        <w:rPr>
          <w:rFonts w:ascii="Times New Roman" w:hAnsi="Times New Roman" w:cs="Times New Roman"/>
          <w:i/>
          <w:iCs/>
          <w:color w:val="222222"/>
          <w:sz w:val="24"/>
          <w:szCs w:val="20"/>
          <w:shd w:val="clear" w:color="auto" w:fill="FFFFFF"/>
        </w:rPr>
        <w:t>Journal of Risk and Financial Management</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15</w:t>
      </w:r>
      <w:r w:rsidRPr="00C31143">
        <w:rPr>
          <w:rFonts w:ascii="Times New Roman" w:hAnsi="Times New Roman" w:cs="Times New Roman"/>
          <w:color w:val="222222"/>
          <w:sz w:val="24"/>
          <w:szCs w:val="20"/>
          <w:shd w:val="clear" w:color="auto" w:fill="FFFFFF"/>
        </w:rPr>
        <w:t>(10), 482.</w:t>
      </w:r>
      <w:r w:rsidRPr="00C31143">
        <w:rPr>
          <w:rFonts w:ascii="Times New Roman" w:hAnsi="Times New Roman" w:cs="Times New Roman"/>
          <w:sz w:val="28"/>
        </w:rPr>
        <w:t xml:space="preserve"> </w:t>
      </w:r>
      <w:hyperlink r:id="rId8" w:history="1">
        <w:r w:rsidRPr="00C31143">
          <w:rPr>
            <w:rStyle w:val="Hyperlink"/>
            <w:rFonts w:ascii="Times New Roman" w:hAnsi="Times New Roman" w:cs="Times New Roman"/>
            <w:sz w:val="24"/>
            <w:szCs w:val="20"/>
            <w:shd w:val="clear" w:color="auto" w:fill="FFFFFF"/>
          </w:rPr>
          <w:t>https://www.mdpi.com/1911-8074/15/10/482</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Barclay, M. J., Fu, F., &amp; Smith, C. W. (2021). Seasoned equity offerings and corporate financial management. </w:t>
      </w:r>
      <w:r w:rsidRPr="00C31143">
        <w:rPr>
          <w:rFonts w:ascii="Times New Roman" w:hAnsi="Times New Roman" w:cs="Times New Roman"/>
          <w:i/>
          <w:iCs/>
          <w:color w:val="222222"/>
          <w:sz w:val="24"/>
          <w:szCs w:val="20"/>
          <w:shd w:val="clear" w:color="auto" w:fill="FFFFFF"/>
        </w:rPr>
        <w:t>Journal of Corporate Finance</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66</w:t>
      </w:r>
      <w:r w:rsidRPr="00C31143">
        <w:rPr>
          <w:rFonts w:ascii="Times New Roman" w:hAnsi="Times New Roman" w:cs="Times New Roman"/>
          <w:color w:val="222222"/>
          <w:sz w:val="24"/>
          <w:szCs w:val="20"/>
          <w:shd w:val="clear" w:color="auto" w:fill="FFFFFF"/>
        </w:rPr>
        <w:t>, 101700.</w:t>
      </w:r>
      <w:r w:rsidRPr="00C31143">
        <w:rPr>
          <w:rFonts w:ascii="Times New Roman" w:hAnsi="Times New Roman" w:cs="Times New Roman"/>
          <w:sz w:val="28"/>
        </w:rPr>
        <w:t xml:space="preserve"> </w:t>
      </w:r>
      <w:hyperlink r:id="rId9" w:history="1">
        <w:r w:rsidRPr="00C31143">
          <w:rPr>
            <w:rStyle w:val="Hyperlink"/>
            <w:rFonts w:ascii="Times New Roman" w:hAnsi="Times New Roman" w:cs="Times New Roman"/>
            <w:sz w:val="24"/>
            <w:szCs w:val="20"/>
            <w:shd w:val="clear" w:color="auto" w:fill="FFFFFF"/>
          </w:rPr>
          <w:t>https://www.sciencedirect.com/science/article/pii/S0929119920301449</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Barclays, P. L. C. (2020). About Barclays.</w:t>
      </w:r>
      <w:r w:rsidRPr="00C31143">
        <w:rPr>
          <w:rFonts w:ascii="Times New Roman" w:hAnsi="Times New Roman" w:cs="Times New Roman"/>
          <w:sz w:val="28"/>
        </w:rPr>
        <w:t xml:space="preserve"> </w:t>
      </w:r>
      <w:hyperlink r:id="rId10" w:history="1">
        <w:r w:rsidRPr="00C31143">
          <w:rPr>
            <w:rStyle w:val="Hyperlink"/>
            <w:rFonts w:ascii="Times New Roman" w:hAnsi="Times New Roman" w:cs="Times New Roman"/>
            <w:sz w:val="24"/>
            <w:szCs w:val="20"/>
            <w:shd w:val="clear" w:color="auto" w:fill="FFFFFF"/>
          </w:rPr>
          <w:t>https://home.barclays/content/dam/home-barclays/documents/investor-relations/ResultAnnouncements/HY2022/20220728-About-Barclays-H122.pdf</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Chevallier</w:t>
      </w:r>
      <w:proofErr w:type="spellEnd"/>
      <w:r w:rsidRPr="00C31143">
        <w:rPr>
          <w:rFonts w:ascii="Times New Roman" w:hAnsi="Times New Roman" w:cs="Times New Roman"/>
          <w:color w:val="222222"/>
          <w:sz w:val="24"/>
          <w:szCs w:val="20"/>
          <w:shd w:val="clear" w:color="auto" w:fill="FFFFFF"/>
        </w:rPr>
        <w:t>, J. (2020). COVID-19 pandemic and financial contagion. </w:t>
      </w:r>
      <w:r w:rsidRPr="00C31143">
        <w:rPr>
          <w:rFonts w:ascii="Times New Roman" w:hAnsi="Times New Roman" w:cs="Times New Roman"/>
          <w:i/>
          <w:iCs/>
          <w:color w:val="222222"/>
          <w:sz w:val="24"/>
          <w:szCs w:val="20"/>
          <w:shd w:val="clear" w:color="auto" w:fill="FFFFFF"/>
        </w:rPr>
        <w:t>Journal of Risk and Financial Management</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13</w:t>
      </w:r>
      <w:r w:rsidRPr="00C31143">
        <w:rPr>
          <w:rFonts w:ascii="Times New Roman" w:hAnsi="Times New Roman" w:cs="Times New Roman"/>
          <w:color w:val="222222"/>
          <w:sz w:val="24"/>
          <w:szCs w:val="20"/>
          <w:shd w:val="clear" w:color="auto" w:fill="FFFFFF"/>
        </w:rPr>
        <w:t>(12), 309.</w:t>
      </w:r>
      <w:r w:rsidRPr="00C31143">
        <w:rPr>
          <w:rFonts w:ascii="Times New Roman" w:hAnsi="Times New Roman" w:cs="Times New Roman"/>
          <w:sz w:val="28"/>
        </w:rPr>
        <w:t xml:space="preserve"> </w:t>
      </w:r>
      <w:hyperlink r:id="rId11" w:history="1">
        <w:r w:rsidRPr="00C31143">
          <w:rPr>
            <w:rStyle w:val="Hyperlink"/>
            <w:rFonts w:ascii="Times New Roman" w:hAnsi="Times New Roman" w:cs="Times New Roman"/>
            <w:sz w:val="24"/>
            <w:szCs w:val="20"/>
            <w:shd w:val="clear" w:color="auto" w:fill="FFFFFF"/>
          </w:rPr>
          <w:t>https://www.mdpi.com/911708</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Chung, T. A., &amp; Phan, Q. T. (2020). Debt maturity and the development of financial markets in Vietnamese listed firms. </w:t>
      </w:r>
      <w:r w:rsidRPr="00C31143">
        <w:rPr>
          <w:rFonts w:ascii="Times New Roman" w:hAnsi="Times New Roman" w:cs="Times New Roman"/>
          <w:i/>
          <w:iCs/>
          <w:color w:val="222222"/>
          <w:sz w:val="24"/>
          <w:szCs w:val="20"/>
          <w:shd w:val="clear" w:color="auto" w:fill="FFFFFF"/>
        </w:rPr>
        <w:t>Afro-Asian Journal of Finance and Accounting</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10</w:t>
      </w:r>
      <w:r w:rsidRPr="00C31143">
        <w:rPr>
          <w:rFonts w:ascii="Times New Roman" w:hAnsi="Times New Roman" w:cs="Times New Roman"/>
          <w:color w:val="222222"/>
          <w:sz w:val="24"/>
          <w:szCs w:val="20"/>
          <w:shd w:val="clear" w:color="auto" w:fill="FFFFFF"/>
        </w:rPr>
        <w:t>(2), 184-206.</w:t>
      </w:r>
      <w:r w:rsidRPr="00C31143">
        <w:rPr>
          <w:rFonts w:ascii="Times New Roman" w:hAnsi="Times New Roman" w:cs="Times New Roman"/>
          <w:sz w:val="28"/>
        </w:rPr>
        <w:t xml:space="preserve"> </w:t>
      </w:r>
      <w:hyperlink r:id="rId12" w:history="1">
        <w:r w:rsidRPr="00C31143">
          <w:rPr>
            <w:rStyle w:val="Hyperlink"/>
            <w:rFonts w:ascii="Times New Roman" w:hAnsi="Times New Roman" w:cs="Times New Roman"/>
            <w:sz w:val="24"/>
            <w:szCs w:val="20"/>
            <w:shd w:val="clear" w:color="auto" w:fill="FFFFFF"/>
          </w:rPr>
          <w:t>https://www.inderscienceonline.com/doi/abs/10.1504/AAJFA.2020.106258</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 xml:space="preserve">Ghosh, B., Le Roux, C., &amp; </w:t>
      </w:r>
      <w:proofErr w:type="spellStart"/>
      <w:r w:rsidRPr="00C31143">
        <w:rPr>
          <w:rFonts w:ascii="Times New Roman" w:hAnsi="Times New Roman" w:cs="Times New Roman"/>
          <w:color w:val="222222"/>
          <w:sz w:val="24"/>
          <w:szCs w:val="20"/>
          <w:shd w:val="clear" w:color="auto" w:fill="FFFFFF"/>
        </w:rPr>
        <w:t>Verma</w:t>
      </w:r>
      <w:proofErr w:type="spellEnd"/>
      <w:r w:rsidRPr="00C31143">
        <w:rPr>
          <w:rFonts w:ascii="Times New Roman" w:hAnsi="Times New Roman" w:cs="Times New Roman"/>
          <w:color w:val="222222"/>
          <w:sz w:val="24"/>
          <w:szCs w:val="20"/>
          <w:shd w:val="clear" w:color="auto" w:fill="FFFFFF"/>
        </w:rPr>
        <w:t>, A. (2020). Investigation of the fractal footprint in selected EURIBOR panel banks. </w:t>
      </w:r>
      <w:r w:rsidRPr="00C31143">
        <w:rPr>
          <w:rFonts w:ascii="Times New Roman" w:hAnsi="Times New Roman" w:cs="Times New Roman"/>
          <w:i/>
          <w:iCs/>
          <w:color w:val="222222"/>
          <w:sz w:val="24"/>
          <w:szCs w:val="20"/>
          <w:shd w:val="clear" w:color="auto" w:fill="FFFFFF"/>
        </w:rPr>
        <w:t>Banks and Bank Systems</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15</w:t>
      </w:r>
      <w:r w:rsidRPr="00C31143">
        <w:rPr>
          <w:rFonts w:ascii="Times New Roman" w:hAnsi="Times New Roman" w:cs="Times New Roman"/>
          <w:color w:val="222222"/>
          <w:sz w:val="24"/>
          <w:szCs w:val="20"/>
          <w:shd w:val="clear" w:color="auto" w:fill="FFFFFF"/>
        </w:rPr>
        <w:t>(1), 185.</w:t>
      </w:r>
      <w:r w:rsidRPr="00C31143">
        <w:rPr>
          <w:rFonts w:ascii="Times New Roman" w:hAnsi="Times New Roman" w:cs="Times New Roman"/>
          <w:sz w:val="28"/>
        </w:rPr>
        <w:t xml:space="preserve"> </w:t>
      </w:r>
      <w:hyperlink r:id="rId13" w:history="1">
        <w:r w:rsidRPr="00C31143">
          <w:rPr>
            <w:rStyle w:val="Hyperlink"/>
            <w:rFonts w:ascii="Times New Roman" w:hAnsi="Times New Roman" w:cs="Times New Roman"/>
            <w:sz w:val="24"/>
            <w:szCs w:val="20"/>
            <w:shd w:val="clear" w:color="auto" w:fill="FFFFFF"/>
          </w:rPr>
          <w:t>https://www.academia.edu/download/64455894/BBS_2020_01_Ghosh.pdf</w:t>
        </w:r>
      </w:hyperlink>
    </w:p>
    <w:p w:rsidR="00EC1B7F" w:rsidRPr="00C31143" w:rsidRDefault="00EC1B7F" w:rsidP="00A245E7">
      <w:pPr>
        <w:spacing w:line="360" w:lineRule="auto"/>
        <w:jc w:val="both"/>
        <w:rPr>
          <w:rFonts w:ascii="Times New Roman" w:hAnsi="Times New Roman" w:cs="Times New Roman"/>
          <w:color w:val="000000" w:themeColor="text1"/>
          <w:sz w:val="32"/>
          <w:szCs w:val="24"/>
        </w:rPr>
      </w:pPr>
      <w:proofErr w:type="spellStart"/>
      <w:r w:rsidRPr="00C31143">
        <w:rPr>
          <w:rFonts w:ascii="Times New Roman" w:hAnsi="Times New Roman" w:cs="Times New Roman"/>
          <w:color w:val="222222"/>
          <w:sz w:val="24"/>
          <w:szCs w:val="20"/>
          <w:shd w:val="clear" w:color="auto" w:fill="FFFFFF"/>
        </w:rPr>
        <w:t>Gigante</w:t>
      </w:r>
      <w:proofErr w:type="spellEnd"/>
      <w:r w:rsidRPr="00C31143">
        <w:rPr>
          <w:rFonts w:ascii="Times New Roman" w:hAnsi="Times New Roman" w:cs="Times New Roman"/>
          <w:color w:val="222222"/>
          <w:sz w:val="24"/>
          <w:szCs w:val="20"/>
          <w:shd w:val="clear" w:color="auto" w:fill="FFFFFF"/>
        </w:rPr>
        <w:t xml:space="preserve">, G., &amp; </w:t>
      </w:r>
      <w:proofErr w:type="spellStart"/>
      <w:r w:rsidRPr="00C31143">
        <w:rPr>
          <w:rFonts w:ascii="Times New Roman" w:hAnsi="Times New Roman" w:cs="Times New Roman"/>
          <w:color w:val="222222"/>
          <w:sz w:val="24"/>
          <w:szCs w:val="20"/>
          <w:shd w:val="clear" w:color="auto" w:fill="FFFFFF"/>
        </w:rPr>
        <w:t>Zago</w:t>
      </w:r>
      <w:proofErr w:type="spellEnd"/>
      <w:r w:rsidRPr="00C31143">
        <w:rPr>
          <w:rFonts w:ascii="Times New Roman" w:hAnsi="Times New Roman" w:cs="Times New Roman"/>
          <w:color w:val="222222"/>
          <w:sz w:val="24"/>
          <w:szCs w:val="20"/>
          <w:shd w:val="clear" w:color="auto" w:fill="FFFFFF"/>
        </w:rPr>
        <w:t>, A. (2023). DARQ technologies in the financial sector: artificial intelligence applications in personalized banking. </w:t>
      </w:r>
      <w:r w:rsidRPr="00C31143">
        <w:rPr>
          <w:rFonts w:ascii="Times New Roman" w:hAnsi="Times New Roman" w:cs="Times New Roman"/>
          <w:i/>
          <w:iCs/>
          <w:color w:val="222222"/>
          <w:sz w:val="24"/>
          <w:szCs w:val="20"/>
          <w:shd w:val="clear" w:color="auto" w:fill="FFFFFF"/>
        </w:rPr>
        <w:t>Qualitative Research in Financial Markets</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15</w:t>
      </w:r>
      <w:r w:rsidRPr="00C31143">
        <w:rPr>
          <w:rFonts w:ascii="Times New Roman" w:hAnsi="Times New Roman" w:cs="Times New Roman"/>
          <w:color w:val="222222"/>
          <w:sz w:val="24"/>
          <w:szCs w:val="20"/>
          <w:shd w:val="clear" w:color="auto" w:fill="FFFFFF"/>
        </w:rPr>
        <w:t>(1), 29-57.</w:t>
      </w:r>
      <w:r w:rsidRPr="00C31143">
        <w:rPr>
          <w:rFonts w:ascii="Times New Roman" w:hAnsi="Times New Roman" w:cs="Times New Roman"/>
          <w:sz w:val="28"/>
        </w:rPr>
        <w:t xml:space="preserve"> </w:t>
      </w:r>
      <w:r w:rsidRPr="00C31143">
        <w:rPr>
          <w:rFonts w:ascii="Times New Roman" w:hAnsi="Times New Roman" w:cs="Times New Roman"/>
          <w:color w:val="222222"/>
          <w:sz w:val="24"/>
          <w:szCs w:val="20"/>
          <w:shd w:val="clear" w:color="auto" w:fill="FFFFFF"/>
        </w:rPr>
        <w:t>https://www.emerald.com/insight/content/doi/10.1108/QRFM-02-2021-0025/full/html</w:t>
      </w:r>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GR, R. P. (2022). The Role of Investment Banking for Investment–A Theoretical Review. </w:t>
      </w:r>
      <w:r w:rsidRPr="00C31143">
        <w:rPr>
          <w:rFonts w:ascii="Times New Roman" w:hAnsi="Times New Roman" w:cs="Times New Roman"/>
          <w:i/>
          <w:iCs/>
          <w:color w:val="222222"/>
          <w:sz w:val="24"/>
          <w:szCs w:val="20"/>
          <w:shd w:val="clear" w:color="auto" w:fill="FFFFFF"/>
        </w:rPr>
        <w:t>INTERNATIONAL JOURNAL OF BUSINESS DIPLOMACY AND ECONOMY</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w:t>
      </w:r>
      <w:r w:rsidRPr="00C31143">
        <w:rPr>
          <w:rFonts w:ascii="Times New Roman" w:hAnsi="Times New Roman" w:cs="Times New Roman"/>
          <w:color w:val="222222"/>
          <w:sz w:val="24"/>
          <w:szCs w:val="20"/>
          <w:shd w:val="clear" w:color="auto" w:fill="FFFFFF"/>
        </w:rPr>
        <w:t>(3), 78-83.</w:t>
      </w:r>
      <w:r w:rsidRPr="00C31143">
        <w:rPr>
          <w:rFonts w:ascii="Times New Roman" w:hAnsi="Times New Roman" w:cs="Times New Roman"/>
          <w:sz w:val="28"/>
        </w:rPr>
        <w:t xml:space="preserve"> </w:t>
      </w:r>
      <w:hyperlink r:id="rId14" w:history="1">
        <w:r w:rsidRPr="00C31143">
          <w:rPr>
            <w:rStyle w:val="Hyperlink"/>
            <w:rFonts w:ascii="Times New Roman" w:hAnsi="Times New Roman" w:cs="Times New Roman"/>
            <w:sz w:val="24"/>
            <w:szCs w:val="20"/>
            <w:shd w:val="clear" w:color="auto" w:fill="FFFFFF"/>
          </w:rPr>
          <w:t>http://inter-publishing.com/index.php/ijbde/article/view/284</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Gupta, A. (2021). The internal capital markets of global dealer banks. </w:t>
      </w:r>
      <w:r w:rsidRPr="00C31143">
        <w:rPr>
          <w:rFonts w:ascii="Times New Roman" w:hAnsi="Times New Roman" w:cs="Times New Roman"/>
          <w:i/>
          <w:iCs/>
          <w:color w:val="222222"/>
          <w:sz w:val="24"/>
          <w:szCs w:val="20"/>
          <w:shd w:val="clear" w:color="auto" w:fill="FFFFFF"/>
        </w:rPr>
        <w:t>Available at SSRN 3862061</w:t>
      </w:r>
      <w:r w:rsidRPr="00C31143">
        <w:rPr>
          <w:rFonts w:ascii="Times New Roman" w:hAnsi="Times New Roman" w:cs="Times New Roman"/>
          <w:color w:val="222222"/>
          <w:sz w:val="24"/>
          <w:szCs w:val="20"/>
          <w:shd w:val="clear" w:color="auto" w:fill="FFFFFF"/>
        </w:rPr>
        <w:t>.</w:t>
      </w:r>
      <w:r w:rsidRPr="00C31143">
        <w:rPr>
          <w:rFonts w:ascii="Times New Roman" w:hAnsi="Times New Roman" w:cs="Times New Roman"/>
          <w:sz w:val="28"/>
        </w:rPr>
        <w:t xml:space="preserve"> </w:t>
      </w:r>
      <w:hyperlink r:id="rId15" w:history="1">
        <w:r w:rsidRPr="00C31143">
          <w:rPr>
            <w:rStyle w:val="Hyperlink"/>
            <w:rFonts w:ascii="Times New Roman" w:hAnsi="Times New Roman" w:cs="Times New Roman"/>
            <w:sz w:val="24"/>
            <w:szCs w:val="20"/>
            <w:shd w:val="clear" w:color="auto" w:fill="FFFFFF"/>
          </w:rPr>
          <w:t>https://papers.ssrn.com/sol3/papers.cfm?abstract_id=3862061</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Havrylina</w:t>
      </w:r>
      <w:proofErr w:type="spellEnd"/>
      <w:r w:rsidRPr="00C31143">
        <w:rPr>
          <w:rFonts w:ascii="Times New Roman" w:hAnsi="Times New Roman" w:cs="Times New Roman"/>
          <w:color w:val="222222"/>
          <w:sz w:val="24"/>
          <w:szCs w:val="20"/>
          <w:shd w:val="clear" w:color="auto" w:fill="FFFFFF"/>
        </w:rPr>
        <w:t xml:space="preserve">, A. (2021). </w:t>
      </w:r>
      <w:r w:rsidRPr="00C31143">
        <w:rPr>
          <w:rFonts w:ascii="Times New Roman" w:hAnsi="Times New Roman" w:cs="Times New Roman"/>
          <w:color w:val="222222"/>
          <w:sz w:val="24"/>
          <w:szCs w:val="20"/>
          <w:shd w:val="clear" w:color="auto" w:fill="FFFFFF"/>
        </w:rPr>
        <w:t xml:space="preserve">Alternative Investments </w:t>
      </w:r>
      <w:proofErr w:type="gramStart"/>
      <w:r w:rsidRPr="00C31143">
        <w:rPr>
          <w:rFonts w:ascii="Times New Roman" w:hAnsi="Times New Roman" w:cs="Times New Roman"/>
          <w:color w:val="222222"/>
          <w:sz w:val="24"/>
          <w:szCs w:val="20"/>
          <w:shd w:val="clear" w:color="auto" w:fill="FFFFFF"/>
        </w:rPr>
        <w:t>On</w:t>
      </w:r>
      <w:proofErr w:type="gramEnd"/>
      <w:r w:rsidRPr="00C31143">
        <w:rPr>
          <w:rFonts w:ascii="Times New Roman" w:hAnsi="Times New Roman" w:cs="Times New Roman"/>
          <w:color w:val="222222"/>
          <w:sz w:val="24"/>
          <w:szCs w:val="20"/>
          <w:shd w:val="clear" w:color="auto" w:fill="FFFFFF"/>
        </w:rPr>
        <w:t xml:space="preserve"> Contemporary Financial Market: Features And Opportunities. </w:t>
      </w:r>
      <w:r w:rsidRPr="00C31143">
        <w:rPr>
          <w:rFonts w:ascii="Times New Roman" w:hAnsi="Times New Roman" w:cs="Times New Roman"/>
          <w:i/>
          <w:iCs/>
          <w:color w:val="222222"/>
          <w:sz w:val="24"/>
          <w:szCs w:val="20"/>
          <w:shd w:val="clear" w:color="auto" w:fill="FFFFFF"/>
        </w:rPr>
        <w:t>Socio-Economic Challenges</w:t>
      </w:r>
      <w:r w:rsidRPr="00C31143">
        <w:rPr>
          <w:rFonts w:ascii="Times New Roman" w:hAnsi="Times New Roman" w:cs="Times New Roman"/>
          <w:color w:val="222222"/>
          <w:sz w:val="24"/>
          <w:szCs w:val="20"/>
          <w:shd w:val="clear" w:color="auto" w:fill="FFFFFF"/>
        </w:rPr>
        <w:t>, 59.</w:t>
      </w:r>
      <w:r w:rsidRPr="00C31143">
        <w:rPr>
          <w:rFonts w:ascii="Times New Roman" w:hAnsi="Times New Roman" w:cs="Times New Roman"/>
          <w:sz w:val="28"/>
        </w:rPr>
        <w:t xml:space="preserve"> </w:t>
      </w:r>
      <w:hyperlink r:id="rId16" w:history="1">
        <w:r w:rsidRPr="00C31143">
          <w:rPr>
            <w:rStyle w:val="Hyperlink"/>
            <w:rFonts w:ascii="Times New Roman" w:hAnsi="Times New Roman" w:cs="Times New Roman"/>
            <w:sz w:val="24"/>
            <w:szCs w:val="20"/>
            <w:shd w:val="clear" w:color="auto" w:fill="FFFFFF"/>
          </w:rPr>
          <w:t>https://essuir.sumdu.edu.ua/bitstream/123456789/85057/1/ISPC_SEC_2021.pdf#page=59</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lastRenderedPageBreak/>
        <w:t>Ionescu</w:t>
      </w:r>
      <w:proofErr w:type="spellEnd"/>
      <w:r w:rsidRPr="00C31143">
        <w:rPr>
          <w:rFonts w:ascii="Times New Roman" w:hAnsi="Times New Roman" w:cs="Times New Roman"/>
          <w:color w:val="222222"/>
          <w:sz w:val="24"/>
          <w:szCs w:val="20"/>
          <w:shd w:val="clear" w:color="auto" w:fill="FFFFFF"/>
        </w:rPr>
        <w:t xml:space="preserve">, L. (2021). Corporate environmental performance, climate change mitigation, and green innovation </w:t>
      </w:r>
      <w:proofErr w:type="spellStart"/>
      <w:r w:rsidRPr="00C31143">
        <w:rPr>
          <w:rFonts w:ascii="Times New Roman" w:hAnsi="Times New Roman" w:cs="Times New Roman"/>
          <w:color w:val="222222"/>
          <w:sz w:val="24"/>
          <w:szCs w:val="20"/>
          <w:shd w:val="clear" w:color="auto" w:fill="FFFFFF"/>
        </w:rPr>
        <w:t>behavior</w:t>
      </w:r>
      <w:proofErr w:type="spellEnd"/>
      <w:r w:rsidRPr="00C31143">
        <w:rPr>
          <w:rFonts w:ascii="Times New Roman" w:hAnsi="Times New Roman" w:cs="Times New Roman"/>
          <w:color w:val="222222"/>
          <w:sz w:val="24"/>
          <w:szCs w:val="20"/>
          <w:shd w:val="clear" w:color="auto" w:fill="FFFFFF"/>
        </w:rPr>
        <w:t xml:space="preserve"> in sustainable finance. </w:t>
      </w:r>
      <w:r w:rsidRPr="00C31143">
        <w:rPr>
          <w:rFonts w:ascii="Times New Roman" w:hAnsi="Times New Roman" w:cs="Times New Roman"/>
          <w:i/>
          <w:iCs/>
          <w:color w:val="222222"/>
          <w:sz w:val="24"/>
          <w:szCs w:val="20"/>
          <w:shd w:val="clear" w:color="auto" w:fill="FFFFFF"/>
        </w:rPr>
        <w:t>Economics, Management, and Financial Markets</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16</w:t>
      </w:r>
      <w:r w:rsidRPr="00C31143">
        <w:rPr>
          <w:rFonts w:ascii="Times New Roman" w:hAnsi="Times New Roman" w:cs="Times New Roman"/>
          <w:color w:val="222222"/>
          <w:sz w:val="24"/>
          <w:szCs w:val="20"/>
          <w:shd w:val="clear" w:color="auto" w:fill="FFFFFF"/>
        </w:rPr>
        <w:t>(3), 94-106.</w:t>
      </w:r>
      <w:r w:rsidRPr="00C31143">
        <w:rPr>
          <w:rFonts w:ascii="Times New Roman" w:hAnsi="Times New Roman" w:cs="Times New Roman"/>
          <w:sz w:val="28"/>
        </w:rPr>
        <w:t xml:space="preserve"> </w:t>
      </w:r>
      <w:hyperlink r:id="rId17" w:history="1">
        <w:r w:rsidRPr="00C31143">
          <w:rPr>
            <w:rStyle w:val="Hyperlink"/>
            <w:rFonts w:ascii="Times New Roman" w:hAnsi="Times New Roman" w:cs="Times New Roman"/>
            <w:sz w:val="24"/>
            <w:szCs w:val="20"/>
            <w:shd w:val="clear" w:color="auto" w:fill="FFFFFF"/>
          </w:rPr>
          <w:t>https://www.ceeol.com/search/article-detail?id=983519</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 xml:space="preserve">Jiang, Y., Wang, J., </w:t>
      </w:r>
      <w:proofErr w:type="spellStart"/>
      <w:r w:rsidRPr="00C31143">
        <w:rPr>
          <w:rFonts w:ascii="Times New Roman" w:hAnsi="Times New Roman" w:cs="Times New Roman"/>
          <w:color w:val="222222"/>
          <w:sz w:val="24"/>
          <w:szCs w:val="20"/>
          <w:shd w:val="clear" w:color="auto" w:fill="FFFFFF"/>
        </w:rPr>
        <w:t>Ao</w:t>
      </w:r>
      <w:proofErr w:type="spellEnd"/>
      <w:r w:rsidRPr="00C31143">
        <w:rPr>
          <w:rFonts w:ascii="Times New Roman" w:hAnsi="Times New Roman" w:cs="Times New Roman"/>
          <w:color w:val="222222"/>
          <w:sz w:val="24"/>
          <w:szCs w:val="20"/>
          <w:shd w:val="clear" w:color="auto" w:fill="FFFFFF"/>
        </w:rPr>
        <w:t>, Z., &amp; Wang, Y. (2022). The relationship between green bonds and conventional financial markets: Evidence from quantile-on-quantile and quantile coherence approaches. </w:t>
      </w:r>
      <w:r w:rsidRPr="00C31143">
        <w:rPr>
          <w:rFonts w:ascii="Times New Roman" w:hAnsi="Times New Roman" w:cs="Times New Roman"/>
          <w:i/>
          <w:iCs/>
          <w:color w:val="222222"/>
          <w:sz w:val="24"/>
          <w:szCs w:val="20"/>
          <w:shd w:val="clear" w:color="auto" w:fill="FFFFFF"/>
        </w:rPr>
        <w:t>Economic Modelling</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116</w:t>
      </w:r>
      <w:r w:rsidRPr="00C31143">
        <w:rPr>
          <w:rFonts w:ascii="Times New Roman" w:hAnsi="Times New Roman" w:cs="Times New Roman"/>
          <w:color w:val="222222"/>
          <w:sz w:val="24"/>
          <w:szCs w:val="20"/>
          <w:shd w:val="clear" w:color="auto" w:fill="FFFFFF"/>
        </w:rPr>
        <w:t>, 106038.</w:t>
      </w:r>
      <w:r w:rsidRPr="00C31143">
        <w:rPr>
          <w:rFonts w:ascii="Times New Roman" w:hAnsi="Times New Roman" w:cs="Times New Roman"/>
          <w:sz w:val="28"/>
        </w:rPr>
        <w:t xml:space="preserve"> </w:t>
      </w:r>
      <w:hyperlink r:id="rId18" w:history="1">
        <w:r w:rsidRPr="00C31143">
          <w:rPr>
            <w:rStyle w:val="Hyperlink"/>
            <w:rFonts w:ascii="Times New Roman" w:hAnsi="Times New Roman" w:cs="Times New Roman"/>
            <w:sz w:val="24"/>
            <w:szCs w:val="20"/>
            <w:shd w:val="clear" w:color="auto" w:fill="FFFFFF"/>
          </w:rPr>
          <w:t>https://www.sciencedirect.com/science/article/pii/S0264999322002759</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Kanuri, S., &amp; Malhotra, D. (2022). Evaluating the Performance of World Allocation Funds. </w:t>
      </w:r>
      <w:r w:rsidRPr="00C31143">
        <w:rPr>
          <w:rFonts w:ascii="Times New Roman" w:hAnsi="Times New Roman" w:cs="Times New Roman"/>
          <w:i/>
          <w:iCs/>
          <w:color w:val="222222"/>
          <w:sz w:val="24"/>
          <w:szCs w:val="20"/>
          <w:shd w:val="clear" w:color="auto" w:fill="FFFFFF"/>
        </w:rPr>
        <w:t>The Journal of Wealth Management</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24</w:t>
      </w:r>
      <w:r w:rsidRPr="00C31143">
        <w:rPr>
          <w:rFonts w:ascii="Times New Roman" w:hAnsi="Times New Roman" w:cs="Times New Roman"/>
          <w:color w:val="222222"/>
          <w:sz w:val="24"/>
          <w:szCs w:val="20"/>
          <w:shd w:val="clear" w:color="auto" w:fill="FFFFFF"/>
        </w:rPr>
        <w:t>(4), 74-89.</w:t>
      </w:r>
      <w:r w:rsidRPr="00C31143">
        <w:rPr>
          <w:rFonts w:ascii="Times New Roman" w:hAnsi="Times New Roman" w:cs="Times New Roman"/>
          <w:sz w:val="28"/>
        </w:rPr>
        <w:t xml:space="preserve"> </w:t>
      </w:r>
      <w:hyperlink r:id="rId19" w:history="1">
        <w:r w:rsidRPr="00C31143">
          <w:rPr>
            <w:rStyle w:val="Hyperlink"/>
            <w:rFonts w:ascii="Times New Roman" w:hAnsi="Times New Roman" w:cs="Times New Roman"/>
            <w:sz w:val="24"/>
            <w:szCs w:val="20"/>
            <w:shd w:val="clear" w:color="auto" w:fill="FFFFFF"/>
          </w:rPr>
          <w:t>https://jwm.pm-research.com/content/24/4/74/tab-pdf-disaabled</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Kyeremeh</w:t>
      </w:r>
      <w:proofErr w:type="spellEnd"/>
      <w:r w:rsidRPr="00C31143">
        <w:rPr>
          <w:rFonts w:ascii="Times New Roman" w:hAnsi="Times New Roman" w:cs="Times New Roman"/>
          <w:color w:val="222222"/>
          <w:sz w:val="24"/>
          <w:szCs w:val="20"/>
          <w:shd w:val="clear" w:color="auto" w:fill="FFFFFF"/>
        </w:rPr>
        <w:t xml:space="preserve">, K., </w:t>
      </w:r>
      <w:proofErr w:type="spellStart"/>
      <w:r w:rsidRPr="00C31143">
        <w:rPr>
          <w:rFonts w:ascii="Times New Roman" w:hAnsi="Times New Roman" w:cs="Times New Roman"/>
          <w:color w:val="222222"/>
          <w:sz w:val="24"/>
          <w:szCs w:val="20"/>
          <w:shd w:val="clear" w:color="auto" w:fill="FFFFFF"/>
        </w:rPr>
        <w:t>Prempeh</w:t>
      </w:r>
      <w:proofErr w:type="spellEnd"/>
      <w:r w:rsidRPr="00C31143">
        <w:rPr>
          <w:rFonts w:ascii="Times New Roman" w:hAnsi="Times New Roman" w:cs="Times New Roman"/>
          <w:color w:val="222222"/>
          <w:sz w:val="24"/>
          <w:szCs w:val="20"/>
          <w:shd w:val="clear" w:color="auto" w:fill="FFFFFF"/>
        </w:rPr>
        <w:t xml:space="preserve">, K. B., &amp; </w:t>
      </w:r>
      <w:proofErr w:type="spellStart"/>
      <w:r w:rsidRPr="00C31143">
        <w:rPr>
          <w:rFonts w:ascii="Times New Roman" w:hAnsi="Times New Roman" w:cs="Times New Roman"/>
          <w:color w:val="222222"/>
          <w:sz w:val="24"/>
          <w:szCs w:val="20"/>
          <w:shd w:val="clear" w:color="auto" w:fill="FFFFFF"/>
        </w:rPr>
        <w:t>Afful</w:t>
      </w:r>
      <w:proofErr w:type="spellEnd"/>
      <w:r w:rsidRPr="00C31143">
        <w:rPr>
          <w:rFonts w:ascii="Times New Roman" w:hAnsi="Times New Roman" w:cs="Times New Roman"/>
          <w:color w:val="222222"/>
          <w:sz w:val="24"/>
          <w:szCs w:val="20"/>
          <w:shd w:val="clear" w:color="auto" w:fill="FFFFFF"/>
        </w:rPr>
        <w:t xml:space="preserve"> </w:t>
      </w:r>
      <w:proofErr w:type="spellStart"/>
      <w:r w:rsidRPr="00C31143">
        <w:rPr>
          <w:rFonts w:ascii="Times New Roman" w:hAnsi="Times New Roman" w:cs="Times New Roman"/>
          <w:color w:val="222222"/>
          <w:sz w:val="24"/>
          <w:szCs w:val="20"/>
          <w:shd w:val="clear" w:color="auto" w:fill="FFFFFF"/>
        </w:rPr>
        <w:t>Forson</w:t>
      </w:r>
      <w:proofErr w:type="spellEnd"/>
      <w:r w:rsidRPr="00C31143">
        <w:rPr>
          <w:rFonts w:ascii="Times New Roman" w:hAnsi="Times New Roman" w:cs="Times New Roman"/>
          <w:color w:val="222222"/>
          <w:sz w:val="24"/>
          <w:szCs w:val="20"/>
          <w:shd w:val="clear" w:color="auto" w:fill="FFFFFF"/>
        </w:rPr>
        <w:t>, M. (2019). Effect of Information Communication and Technology (ICT) on the Performance of Financial Institutions (A Case Study of Barclays Bank, Sunyani Branch).</w:t>
      </w:r>
      <w:r w:rsidRPr="00C31143">
        <w:rPr>
          <w:rFonts w:ascii="Times New Roman" w:hAnsi="Times New Roman" w:cs="Times New Roman"/>
          <w:sz w:val="28"/>
        </w:rPr>
        <w:t xml:space="preserve"> </w:t>
      </w:r>
      <w:hyperlink r:id="rId20" w:history="1">
        <w:r w:rsidRPr="00C31143">
          <w:rPr>
            <w:rStyle w:val="Hyperlink"/>
            <w:rFonts w:ascii="Times New Roman" w:hAnsi="Times New Roman" w:cs="Times New Roman"/>
            <w:sz w:val="24"/>
            <w:szCs w:val="20"/>
            <w:shd w:val="clear" w:color="auto" w:fill="FFFFFF"/>
          </w:rPr>
          <w:t>https://mpra.ub.uni-muenchen.de/id/eprint/95994</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Mourlon-Druol</w:t>
      </w:r>
      <w:proofErr w:type="spellEnd"/>
      <w:r w:rsidRPr="00C31143">
        <w:rPr>
          <w:rFonts w:ascii="Times New Roman" w:hAnsi="Times New Roman" w:cs="Times New Roman"/>
          <w:color w:val="222222"/>
          <w:sz w:val="24"/>
          <w:szCs w:val="20"/>
          <w:shd w:val="clear" w:color="auto" w:fill="FFFFFF"/>
        </w:rPr>
        <w:t xml:space="preserve">, E. (2021). Banking on détente: Barclays, Paribas, and </w:t>
      </w:r>
      <w:proofErr w:type="spellStart"/>
      <w:r w:rsidRPr="00C31143">
        <w:rPr>
          <w:rFonts w:ascii="Times New Roman" w:hAnsi="Times New Roman" w:cs="Times New Roman"/>
          <w:color w:val="222222"/>
          <w:sz w:val="24"/>
          <w:szCs w:val="20"/>
          <w:shd w:val="clear" w:color="auto" w:fill="FFFFFF"/>
        </w:rPr>
        <w:t>Société</w:t>
      </w:r>
      <w:proofErr w:type="spellEnd"/>
      <w:r w:rsidRPr="00C31143">
        <w:rPr>
          <w:rFonts w:ascii="Times New Roman" w:hAnsi="Times New Roman" w:cs="Times New Roman"/>
          <w:color w:val="222222"/>
          <w:sz w:val="24"/>
          <w:szCs w:val="20"/>
          <w:shd w:val="clear" w:color="auto" w:fill="FFFFFF"/>
        </w:rPr>
        <w:t xml:space="preserve"> </w:t>
      </w:r>
      <w:proofErr w:type="spellStart"/>
      <w:r w:rsidRPr="00C31143">
        <w:rPr>
          <w:rFonts w:ascii="Times New Roman" w:hAnsi="Times New Roman" w:cs="Times New Roman"/>
          <w:color w:val="222222"/>
          <w:sz w:val="24"/>
          <w:szCs w:val="20"/>
          <w:shd w:val="clear" w:color="auto" w:fill="FFFFFF"/>
        </w:rPr>
        <w:t>Générale</w:t>
      </w:r>
      <w:proofErr w:type="spellEnd"/>
      <w:r w:rsidRPr="00C31143">
        <w:rPr>
          <w:rFonts w:ascii="Times New Roman" w:hAnsi="Times New Roman" w:cs="Times New Roman"/>
          <w:color w:val="222222"/>
          <w:sz w:val="24"/>
          <w:szCs w:val="20"/>
          <w:shd w:val="clear" w:color="auto" w:fill="FFFFFF"/>
        </w:rPr>
        <w:t xml:space="preserve"> in Poland, 1950s-1980s. </w:t>
      </w:r>
      <w:r w:rsidRPr="00C31143">
        <w:rPr>
          <w:rFonts w:ascii="Times New Roman" w:hAnsi="Times New Roman" w:cs="Times New Roman"/>
          <w:i/>
          <w:iCs/>
          <w:color w:val="222222"/>
          <w:sz w:val="24"/>
          <w:szCs w:val="20"/>
          <w:shd w:val="clear" w:color="auto" w:fill="FFFFFF"/>
        </w:rPr>
        <w:t>Business History</w:t>
      </w:r>
      <w:r w:rsidRPr="00C31143">
        <w:rPr>
          <w:rFonts w:ascii="Times New Roman" w:hAnsi="Times New Roman" w:cs="Times New Roman"/>
          <w:color w:val="222222"/>
          <w:sz w:val="24"/>
          <w:szCs w:val="20"/>
          <w:shd w:val="clear" w:color="auto" w:fill="FFFFFF"/>
        </w:rPr>
        <w:t>, 1-20.</w:t>
      </w:r>
      <w:r w:rsidRPr="00C31143">
        <w:rPr>
          <w:rFonts w:ascii="Times New Roman" w:hAnsi="Times New Roman" w:cs="Times New Roman"/>
          <w:sz w:val="28"/>
        </w:rPr>
        <w:t xml:space="preserve"> </w:t>
      </w:r>
      <w:hyperlink r:id="rId21" w:history="1">
        <w:r w:rsidRPr="00C31143">
          <w:rPr>
            <w:rStyle w:val="Hyperlink"/>
            <w:rFonts w:ascii="Times New Roman" w:hAnsi="Times New Roman" w:cs="Times New Roman"/>
            <w:sz w:val="24"/>
            <w:szCs w:val="20"/>
            <w:shd w:val="clear" w:color="auto" w:fill="FFFFFF"/>
          </w:rPr>
          <w:t>https://www.tandfonline.com/doi/abs/10.1080/00076791.2021.1907347</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Mubita</w:t>
      </w:r>
      <w:proofErr w:type="spellEnd"/>
      <w:r w:rsidRPr="00C31143">
        <w:rPr>
          <w:rFonts w:ascii="Times New Roman" w:hAnsi="Times New Roman" w:cs="Times New Roman"/>
          <w:color w:val="222222"/>
          <w:sz w:val="24"/>
          <w:szCs w:val="20"/>
          <w:shd w:val="clear" w:color="auto" w:fill="FFFFFF"/>
        </w:rPr>
        <w:t>, M. (2020). </w:t>
      </w:r>
      <w:r w:rsidRPr="00C31143">
        <w:rPr>
          <w:rFonts w:ascii="Times New Roman" w:hAnsi="Times New Roman" w:cs="Times New Roman"/>
          <w:i/>
          <w:iCs/>
          <w:color w:val="222222"/>
          <w:sz w:val="24"/>
          <w:szCs w:val="20"/>
          <w:shd w:val="clear" w:color="auto" w:fill="FFFFFF"/>
        </w:rPr>
        <w:t>An evaluation of the competitive strategies in the banking industry in Zambia: A case of Barclays Bank Zambia Limited</w:t>
      </w:r>
      <w:r w:rsidRPr="00C31143">
        <w:rPr>
          <w:rFonts w:ascii="Times New Roman" w:hAnsi="Times New Roman" w:cs="Times New Roman"/>
          <w:color w:val="222222"/>
          <w:sz w:val="24"/>
          <w:szCs w:val="20"/>
          <w:shd w:val="clear" w:color="auto" w:fill="FFFFFF"/>
        </w:rPr>
        <w:t> (Doctoral dissertation).</w:t>
      </w:r>
      <w:r w:rsidRPr="00C31143">
        <w:rPr>
          <w:rFonts w:ascii="Times New Roman" w:hAnsi="Times New Roman" w:cs="Times New Roman"/>
          <w:sz w:val="28"/>
        </w:rPr>
        <w:t xml:space="preserve"> </w:t>
      </w:r>
      <w:hyperlink r:id="rId22" w:history="1">
        <w:r w:rsidRPr="00C31143">
          <w:rPr>
            <w:rStyle w:val="Hyperlink"/>
            <w:rFonts w:ascii="Times New Roman" w:hAnsi="Times New Roman" w:cs="Times New Roman"/>
            <w:sz w:val="24"/>
            <w:szCs w:val="20"/>
            <w:shd w:val="clear" w:color="auto" w:fill="FFFFFF"/>
          </w:rPr>
          <w:t>http://155.0.3.194:8080/jspui/handle/123456789/362</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Naeem</w:t>
      </w:r>
      <w:proofErr w:type="spellEnd"/>
      <w:r w:rsidRPr="00C31143">
        <w:rPr>
          <w:rFonts w:ascii="Times New Roman" w:hAnsi="Times New Roman" w:cs="Times New Roman"/>
          <w:color w:val="222222"/>
          <w:sz w:val="24"/>
          <w:szCs w:val="20"/>
          <w:shd w:val="clear" w:color="auto" w:fill="FFFFFF"/>
        </w:rPr>
        <w:t xml:space="preserve">, M. A., </w:t>
      </w:r>
      <w:proofErr w:type="spellStart"/>
      <w:r w:rsidRPr="00C31143">
        <w:rPr>
          <w:rFonts w:ascii="Times New Roman" w:hAnsi="Times New Roman" w:cs="Times New Roman"/>
          <w:color w:val="222222"/>
          <w:sz w:val="24"/>
          <w:szCs w:val="20"/>
          <w:shd w:val="clear" w:color="auto" w:fill="FFFFFF"/>
        </w:rPr>
        <w:t>Sehrish</w:t>
      </w:r>
      <w:proofErr w:type="spellEnd"/>
      <w:r w:rsidRPr="00C31143">
        <w:rPr>
          <w:rFonts w:ascii="Times New Roman" w:hAnsi="Times New Roman" w:cs="Times New Roman"/>
          <w:color w:val="222222"/>
          <w:sz w:val="24"/>
          <w:szCs w:val="20"/>
          <w:shd w:val="clear" w:color="auto" w:fill="FFFFFF"/>
        </w:rPr>
        <w:t>, S., &amp; Costa, M. D. (2021). COVID-19 pandemic and connectedness across financial markets. </w:t>
      </w:r>
      <w:r w:rsidRPr="00C31143">
        <w:rPr>
          <w:rFonts w:ascii="Times New Roman" w:hAnsi="Times New Roman" w:cs="Times New Roman"/>
          <w:i/>
          <w:iCs/>
          <w:color w:val="222222"/>
          <w:sz w:val="24"/>
          <w:szCs w:val="20"/>
          <w:shd w:val="clear" w:color="auto" w:fill="FFFFFF"/>
        </w:rPr>
        <w:t>Pacific Accounting Review</w:t>
      </w:r>
      <w:r w:rsidRPr="00C31143">
        <w:rPr>
          <w:rFonts w:ascii="Times New Roman" w:hAnsi="Times New Roman" w:cs="Times New Roman"/>
          <w:color w:val="222222"/>
          <w:sz w:val="24"/>
          <w:szCs w:val="20"/>
          <w:shd w:val="clear" w:color="auto" w:fill="FFFFFF"/>
        </w:rPr>
        <w:t>.</w:t>
      </w:r>
      <w:r w:rsidRPr="00C31143">
        <w:rPr>
          <w:rFonts w:ascii="Times New Roman" w:hAnsi="Times New Roman" w:cs="Times New Roman"/>
          <w:sz w:val="28"/>
        </w:rPr>
        <w:t xml:space="preserve"> </w:t>
      </w:r>
      <w:hyperlink r:id="rId23" w:history="1">
        <w:r w:rsidRPr="00C31143">
          <w:rPr>
            <w:rStyle w:val="Hyperlink"/>
            <w:rFonts w:ascii="Times New Roman" w:hAnsi="Times New Roman" w:cs="Times New Roman"/>
            <w:sz w:val="24"/>
            <w:szCs w:val="20"/>
            <w:shd w:val="clear" w:color="auto" w:fill="FFFFFF"/>
          </w:rPr>
          <w:t>https://www.emerald.com/insight/content/doi/10.1108/PAR-08-2020-0114/full/html</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Pagitsas</w:t>
      </w:r>
      <w:proofErr w:type="spellEnd"/>
      <w:r w:rsidRPr="00C31143">
        <w:rPr>
          <w:rFonts w:ascii="Times New Roman" w:hAnsi="Times New Roman" w:cs="Times New Roman"/>
          <w:color w:val="222222"/>
          <w:sz w:val="24"/>
          <w:szCs w:val="20"/>
          <w:shd w:val="clear" w:color="auto" w:fill="FFFFFF"/>
        </w:rPr>
        <w:t xml:space="preserve">, C. (2022). Elsa </w:t>
      </w:r>
      <w:proofErr w:type="spellStart"/>
      <w:r w:rsidRPr="00C31143">
        <w:rPr>
          <w:rFonts w:ascii="Times New Roman" w:hAnsi="Times New Roman" w:cs="Times New Roman"/>
          <w:color w:val="222222"/>
          <w:sz w:val="24"/>
          <w:szCs w:val="20"/>
          <w:shd w:val="clear" w:color="auto" w:fill="FFFFFF"/>
        </w:rPr>
        <w:t>Palanza</w:t>
      </w:r>
      <w:proofErr w:type="spellEnd"/>
      <w:r w:rsidRPr="00C31143">
        <w:rPr>
          <w:rFonts w:ascii="Times New Roman" w:hAnsi="Times New Roman" w:cs="Times New Roman"/>
          <w:color w:val="222222"/>
          <w:sz w:val="24"/>
          <w:szCs w:val="20"/>
          <w:shd w:val="clear" w:color="auto" w:fill="FFFFFF"/>
        </w:rPr>
        <w:t>: Barclays. In </w:t>
      </w:r>
      <w:r w:rsidRPr="00C31143">
        <w:rPr>
          <w:rFonts w:ascii="Times New Roman" w:hAnsi="Times New Roman" w:cs="Times New Roman"/>
          <w:i/>
          <w:iCs/>
          <w:color w:val="222222"/>
          <w:sz w:val="24"/>
          <w:szCs w:val="20"/>
          <w:shd w:val="clear" w:color="auto" w:fill="FFFFFF"/>
        </w:rPr>
        <w:t>Chief Sustainability Officers At Work: How CSOs Build Successful Sustainability and ESG Strategies</w:t>
      </w:r>
      <w:r w:rsidRPr="00C31143">
        <w:rPr>
          <w:rFonts w:ascii="Times New Roman" w:hAnsi="Times New Roman" w:cs="Times New Roman"/>
          <w:color w:val="222222"/>
          <w:sz w:val="24"/>
          <w:szCs w:val="20"/>
          <w:shd w:val="clear" w:color="auto" w:fill="FFFFFF"/>
        </w:rPr>
        <w:t xml:space="preserve"> (pp. 225-239). Berkeley, CA: </w:t>
      </w:r>
      <w:proofErr w:type="spellStart"/>
      <w:r w:rsidRPr="00C31143">
        <w:rPr>
          <w:rFonts w:ascii="Times New Roman" w:hAnsi="Times New Roman" w:cs="Times New Roman"/>
          <w:color w:val="222222"/>
          <w:sz w:val="24"/>
          <w:szCs w:val="20"/>
          <w:shd w:val="clear" w:color="auto" w:fill="FFFFFF"/>
        </w:rPr>
        <w:t>Apress</w:t>
      </w:r>
      <w:proofErr w:type="spellEnd"/>
      <w:r w:rsidRPr="00C31143">
        <w:rPr>
          <w:rFonts w:ascii="Times New Roman" w:hAnsi="Times New Roman" w:cs="Times New Roman"/>
          <w:color w:val="222222"/>
          <w:sz w:val="24"/>
          <w:szCs w:val="20"/>
          <w:shd w:val="clear" w:color="auto" w:fill="FFFFFF"/>
        </w:rPr>
        <w:t>.</w:t>
      </w:r>
      <w:r w:rsidRPr="00C31143">
        <w:rPr>
          <w:rFonts w:ascii="Times New Roman" w:hAnsi="Times New Roman" w:cs="Times New Roman"/>
          <w:sz w:val="28"/>
        </w:rPr>
        <w:t xml:space="preserve"> </w:t>
      </w:r>
      <w:hyperlink r:id="rId24" w:history="1">
        <w:r w:rsidRPr="00C31143">
          <w:rPr>
            <w:rStyle w:val="Hyperlink"/>
            <w:rFonts w:ascii="Times New Roman" w:hAnsi="Times New Roman" w:cs="Times New Roman"/>
            <w:sz w:val="24"/>
            <w:szCs w:val="20"/>
            <w:shd w:val="clear" w:color="auto" w:fill="FFFFFF"/>
          </w:rPr>
          <w:t>https://link.springer.com/chapter/10.1007/978-1-4842-7866-6_18</w:t>
        </w:r>
      </w:hyperlink>
    </w:p>
    <w:p w:rsidR="00EC1B7F" w:rsidRPr="00C31143" w:rsidRDefault="00EC1B7F" w:rsidP="00A245E7">
      <w:pPr>
        <w:spacing w:line="360" w:lineRule="auto"/>
        <w:jc w:val="both"/>
        <w:rPr>
          <w:rFonts w:ascii="Times New Roman" w:hAnsi="Times New Roman" w:cs="Times New Roman"/>
          <w:color w:val="000000" w:themeColor="text1"/>
          <w:sz w:val="32"/>
          <w:szCs w:val="24"/>
        </w:rPr>
      </w:pPr>
      <w:r w:rsidRPr="00C31143">
        <w:rPr>
          <w:rFonts w:ascii="Times New Roman" w:hAnsi="Times New Roman" w:cs="Times New Roman"/>
          <w:color w:val="222222"/>
          <w:sz w:val="24"/>
          <w:szCs w:val="20"/>
          <w:shd w:val="clear" w:color="auto" w:fill="FFFFFF"/>
        </w:rPr>
        <w:t>Pham, L., &amp; Nguyen, C. P. (2021). Asymmetric tail dependence between green bonds and other asset classes. </w:t>
      </w:r>
      <w:r w:rsidRPr="00C31143">
        <w:rPr>
          <w:rFonts w:ascii="Times New Roman" w:hAnsi="Times New Roman" w:cs="Times New Roman"/>
          <w:i/>
          <w:iCs/>
          <w:color w:val="222222"/>
          <w:sz w:val="24"/>
          <w:szCs w:val="20"/>
          <w:shd w:val="clear" w:color="auto" w:fill="FFFFFF"/>
        </w:rPr>
        <w:t>Global Finance Journal</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50</w:t>
      </w:r>
      <w:r w:rsidRPr="00C31143">
        <w:rPr>
          <w:rFonts w:ascii="Times New Roman" w:hAnsi="Times New Roman" w:cs="Times New Roman"/>
          <w:color w:val="222222"/>
          <w:sz w:val="24"/>
          <w:szCs w:val="20"/>
          <w:shd w:val="clear" w:color="auto" w:fill="FFFFFF"/>
        </w:rPr>
        <w:t>, 100669.</w:t>
      </w:r>
      <w:r w:rsidRPr="00C31143">
        <w:rPr>
          <w:rFonts w:ascii="Times New Roman" w:hAnsi="Times New Roman" w:cs="Times New Roman"/>
          <w:sz w:val="28"/>
        </w:rPr>
        <w:t xml:space="preserve"> </w:t>
      </w:r>
      <w:r w:rsidRPr="00C31143">
        <w:rPr>
          <w:rFonts w:ascii="Times New Roman" w:hAnsi="Times New Roman" w:cs="Times New Roman"/>
          <w:color w:val="222222"/>
          <w:sz w:val="24"/>
          <w:szCs w:val="20"/>
          <w:shd w:val="clear" w:color="auto" w:fill="FFFFFF"/>
        </w:rPr>
        <w:t>https://www.sciencedirect.com/science/article/pii/S1044028321000673</w:t>
      </w:r>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lastRenderedPageBreak/>
        <w:t>Reboredo</w:t>
      </w:r>
      <w:proofErr w:type="spellEnd"/>
      <w:r w:rsidRPr="00C31143">
        <w:rPr>
          <w:rFonts w:ascii="Times New Roman" w:hAnsi="Times New Roman" w:cs="Times New Roman"/>
          <w:color w:val="222222"/>
          <w:sz w:val="24"/>
          <w:szCs w:val="20"/>
          <w:shd w:val="clear" w:color="auto" w:fill="FFFFFF"/>
        </w:rPr>
        <w:t xml:space="preserve">, J. C., &amp; </w:t>
      </w:r>
      <w:proofErr w:type="spellStart"/>
      <w:r w:rsidRPr="00C31143">
        <w:rPr>
          <w:rFonts w:ascii="Times New Roman" w:hAnsi="Times New Roman" w:cs="Times New Roman"/>
          <w:color w:val="222222"/>
          <w:sz w:val="24"/>
          <w:szCs w:val="20"/>
          <w:shd w:val="clear" w:color="auto" w:fill="FFFFFF"/>
        </w:rPr>
        <w:t>Ugolini</w:t>
      </w:r>
      <w:proofErr w:type="spellEnd"/>
      <w:r w:rsidRPr="00C31143">
        <w:rPr>
          <w:rFonts w:ascii="Times New Roman" w:hAnsi="Times New Roman" w:cs="Times New Roman"/>
          <w:color w:val="222222"/>
          <w:sz w:val="24"/>
          <w:szCs w:val="20"/>
          <w:shd w:val="clear" w:color="auto" w:fill="FFFFFF"/>
        </w:rPr>
        <w:t>, A. (2020). Price connectedness between green bond and financial markets. </w:t>
      </w:r>
      <w:r w:rsidRPr="00C31143">
        <w:rPr>
          <w:rFonts w:ascii="Times New Roman" w:hAnsi="Times New Roman" w:cs="Times New Roman"/>
          <w:i/>
          <w:iCs/>
          <w:color w:val="222222"/>
          <w:sz w:val="24"/>
          <w:szCs w:val="20"/>
          <w:shd w:val="clear" w:color="auto" w:fill="FFFFFF"/>
        </w:rPr>
        <w:t>Economic Modelling</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88</w:t>
      </w:r>
      <w:r w:rsidRPr="00C31143">
        <w:rPr>
          <w:rFonts w:ascii="Times New Roman" w:hAnsi="Times New Roman" w:cs="Times New Roman"/>
          <w:color w:val="222222"/>
          <w:sz w:val="24"/>
          <w:szCs w:val="20"/>
          <w:shd w:val="clear" w:color="auto" w:fill="FFFFFF"/>
        </w:rPr>
        <w:t>, 25-38.</w:t>
      </w:r>
      <w:r w:rsidRPr="00C31143">
        <w:rPr>
          <w:rFonts w:ascii="Times New Roman" w:hAnsi="Times New Roman" w:cs="Times New Roman"/>
          <w:sz w:val="28"/>
        </w:rPr>
        <w:t xml:space="preserve"> </w:t>
      </w:r>
      <w:hyperlink r:id="rId25" w:history="1">
        <w:r w:rsidRPr="00C31143">
          <w:rPr>
            <w:rStyle w:val="Hyperlink"/>
            <w:rFonts w:ascii="Times New Roman" w:hAnsi="Times New Roman" w:cs="Times New Roman"/>
            <w:sz w:val="24"/>
            <w:szCs w:val="20"/>
            <w:shd w:val="clear" w:color="auto" w:fill="FFFFFF"/>
          </w:rPr>
          <w:t>https://www.sciencedirect.com/science/article/pii/S0264999319306923</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Siwale</w:t>
      </w:r>
      <w:proofErr w:type="spellEnd"/>
      <w:r w:rsidRPr="00C31143">
        <w:rPr>
          <w:rFonts w:ascii="Times New Roman" w:hAnsi="Times New Roman" w:cs="Times New Roman"/>
          <w:color w:val="222222"/>
          <w:sz w:val="24"/>
          <w:szCs w:val="20"/>
          <w:shd w:val="clear" w:color="auto" w:fill="FFFFFF"/>
        </w:rPr>
        <w:t>, L. (2022). </w:t>
      </w:r>
      <w:r w:rsidRPr="00C31143">
        <w:rPr>
          <w:rFonts w:ascii="Times New Roman" w:hAnsi="Times New Roman" w:cs="Times New Roman"/>
          <w:i/>
          <w:iCs/>
          <w:color w:val="222222"/>
          <w:sz w:val="24"/>
          <w:szCs w:val="20"/>
          <w:shd w:val="clear" w:color="auto" w:fill="FFFFFF"/>
        </w:rPr>
        <w:t>Effects of electronic banking on service delivery: a case of Barclays bank plc</w:t>
      </w:r>
      <w:r w:rsidRPr="00C31143">
        <w:rPr>
          <w:rFonts w:ascii="Times New Roman" w:hAnsi="Times New Roman" w:cs="Times New Roman"/>
          <w:color w:val="222222"/>
          <w:sz w:val="24"/>
          <w:szCs w:val="20"/>
          <w:shd w:val="clear" w:color="auto" w:fill="FFFFFF"/>
        </w:rPr>
        <w:t> (Doctoral dissertation, The University of Zambia).</w:t>
      </w:r>
      <w:r w:rsidRPr="00C31143">
        <w:rPr>
          <w:rFonts w:ascii="Times New Roman" w:hAnsi="Times New Roman" w:cs="Times New Roman"/>
          <w:sz w:val="28"/>
        </w:rPr>
        <w:t xml:space="preserve"> </w:t>
      </w:r>
      <w:hyperlink r:id="rId26" w:history="1">
        <w:r w:rsidRPr="00C31143">
          <w:rPr>
            <w:rStyle w:val="Hyperlink"/>
            <w:rFonts w:ascii="Times New Roman" w:hAnsi="Times New Roman" w:cs="Times New Roman"/>
            <w:sz w:val="24"/>
            <w:szCs w:val="20"/>
            <w:shd w:val="clear" w:color="auto" w:fill="FFFFFF"/>
          </w:rPr>
          <w:t>http://dspace.unza.zm/handle/123456789/7527</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Vakhrusheva</w:t>
      </w:r>
      <w:proofErr w:type="spellEnd"/>
      <w:r w:rsidRPr="00C31143">
        <w:rPr>
          <w:rFonts w:ascii="Times New Roman" w:hAnsi="Times New Roman" w:cs="Times New Roman"/>
          <w:color w:val="222222"/>
          <w:sz w:val="24"/>
          <w:szCs w:val="20"/>
          <w:shd w:val="clear" w:color="auto" w:fill="FFFFFF"/>
        </w:rPr>
        <w:t xml:space="preserve">, M. Y., </w:t>
      </w:r>
      <w:proofErr w:type="spellStart"/>
      <w:r w:rsidRPr="00C31143">
        <w:rPr>
          <w:rFonts w:ascii="Times New Roman" w:hAnsi="Times New Roman" w:cs="Times New Roman"/>
          <w:color w:val="222222"/>
          <w:sz w:val="24"/>
          <w:szCs w:val="20"/>
          <w:shd w:val="clear" w:color="auto" w:fill="FFFFFF"/>
        </w:rPr>
        <w:t>Khaliev</w:t>
      </w:r>
      <w:proofErr w:type="spellEnd"/>
      <w:r w:rsidRPr="00C31143">
        <w:rPr>
          <w:rFonts w:ascii="Times New Roman" w:hAnsi="Times New Roman" w:cs="Times New Roman"/>
          <w:color w:val="222222"/>
          <w:sz w:val="24"/>
          <w:szCs w:val="20"/>
          <w:shd w:val="clear" w:color="auto" w:fill="FFFFFF"/>
        </w:rPr>
        <w:t xml:space="preserve">, M. S., &amp; </w:t>
      </w:r>
      <w:proofErr w:type="spellStart"/>
      <w:r w:rsidRPr="00C31143">
        <w:rPr>
          <w:rFonts w:ascii="Times New Roman" w:hAnsi="Times New Roman" w:cs="Times New Roman"/>
          <w:color w:val="222222"/>
          <w:sz w:val="24"/>
          <w:szCs w:val="20"/>
          <w:shd w:val="clear" w:color="auto" w:fill="FFFFFF"/>
        </w:rPr>
        <w:t>Pokhomchikova</w:t>
      </w:r>
      <w:proofErr w:type="spellEnd"/>
      <w:r w:rsidRPr="00C31143">
        <w:rPr>
          <w:rFonts w:ascii="Times New Roman" w:hAnsi="Times New Roman" w:cs="Times New Roman"/>
          <w:color w:val="222222"/>
          <w:sz w:val="24"/>
          <w:szCs w:val="20"/>
          <w:shd w:val="clear" w:color="auto" w:fill="FFFFFF"/>
        </w:rPr>
        <w:t>, E. O. (2021, October). Barclays’ application of information system in manufacturing process. In </w:t>
      </w:r>
      <w:r w:rsidRPr="00C31143">
        <w:rPr>
          <w:rFonts w:ascii="Times New Roman" w:hAnsi="Times New Roman" w:cs="Times New Roman"/>
          <w:i/>
          <w:iCs/>
          <w:color w:val="222222"/>
          <w:sz w:val="24"/>
          <w:szCs w:val="20"/>
          <w:shd w:val="clear" w:color="auto" w:fill="FFFFFF"/>
        </w:rPr>
        <w:t>Journal of Physics: Conference Series</w:t>
      </w:r>
      <w:r w:rsidRPr="00C31143">
        <w:rPr>
          <w:rFonts w:ascii="Times New Roman" w:hAnsi="Times New Roman" w:cs="Times New Roman"/>
          <w:color w:val="222222"/>
          <w:sz w:val="24"/>
          <w:szCs w:val="20"/>
          <w:shd w:val="clear" w:color="auto" w:fill="FFFFFF"/>
        </w:rPr>
        <w:t> (Vol. 2032, No. 1, p. 012129). IOP Publishing.</w:t>
      </w:r>
      <w:r w:rsidRPr="00C31143">
        <w:rPr>
          <w:rFonts w:ascii="Times New Roman" w:hAnsi="Times New Roman" w:cs="Times New Roman"/>
          <w:sz w:val="28"/>
        </w:rPr>
        <w:t xml:space="preserve"> </w:t>
      </w:r>
      <w:hyperlink r:id="rId27" w:history="1">
        <w:r w:rsidRPr="00C31143">
          <w:rPr>
            <w:rStyle w:val="Hyperlink"/>
            <w:rFonts w:ascii="Times New Roman" w:hAnsi="Times New Roman" w:cs="Times New Roman"/>
            <w:sz w:val="24"/>
            <w:szCs w:val="20"/>
            <w:shd w:val="clear" w:color="auto" w:fill="FFFFFF"/>
          </w:rPr>
          <w:t>https://iopscience.iop.org/article/10.1088/1742-6596/2032/1/012129/meta</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proofErr w:type="spellStart"/>
      <w:r w:rsidRPr="00C31143">
        <w:rPr>
          <w:rFonts w:ascii="Times New Roman" w:hAnsi="Times New Roman" w:cs="Times New Roman"/>
          <w:color w:val="222222"/>
          <w:sz w:val="24"/>
          <w:szCs w:val="20"/>
          <w:shd w:val="clear" w:color="auto" w:fill="FFFFFF"/>
        </w:rPr>
        <w:t>Wansleben</w:t>
      </w:r>
      <w:proofErr w:type="spellEnd"/>
      <w:r w:rsidRPr="00C31143">
        <w:rPr>
          <w:rFonts w:ascii="Times New Roman" w:hAnsi="Times New Roman" w:cs="Times New Roman"/>
          <w:color w:val="222222"/>
          <w:sz w:val="24"/>
          <w:szCs w:val="20"/>
          <w:shd w:val="clear" w:color="auto" w:fill="FFFFFF"/>
        </w:rPr>
        <w:t>, L. (2020). Formal institution building in financialized capitalism: the case of repo markets. </w:t>
      </w:r>
      <w:r w:rsidRPr="00C31143">
        <w:rPr>
          <w:rFonts w:ascii="Times New Roman" w:hAnsi="Times New Roman" w:cs="Times New Roman"/>
          <w:i/>
          <w:iCs/>
          <w:color w:val="222222"/>
          <w:sz w:val="24"/>
          <w:szCs w:val="20"/>
          <w:shd w:val="clear" w:color="auto" w:fill="FFFFFF"/>
        </w:rPr>
        <w:t>Theory and Society</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49</w:t>
      </w:r>
      <w:r w:rsidRPr="00C31143">
        <w:rPr>
          <w:rFonts w:ascii="Times New Roman" w:hAnsi="Times New Roman" w:cs="Times New Roman"/>
          <w:color w:val="222222"/>
          <w:sz w:val="24"/>
          <w:szCs w:val="20"/>
          <w:shd w:val="clear" w:color="auto" w:fill="FFFFFF"/>
        </w:rPr>
        <w:t>, 187-213.</w:t>
      </w:r>
      <w:r w:rsidRPr="00C31143">
        <w:rPr>
          <w:rFonts w:ascii="Times New Roman" w:hAnsi="Times New Roman" w:cs="Times New Roman"/>
          <w:sz w:val="28"/>
        </w:rPr>
        <w:t xml:space="preserve"> </w:t>
      </w:r>
      <w:hyperlink r:id="rId28" w:history="1">
        <w:r w:rsidRPr="00C31143">
          <w:rPr>
            <w:rStyle w:val="Hyperlink"/>
            <w:rFonts w:ascii="Times New Roman" w:hAnsi="Times New Roman" w:cs="Times New Roman"/>
            <w:sz w:val="24"/>
            <w:szCs w:val="20"/>
            <w:shd w:val="clear" w:color="auto" w:fill="FFFFFF"/>
          </w:rPr>
          <w:t>https://link.springer.com/article/10.1007/s11186-020-09385-2</w:t>
        </w:r>
      </w:hyperlink>
    </w:p>
    <w:p w:rsidR="00EC1B7F" w:rsidRPr="00C31143" w:rsidRDefault="00EC1B7F" w:rsidP="00A245E7">
      <w:pPr>
        <w:spacing w:line="360" w:lineRule="auto"/>
        <w:jc w:val="both"/>
        <w:rPr>
          <w:rFonts w:ascii="Times New Roman" w:hAnsi="Times New Roman" w:cs="Times New Roman"/>
          <w:color w:val="222222"/>
          <w:sz w:val="24"/>
          <w:szCs w:val="20"/>
          <w:shd w:val="clear" w:color="auto" w:fill="FFFFFF"/>
        </w:rPr>
      </w:pPr>
      <w:r w:rsidRPr="00C31143">
        <w:rPr>
          <w:rFonts w:ascii="Times New Roman" w:hAnsi="Times New Roman" w:cs="Times New Roman"/>
          <w:color w:val="222222"/>
          <w:sz w:val="24"/>
          <w:szCs w:val="20"/>
          <w:shd w:val="clear" w:color="auto" w:fill="FFFFFF"/>
        </w:rPr>
        <w:t>Wong, H. (2019). China Capital Markets Open up: New Opportunities Bring Fresh Tax Challenges. </w:t>
      </w:r>
      <w:r w:rsidRPr="00C31143">
        <w:rPr>
          <w:rFonts w:ascii="Times New Roman" w:hAnsi="Times New Roman" w:cs="Times New Roman"/>
          <w:i/>
          <w:iCs/>
          <w:color w:val="222222"/>
          <w:sz w:val="24"/>
          <w:szCs w:val="20"/>
          <w:shd w:val="clear" w:color="auto" w:fill="FFFFFF"/>
        </w:rPr>
        <w:t>Int'l Tax Rev.</w:t>
      </w:r>
      <w:r w:rsidRPr="00C31143">
        <w:rPr>
          <w:rFonts w:ascii="Times New Roman" w:hAnsi="Times New Roman" w:cs="Times New Roman"/>
          <w:color w:val="222222"/>
          <w:sz w:val="24"/>
          <w:szCs w:val="20"/>
          <w:shd w:val="clear" w:color="auto" w:fill="FFFFFF"/>
        </w:rPr>
        <w:t>, </w:t>
      </w:r>
      <w:r w:rsidRPr="00C31143">
        <w:rPr>
          <w:rFonts w:ascii="Times New Roman" w:hAnsi="Times New Roman" w:cs="Times New Roman"/>
          <w:i/>
          <w:iCs/>
          <w:color w:val="222222"/>
          <w:sz w:val="24"/>
          <w:szCs w:val="20"/>
          <w:shd w:val="clear" w:color="auto" w:fill="FFFFFF"/>
        </w:rPr>
        <w:t>30</w:t>
      </w:r>
      <w:r w:rsidRPr="00C31143">
        <w:rPr>
          <w:rFonts w:ascii="Times New Roman" w:hAnsi="Times New Roman" w:cs="Times New Roman"/>
          <w:color w:val="222222"/>
          <w:sz w:val="24"/>
          <w:szCs w:val="20"/>
          <w:shd w:val="clear" w:color="auto" w:fill="FFFFFF"/>
        </w:rPr>
        <w:t>, 42.</w:t>
      </w:r>
      <w:r w:rsidRPr="00C31143">
        <w:rPr>
          <w:rFonts w:ascii="Times New Roman" w:hAnsi="Times New Roman" w:cs="Times New Roman"/>
          <w:sz w:val="28"/>
        </w:rPr>
        <w:t xml:space="preserve"> </w:t>
      </w:r>
      <w:hyperlink r:id="rId29" w:history="1">
        <w:r w:rsidRPr="00C31143">
          <w:rPr>
            <w:rStyle w:val="Hyperlink"/>
            <w:rFonts w:ascii="Times New Roman" w:hAnsi="Times New Roman" w:cs="Times New Roman"/>
            <w:sz w:val="24"/>
            <w:szCs w:val="20"/>
            <w:shd w:val="clear" w:color="auto" w:fill="FFFFFF"/>
          </w:rPr>
          <w:t>https://heinonline.org/hol-cgi-bin/get_pdf.cgi?handle=hein.journals/intaxr30&amp;section=267</w:t>
        </w:r>
      </w:hyperlink>
    </w:p>
    <w:sectPr w:rsidR="00EC1B7F" w:rsidRPr="00C31143">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6C2" w:rsidRDefault="002E36C2" w:rsidP="00B32A20">
      <w:pPr>
        <w:spacing w:after="0" w:line="240" w:lineRule="auto"/>
      </w:pPr>
      <w:r>
        <w:separator/>
      </w:r>
    </w:p>
  </w:endnote>
  <w:endnote w:type="continuationSeparator" w:id="0">
    <w:p w:rsidR="002E36C2" w:rsidRDefault="002E36C2" w:rsidP="00B32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6C2" w:rsidRDefault="002E36C2" w:rsidP="00B32A20">
      <w:pPr>
        <w:spacing w:after="0" w:line="240" w:lineRule="auto"/>
      </w:pPr>
      <w:r>
        <w:separator/>
      </w:r>
    </w:p>
  </w:footnote>
  <w:footnote w:type="continuationSeparator" w:id="0">
    <w:p w:rsidR="002E36C2" w:rsidRDefault="002E36C2" w:rsidP="00B32A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311023"/>
      <w:docPartObj>
        <w:docPartGallery w:val="Page Numbers (Top of Page)"/>
        <w:docPartUnique/>
      </w:docPartObj>
    </w:sdtPr>
    <w:sdtEndPr>
      <w:rPr>
        <w:noProof/>
      </w:rPr>
    </w:sdtEndPr>
    <w:sdtContent>
      <w:p w:rsidR="00C17E61" w:rsidRDefault="00C17E61">
        <w:pPr>
          <w:pStyle w:val="Header"/>
          <w:jc w:val="right"/>
        </w:pPr>
        <w:r>
          <w:fldChar w:fldCharType="begin"/>
        </w:r>
        <w:r>
          <w:instrText xml:space="preserve"> PAGE   \* MERGEFORMAT </w:instrText>
        </w:r>
        <w:r>
          <w:fldChar w:fldCharType="separate"/>
        </w:r>
        <w:r>
          <w:rPr>
            <w:noProof/>
          </w:rPr>
          <w:t>11</w:t>
        </w:r>
        <w:r>
          <w:rPr>
            <w:noProof/>
          </w:rPr>
          <w:fldChar w:fldCharType="end"/>
        </w:r>
      </w:p>
    </w:sdtContent>
  </w:sdt>
  <w:p w:rsidR="00C17E61" w:rsidRDefault="00C17E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1pt;height:11pt" o:bullet="t">
        <v:imagedata r:id="rId1" o:title="msoD5A8"/>
      </v:shape>
    </w:pict>
  </w:numPicBullet>
  <w:abstractNum w:abstractNumId="0" w15:restartNumberingAfterBreak="0">
    <w:nsid w:val="75C138BC"/>
    <w:multiLevelType w:val="hybridMultilevel"/>
    <w:tmpl w:val="99B2D9F0"/>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77F"/>
    <w:rsid w:val="000F6887"/>
    <w:rsid w:val="002E36C2"/>
    <w:rsid w:val="0031236F"/>
    <w:rsid w:val="00335FA9"/>
    <w:rsid w:val="003C61B1"/>
    <w:rsid w:val="00560552"/>
    <w:rsid w:val="007F14AD"/>
    <w:rsid w:val="009C2862"/>
    <w:rsid w:val="009F177F"/>
    <w:rsid w:val="00A245E7"/>
    <w:rsid w:val="00B32A20"/>
    <w:rsid w:val="00B826A2"/>
    <w:rsid w:val="00C17E61"/>
    <w:rsid w:val="00C31143"/>
    <w:rsid w:val="00CC1E34"/>
    <w:rsid w:val="00EC1B7F"/>
    <w:rsid w:val="00F938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623750-764F-400B-A684-89D6775D8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335FA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C311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C2862"/>
    <w:pPr>
      <w:keepNext/>
      <w:keepLines/>
      <w:spacing w:before="40" w:after="0" w:line="360" w:lineRule="auto"/>
      <w:jc w:val="both"/>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FA9"/>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9C2862"/>
    <w:rPr>
      <w:rFonts w:ascii="Times New Roman" w:eastAsiaTheme="majorEastAsia" w:hAnsi="Times New Roman" w:cstheme="majorBidi"/>
      <w:b/>
      <w:color w:val="000000" w:themeColor="text1"/>
      <w:sz w:val="24"/>
      <w:szCs w:val="24"/>
      <w:lang w:val="en-GB"/>
    </w:rPr>
  </w:style>
  <w:style w:type="paragraph" w:styleId="ListParagraph">
    <w:name w:val="List Paragraph"/>
    <w:basedOn w:val="Normal"/>
    <w:uiPriority w:val="34"/>
    <w:qFormat/>
    <w:rsid w:val="00A245E7"/>
    <w:pPr>
      <w:ind w:left="720"/>
      <w:contextualSpacing/>
    </w:pPr>
  </w:style>
  <w:style w:type="paragraph" w:styleId="TOCHeading">
    <w:name w:val="TOC Heading"/>
    <w:basedOn w:val="Heading1"/>
    <w:next w:val="Normal"/>
    <w:uiPriority w:val="39"/>
    <w:unhideWhenUsed/>
    <w:qFormat/>
    <w:rsid w:val="00C31143"/>
    <w:pPr>
      <w:spacing w:line="259" w:lineRule="auto"/>
      <w:jc w:val="left"/>
      <w:outlineLvl w:val="9"/>
    </w:pPr>
    <w:rPr>
      <w:rFonts w:asciiTheme="majorHAnsi" w:hAnsiTheme="majorHAnsi"/>
      <w:b w:val="0"/>
      <w:color w:val="2E74B5" w:themeColor="accent1" w:themeShade="BF"/>
      <w:sz w:val="32"/>
      <w:lang w:val="en-US"/>
    </w:rPr>
  </w:style>
  <w:style w:type="character" w:customStyle="1" w:styleId="Heading2Char">
    <w:name w:val="Heading 2 Char"/>
    <w:basedOn w:val="DefaultParagraphFont"/>
    <w:link w:val="Heading2"/>
    <w:uiPriority w:val="9"/>
    <w:rsid w:val="00C31143"/>
    <w:rPr>
      <w:rFonts w:asciiTheme="majorHAnsi" w:eastAsiaTheme="majorEastAsia" w:hAnsiTheme="majorHAnsi" w:cstheme="majorBidi"/>
      <w:color w:val="2E74B5" w:themeColor="accent1" w:themeShade="BF"/>
      <w:sz w:val="26"/>
      <w:szCs w:val="26"/>
      <w:lang w:val="en-GB"/>
    </w:rPr>
  </w:style>
  <w:style w:type="character" w:styleId="Hyperlink">
    <w:name w:val="Hyperlink"/>
    <w:basedOn w:val="DefaultParagraphFont"/>
    <w:uiPriority w:val="99"/>
    <w:unhideWhenUsed/>
    <w:rsid w:val="00C31143"/>
    <w:rPr>
      <w:color w:val="0563C1" w:themeColor="hyperlink"/>
      <w:u w:val="single"/>
    </w:rPr>
  </w:style>
  <w:style w:type="paragraph" w:styleId="TOC1">
    <w:name w:val="toc 1"/>
    <w:basedOn w:val="Normal"/>
    <w:next w:val="Normal"/>
    <w:autoRedefine/>
    <w:uiPriority w:val="39"/>
    <w:unhideWhenUsed/>
    <w:rsid w:val="00B32A20"/>
    <w:pPr>
      <w:spacing w:after="100"/>
    </w:pPr>
  </w:style>
  <w:style w:type="paragraph" w:styleId="Header">
    <w:name w:val="header"/>
    <w:basedOn w:val="Normal"/>
    <w:link w:val="HeaderChar"/>
    <w:uiPriority w:val="99"/>
    <w:unhideWhenUsed/>
    <w:rsid w:val="00B32A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A20"/>
    <w:rPr>
      <w:lang w:val="en-GB"/>
    </w:rPr>
  </w:style>
  <w:style w:type="paragraph" w:styleId="Footer">
    <w:name w:val="footer"/>
    <w:basedOn w:val="Normal"/>
    <w:link w:val="FooterChar"/>
    <w:uiPriority w:val="99"/>
    <w:unhideWhenUsed/>
    <w:rsid w:val="00B32A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A2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01195">
      <w:bodyDiv w:val="1"/>
      <w:marLeft w:val="0"/>
      <w:marRight w:val="0"/>
      <w:marTop w:val="0"/>
      <w:marBottom w:val="0"/>
      <w:divBdr>
        <w:top w:val="none" w:sz="0" w:space="0" w:color="auto"/>
        <w:left w:val="none" w:sz="0" w:space="0" w:color="auto"/>
        <w:bottom w:val="none" w:sz="0" w:space="0" w:color="auto"/>
        <w:right w:val="none" w:sz="0" w:space="0" w:color="auto"/>
      </w:divBdr>
    </w:div>
    <w:div w:id="400568302">
      <w:bodyDiv w:val="1"/>
      <w:marLeft w:val="0"/>
      <w:marRight w:val="0"/>
      <w:marTop w:val="0"/>
      <w:marBottom w:val="0"/>
      <w:divBdr>
        <w:top w:val="none" w:sz="0" w:space="0" w:color="auto"/>
        <w:left w:val="none" w:sz="0" w:space="0" w:color="auto"/>
        <w:bottom w:val="none" w:sz="0" w:space="0" w:color="auto"/>
        <w:right w:val="none" w:sz="0" w:space="0" w:color="auto"/>
      </w:divBdr>
    </w:div>
    <w:div w:id="125174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1911-8074/15/10/482" TargetMode="External"/><Relationship Id="rId13" Type="http://schemas.openxmlformats.org/officeDocument/2006/relationships/hyperlink" Target="https://www.academia.edu/download/64455894/BBS_2020_01_Ghosh.pdf" TargetMode="External"/><Relationship Id="rId18" Type="http://schemas.openxmlformats.org/officeDocument/2006/relationships/hyperlink" Target="https://www.sciencedirect.com/science/article/pii/S0264999322002759" TargetMode="External"/><Relationship Id="rId26" Type="http://schemas.openxmlformats.org/officeDocument/2006/relationships/hyperlink" Target="http://dspace.unza.zm/handle/123456789/7527" TargetMode="External"/><Relationship Id="rId3" Type="http://schemas.openxmlformats.org/officeDocument/2006/relationships/styles" Target="styles.xml"/><Relationship Id="rId21" Type="http://schemas.openxmlformats.org/officeDocument/2006/relationships/hyperlink" Target="https://www.tandfonline.com/doi/abs/10.1080/00076791.2021.1907347" TargetMode="External"/><Relationship Id="rId7" Type="http://schemas.openxmlformats.org/officeDocument/2006/relationships/endnotes" Target="endnotes.xml"/><Relationship Id="rId12" Type="http://schemas.openxmlformats.org/officeDocument/2006/relationships/hyperlink" Target="https://www.inderscienceonline.com/doi/abs/10.1504/AAJFA.2020.106258" TargetMode="External"/><Relationship Id="rId17" Type="http://schemas.openxmlformats.org/officeDocument/2006/relationships/hyperlink" Target="https://www.ceeol.com/search/article-detail?id=983519" TargetMode="External"/><Relationship Id="rId25" Type="http://schemas.openxmlformats.org/officeDocument/2006/relationships/hyperlink" Target="https://www.sciencedirect.com/science/article/pii/S0264999319306923" TargetMode="External"/><Relationship Id="rId2" Type="http://schemas.openxmlformats.org/officeDocument/2006/relationships/numbering" Target="numbering.xml"/><Relationship Id="rId16" Type="http://schemas.openxmlformats.org/officeDocument/2006/relationships/hyperlink" Target="https://essuir.sumdu.edu.ua/bitstream/123456789/85057/1/ISPC_SEC_2021.pdf#page=59" TargetMode="External"/><Relationship Id="rId20" Type="http://schemas.openxmlformats.org/officeDocument/2006/relationships/hyperlink" Target="https://mpra.ub.uni-muenchen.de/id/eprint/95994" TargetMode="External"/><Relationship Id="rId29" Type="http://schemas.openxmlformats.org/officeDocument/2006/relationships/hyperlink" Target="https://heinonline.org/hol-cgi-bin/get_pdf.cgi?handle=hein.journals/intaxr30&amp;section=2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911708" TargetMode="External"/><Relationship Id="rId24" Type="http://schemas.openxmlformats.org/officeDocument/2006/relationships/hyperlink" Target="https://link.springer.com/chapter/10.1007/978-1-4842-7866-6_1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pers.ssrn.com/sol3/papers.cfm?abstract_id=3862061" TargetMode="External"/><Relationship Id="rId23" Type="http://schemas.openxmlformats.org/officeDocument/2006/relationships/hyperlink" Target="https://www.emerald.com/insight/content/doi/10.1108/PAR-08-2020-0114/full/html" TargetMode="External"/><Relationship Id="rId28" Type="http://schemas.openxmlformats.org/officeDocument/2006/relationships/hyperlink" Target="https://link.springer.com/article/10.1007/s11186-020-09385-2" TargetMode="External"/><Relationship Id="rId10" Type="http://schemas.openxmlformats.org/officeDocument/2006/relationships/hyperlink" Target="https://home.barclays/content/dam/home-barclays/documents/investor-relations/ResultAnnouncements/HY2022/20220728-About-Barclays-H122.pdf" TargetMode="External"/><Relationship Id="rId19" Type="http://schemas.openxmlformats.org/officeDocument/2006/relationships/hyperlink" Target="https://jwm.pm-research.com/content/24/4/74/tab-pdf-disaabled"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iencedirect.com/science/article/pii/S0929119920301449" TargetMode="External"/><Relationship Id="rId14" Type="http://schemas.openxmlformats.org/officeDocument/2006/relationships/hyperlink" Target="http://inter-publishing.com/index.php/ijbde/article/view/284" TargetMode="External"/><Relationship Id="rId22" Type="http://schemas.openxmlformats.org/officeDocument/2006/relationships/hyperlink" Target="http://155.0.3.194:8080/jspui/handle/123456789/362" TargetMode="External"/><Relationship Id="rId27" Type="http://schemas.openxmlformats.org/officeDocument/2006/relationships/hyperlink" Target="https://iopscience.iop.org/article/10.1088/1742-6596/2032/1/012129/meta" TargetMode="External"/><Relationship Id="rId3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342C2-2259-41E8-978C-0A9F3103E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18</Pages>
  <Words>5996</Words>
  <Characters>34180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cp:revision>
  <dcterms:created xsi:type="dcterms:W3CDTF">2023-04-13T09:17:00Z</dcterms:created>
  <dcterms:modified xsi:type="dcterms:W3CDTF">2023-04-13T11:54:00Z</dcterms:modified>
</cp:coreProperties>
</file>