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BCF315" w14:textId="3935EC06" w:rsidR="00974403" w:rsidRDefault="006C71A3">
      <w:r>
        <w:t>Samuel Bonnici</w:t>
      </w:r>
    </w:p>
    <w:p w14:paraId="08BB3B89" w14:textId="77777777" w:rsidR="006C71A3" w:rsidRPr="002105F5" w:rsidRDefault="006C71A3" w:rsidP="006C71A3">
      <w:pPr>
        <w:spacing w:line="360" w:lineRule="auto"/>
        <w:rPr>
          <w:rFonts w:ascii="Arial" w:hAnsi="Arial" w:cs="Arial"/>
          <w:color w:val="000000" w:themeColor="text1"/>
        </w:rPr>
      </w:pPr>
      <w:r w:rsidRPr="002105F5">
        <w:rPr>
          <w:rFonts w:ascii="Arial" w:hAnsi="Arial" w:cs="Arial"/>
          <w:color w:val="000000" w:themeColor="text1"/>
        </w:rPr>
        <w:t>Principles of Teaching, Learning and Assessment in PCET.</w:t>
      </w:r>
    </w:p>
    <w:p w14:paraId="11E7B33D" w14:textId="77777777" w:rsidR="006C71A3" w:rsidRPr="002105F5" w:rsidRDefault="006C71A3" w:rsidP="006C71A3">
      <w:pPr>
        <w:spacing w:line="360" w:lineRule="auto"/>
        <w:rPr>
          <w:rFonts w:ascii="Arial" w:hAnsi="Arial" w:cs="Arial"/>
          <w:color w:val="000000" w:themeColor="text1"/>
        </w:rPr>
      </w:pPr>
      <w:r w:rsidRPr="002105F5">
        <w:rPr>
          <w:rFonts w:ascii="Arial" w:hAnsi="Arial" w:cs="Arial"/>
          <w:color w:val="000000" w:themeColor="text1"/>
        </w:rPr>
        <w:t>Assignment 1: Submission 1</w:t>
      </w:r>
    </w:p>
    <w:p w14:paraId="00D3F50B" w14:textId="77777777" w:rsidR="006C71A3" w:rsidRPr="002105F5" w:rsidRDefault="006C71A3" w:rsidP="006C71A3">
      <w:pPr>
        <w:spacing w:line="360" w:lineRule="auto"/>
        <w:rPr>
          <w:rFonts w:ascii="Arial" w:hAnsi="Arial" w:cs="Arial"/>
          <w:color w:val="000000" w:themeColor="text1"/>
        </w:rPr>
      </w:pPr>
      <w:r w:rsidRPr="002105F5">
        <w:rPr>
          <w:rFonts w:ascii="Arial" w:hAnsi="Arial" w:cs="Arial"/>
          <w:color w:val="000000" w:themeColor="text1"/>
        </w:rPr>
        <w:t>Critical Reflection</w:t>
      </w:r>
    </w:p>
    <w:p w14:paraId="49522FA6" w14:textId="30AC8079" w:rsidR="006C71A3" w:rsidRDefault="006C71A3">
      <w:r>
        <w:t xml:space="preserve">Student no. </w:t>
      </w:r>
      <w:r w:rsidRPr="006C71A3">
        <w:t>2518068</w:t>
      </w:r>
    </w:p>
    <w:p w14:paraId="4142A6AD" w14:textId="2A943CFE" w:rsidR="006C71A3" w:rsidRDefault="006C71A3">
      <w:r>
        <w:rPr>
          <w:noProof/>
        </w:rPr>
        <mc:AlternateContent>
          <mc:Choice Requires="wps">
            <w:drawing>
              <wp:anchor distT="0" distB="0" distL="114300" distR="114300" simplePos="0" relativeHeight="251658240" behindDoc="0" locked="0" layoutInCell="1" allowOverlap="1" wp14:anchorId="13F4B19F" wp14:editId="2B70DC16">
                <wp:simplePos x="0" y="0"/>
                <wp:positionH relativeFrom="column">
                  <wp:posOffset>-82550</wp:posOffset>
                </wp:positionH>
                <wp:positionV relativeFrom="paragraph">
                  <wp:posOffset>240665</wp:posOffset>
                </wp:positionV>
                <wp:extent cx="5803900" cy="50800"/>
                <wp:effectExtent l="19050" t="19050" r="25400" b="25400"/>
                <wp:wrapNone/>
                <wp:docPr id="1025491154" name="Straight Connector 1"/>
                <wp:cNvGraphicFramePr/>
                <a:graphic xmlns:a="http://schemas.openxmlformats.org/drawingml/2006/main">
                  <a:graphicData uri="http://schemas.microsoft.com/office/word/2010/wordprocessingShape">
                    <wps:wsp>
                      <wps:cNvCnPr/>
                      <wps:spPr>
                        <a:xfrm flipV="1">
                          <a:off x="0" y="0"/>
                          <a:ext cx="5803900" cy="5080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991902"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6.5pt,18.95pt" to="450.5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" strokecolor="#156082 [3204]" strokeweight="3pt">
                <v:stroke joinstyle="miter"/>
              </v:line>
            </w:pict>
          </mc:Fallback>
        </mc:AlternateContent>
      </w:r>
    </w:p>
    <w:p w14:paraId="06F3650F" w14:textId="77777777" w:rsidR="006C71A3" w:rsidRDefault="006C71A3"/>
    <w:p w14:paraId="01F29EE6" w14:textId="77777777" w:rsidR="006C71A3" w:rsidRPr="006C71A3" w:rsidRDefault="006C71A3" w:rsidP="006C71A3">
      <w:pPr>
        <w:rPr>
          <w:b/>
          <w:bCs/>
        </w:rPr>
      </w:pPr>
      <w:r w:rsidRPr="006C71A3">
        <w:rPr>
          <w:b/>
          <w:bCs/>
        </w:rPr>
        <w:t>Introduction</w:t>
      </w:r>
    </w:p>
    <w:p w14:paraId="750F777B" w14:textId="53C67C93" w:rsidR="006C71A3" w:rsidRDefault="006C71A3" w:rsidP="006C71A3">
      <w:r>
        <w:t>This reflective account evaluates a Hate Crime Awareness session delivered to operational police officers within Gwent Police. Drawing on my role as a Detective Sergeant within Crime Training, the session was delivered using a facilitative, discussion-led approach grounded in operational experience. The aim was to develop learners’ ability to make defensible decisions, apply the perception test, and understand the wider impact of hate crime on victims and communities. This reflection critically analyses teaching strategies, learner engagement, assessment approaches, and peer feedback to identify strengths and areas for development.</w:t>
      </w:r>
    </w:p>
    <w:p w14:paraId="7152D861" w14:textId="77777777" w:rsidR="006C71A3" w:rsidRDefault="006C71A3" w:rsidP="006C71A3"/>
    <w:p w14:paraId="008D45F4" w14:textId="77777777" w:rsidR="006C71A3" w:rsidRPr="006C71A3" w:rsidRDefault="006C71A3" w:rsidP="006C71A3">
      <w:pPr>
        <w:rPr>
          <w:b/>
          <w:bCs/>
        </w:rPr>
      </w:pPr>
      <w:r w:rsidRPr="006C71A3">
        <w:rPr>
          <w:b/>
          <w:bCs/>
        </w:rPr>
        <w:t>Professional Context and Rationale</w:t>
      </w:r>
    </w:p>
    <w:p w14:paraId="46C15C62" w14:textId="77777777" w:rsidR="006C71A3" w:rsidRPr="006C71A3" w:rsidRDefault="006C71A3" w:rsidP="006C71A3">
      <w:r w:rsidRPr="006C71A3">
        <w:t>The session was delivered within the context of increasing organisational focus on Equality, Diversity and Inclusion (EDI), alongside heightened scrutiny of policing following high-profile incidents and movements such as Black Lives Matter. HMIC expectations reinforce the need for officers to demonstrate competence in identifying and responding to hate crime.</w:t>
      </w:r>
    </w:p>
    <w:p w14:paraId="03020508" w14:textId="585E02DB" w:rsidR="006C71A3" w:rsidRDefault="006C71A3" w:rsidP="006C71A3">
      <w:r w:rsidRPr="006C71A3">
        <w:t>Drawing on my experience of supervising investigations, I structured the session around realistic operational scenarios to mirror decision-making in practice</w:t>
      </w:r>
      <w:r w:rsidR="006A6A1B">
        <w:t>.</w:t>
      </w:r>
    </w:p>
    <w:p w14:paraId="4A695341" w14:textId="77777777" w:rsidR="002D74A0" w:rsidRPr="002D74A0" w:rsidRDefault="002D74A0" w:rsidP="002D74A0">
      <w:r w:rsidRPr="002D74A0">
        <w:t>As outlined within the lesson plan, the session progressed from foundational legal knowledge into applied operational decision-making, enabling learners to gradually build confidence and understanding throughout the session.</w:t>
      </w:r>
    </w:p>
    <w:p w14:paraId="0E29E0D6" w14:textId="77777777" w:rsidR="006C71A3" w:rsidRDefault="006C71A3" w:rsidP="006C71A3">
      <w:r w:rsidRPr="006C71A3">
        <w:t>This aligns with Knowles’ (1984) principle that adult learners are motivated by relevant, problem-centred learning. However, while andragogy promotes learner autonomy, it arguably overstates independence in structured environments such as policing, where consistency and compliance are required. Consequently, elements of direct instruction were necessary to ensure clarity around legal thresholds.</w:t>
      </w:r>
    </w:p>
    <w:p w14:paraId="6C4DE07E" w14:textId="40DBAAA1" w:rsidR="006C71A3" w:rsidRPr="006C71A3" w:rsidRDefault="006C71A3" w:rsidP="006C71A3">
      <w:pPr>
        <w:rPr>
          <w:b/>
          <w:bCs/>
        </w:rPr>
      </w:pPr>
      <w:r w:rsidRPr="006C71A3">
        <w:rPr>
          <w:b/>
          <w:bCs/>
        </w:rPr>
        <w:lastRenderedPageBreak/>
        <w:t>Considerations in Teaching Adult Learners</w:t>
      </w:r>
    </w:p>
    <w:p w14:paraId="02AA370A" w14:textId="77777777" w:rsidR="006C71A3" w:rsidRPr="006C71A3" w:rsidRDefault="006C71A3" w:rsidP="006C71A3">
      <w:r w:rsidRPr="006C71A3">
        <w:t>My delivery style is experience-led, encouraging learners to draw on their own operational knowledge. This was reflected in the use of facilitated discussion and real-world examples rather than reliance on presentation slides. Learner feedback supports this approach:</w:t>
      </w:r>
    </w:p>
    <w:p w14:paraId="570E3873" w14:textId="170B669C" w:rsidR="006C71A3" w:rsidRPr="006C71A3" w:rsidRDefault="006C71A3" w:rsidP="006C71A3">
      <w:r w:rsidRPr="006C71A3">
        <w:t xml:space="preserve">“The session was not over dependent on </w:t>
      </w:r>
      <w:r w:rsidR="00C80C83">
        <w:t xml:space="preserve">PowerPoint </w:t>
      </w:r>
      <w:r w:rsidRPr="006C71A3">
        <w:t>slides and it was good to use real operational experience as a way of learning.”</w:t>
      </w:r>
    </w:p>
    <w:p w14:paraId="579867FF" w14:textId="77777777" w:rsidR="006C71A3" w:rsidRDefault="006C71A3" w:rsidP="006C71A3">
      <w:r w:rsidRPr="006C71A3">
        <w:t>This aligns with Race (2014), who emphasises active engagement in adult learning. However, Avis (2020) notes that not all adult learners are equally self-directed. This was evident in varying levels of participation, reinforcing the need for structured facilitation to ensure inclusive engagement.</w:t>
      </w:r>
    </w:p>
    <w:p w14:paraId="3FE81159" w14:textId="77777777" w:rsidR="006C71A3" w:rsidRDefault="006C71A3" w:rsidP="006C71A3"/>
    <w:p w14:paraId="14E2BAD0" w14:textId="77777777" w:rsidR="006C71A3" w:rsidRPr="006C71A3" w:rsidRDefault="006C71A3" w:rsidP="006C71A3">
      <w:pPr>
        <w:rPr>
          <w:b/>
          <w:bCs/>
        </w:rPr>
      </w:pPr>
      <w:r w:rsidRPr="006C71A3">
        <w:rPr>
          <w:b/>
          <w:bCs/>
        </w:rPr>
        <w:t>Meeting Learner Needs and Learning Environment</w:t>
      </w:r>
    </w:p>
    <w:p w14:paraId="59256ECA" w14:textId="77777777" w:rsidR="006C71A3" w:rsidRPr="006C71A3" w:rsidRDefault="006C71A3" w:rsidP="006C71A3">
      <w:r w:rsidRPr="006C71A3">
        <w:t>The cohort included officers with varied experience levels, requiring a differentiated approach. Scenario-based learning enabled engagement at different cognitive levels, consistent with Bloom’s taxonomy.</w:t>
      </w:r>
    </w:p>
    <w:p w14:paraId="0C182230" w14:textId="77777777" w:rsidR="006C71A3" w:rsidRPr="006C71A3" w:rsidRDefault="006C71A3" w:rsidP="006C71A3">
      <w:r w:rsidRPr="006C71A3">
        <w:t>The Hydra exercise was particularly effective:</w:t>
      </w:r>
    </w:p>
    <w:p w14:paraId="14E44702" w14:textId="77777777" w:rsidR="006C71A3" w:rsidRPr="006C71A3" w:rsidRDefault="006C71A3" w:rsidP="006C71A3">
      <w:r w:rsidRPr="006C71A3">
        <w:t>“The hydra exercise helped put the learning into a practical operational context.”</w:t>
      </w:r>
    </w:p>
    <w:p w14:paraId="1484DAB7" w14:textId="77777777" w:rsidR="006C71A3" w:rsidRPr="006C71A3" w:rsidRDefault="006C71A3" w:rsidP="006C71A3">
      <w:r w:rsidRPr="006C71A3">
        <w:t>This reflects Kolb’s (1984) experiential learning model. However, Kolb assumes learners can reflect effectively on experience, which was not consistent across the group, suggesting the need for scaffolding (Vygotsky).</w:t>
      </w:r>
    </w:p>
    <w:p w14:paraId="47C760CB" w14:textId="77777777" w:rsidR="006C71A3" w:rsidRPr="006C71A3" w:rsidRDefault="006C71A3" w:rsidP="006C71A3">
      <w:r w:rsidRPr="006C71A3">
        <w:t>Given the sensitive nature of hate crime, establishing a safe learning environment was essential. This was reflected in feedback:</w:t>
      </w:r>
    </w:p>
    <w:p w14:paraId="46D91C12" w14:textId="77777777" w:rsidR="006C71A3" w:rsidRPr="006C71A3" w:rsidRDefault="006C71A3" w:rsidP="006C71A3">
      <w:r w:rsidRPr="006C71A3">
        <w:t>“The input allowed for open discussion on what is a sensitive topic in a safe environment.”</w:t>
      </w:r>
    </w:p>
    <w:p w14:paraId="1216AD97" w14:textId="77777777" w:rsidR="006C71A3" w:rsidRDefault="006C71A3" w:rsidP="006C71A3">
      <w:r w:rsidRPr="006C71A3">
        <w:t>This aligns with Maslow’s concept of psychological safety, although it has been criticised for lacking empirical robustness. While open discussion supported engagement, it also allowed dominant voices to emerge, highlighting the need for more structured facilitation.</w:t>
      </w:r>
    </w:p>
    <w:p w14:paraId="1E716260" w14:textId="77777777" w:rsidR="006C71A3" w:rsidRDefault="006C71A3" w:rsidP="006C71A3"/>
    <w:p w14:paraId="38B03B66" w14:textId="77777777" w:rsidR="005C111C" w:rsidRPr="005C111C" w:rsidRDefault="005C111C" w:rsidP="005C111C">
      <w:pPr>
        <w:rPr>
          <w:b/>
          <w:bCs/>
        </w:rPr>
      </w:pPr>
      <w:r w:rsidRPr="005C111C">
        <w:rPr>
          <w:b/>
          <w:bCs/>
        </w:rPr>
        <w:t>Teaching, Learning and Communication Strategies</w:t>
      </w:r>
    </w:p>
    <w:p w14:paraId="4ADDE2EA" w14:textId="3710CD81" w:rsidR="0065340A" w:rsidRPr="0065340A" w:rsidRDefault="005C111C" w:rsidP="0065340A">
      <w:r w:rsidRPr="005C111C">
        <w:t xml:space="preserve">Kolb’s (1984) experiential learning cycle underpinned the session, supported by constructivist principles (Avis, 2020), enabling learners to build understanding through discussion. Bloom’s taxonomy structured progression from understanding to </w:t>
      </w:r>
      <w:r w:rsidRPr="005C111C">
        <w:lastRenderedPageBreak/>
        <w:t>evaluation</w:t>
      </w:r>
      <w:r w:rsidR="001E669F">
        <w:t xml:space="preserve">.  </w:t>
      </w:r>
      <w:r w:rsidR="0065340A" w:rsidRPr="0065340A">
        <w:t>The sequencing of legal definitions, statistical analysis, scenario discussions, and experiential activities reflected Bloom’s taxonomy by moving learners from knowledge acquisition towards evaluation and justification of professional decisions.</w:t>
      </w:r>
    </w:p>
    <w:p w14:paraId="1BF22604" w14:textId="77777777" w:rsidR="0065340A" w:rsidRPr="005C111C" w:rsidRDefault="0065340A" w:rsidP="005C111C"/>
    <w:p w14:paraId="43D11654" w14:textId="77777777" w:rsidR="005C111C" w:rsidRPr="005C111C" w:rsidRDefault="005C111C" w:rsidP="005C111C">
      <w:r w:rsidRPr="005C111C">
        <w:t>While constructivist approaches promoted engagement, they risk inconsistency if not carefully facilitated. Behaviourist methods, particularly when delivering legal definitions, ensured clarity and standardisation. This highlights the need for a blended pedagogical approach.</w:t>
      </w:r>
    </w:p>
    <w:p w14:paraId="47527C24" w14:textId="77777777" w:rsidR="005C111C" w:rsidRDefault="005C111C" w:rsidP="005C111C">
      <w:r w:rsidRPr="005C111C">
        <w:t>My communication style is conversational and facilitative, encouraging participation through questioning. However, open questioning allowed more confident learners to dominate. More structured approaches, such as directed questioning, are required to ensure inclusive engagement.</w:t>
      </w:r>
    </w:p>
    <w:p w14:paraId="34E9CFA6" w14:textId="2AB02D53" w:rsidR="00151054" w:rsidRDefault="00176952" w:rsidP="005C111C">
      <w:r w:rsidRPr="00176952">
        <w:t>Although open discussion promoted engagement and professional debate, quieter learners may have benefited from more structured collaborative techniques such as think-pair-share activities before wider group discussion.</w:t>
      </w:r>
    </w:p>
    <w:p w14:paraId="3B671E75" w14:textId="77777777" w:rsidR="005C111C" w:rsidRDefault="005C111C" w:rsidP="005C111C"/>
    <w:p w14:paraId="7694B3F0" w14:textId="77777777" w:rsidR="005C111C" w:rsidRPr="005C111C" w:rsidRDefault="005C111C" w:rsidP="005C111C">
      <w:pPr>
        <w:rPr>
          <w:b/>
          <w:bCs/>
        </w:rPr>
      </w:pPr>
      <w:r w:rsidRPr="005C111C">
        <w:rPr>
          <w:b/>
          <w:bCs/>
        </w:rPr>
        <w:t>Assessment Strategies</w:t>
      </w:r>
    </w:p>
    <w:p w14:paraId="41C7FF4A" w14:textId="77777777" w:rsidR="005C111C" w:rsidRPr="005C111C" w:rsidRDefault="005C111C" w:rsidP="005C111C">
      <w:r w:rsidRPr="005C111C">
        <w:t>Assessment was primarily formative, embedded within scenario-based discussion, aligning with Black and Wiliam’s (1998) concept of assessment for learning. The Hydra exercise provided an effective tool for assessing decision-making in real time.</w:t>
      </w:r>
    </w:p>
    <w:p w14:paraId="30999286" w14:textId="4BAEDEB6" w:rsidR="005C111C" w:rsidRDefault="005C111C" w:rsidP="005C111C">
      <w:r w:rsidRPr="005C111C">
        <w:t xml:space="preserve">However, </w:t>
      </w:r>
      <w:r w:rsidR="00DA4602" w:rsidRPr="00DA4602">
        <w:t>reliance solely on formative assessment may limit the ability to evidence competence consistently across the cohort</w:t>
      </w:r>
      <w:r w:rsidRPr="005C111C">
        <w:t>. Summative assessment provides measurable outcomes but may reduce opportunities for ongoing learning. A balanced approach is therefore required.</w:t>
      </w:r>
    </w:p>
    <w:p w14:paraId="33AE56A9" w14:textId="77777777" w:rsidR="000818E1" w:rsidRPr="000818E1" w:rsidRDefault="000818E1" w:rsidP="000818E1">
      <w:pPr>
        <w:rPr>
          <w:b/>
          <w:bCs/>
        </w:rPr>
      </w:pPr>
      <w:r w:rsidRPr="000818E1">
        <w:rPr>
          <w:b/>
          <w:bCs/>
        </w:rPr>
        <w:t>Diagnostic Assessment</w:t>
      </w:r>
    </w:p>
    <w:p w14:paraId="423F64DD" w14:textId="77777777" w:rsidR="000818E1" w:rsidRPr="000818E1" w:rsidRDefault="000818E1" w:rsidP="000818E1">
      <w:r w:rsidRPr="000818E1">
        <w:t>Initial questioning during discussion of national and local hate crime statistics was used to assess learners’ prior knowledge, assumptions, and operational experiences relating to hate crime trends and reporting levels. This aligns with Black and Wiliam’s (1998) concept of assessment for learning, where assessment is used to inform teaching and identify learner understanding before progressing further.</w:t>
      </w:r>
    </w:p>
    <w:p w14:paraId="150D5977" w14:textId="77777777" w:rsidR="000818E1" w:rsidRPr="000818E1" w:rsidRDefault="000818E1" w:rsidP="000818E1">
      <w:r w:rsidRPr="000818E1">
        <w:t>The use of discussion around statistics also reflects constructivist theory, as learners built understanding collaboratively through discussion and reflection on operational practice (Avis, 2020). Additionally, Mezirow’s theory of transformative learning suggests that exposure to challenging perspectives and critical discussion can encourage learners to reconsider existing assumptions and beliefs.</w:t>
      </w:r>
    </w:p>
    <w:p w14:paraId="3C2DE247" w14:textId="77777777" w:rsidR="000818E1" w:rsidRPr="000818E1" w:rsidRDefault="000818E1" w:rsidP="000818E1">
      <w:pPr>
        <w:rPr>
          <w:b/>
          <w:bCs/>
        </w:rPr>
      </w:pPr>
      <w:r w:rsidRPr="000818E1">
        <w:rPr>
          <w:b/>
          <w:bCs/>
        </w:rPr>
        <w:lastRenderedPageBreak/>
        <w:t>Formative Assessment Throughout</w:t>
      </w:r>
    </w:p>
    <w:p w14:paraId="474E9289" w14:textId="77777777" w:rsidR="000818E1" w:rsidRPr="000818E1" w:rsidRDefault="000818E1" w:rsidP="000818E1">
      <w:r w:rsidRPr="000818E1">
        <w:t>Open and directed questioning were used throughout the session to assess learners’ understanding and encourage critical thinking. Petty (2009) highlights questioning as a key strategy in promoting learner engagement and checking understanding.</w:t>
      </w:r>
    </w:p>
    <w:p w14:paraId="2C587C52" w14:textId="77777777" w:rsidR="000818E1" w:rsidRPr="000818E1" w:rsidRDefault="000818E1" w:rsidP="000818E1">
      <w:r w:rsidRPr="000818E1">
        <w:t>Scenario-based discussions enabled learners to apply knowledge in context, supporting Kolb’s (1984) experiential learning theory. Learners were required to analyse incidents, justify decisions, and reflect on operational implications, encouraging higher-order thinking consistent with Bloom’s taxonomy.</w:t>
      </w:r>
    </w:p>
    <w:p w14:paraId="59A61481" w14:textId="77777777" w:rsidR="000818E1" w:rsidRPr="000818E1" w:rsidRDefault="000818E1" w:rsidP="000818E1">
      <w:pPr>
        <w:rPr>
          <w:b/>
          <w:bCs/>
        </w:rPr>
      </w:pPr>
      <w:r w:rsidRPr="000818E1">
        <w:rPr>
          <w:b/>
          <w:bCs/>
        </w:rPr>
        <w:t>Experiential Assessment</w:t>
      </w:r>
    </w:p>
    <w:p w14:paraId="536D73FA" w14:textId="77777777" w:rsidR="000818E1" w:rsidRPr="000818E1" w:rsidRDefault="000818E1" w:rsidP="000818E1">
      <w:r w:rsidRPr="000818E1">
        <w:t>The Hydra exercise acted as an authentic assessment tool by replicating operational decision-making in a realistic environment. Race (2014) argues that assessment is most effective when it reflects real-world application, supporting the use of immersive exercises rather than purely knowledge-based testing.</w:t>
      </w:r>
    </w:p>
    <w:p w14:paraId="290712DE" w14:textId="77777777" w:rsidR="000818E1" w:rsidRPr="000818E1" w:rsidRDefault="000818E1" w:rsidP="000818E1">
      <w:r w:rsidRPr="000818E1">
        <w:t>The activity also aligns with situated learning theory (Lave and Wenger), where learning is most meaningful when it occurs within authentic professional contexts.</w:t>
      </w:r>
    </w:p>
    <w:p w14:paraId="0F6B8859" w14:textId="77777777" w:rsidR="000818E1" w:rsidRPr="000818E1" w:rsidRDefault="000818E1" w:rsidP="000818E1">
      <w:pPr>
        <w:rPr>
          <w:b/>
          <w:bCs/>
        </w:rPr>
      </w:pPr>
      <w:r w:rsidRPr="000818E1">
        <w:rPr>
          <w:b/>
          <w:bCs/>
        </w:rPr>
        <w:t>Plenary Assessment</w:t>
      </w:r>
    </w:p>
    <w:p w14:paraId="2B5A6C90" w14:textId="7127AE58" w:rsidR="000818E1" w:rsidRPr="000818E1" w:rsidRDefault="000818E1" w:rsidP="000818E1">
      <w:r w:rsidRPr="000818E1">
        <w:t>The plenary used recap questioning and learner reflection to consolidate learning and assess overall understanding. This aligns with Bloom’s taxonomy by encouraging learners not only to recall information but also evaluate and justify decisions made during the session.</w:t>
      </w:r>
    </w:p>
    <w:p w14:paraId="6B8BB598" w14:textId="77777777" w:rsidR="000818E1" w:rsidRDefault="000818E1" w:rsidP="005C111C"/>
    <w:p w14:paraId="0E96F3F4" w14:textId="77777777" w:rsidR="005C111C" w:rsidRPr="005C111C" w:rsidRDefault="005C111C" w:rsidP="005C111C">
      <w:pPr>
        <w:rPr>
          <w:b/>
          <w:bCs/>
        </w:rPr>
      </w:pPr>
      <w:r w:rsidRPr="005C111C">
        <w:rPr>
          <w:b/>
          <w:bCs/>
        </w:rPr>
        <w:t>Consideration of Alternative Teaching and Assessment Approaches</w:t>
      </w:r>
    </w:p>
    <w:p w14:paraId="50197FE0" w14:textId="77777777" w:rsidR="005C111C" w:rsidRPr="005C111C" w:rsidRDefault="005C111C" w:rsidP="005C111C">
      <w:r w:rsidRPr="005C111C">
        <w:t>Alternative teaching approaches were considered. A lecture-based approach may have enabled efficient delivery of legal definitions; however, it would likely have reduced engagement and limited opportunities for applied learning (Petty, 2009). Similarly, written or knowledge-based assessments could provide measurable outcomes but would not fully reflect the complexity of real-world policing decisions.</w:t>
      </w:r>
    </w:p>
    <w:p w14:paraId="7D4BA2F7" w14:textId="77777777" w:rsidR="005C111C" w:rsidRPr="005C111C" w:rsidRDefault="005C111C" w:rsidP="005C111C">
      <w:r w:rsidRPr="005C111C">
        <w:t>E-learning was also considered, offering flexibility and consistency. However, it would not support the open discussion required for a sensitive topic such as hate crime, nor allow for immediate challenge and clarification. Race (2014) suggests assessment should reflect authentic practice, supporting the use of scenario-based activities.</w:t>
      </w:r>
    </w:p>
    <w:p w14:paraId="59B7E1D4" w14:textId="649D39AE" w:rsidR="005C111C" w:rsidRDefault="003F772E" w:rsidP="005C111C">
      <w:r w:rsidRPr="003F772E">
        <w:t>This reinforced the importance of selecting teaching approaches that were appropriate to both the learning outcomes and the operational context of the learners.</w:t>
      </w:r>
      <w:r w:rsidR="005C111C" w:rsidRPr="005C111C">
        <w:t>.</w:t>
      </w:r>
    </w:p>
    <w:p w14:paraId="08489867" w14:textId="77777777" w:rsidR="000818E1" w:rsidRPr="000818E1" w:rsidRDefault="000818E1" w:rsidP="000818E1">
      <w:r w:rsidRPr="000818E1">
        <w:t xml:space="preserve">While written assessments may provide measurable outcomes, they would not fully capture the contextual judgement and communication skills required in operational </w:t>
      </w:r>
      <w:r w:rsidRPr="000818E1">
        <w:lastRenderedPageBreak/>
        <w:t>policing environments, reinforcing the value of authentic and experiential assessment approaches.</w:t>
      </w:r>
    </w:p>
    <w:p w14:paraId="48ED7ED7" w14:textId="77777777" w:rsidR="000818E1" w:rsidRDefault="000818E1" w:rsidP="005C111C"/>
    <w:p w14:paraId="7C338F70" w14:textId="77777777" w:rsidR="005C111C" w:rsidRDefault="005C111C" w:rsidP="005C111C"/>
    <w:p w14:paraId="5F019E2F" w14:textId="77777777" w:rsidR="000818E1" w:rsidRDefault="000818E1" w:rsidP="005C111C">
      <w:pPr>
        <w:rPr>
          <w:b/>
          <w:bCs/>
        </w:rPr>
      </w:pPr>
    </w:p>
    <w:p w14:paraId="4E70086A" w14:textId="2DEC583B" w:rsidR="005C111C" w:rsidRPr="005C111C" w:rsidRDefault="005C111C" w:rsidP="005C111C">
      <w:pPr>
        <w:rPr>
          <w:b/>
          <w:bCs/>
        </w:rPr>
      </w:pPr>
      <w:r w:rsidRPr="005C111C">
        <w:rPr>
          <w:b/>
          <w:bCs/>
        </w:rPr>
        <w:t>Debrief with Colleagues and Reflective Practice</w:t>
      </w:r>
    </w:p>
    <w:p w14:paraId="3AFFAA7E" w14:textId="77777777" w:rsidR="005C111C" w:rsidRPr="005C111C" w:rsidRDefault="005C111C" w:rsidP="005C111C">
      <w:r w:rsidRPr="005C111C">
        <w:t>Following the session, a structured debrief was conducted with fellow trainers. This aligns with Schön’s (1983) concept of reflection-on-action, enabling critical analysis after the event. The debrief reinforced strengths in the facilitative approach, particularly the use of operational scenarios.</w:t>
      </w:r>
    </w:p>
    <w:p w14:paraId="7D3C7165" w14:textId="77777777" w:rsidR="005C111C" w:rsidRDefault="005C111C" w:rsidP="005C111C">
      <w:r w:rsidRPr="005C111C">
        <w:t>However, colleagues identified that extended discussions impacted time management and reduced opportunities for consolidation. This supports my own reflection. Brookfield’s (1995) model highlights the value of multiple perspectives, and incorporating peer feedback provided a more balanced evaluation and challenged assumptions about my delivery.</w:t>
      </w:r>
    </w:p>
    <w:p w14:paraId="3B9516BA" w14:textId="77777777" w:rsidR="005C111C" w:rsidRDefault="005C111C" w:rsidP="005C111C"/>
    <w:p w14:paraId="194888A8" w14:textId="77777777" w:rsidR="005C111C" w:rsidRPr="005C111C" w:rsidRDefault="005C111C" w:rsidP="005C111C">
      <w:pPr>
        <w:rPr>
          <w:b/>
          <w:bCs/>
        </w:rPr>
      </w:pPr>
      <w:r w:rsidRPr="005C111C">
        <w:rPr>
          <w:b/>
          <w:bCs/>
        </w:rPr>
        <w:t>Critical Reflection and Evaluation</w:t>
      </w:r>
    </w:p>
    <w:p w14:paraId="0EAF594B" w14:textId="77777777" w:rsidR="005C111C" w:rsidRDefault="005C111C" w:rsidP="005C111C">
      <w:r w:rsidRPr="005C111C">
        <w:t>Using Gibbs’ (1988) reflective cycle, the session was effective in engaging learners and achieving its objectives. The experiential, discussion-led approach supported operational relevance.</w:t>
      </w:r>
    </w:p>
    <w:p w14:paraId="1FFF1FB5" w14:textId="77777777" w:rsidR="0012136E" w:rsidRDefault="0012136E" w:rsidP="0012136E">
      <w:r w:rsidRPr="0012136E">
        <w:t>I found myself naturally allowing discussions to continue when learners shared operational experiences, as these often generated valuable peer-learning opportunities and enhanced engagement. However, on reflection, my enthusiasm for discussion occasionally reduced the pace of delivery and impacted opportunities for structured consolidation.</w:t>
      </w:r>
    </w:p>
    <w:p w14:paraId="780157ED" w14:textId="77777777" w:rsidR="005C111C" w:rsidRPr="005C111C" w:rsidRDefault="005C111C" w:rsidP="005C111C">
      <w:r w:rsidRPr="005C111C">
        <w:t>However, time management and uneven participation were key limitations. This reflects a broader tension within adult education between facilitation and control, where excessive flexibility can reduce structure, but excessive structure can limit engagement.</w:t>
      </w:r>
    </w:p>
    <w:p w14:paraId="66971C73" w14:textId="77777777" w:rsidR="005C111C" w:rsidRPr="005C111C" w:rsidRDefault="005C111C" w:rsidP="005C111C">
      <w:pPr>
        <w:rPr>
          <w:b/>
          <w:bCs/>
        </w:rPr>
      </w:pPr>
      <w:r w:rsidRPr="005C111C">
        <w:rPr>
          <w:b/>
          <w:bCs/>
        </w:rPr>
        <w:t>Improvements and Professional Development</w:t>
      </w:r>
    </w:p>
    <w:p w14:paraId="4E2B63A2" w14:textId="77777777" w:rsidR="005C111C" w:rsidRPr="005C111C" w:rsidRDefault="005C111C" w:rsidP="005C111C">
      <w:r w:rsidRPr="005C111C">
        <w:t>Future sessions will incorporate stricter time management and more structured questioning techniques to ensure inclusive participation. Additional scaffolding will support less confident learners, and a brief summative assessment will reinforce learning outcomes.</w:t>
      </w:r>
    </w:p>
    <w:p w14:paraId="719A215B" w14:textId="77777777" w:rsidR="005C111C" w:rsidRPr="005C111C" w:rsidRDefault="005C111C" w:rsidP="005C111C">
      <w:r w:rsidRPr="005C111C">
        <w:lastRenderedPageBreak/>
        <w:t>Ongoing development will include peer observation, engagement with research, and continued reflective practice, ensuring alignment with professional teaching standards.</w:t>
      </w:r>
    </w:p>
    <w:p w14:paraId="40FE824A" w14:textId="77777777" w:rsidR="005C111C" w:rsidRPr="005C111C" w:rsidRDefault="005C111C" w:rsidP="005C111C">
      <w:pPr>
        <w:rPr>
          <w:b/>
          <w:bCs/>
        </w:rPr>
      </w:pPr>
      <w:r w:rsidRPr="005C111C">
        <w:rPr>
          <w:b/>
          <w:bCs/>
        </w:rPr>
        <w:t>Learner Feedback</w:t>
      </w:r>
    </w:p>
    <w:p w14:paraId="7ED92FD0" w14:textId="77777777" w:rsidR="005C111C" w:rsidRPr="005C111C" w:rsidRDefault="005C111C" w:rsidP="005C111C">
      <w:r w:rsidRPr="005C111C">
        <w:t>Learner feedback was highly positive, particularly regarding the practical and engaging nature of the session. The emphasis on real-world application and discussion was identified as a key strength.</w:t>
      </w:r>
    </w:p>
    <w:p w14:paraId="6D0C4415" w14:textId="77777777" w:rsidR="005C111C" w:rsidRPr="005C111C" w:rsidRDefault="005C111C" w:rsidP="005C111C">
      <w:r w:rsidRPr="005C111C">
        <w:t>However, feedback also indicated the need for greater structure and consolidation, reinforcing the need to refine delivery methods.</w:t>
      </w:r>
    </w:p>
    <w:p w14:paraId="0A9CCDD9" w14:textId="77777777" w:rsidR="005C111C" w:rsidRPr="005C111C" w:rsidRDefault="005C111C" w:rsidP="005C111C">
      <w:pPr>
        <w:rPr>
          <w:b/>
          <w:bCs/>
        </w:rPr>
      </w:pPr>
      <w:r w:rsidRPr="005C111C">
        <w:rPr>
          <w:b/>
          <w:bCs/>
        </w:rPr>
        <w:t>Conclusion</w:t>
      </w:r>
    </w:p>
    <w:p w14:paraId="3C91A6D1" w14:textId="77777777" w:rsidR="005C111C" w:rsidRPr="005C111C" w:rsidRDefault="005C111C" w:rsidP="005C111C">
      <w:r w:rsidRPr="005C111C">
        <w:t>This reflection demonstrates that my facilitative, experience-led teaching style is effective in engaging adult learners and supporting meaningful learning. However, critical evaluation and peer feedback have identified areas for improvement, particularly in relation to structure, participation, and assessment.</w:t>
      </w:r>
    </w:p>
    <w:p w14:paraId="3AB9877A" w14:textId="77777777" w:rsidR="005C111C" w:rsidRPr="005C111C" w:rsidRDefault="005C111C" w:rsidP="005C111C">
      <w:r w:rsidRPr="005C111C">
        <w:t>By addressing these and continuing to engage with theory and professional feedback, I can further enhance my effectiveness as a trainer within a policing context.</w:t>
      </w:r>
    </w:p>
    <w:p w14:paraId="45D85DC4" w14:textId="77777777" w:rsidR="005C111C" w:rsidRDefault="005C111C" w:rsidP="005C111C"/>
    <w:p w14:paraId="0B0743AF" w14:textId="77777777" w:rsidR="000818E1" w:rsidRDefault="000818E1" w:rsidP="000818E1"/>
    <w:p w14:paraId="4071C512" w14:textId="77777777" w:rsidR="000818E1" w:rsidRDefault="000818E1" w:rsidP="000818E1"/>
    <w:p w14:paraId="4E8503FB" w14:textId="77777777" w:rsidR="000818E1" w:rsidRDefault="000818E1" w:rsidP="000818E1"/>
    <w:p w14:paraId="1450E436" w14:textId="77777777" w:rsidR="000818E1" w:rsidRDefault="000818E1" w:rsidP="000818E1"/>
    <w:p w14:paraId="51E19302" w14:textId="77777777" w:rsidR="000818E1" w:rsidRDefault="000818E1" w:rsidP="000818E1"/>
    <w:p w14:paraId="63A3C02C" w14:textId="77777777" w:rsidR="000818E1" w:rsidRDefault="000818E1" w:rsidP="000818E1"/>
    <w:p w14:paraId="384DCF8B" w14:textId="77777777" w:rsidR="000818E1" w:rsidRDefault="000818E1" w:rsidP="000818E1"/>
    <w:p w14:paraId="0DDAF481" w14:textId="77777777" w:rsidR="000818E1" w:rsidRDefault="000818E1" w:rsidP="000818E1"/>
    <w:p w14:paraId="4AC38E39" w14:textId="77777777" w:rsidR="000818E1" w:rsidRDefault="000818E1" w:rsidP="000818E1"/>
    <w:p w14:paraId="26D17F7F" w14:textId="77777777" w:rsidR="000818E1" w:rsidRDefault="000818E1" w:rsidP="000818E1"/>
    <w:p w14:paraId="12DDB100" w14:textId="77777777" w:rsidR="000818E1" w:rsidRDefault="000818E1" w:rsidP="000818E1"/>
    <w:p w14:paraId="5F807228" w14:textId="77777777" w:rsidR="000818E1" w:rsidRDefault="000818E1" w:rsidP="000818E1"/>
    <w:p w14:paraId="20370C70" w14:textId="77777777" w:rsidR="000818E1" w:rsidRDefault="000818E1" w:rsidP="000818E1"/>
    <w:p w14:paraId="3A567D22" w14:textId="77777777" w:rsidR="000818E1" w:rsidRDefault="000818E1" w:rsidP="000818E1"/>
    <w:p w14:paraId="0703A97A" w14:textId="77777777" w:rsidR="000818E1" w:rsidRDefault="000818E1" w:rsidP="000818E1"/>
    <w:p w14:paraId="589BA314" w14:textId="77777777" w:rsidR="000818E1" w:rsidRDefault="000818E1" w:rsidP="000818E1"/>
    <w:p w14:paraId="607BAE83" w14:textId="77777777" w:rsidR="000818E1" w:rsidRDefault="000818E1" w:rsidP="000818E1"/>
    <w:p w14:paraId="2F9D2282" w14:textId="77777777" w:rsidR="000818E1" w:rsidRDefault="000818E1" w:rsidP="000818E1"/>
    <w:p w14:paraId="01429AC1" w14:textId="77777777" w:rsidR="000818E1" w:rsidRDefault="000818E1" w:rsidP="000818E1"/>
    <w:p w14:paraId="56E09757" w14:textId="21582D9C" w:rsidR="000818E1" w:rsidRPr="000818E1" w:rsidRDefault="000818E1" w:rsidP="000818E1">
      <w:r w:rsidRPr="000818E1">
        <w:t>Reference List (Harvard Style)</w:t>
      </w:r>
    </w:p>
    <w:p w14:paraId="12F4E449" w14:textId="77777777" w:rsidR="000818E1" w:rsidRPr="000818E1" w:rsidRDefault="000818E1" w:rsidP="000818E1">
      <w:r w:rsidRPr="000818E1">
        <w:t>Avis, J. (2020) Teaching on lifelong learning: A guide to theory and practice. Maidenhead: Open University Press.</w:t>
      </w:r>
    </w:p>
    <w:p w14:paraId="57E67080" w14:textId="77777777" w:rsidR="000818E1" w:rsidRPr="000818E1" w:rsidRDefault="000818E1" w:rsidP="000818E1">
      <w:r w:rsidRPr="000818E1">
        <w:t>Black, P. and Wiliam, D. (1998) ‘Assessment and classroom learning’, Assessment in Education: Principles, Policy &amp; Practice, 5(1), pp. 7–74.</w:t>
      </w:r>
    </w:p>
    <w:p w14:paraId="3E76D03E" w14:textId="77777777" w:rsidR="000818E1" w:rsidRPr="000818E1" w:rsidRDefault="000818E1" w:rsidP="000818E1">
      <w:r w:rsidRPr="000818E1">
        <w:t>Bloom, B.S. (1956) Taxonomy of Educational Objectives: The Classification of Educational Goals. New York: Longman.</w:t>
      </w:r>
    </w:p>
    <w:p w14:paraId="6F1FAA05" w14:textId="77777777" w:rsidR="000818E1" w:rsidRPr="000818E1" w:rsidRDefault="000818E1" w:rsidP="000818E1">
      <w:r w:rsidRPr="000818E1">
        <w:t>Brookfield, S. (1995) Becoming a Critically Reflective Teacher. San Francisco: Jossey-Bass.</w:t>
      </w:r>
    </w:p>
    <w:p w14:paraId="2CCA774E" w14:textId="77777777" w:rsidR="000818E1" w:rsidRPr="000818E1" w:rsidRDefault="000818E1" w:rsidP="000818E1">
      <w:r w:rsidRPr="000818E1">
        <w:t>Gibbs, G. (1988) Learning by Doing: A Guide to Teaching and Learning Methods. Oxford: Oxford Polytechnic.</w:t>
      </w:r>
    </w:p>
    <w:p w14:paraId="6E4FBDFB" w14:textId="77777777" w:rsidR="000818E1" w:rsidRPr="000818E1" w:rsidRDefault="000818E1" w:rsidP="000818E1">
      <w:r w:rsidRPr="000818E1">
        <w:t>Knowles, M. (1984) The Adult Learner: A Neglected Species. Houston: Gulf Publishing.</w:t>
      </w:r>
    </w:p>
    <w:p w14:paraId="04382D70" w14:textId="77777777" w:rsidR="000818E1" w:rsidRPr="000818E1" w:rsidRDefault="000818E1" w:rsidP="000818E1">
      <w:r w:rsidRPr="000818E1">
        <w:t>Kolb, D. (1984) Experiential Learning: Experience as the Source of Learning and Development. New Jersey: Prentice Hall.</w:t>
      </w:r>
    </w:p>
    <w:p w14:paraId="7A33E0D9" w14:textId="77777777" w:rsidR="000818E1" w:rsidRPr="000818E1" w:rsidRDefault="000818E1" w:rsidP="000818E1">
      <w:r w:rsidRPr="000818E1">
        <w:t>Lave, J. and Wenger, E. (1991) Situated Learning: Legitimate Peripheral Participation. Cambridge: Cambridge University Press.</w:t>
      </w:r>
    </w:p>
    <w:p w14:paraId="3345E9C2" w14:textId="77777777" w:rsidR="000818E1" w:rsidRPr="000818E1" w:rsidRDefault="000818E1" w:rsidP="000818E1">
      <w:r w:rsidRPr="000818E1">
        <w:t>Maslow, A.H. (1943) ‘A theory of human motivation’, Psychological Review, 50(4), pp. 370–396.</w:t>
      </w:r>
    </w:p>
    <w:p w14:paraId="1C2573F2" w14:textId="77777777" w:rsidR="000818E1" w:rsidRPr="000818E1" w:rsidRDefault="000818E1" w:rsidP="000818E1">
      <w:r w:rsidRPr="000818E1">
        <w:t>Mezirow, J. (1991) Transformative Dimensions of Adult Learning. San Francisco: Jossey-Bass.</w:t>
      </w:r>
    </w:p>
    <w:p w14:paraId="63DDD4CB" w14:textId="77777777" w:rsidR="000818E1" w:rsidRPr="000818E1" w:rsidRDefault="000818E1" w:rsidP="000818E1">
      <w:r w:rsidRPr="000818E1">
        <w:t>Petty, G. (2009) Teaching Today: A Practical Guide. Cheltenham: Nelson Thornes.</w:t>
      </w:r>
    </w:p>
    <w:p w14:paraId="50394D55" w14:textId="77777777" w:rsidR="000818E1" w:rsidRPr="000818E1" w:rsidRDefault="000818E1" w:rsidP="000818E1">
      <w:r w:rsidRPr="000818E1">
        <w:t>Race, P. (2014) The Lecturer’s Toolkit: A Practical Guide to Assessment, Learning and Teaching. London: Routledge.</w:t>
      </w:r>
    </w:p>
    <w:p w14:paraId="41588AB3" w14:textId="77777777" w:rsidR="000818E1" w:rsidRPr="000818E1" w:rsidRDefault="000818E1" w:rsidP="000818E1">
      <w:r w:rsidRPr="000818E1">
        <w:t>Schön, D. (1983) The Reflective Practitioner: How Professionals Think in Action. London: Temple Smith.</w:t>
      </w:r>
    </w:p>
    <w:p w14:paraId="7CCDC02D" w14:textId="77777777" w:rsidR="000818E1" w:rsidRPr="000818E1" w:rsidRDefault="000818E1" w:rsidP="000818E1">
      <w:r w:rsidRPr="000818E1">
        <w:t>Vygotsky, L.S. (1978) Mind in Society: The Development of Higher Psychological Processes. Cambridge, MA: Harvard University Press.</w:t>
      </w:r>
    </w:p>
    <w:p w14:paraId="287F5767" w14:textId="77777777" w:rsidR="005C111C" w:rsidRPr="005C111C" w:rsidRDefault="005C111C" w:rsidP="005C111C"/>
    <w:p w14:paraId="1C22E84B" w14:textId="77777777" w:rsidR="005C111C" w:rsidRPr="005C111C" w:rsidRDefault="005C111C" w:rsidP="005C111C"/>
    <w:p w14:paraId="371EB5A1" w14:textId="77777777" w:rsidR="006C71A3" w:rsidRPr="006C71A3" w:rsidRDefault="006C71A3" w:rsidP="006C71A3"/>
    <w:p w14:paraId="06905D23" w14:textId="77777777" w:rsidR="006C71A3" w:rsidRPr="006C71A3" w:rsidRDefault="006C71A3" w:rsidP="006C71A3"/>
    <w:p w14:paraId="25E427FB" w14:textId="77777777" w:rsidR="006C71A3" w:rsidRPr="006C71A3" w:rsidRDefault="006C71A3" w:rsidP="006C71A3"/>
    <w:p w14:paraId="4DC43326" w14:textId="77777777" w:rsidR="006C71A3" w:rsidRPr="006C71A3" w:rsidRDefault="006C71A3" w:rsidP="006C71A3"/>
    <w:p w14:paraId="545D1037" w14:textId="77777777" w:rsidR="006C71A3" w:rsidRDefault="006C71A3" w:rsidP="006C71A3"/>
    <w:p w14:paraId="79B07F01" w14:textId="77777777" w:rsidR="006C71A3" w:rsidRDefault="006C71A3" w:rsidP="006C71A3"/>
    <w:p w14:paraId="7BB64A76" w14:textId="77777777" w:rsidR="006C71A3" w:rsidRDefault="006C71A3" w:rsidP="006C71A3"/>
    <w:sectPr w:rsidR="006C71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1A3"/>
    <w:rsid w:val="000818E1"/>
    <w:rsid w:val="0012136E"/>
    <w:rsid w:val="00151054"/>
    <w:rsid w:val="00176952"/>
    <w:rsid w:val="001E669F"/>
    <w:rsid w:val="002755F7"/>
    <w:rsid w:val="002D74A0"/>
    <w:rsid w:val="00352B6F"/>
    <w:rsid w:val="003F772E"/>
    <w:rsid w:val="004766DD"/>
    <w:rsid w:val="004926B7"/>
    <w:rsid w:val="004F4453"/>
    <w:rsid w:val="005C111C"/>
    <w:rsid w:val="0065340A"/>
    <w:rsid w:val="006A6A1B"/>
    <w:rsid w:val="006C71A3"/>
    <w:rsid w:val="007733D9"/>
    <w:rsid w:val="008112BD"/>
    <w:rsid w:val="009030B1"/>
    <w:rsid w:val="00974403"/>
    <w:rsid w:val="009F1AC0"/>
    <w:rsid w:val="00AB213E"/>
    <w:rsid w:val="00C45098"/>
    <w:rsid w:val="00C80C83"/>
    <w:rsid w:val="00D623AC"/>
    <w:rsid w:val="00DA46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9F399"/>
  <w15:chartTrackingRefBased/>
  <w15:docId w15:val="{39A8CF8D-1ED5-4A0E-AD8E-CC6B131F9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71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71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71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71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71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71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71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71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71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71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71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71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71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71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71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71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71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71A3"/>
    <w:rPr>
      <w:rFonts w:eastAsiaTheme="majorEastAsia" w:cstheme="majorBidi"/>
      <w:color w:val="272727" w:themeColor="text1" w:themeTint="D8"/>
    </w:rPr>
  </w:style>
  <w:style w:type="paragraph" w:styleId="Title">
    <w:name w:val="Title"/>
    <w:basedOn w:val="Normal"/>
    <w:next w:val="Normal"/>
    <w:link w:val="TitleChar"/>
    <w:uiPriority w:val="10"/>
    <w:qFormat/>
    <w:rsid w:val="006C71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71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71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71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71A3"/>
    <w:pPr>
      <w:spacing w:before="160"/>
      <w:jc w:val="center"/>
    </w:pPr>
    <w:rPr>
      <w:i/>
      <w:iCs/>
      <w:color w:val="404040" w:themeColor="text1" w:themeTint="BF"/>
    </w:rPr>
  </w:style>
  <w:style w:type="character" w:customStyle="1" w:styleId="QuoteChar">
    <w:name w:val="Quote Char"/>
    <w:basedOn w:val="DefaultParagraphFont"/>
    <w:link w:val="Quote"/>
    <w:uiPriority w:val="29"/>
    <w:rsid w:val="006C71A3"/>
    <w:rPr>
      <w:i/>
      <w:iCs/>
      <w:color w:val="404040" w:themeColor="text1" w:themeTint="BF"/>
    </w:rPr>
  </w:style>
  <w:style w:type="paragraph" w:styleId="ListParagraph">
    <w:name w:val="List Paragraph"/>
    <w:basedOn w:val="Normal"/>
    <w:uiPriority w:val="34"/>
    <w:qFormat/>
    <w:rsid w:val="006C71A3"/>
    <w:pPr>
      <w:ind w:left="720"/>
      <w:contextualSpacing/>
    </w:pPr>
  </w:style>
  <w:style w:type="character" w:styleId="IntenseEmphasis">
    <w:name w:val="Intense Emphasis"/>
    <w:basedOn w:val="DefaultParagraphFont"/>
    <w:uiPriority w:val="21"/>
    <w:qFormat/>
    <w:rsid w:val="006C71A3"/>
    <w:rPr>
      <w:i/>
      <w:iCs/>
      <w:color w:val="0F4761" w:themeColor="accent1" w:themeShade="BF"/>
    </w:rPr>
  </w:style>
  <w:style w:type="paragraph" w:styleId="IntenseQuote">
    <w:name w:val="Intense Quote"/>
    <w:basedOn w:val="Normal"/>
    <w:next w:val="Normal"/>
    <w:link w:val="IntenseQuoteChar"/>
    <w:uiPriority w:val="30"/>
    <w:qFormat/>
    <w:rsid w:val="006C71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71A3"/>
    <w:rPr>
      <w:i/>
      <w:iCs/>
      <w:color w:val="0F4761" w:themeColor="accent1" w:themeShade="BF"/>
    </w:rPr>
  </w:style>
  <w:style w:type="character" w:styleId="IntenseReference">
    <w:name w:val="Intense Reference"/>
    <w:basedOn w:val="DefaultParagraphFont"/>
    <w:uiPriority w:val="32"/>
    <w:qFormat/>
    <w:rsid w:val="006C71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64F488883B9E41AF591824157AE03D" ma:contentTypeVersion="19" ma:contentTypeDescription="Create a new document." ma:contentTypeScope="" ma:versionID="24bad9db9aa708545c157c27592b37f6">
  <xsd:schema xmlns:xsd="http://www.w3.org/2001/XMLSchema" xmlns:xs="http://www.w3.org/2001/XMLSchema" xmlns:p="http://schemas.microsoft.com/office/2006/metadata/properties" xmlns:ns2="a1bd12ea-66e0-4a85-9f40-bd4ed5ac7bda" xmlns:ns3="861a6945-fc41-40d2-8e05-7a216352dda5" targetNamespace="http://schemas.microsoft.com/office/2006/metadata/properties" ma:root="true" ma:fieldsID="973dc3ef6dfaece6e691238fb5757d2a" ns2:_="" ns3:_="">
    <xsd:import namespace="a1bd12ea-66e0-4a85-9f40-bd4ed5ac7bda"/>
    <xsd:import namespace="861a6945-fc41-40d2-8e05-7a216352dda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Location" minOccurs="0"/>
                <xsd:element ref="ns2:MediaServiceObjectDetectorVersions" minOccurs="0"/>
                <xsd:element ref="ns2:Toolkit"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bd12ea-66e0-4a85-9f40-bd4ed5ac7b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fa94f5-9538-4d5d-ae72-f19c8bf93f9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Toolkit" ma:index="24" nillable="true" ma:displayName="Toolkit" ma:format="Dropdown" ma:internalName="Toolkit">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1a6945-fc41-40d2-8e05-7a216352dda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83cc6c4-4037-44e5-9a5b-fef7806ba63f}" ma:internalName="TaxCatchAll" ma:showField="CatchAllData" ma:web="861a6945-fc41-40d2-8e05-7a216352dda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61a6945-fc41-40d2-8e05-7a216352dda5" xsi:nil="true"/>
    <Toolkit xmlns="a1bd12ea-66e0-4a85-9f40-bd4ed5ac7bda" xsi:nil="true"/>
    <lcf76f155ced4ddcb4097134ff3c332f xmlns="a1bd12ea-66e0-4a85-9f40-bd4ed5ac7bd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22503C-D80B-462E-ABBC-5DDB33045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bd12ea-66e0-4a85-9f40-bd4ed5ac7bda"/>
    <ds:schemaRef ds:uri="861a6945-fc41-40d2-8e05-7a216352d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01ECE4-82E8-4148-B780-F5998B36B6DF}">
  <ds:schemaRefs>
    <ds:schemaRef ds:uri="http://schemas.microsoft.com/office/2006/metadata/properties"/>
    <ds:schemaRef ds:uri="http://schemas.microsoft.com/office/infopath/2007/PartnerControls"/>
    <ds:schemaRef ds:uri="861a6945-fc41-40d2-8e05-7a216352dda5"/>
    <ds:schemaRef ds:uri="a1bd12ea-66e0-4a85-9f40-bd4ed5ac7bda"/>
  </ds:schemaRefs>
</ds:datastoreItem>
</file>

<file path=customXml/itemProps3.xml><?xml version="1.0" encoding="utf-8"?>
<ds:datastoreItem xmlns:ds="http://schemas.openxmlformats.org/officeDocument/2006/customXml" ds:itemID="{92B8E215-9692-4811-9B21-03AFE782E0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8</Pages>
  <Words>2015</Words>
  <Characters>11486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Bonnici, Samuel</dc:creator>
  <cp:keywords/>
  <dc:description/>
  <cp:lastModifiedBy>Bonnici, Samuel</cp:lastModifiedBy>
  <cp:revision>19</cp:revision>
  <dcterms:created xsi:type="dcterms:W3CDTF">2026-05-05T19:47:00Z</dcterms:created>
  <dcterms:modified xsi:type="dcterms:W3CDTF">2026-05-06T16:05:00Z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2026-05-05T21:50:36Z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3a0e203d-0e18-4c31-8323-5030a319f60c</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y fmtid="{D5CDD505-2E9C-101B-9397-08002B2CF9AE}" pid="10" name="ContentTypeId">
    <vt:lpwstr>0x010100E464F488883B9E41AF591824157AE03D</vt:lpwstr>
  </property>
  <property fmtid="{D5CDD505-2E9C-101B-9397-08002B2CF9AE}" pid="11" name="MediaServiceImageTags">
    <vt:lpwstr/>
  </property>
</Properties>
</file>