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565E5EF" w14:textId="123769D5" w:rsidR="001C1738" w:rsidRPr="00646572" w:rsidRDefault="001C1738">
      <w:pPr>
        <w:rPr>
          <w:b/>
          <w:bCs/>
        </w:rPr>
      </w:pPr>
      <w:r w:rsidRPr="00646572">
        <w:rPr>
          <w:b/>
          <w:bCs/>
        </w:rPr>
        <w:t>Guidance Document: Legislation and Employment Relations</w:t>
      </w:r>
    </w:p>
    <w:p w14:paraId="18CA55B4" w14:textId="6360AD99" w:rsidR="001C1738" w:rsidRPr="00646572" w:rsidRDefault="001C1738">
      <w:pPr>
        <w:rPr>
          <w:b/>
          <w:bCs/>
        </w:rPr>
      </w:pPr>
      <w:r w:rsidRPr="00646572">
        <w:rPr>
          <w:b/>
          <w:bCs/>
        </w:rPr>
        <w:t>Introduction</w:t>
      </w:r>
    </w:p>
    <w:p w14:paraId="27A9910D" w14:textId="0BD7FCE2" w:rsidR="001C1738" w:rsidRDefault="001C1738">
      <w:r>
        <w:t xml:space="preserve">As Clean Quarter Ltd embark on </w:t>
      </w:r>
      <w:r w:rsidR="00EB4375">
        <w:t>its</w:t>
      </w:r>
      <w:r>
        <w:t xml:space="preserve"> journey, it is essential to create a supportive and fair workplace environment. This guidance document will provide an overview of the importance of employment relations and the relevant legislation that supports it.</w:t>
      </w:r>
    </w:p>
    <w:p w14:paraId="29BCFD3D" w14:textId="11B7B898" w:rsidR="001C1738" w:rsidRPr="00A74E32" w:rsidRDefault="001C1738">
      <w:pPr>
        <w:rPr>
          <w:b/>
          <w:bCs/>
          <w:u w:val="single"/>
        </w:rPr>
      </w:pPr>
      <w:r w:rsidRPr="00A74E32">
        <w:rPr>
          <w:b/>
          <w:bCs/>
          <w:u w:val="single"/>
        </w:rPr>
        <w:t xml:space="preserve">The </w:t>
      </w:r>
      <w:r w:rsidR="00646572" w:rsidRPr="00A74E32">
        <w:rPr>
          <w:b/>
          <w:bCs/>
          <w:u w:val="single"/>
        </w:rPr>
        <w:t>I</w:t>
      </w:r>
      <w:r w:rsidRPr="00A74E32">
        <w:rPr>
          <w:b/>
          <w:bCs/>
          <w:u w:val="single"/>
        </w:rPr>
        <w:t>mportance of Achieving Work</w:t>
      </w:r>
      <w:r w:rsidR="00646572" w:rsidRPr="00A74E32">
        <w:rPr>
          <w:b/>
          <w:bCs/>
          <w:u w:val="single"/>
        </w:rPr>
        <w:t>-Life Balance</w:t>
      </w:r>
    </w:p>
    <w:p w14:paraId="5D86B978" w14:textId="2C2ED0FE" w:rsidR="00646572" w:rsidRDefault="00646572" w:rsidP="00646572">
      <w:pPr>
        <w:pStyle w:val="ListParagraph"/>
        <w:numPr>
          <w:ilvl w:val="0"/>
          <w:numId w:val="1"/>
        </w:numPr>
        <w:rPr>
          <w:b/>
          <w:bCs/>
        </w:rPr>
      </w:pPr>
      <w:r>
        <w:rPr>
          <w:b/>
          <w:bCs/>
        </w:rPr>
        <w:t>Employee Wellbeing</w:t>
      </w:r>
    </w:p>
    <w:p w14:paraId="616BE712" w14:textId="05A83AC8" w:rsidR="00646572" w:rsidRDefault="00646572" w:rsidP="00646572">
      <w:pPr>
        <w:ind w:left="360"/>
      </w:pPr>
      <w:r>
        <w:t>Firstly, a good work-life balance ensures that employees have time to relax, recharge and pursue personal interests. This leads to improved physical and mental health which can reduce the risk of burnout and stress-related illnesses</w:t>
      </w:r>
      <w:r w:rsidR="00F40B75">
        <w:t xml:space="preserve"> (Mayne 2023).</w:t>
      </w:r>
    </w:p>
    <w:p w14:paraId="7C38F23F" w14:textId="3DE3F57E" w:rsidR="00646572" w:rsidRDefault="00646572" w:rsidP="00646572">
      <w:pPr>
        <w:pStyle w:val="ListParagraph"/>
        <w:numPr>
          <w:ilvl w:val="0"/>
          <w:numId w:val="1"/>
        </w:numPr>
        <w:rPr>
          <w:b/>
          <w:bCs/>
        </w:rPr>
      </w:pPr>
      <w:r>
        <w:rPr>
          <w:b/>
          <w:bCs/>
        </w:rPr>
        <w:t>Improved Productivity</w:t>
      </w:r>
    </w:p>
    <w:p w14:paraId="5BC513A2" w14:textId="2EAD07D8" w:rsidR="00646572" w:rsidRDefault="00646572" w:rsidP="00646572">
      <w:pPr>
        <w:ind w:left="360"/>
      </w:pPr>
      <w:r>
        <w:t xml:space="preserve">When employees have a balanced work-life schedule, they are more likely to be focused and motivated during work hours. This results in higher productivity and better quality of work. </w:t>
      </w:r>
    </w:p>
    <w:p w14:paraId="4BFB74F8" w14:textId="5D00161B" w:rsidR="00646572" w:rsidRDefault="00646572" w:rsidP="00646572">
      <w:pPr>
        <w:pStyle w:val="ListParagraph"/>
        <w:numPr>
          <w:ilvl w:val="0"/>
          <w:numId w:val="1"/>
        </w:numPr>
        <w:rPr>
          <w:b/>
          <w:bCs/>
        </w:rPr>
      </w:pPr>
      <w:r>
        <w:rPr>
          <w:b/>
          <w:bCs/>
        </w:rPr>
        <w:t>Job Satisfaction and Retention</w:t>
      </w:r>
    </w:p>
    <w:p w14:paraId="7544FE8E" w14:textId="703015C1" w:rsidR="00646572" w:rsidRDefault="00FE5C16" w:rsidP="00646572">
      <w:pPr>
        <w:ind w:left="360"/>
      </w:pPr>
      <w:r>
        <w:t xml:space="preserve">Employee’s who feel that their employer respects their personal time are more likely to be satisfied with their jobs. This can foster loyalty, reduces </w:t>
      </w:r>
      <w:proofErr w:type="gramStart"/>
      <w:r>
        <w:t>turnover</w:t>
      </w:r>
      <w:proofErr w:type="gramEnd"/>
      <w:r>
        <w:t xml:space="preserve"> and can help save costs of recruiting and training new employees. </w:t>
      </w:r>
    </w:p>
    <w:p w14:paraId="27857FCD" w14:textId="7F236B12" w:rsidR="00FE5C16" w:rsidRPr="00A74E32" w:rsidRDefault="00FE5C16" w:rsidP="00FE5C16">
      <w:pPr>
        <w:rPr>
          <w:b/>
          <w:bCs/>
          <w:u w:val="single"/>
        </w:rPr>
      </w:pPr>
      <w:r w:rsidRPr="00A74E32">
        <w:rPr>
          <w:b/>
          <w:bCs/>
          <w:u w:val="single"/>
        </w:rPr>
        <w:t>Relevant Legislation Support</w:t>
      </w:r>
      <w:r w:rsidR="00A44479">
        <w:rPr>
          <w:b/>
          <w:bCs/>
          <w:u w:val="single"/>
        </w:rPr>
        <w:t>ing</w:t>
      </w:r>
      <w:r w:rsidRPr="00A74E32">
        <w:rPr>
          <w:b/>
          <w:bCs/>
          <w:u w:val="single"/>
        </w:rPr>
        <w:t xml:space="preserve"> Work-Life Balance</w:t>
      </w:r>
    </w:p>
    <w:p w14:paraId="46BF9C0F" w14:textId="42CCCB23" w:rsidR="00FE5C16" w:rsidRDefault="00FE5C16" w:rsidP="00FE5C16">
      <w:pPr>
        <w:pStyle w:val="ListParagraph"/>
        <w:numPr>
          <w:ilvl w:val="0"/>
          <w:numId w:val="2"/>
        </w:numPr>
        <w:rPr>
          <w:b/>
          <w:bCs/>
        </w:rPr>
      </w:pPr>
      <w:r>
        <w:rPr>
          <w:b/>
          <w:bCs/>
        </w:rPr>
        <w:t>Working Time Regulations 1998</w:t>
      </w:r>
    </w:p>
    <w:p w14:paraId="3A343128" w14:textId="56D17276" w:rsidR="00FE5C16" w:rsidRDefault="00EB4375" w:rsidP="00FE5C16">
      <w:pPr>
        <w:ind w:left="360"/>
      </w:pPr>
      <w:r>
        <w:t xml:space="preserve">The WTR implements the European Working Time Directive and aims to protect worker’s health and safety by placing limits on the number of hours that an employee should work each week. </w:t>
      </w:r>
    </w:p>
    <w:p w14:paraId="7B68AE7B" w14:textId="211475C9" w:rsidR="00EB4375" w:rsidRDefault="00EB4375" w:rsidP="00EB4375">
      <w:pPr>
        <w:ind w:left="360"/>
        <w:rPr>
          <w:i/>
          <w:iCs/>
        </w:rPr>
      </w:pPr>
      <w:r w:rsidRPr="00EB4375">
        <w:rPr>
          <w:i/>
          <w:iCs/>
        </w:rPr>
        <w:t xml:space="preserve">Key Requirements: </w:t>
      </w:r>
    </w:p>
    <w:p w14:paraId="33875E18" w14:textId="1773B603" w:rsidR="00EB4375" w:rsidRDefault="00EB4375" w:rsidP="00EB4375">
      <w:pPr>
        <w:pStyle w:val="ListParagraph"/>
        <w:numPr>
          <w:ilvl w:val="0"/>
          <w:numId w:val="4"/>
        </w:numPr>
      </w:pPr>
      <w:r>
        <w:t xml:space="preserve">Maximum of 48 working hours per week (averaged over 17 weeks) unless the employee opts out voluntarily. </w:t>
      </w:r>
    </w:p>
    <w:p w14:paraId="036384C0" w14:textId="2C335834" w:rsidR="00EB4375" w:rsidRDefault="00EB4375" w:rsidP="00EB4375">
      <w:pPr>
        <w:pStyle w:val="ListParagraph"/>
        <w:numPr>
          <w:ilvl w:val="0"/>
          <w:numId w:val="4"/>
        </w:numPr>
      </w:pPr>
      <w:r>
        <w:t>11 consecutive hours of rest in any 24-hour period.</w:t>
      </w:r>
    </w:p>
    <w:p w14:paraId="41A8D1FB" w14:textId="79397466" w:rsidR="00EB4375" w:rsidRDefault="00EB4375" w:rsidP="00EB4375">
      <w:pPr>
        <w:pStyle w:val="ListParagraph"/>
        <w:numPr>
          <w:ilvl w:val="0"/>
          <w:numId w:val="4"/>
        </w:numPr>
      </w:pPr>
      <w:r>
        <w:t>Minimum of 24 hours per week or 48 hours per fortnight.</w:t>
      </w:r>
    </w:p>
    <w:p w14:paraId="455833AD" w14:textId="151F8632" w:rsidR="00A74E32" w:rsidRDefault="00EB4375" w:rsidP="00A44479">
      <w:pPr>
        <w:pStyle w:val="ListParagraph"/>
        <w:numPr>
          <w:ilvl w:val="0"/>
          <w:numId w:val="4"/>
        </w:numPr>
      </w:pPr>
      <w:r>
        <w:t>Statutory paid annual leave</w:t>
      </w:r>
    </w:p>
    <w:p w14:paraId="48DC4C51" w14:textId="77777777" w:rsidR="00A44479" w:rsidRDefault="00A44479" w:rsidP="00A44479">
      <w:pPr>
        <w:pStyle w:val="ListParagraph"/>
        <w:ind w:left="1080"/>
      </w:pPr>
    </w:p>
    <w:p w14:paraId="7E008D46" w14:textId="2B2DB147" w:rsidR="00A74E32" w:rsidRDefault="00A74E32" w:rsidP="00A74E32">
      <w:pPr>
        <w:pStyle w:val="ListParagraph"/>
        <w:numPr>
          <w:ilvl w:val="0"/>
          <w:numId w:val="2"/>
        </w:numPr>
        <w:rPr>
          <w:b/>
          <w:bCs/>
        </w:rPr>
      </w:pPr>
      <w:r>
        <w:rPr>
          <w:b/>
          <w:bCs/>
        </w:rPr>
        <w:t>Flexible Working Regulations 2023</w:t>
      </w:r>
    </w:p>
    <w:p w14:paraId="1EE2B062" w14:textId="2DE34E60" w:rsidR="00A74E32" w:rsidRDefault="00A74E32" w:rsidP="00A74E32">
      <w:pPr>
        <w:ind w:left="360"/>
      </w:pPr>
      <w:r>
        <w:t>Flexible working is any type of working arrangement that gives some degree of flexibility on how long, where and when an employee works</w:t>
      </w:r>
      <w:r w:rsidR="00F40B75">
        <w:t xml:space="preserve"> (Faragher 2007).</w:t>
      </w:r>
    </w:p>
    <w:p w14:paraId="474D7BD8" w14:textId="34487F41" w:rsidR="00A74E32" w:rsidRDefault="00A74E32" w:rsidP="00A74E32">
      <w:pPr>
        <w:ind w:left="360"/>
        <w:rPr>
          <w:i/>
          <w:iCs/>
        </w:rPr>
      </w:pPr>
      <w:r>
        <w:rPr>
          <w:i/>
          <w:iCs/>
        </w:rPr>
        <w:lastRenderedPageBreak/>
        <w:t>Key Requirements:</w:t>
      </w:r>
    </w:p>
    <w:p w14:paraId="7B25FBDC" w14:textId="0EE2E192" w:rsidR="00A74E32" w:rsidRDefault="00A74E32" w:rsidP="00A74E32">
      <w:pPr>
        <w:pStyle w:val="ListParagraph"/>
        <w:numPr>
          <w:ilvl w:val="0"/>
          <w:numId w:val="4"/>
        </w:numPr>
      </w:pPr>
      <w:r>
        <w:t xml:space="preserve">Employees are entitled to request for a flexible working arrangement from the very first day of their employment. </w:t>
      </w:r>
    </w:p>
    <w:p w14:paraId="307687FD" w14:textId="5496B271" w:rsidR="00A74E32" w:rsidRDefault="00A74E32" w:rsidP="00A74E32">
      <w:pPr>
        <w:pStyle w:val="ListParagraph"/>
        <w:numPr>
          <w:ilvl w:val="0"/>
          <w:numId w:val="4"/>
        </w:numPr>
      </w:pPr>
      <w:r>
        <w:t xml:space="preserve">Employees are allowed to make two requests to work flexibly in a 12-month period. </w:t>
      </w:r>
    </w:p>
    <w:p w14:paraId="249C7653" w14:textId="68904154" w:rsidR="00A74E32" w:rsidRPr="00A74E32" w:rsidRDefault="00A74E32" w:rsidP="00A74E32">
      <w:pPr>
        <w:pStyle w:val="ListParagraph"/>
        <w:numPr>
          <w:ilvl w:val="0"/>
          <w:numId w:val="4"/>
        </w:numPr>
      </w:pPr>
      <w:r>
        <w:t xml:space="preserve">Employers will have to consult with employees about their request and come to a decision within 2 months. </w:t>
      </w:r>
    </w:p>
    <w:p w14:paraId="7A38CBA4" w14:textId="00C08FB4" w:rsidR="00A44479" w:rsidRPr="00F61BE1" w:rsidRDefault="00A44479" w:rsidP="00A44479">
      <w:pPr>
        <w:rPr>
          <w:b/>
          <w:bCs/>
          <w:u w:val="single"/>
        </w:rPr>
      </w:pPr>
      <w:r w:rsidRPr="00F61BE1">
        <w:rPr>
          <w:b/>
          <w:bCs/>
          <w:u w:val="single"/>
        </w:rPr>
        <w:t>Wellbeing in the Workplace</w:t>
      </w:r>
    </w:p>
    <w:p w14:paraId="4D58DF87" w14:textId="30B5F9D3" w:rsidR="00A44479" w:rsidRDefault="00A44479" w:rsidP="00A44479">
      <w:r>
        <w:t xml:space="preserve">Wellbeing refers to the overall health, </w:t>
      </w:r>
      <w:proofErr w:type="gramStart"/>
      <w:r>
        <w:t>happiness</w:t>
      </w:r>
      <w:proofErr w:type="gramEnd"/>
      <w:r>
        <w:t xml:space="preserve"> and satisfaction of employees within their workplace. This includes physical, </w:t>
      </w:r>
      <w:proofErr w:type="gramStart"/>
      <w:r>
        <w:t>mental</w:t>
      </w:r>
      <w:proofErr w:type="gramEnd"/>
      <w:r>
        <w:t xml:space="preserve"> and emotional wellbeing</w:t>
      </w:r>
      <w:r w:rsidR="00F40B75">
        <w:t xml:space="preserve"> (Grant et al 2007). </w:t>
      </w:r>
      <w:r>
        <w:t xml:space="preserve">Promoting wellbeing in the workplace supports its employees in leading healthy and balanced lives, inside and outside of work. </w:t>
      </w:r>
    </w:p>
    <w:p w14:paraId="24E806DD" w14:textId="1BBD2FD8" w:rsidR="00A44479" w:rsidRDefault="00A44479" w:rsidP="00A44479">
      <w:pPr>
        <w:rPr>
          <w:b/>
          <w:bCs/>
        </w:rPr>
      </w:pPr>
      <w:r>
        <w:rPr>
          <w:b/>
          <w:bCs/>
        </w:rPr>
        <w:t>Importance of Wellbeing in the Workplace</w:t>
      </w:r>
    </w:p>
    <w:p w14:paraId="33BFB6A2" w14:textId="4E41E44D" w:rsidR="00A44479" w:rsidRDefault="00A44479" w:rsidP="00A44479">
      <w:pPr>
        <w:pStyle w:val="ListParagraph"/>
        <w:numPr>
          <w:ilvl w:val="0"/>
          <w:numId w:val="5"/>
        </w:numPr>
        <w:rPr>
          <w:b/>
          <w:bCs/>
        </w:rPr>
      </w:pPr>
      <w:r>
        <w:rPr>
          <w:b/>
          <w:bCs/>
        </w:rPr>
        <w:t>Enhanced Employee Engagement and Productivity</w:t>
      </w:r>
    </w:p>
    <w:p w14:paraId="45F20AEA" w14:textId="3E6C6FD9" w:rsidR="00A44479" w:rsidRDefault="00A44479" w:rsidP="00A44479">
      <w:pPr>
        <w:ind w:left="360"/>
      </w:pPr>
      <w:r>
        <w:t>When employees feel supported, they are more likely to be engaged and motivated in their work. This leads to increased productivity and performance.</w:t>
      </w:r>
    </w:p>
    <w:p w14:paraId="1658DFEE" w14:textId="10D0DB67" w:rsidR="00A44479" w:rsidRDefault="00107D29" w:rsidP="00A44479">
      <w:pPr>
        <w:pStyle w:val="ListParagraph"/>
        <w:numPr>
          <w:ilvl w:val="0"/>
          <w:numId w:val="5"/>
        </w:numPr>
        <w:rPr>
          <w:b/>
          <w:bCs/>
        </w:rPr>
      </w:pPr>
      <w:r>
        <w:rPr>
          <w:b/>
          <w:bCs/>
        </w:rPr>
        <w:t>Reduced Sickness and Turnover</w:t>
      </w:r>
    </w:p>
    <w:p w14:paraId="6F6B9557" w14:textId="1BB858F4" w:rsidR="00107D29" w:rsidRDefault="00107D29" w:rsidP="00107D29">
      <w:pPr>
        <w:ind w:left="360"/>
      </w:pPr>
      <w:r>
        <w:t xml:space="preserve">An emphasis on wellbeing can lead to lower rates of sickness and employee turnover, meaning </w:t>
      </w:r>
      <w:r w:rsidR="009D7E50">
        <w:t>employees</w:t>
      </w:r>
      <w:r>
        <w:t xml:space="preserve"> are more likely to stay long term in the company.</w:t>
      </w:r>
    </w:p>
    <w:p w14:paraId="54C63E7A" w14:textId="4B88B57C" w:rsidR="00107D29" w:rsidRDefault="00107D29" w:rsidP="00107D29">
      <w:pPr>
        <w:pStyle w:val="ListParagraph"/>
        <w:numPr>
          <w:ilvl w:val="0"/>
          <w:numId w:val="5"/>
        </w:numPr>
        <w:rPr>
          <w:b/>
          <w:bCs/>
        </w:rPr>
      </w:pPr>
      <w:r>
        <w:rPr>
          <w:b/>
          <w:bCs/>
        </w:rPr>
        <w:t>Better Mental Health and Reduced Stress</w:t>
      </w:r>
    </w:p>
    <w:p w14:paraId="6A126489" w14:textId="2E6437C8" w:rsidR="00107D29" w:rsidRDefault="00107D29" w:rsidP="00107D29">
      <w:pPr>
        <w:ind w:left="360"/>
      </w:pPr>
      <w:r>
        <w:t>Promoting mental health and reducing workplace stress is cr</w:t>
      </w:r>
      <w:r w:rsidR="00226212">
        <w:t xml:space="preserve">ucial for preventing burnout and mental health issues. By implementing supportive </w:t>
      </w:r>
      <w:r w:rsidR="009D7E50">
        <w:t>measures,</w:t>
      </w:r>
      <w:r w:rsidR="00226212">
        <w:t xml:space="preserve"> you can help employees manage their workloads and maintain a healthy work-life balance. </w:t>
      </w:r>
    </w:p>
    <w:p w14:paraId="353D673F" w14:textId="77777777" w:rsidR="00F61BE1" w:rsidRPr="00F61BE1" w:rsidRDefault="00F61BE1" w:rsidP="00226212">
      <w:pPr>
        <w:rPr>
          <w:b/>
          <w:bCs/>
          <w:u w:val="single"/>
        </w:rPr>
      </w:pPr>
    </w:p>
    <w:p w14:paraId="7D22FCE0" w14:textId="6E4A58CB" w:rsidR="00226212" w:rsidRPr="00F61BE1" w:rsidRDefault="00226212" w:rsidP="00226212">
      <w:pPr>
        <w:rPr>
          <w:b/>
          <w:bCs/>
          <w:u w:val="single"/>
        </w:rPr>
      </w:pPr>
      <w:r w:rsidRPr="00F61BE1">
        <w:rPr>
          <w:b/>
          <w:bCs/>
          <w:u w:val="single"/>
        </w:rPr>
        <w:t>Discrimination Legislation</w:t>
      </w:r>
    </w:p>
    <w:p w14:paraId="14B34899" w14:textId="13DE822B" w:rsidR="00226212" w:rsidRDefault="00226212" w:rsidP="00226212">
      <w:r>
        <w:t xml:space="preserve">Discrimination legislation aims to promote equality and prevent unfair treatment of individuals in various aspects of their lives, including employment. The Equality Act 2010 was created to ensure </w:t>
      </w:r>
      <w:r w:rsidR="009D7E50">
        <w:t>discrimination doesn’t take place. It identifies nine protected characteristics which discrimination is unlawful. These include:</w:t>
      </w:r>
      <w:r w:rsidR="00B25303">
        <w:t xml:space="preserve"> (GOV.UK, 2015)</w:t>
      </w:r>
    </w:p>
    <w:p w14:paraId="7FA9CDC8" w14:textId="348022E1" w:rsidR="009D7E50" w:rsidRDefault="009D7E50" w:rsidP="009D7E50">
      <w:pPr>
        <w:pStyle w:val="ListParagraph"/>
        <w:numPr>
          <w:ilvl w:val="0"/>
          <w:numId w:val="4"/>
        </w:numPr>
      </w:pPr>
      <w:r>
        <w:t>Age</w:t>
      </w:r>
    </w:p>
    <w:p w14:paraId="120F380C" w14:textId="5D6D0E2D" w:rsidR="009D7E50" w:rsidRDefault="009D7E50" w:rsidP="009D7E50">
      <w:pPr>
        <w:pStyle w:val="ListParagraph"/>
        <w:numPr>
          <w:ilvl w:val="0"/>
          <w:numId w:val="4"/>
        </w:numPr>
      </w:pPr>
      <w:r>
        <w:t>Disability</w:t>
      </w:r>
    </w:p>
    <w:p w14:paraId="2C479BA0" w14:textId="039CFDA4" w:rsidR="009D7E50" w:rsidRDefault="009D7E50" w:rsidP="009D7E50">
      <w:pPr>
        <w:pStyle w:val="ListParagraph"/>
        <w:numPr>
          <w:ilvl w:val="0"/>
          <w:numId w:val="4"/>
        </w:numPr>
      </w:pPr>
      <w:r>
        <w:t>Gender Reassignment</w:t>
      </w:r>
    </w:p>
    <w:p w14:paraId="007CF745" w14:textId="33793E0C" w:rsidR="009D7E50" w:rsidRDefault="009D7E50" w:rsidP="009D7E50">
      <w:pPr>
        <w:pStyle w:val="ListParagraph"/>
        <w:numPr>
          <w:ilvl w:val="0"/>
          <w:numId w:val="4"/>
        </w:numPr>
      </w:pPr>
      <w:r>
        <w:t>Marriage and Civil Partnership</w:t>
      </w:r>
    </w:p>
    <w:p w14:paraId="4B2AB063" w14:textId="4A71FCFC" w:rsidR="009D7E50" w:rsidRDefault="009D7E50" w:rsidP="009D7E50">
      <w:pPr>
        <w:pStyle w:val="ListParagraph"/>
        <w:numPr>
          <w:ilvl w:val="0"/>
          <w:numId w:val="4"/>
        </w:numPr>
      </w:pPr>
      <w:r>
        <w:lastRenderedPageBreak/>
        <w:t>Race</w:t>
      </w:r>
    </w:p>
    <w:p w14:paraId="1EA24947" w14:textId="076A5CB5" w:rsidR="009D7E50" w:rsidRDefault="009D7E50" w:rsidP="009D7E50">
      <w:pPr>
        <w:pStyle w:val="ListParagraph"/>
        <w:numPr>
          <w:ilvl w:val="0"/>
          <w:numId w:val="4"/>
        </w:numPr>
      </w:pPr>
      <w:r>
        <w:t>Religion or Belief</w:t>
      </w:r>
    </w:p>
    <w:p w14:paraId="5C50C2FF" w14:textId="4A86C28E" w:rsidR="009D7E50" w:rsidRDefault="009D7E50" w:rsidP="009D7E50">
      <w:pPr>
        <w:pStyle w:val="ListParagraph"/>
        <w:numPr>
          <w:ilvl w:val="0"/>
          <w:numId w:val="4"/>
        </w:numPr>
      </w:pPr>
      <w:r>
        <w:t>Sex</w:t>
      </w:r>
    </w:p>
    <w:p w14:paraId="44C249AB" w14:textId="5506D04A" w:rsidR="009D7E50" w:rsidRDefault="009D7E50" w:rsidP="009D7E50">
      <w:pPr>
        <w:pStyle w:val="ListParagraph"/>
        <w:numPr>
          <w:ilvl w:val="0"/>
          <w:numId w:val="4"/>
        </w:numPr>
      </w:pPr>
      <w:r>
        <w:t>Sexual Orientation</w:t>
      </w:r>
    </w:p>
    <w:p w14:paraId="2097C1D9" w14:textId="54EA8E96" w:rsidR="009D7E50" w:rsidRDefault="009D7E50" w:rsidP="009D7E50">
      <w:pPr>
        <w:rPr>
          <w:b/>
          <w:bCs/>
        </w:rPr>
      </w:pPr>
      <w:r>
        <w:rPr>
          <w:b/>
          <w:bCs/>
        </w:rPr>
        <w:t xml:space="preserve">Types of Discrimination </w:t>
      </w:r>
    </w:p>
    <w:p w14:paraId="7D1EDF4A" w14:textId="588CAF03" w:rsidR="009D7E50" w:rsidRDefault="009D7E50" w:rsidP="009D7E50">
      <w:r>
        <w:t>The act outlines several forms of discrimination that are prohibited such as:</w:t>
      </w:r>
    </w:p>
    <w:p w14:paraId="60F4D117" w14:textId="4BBCBA59" w:rsidR="009D7E50" w:rsidRDefault="009D7E50" w:rsidP="009D7E50">
      <w:pPr>
        <w:pStyle w:val="ListParagraph"/>
        <w:numPr>
          <w:ilvl w:val="0"/>
          <w:numId w:val="6"/>
        </w:numPr>
        <w:rPr>
          <w:b/>
          <w:bCs/>
        </w:rPr>
      </w:pPr>
      <w:r>
        <w:rPr>
          <w:b/>
          <w:bCs/>
        </w:rPr>
        <w:t>Direct Discrimination</w:t>
      </w:r>
    </w:p>
    <w:p w14:paraId="6CA0BC57" w14:textId="13F64C2A" w:rsidR="009D7E50" w:rsidRDefault="00CD17BC" w:rsidP="009D7E50">
      <w:r>
        <w:t xml:space="preserve">This involves treating someone less favourably because of a protected characteristic. For example, not hiring a candidate because they are of a certain race. </w:t>
      </w:r>
    </w:p>
    <w:p w14:paraId="7A3824D8" w14:textId="16A23C5B" w:rsidR="00CD17BC" w:rsidRDefault="00CD17BC" w:rsidP="00CD17BC">
      <w:pPr>
        <w:pStyle w:val="ListParagraph"/>
        <w:numPr>
          <w:ilvl w:val="0"/>
          <w:numId w:val="6"/>
        </w:numPr>
        <w:rPr>
          <w:b/>
          <w:bCs/>
        </w:rPr>
      </w:pPr>
      <w:r>
        <w:rPr>
          <w:b/>
          <w:bCs/>
        </w:rPr>
        <w:t>Indirect Discrimination</w:t>
      </w:r>
    </w:p>
    <w:p w14:paraId="2E657973" w14:textId="235BFBB6" w:rsidR="00CD17BC" w:rsidRDefault="00CD17BC" w:rsidP="00CD17BC">
      <w:r>
        <w:t>This applies to implementing a practice that disadvantages people with a protected characteristic compared to others</w:t>
      </w:r>
      <w:r w:rsidR="00315215">
        <w:t xml:space="preserve"> and cannot be justified as a proportionate means of achieving a legitimate aim. For example, requiring all employees to work full-time, which might disadvantage those with childcare responsibilities. </w:t>
      </w:r>
    </w:p>
    <w:p w14:paraId="4B5CD6DD" w14:textId="6CE599DE" w:rsidR="00315215" w:rsidRDefault="00315215" w:rsidP="00315215">
      <w:pPr>
        <w:pStyle w:val="ListParagraph"/>
        <w:numPr>
          <w:ilvl w:val="0"/>
          <w:numId w:val="6"/>
        </w:numPr>
        <w:rPr>
          <w:b/>
          <w:bCs/>
        </w:rPr>
      </w:pPr>
      <w:r>
        <w:rPr>
          <w:b/>
          <w:bCs/>
        </w:rPr>
        <w:t>Harassment</w:t>
      </w:r>
    </w:p>
    <w:p w14:paraId="7DED4460" w14:textId="40082B8A" w:rsidR="00315215" w:rsidRDefault="00315215" w:rsidP="00315215">
      <w:r>
        <w:t xml:space="preserve">This relates to unwanted conduct related to a protected characteristic that has the purpose of violating someone’s dignity or creating a hostile, </w:t>
      </w:r>
      <w:proofErr w:type="gramStart"/>
      <w:r>
        <w:t>degrading</w:t>
      </w:r>
      <w:proofErr w:type="gramEnd"/>
      <w:r>
        <w:t xml:space="preserve"> or offensive environment. For example, making offensive jokes about someone’s religion.</w:t>
      </w:r>
    </w:p>
    <w:p w14:paraId="54A123F9" w14:textId="1CCA6D1C" w:rsidR="00315215" w:rsidRDefault="00315215" w:rsidP="00315215">
      <w:pPr>
        <w:pStyle w:val="ListParagraph"/>
        <w:numPr>
          <w:ilvl w:val="0"/>
          <w:numId w:val="6"/>
        </w:numPr>
        <w:rPr>
          <w:b/>
          <w:bCs/>
        </w:rPr>
      </w:pPr>
      <w:r>
        <w:rPr>
          <w:b/>
          <w:bCs/>
        </w:rPr>
        <w:t>Victimisation</w:t>
      </w:r>
    </w:p>
    <w:p w14:paraId="55B7950F" w14:textId="6413C760" w:rsidR="00315215" w:rsidRDefault="00315215" w:rsidP="00315215">
      <w:r>
        <w:t xml:space="preserve">This concerns to treating someone unfairly because they have made or supported a complaint about discrimination. For example, demoting an employee because they raised a discrimination complaint. </w:t>
      </w:r>
    </w:p>
    <w:p w14:paraId="7E88E8CE" w14:textId="6CDE3829" w:rsidR="00F61BE1" w:rsidRDefault="00F61BE1" w:rsidP="00315215">
      <w:r>
        <w:t xml:space="preserve">Understanding and adhering to discrimination legislation is crucial for creating a fair and inclusive workplace. By complying with the Equality Act 2010, you can foster a respectful and fair environment for all employees. </w:t>
      </w:r>
    </w:p>
    <w:p w14:paraId="3B3C80BA" w14:textId="77777777" w:rsidR="00F61BE1" w:rsidRDefault="00F61BE1" w:rsidP="00315215">
      <w:pPr>
        <w:rPr>
          <w:b/>
          <w:bCs/>
        </w:rPr>
      </w:pPr>
    </w:p>
    <w:p w14:paraId="561ECC97" w14:textId="2A58A29B" w:rsidR="00F61BE1" w:rsidRPr="00F61BE1" w:rsidRDefault="00F61BE1" w:rsidP="00315215">
      <w:pPr>
        <w:rPr>
          <w:b/>
          <w:bCs/>
          <w:u w:val="single"/>
        </w:rPr>
      </w:pPr>
      <w:proofErr w:type="gramStart"/>
      <w:r w:rsidRPr="00F61BE1">
        <w:rPr>
          <w:b/>
          <w:bCs/>
          <w:u w:val="single"/>
        </w:rPr>
        <w:t>Understanding  Diversity</w:t>
      </w:r>
      <w:proofErr w:type="gramEnd"/>
      <w:r w:rsidRPr="00F61BE1">
        <w:rPr>
          <w:b/>
          <w:bCs/>
          <w:u w:val="single"/>
        </w:rPr>
        <w:t xml:space="preserve"> and Inclusion and Their Importance</w:t>
      </w:r>
    </w:p>
    <w:p w14:paraId="5BCD8236" w14:textId="413B48AB" w:rsidR="00F61BE1" w:rsidRDefault="00F61BE1" w:rsidP="00315215">
      <w:pPr>
        <w:rPr>
          <w:i/>
          <w:iCs/>
        </w:rPr>
      </w:pPr>
      <w:r>
        <w:rPr>
          <w:i/>
          <w:iCs/>
        </w:rPr>
        <w:t>What is Diversity?</w:t>
      </w:r>
    </w:p>
    <w:p w14:paraId="624B06BC" w14:textId="11C207A2" w:rsidR="00F61BE1" w:rsidRDefault="00F61BE1" w:rsidP="00315215">
      <w:r>
        <w:t xml:space="preserve">Diversity refers to the presence of differences within a given setting. In the context of the workplace, this involves a wide range of characteristics and experiences. For example, education, skills, experience, gender, race, religion and many more. Diversity </w:t>
      </w:r>
      <w:r w:rsidR="005210C4">
        <w:t xml:space="preserve">is about recognising and respecting the differences and acknowledging that each employee can bring a unique perspective to the organisation. </w:t>
      </w:r>
      <w:r>
        <w:t xml:space="preserve"> </w:t>
      </w:r>
    </w:p>
    <w:p w14:paraId="612636A8" w14:textId="1E4E1E28" w:rsidR="005210C4" w:rsidRDefault="005210C4" w:rsidP="00315215">
      <w:pPr>
        <w:rPr>
          <w:i/>
          <w:iCs/>
        </w:rPr>
      </w:pPr>
      <w:r>
        <w:rPr>
          <w:i/>
          <w:iCs/>
        </w:rPr>
        <w:lastRenderedPageBreak/>
        <w:t>What is Inclusion?</w:t>
      </w:r>
    </w:p>
    <w:p w14:paraId="11C20AC3" w14:textId="32C3B080" w:rsidR="005210C4" w:rsidRDefault="005210C4" w:rsidP="00315215">
      <w:r>
        <w:t xml:space="preserve">Inclusion refers to creating an environment where all individuals feel valued, respected and have equal access to opportunities and resources. This involves fostering a culture where everyone can participate and can achieve their full potential regardless of their background or characteristics. </w:t>
      </w:r>
    </w:p>
    <w:p w14:paraId="6C76FB7E" w14:textId="2BF30476" w:rsidR="005210C4" w:rsidRDefault="005210C4" w:rsidP="00315215">
      <w:pPr>
        <w:rPr>
          <w:b/>
          <w:bCs/>
        </w:rPr>
      </w:pPr>
      <w:r>
        <w:rPr>
          <w:b/>
          <w:bCs/>
        </w:rPr>
        <w:t>The Importance of Diversity and Inclusion</w:t>
      </w:r>
    </w:p>
    <w:p w14:paraId="62827C55" w14:textId="75FA24DC" w:rsidR="005210C4" w:rsidRDefault="00B25EBE" w:rsidP="00B25EBE">
      <w:pPr>
        <w:pStyle w:val="ListParagraph"/>
        <w:numPr>
          <w:ilvl w:val="0"/>
          <w:numId w:val="7"/>
        </w:numPr>
        <w:rPr>
          <w:b/>
          <w:bCs/>
        </w:rPr>
      </w:pPr>
      <w:r>
        <w:rPr>
          <w:b/>
          <w:bCs/>
        </w:rPr>
        <w:t xml:space="preserve">Enhanced Innovation and Creativity </w:t>
      </w:r>
    </w:p>
    <w:p w14:paraId="776F5AB7" w14:textId="1EC77C22" w:rsidR="00B25EBE" w:rsidRDefault="00B25EBE" w:rsidP="00B25EBE">
      <w:pPr>
        <w:ind w:left="360"/>
      </w:pPr>
      <w:r>
        <w:t>Diverse teams bring</w:t>
      </w:r>
      <w:r w:rsidR="00A67DF5">
        <w:t xml:space="preserve"> a variety of perspectives and ideas, which can lead to more creative and innovative solutions. Different viewpoints can challenge conventional thinking </w:t>
      </w:r>
      <w:r w:rsidR="00650043">
        <w:t xml:space="preserve">and spark new ways to approach problems. </w:t>
      </w:r>
    </w:p>
    <w:p w14:paraId="0E1941D7" w14:textId="78FE9724" w:rsidR="00650043" w:rsidRDefault="00650043" w:rsidP="00650043">
      <w:pPr>
        <w:pStyle w:val="ListParagraph"/>
        <w:numPr>
          <w:ilvl w:val="0"/>
          <w:numId w:val="7"/>
        </w:numPr>
        <w:rPr>
          <w:b/>
          <w:bCs/>
        </w:rPr>
      </w:pPr>
      <w:r>
        <w:rPr>
          <w:b/>
          <w:bCs/>
        </w:rPr>
        <w:t>Improved Employee Performance and Satisfaction</w:t>
      </w:r>
    </w:p>
    <w:p w14:paraId="4AA815F4" w14:textId="35D06630" w:rsidR="00650043" w:rsidRDefault="00650043" w:rsidP="00650043">
      <w:pPr>
        <w:ind w:left="360"/>
      </w:pPr>
      <w:r>
        <w:t xml:space="preserve">When employees feel included and valued, they are more engaged and motivated. This leads to higher job satisfaction, better </w:t>
      </w:r>
      <w:proofErr w:type="gramStart"/>
      <w:r>
        <w:t>performance</w:t>
      </w:r>
      <w:proofErr w:type="gramEnd"/>
      <w:r>
        <w:t xml:space="preserve"> and increased productivity. </w:t>
      </w:r>
    </w:p>
    <w:p w14:paraId="4A11CB84" w14:textId="16E7B38D" w:rsidR="00650043" w:rsidRDefault="00650043" w:rsidP="00650043">
      <w:pPr>
        <w:pStyle w:val="ListParagraph"/>
        <w:numPr>
          <w:ilvl w:val="0"/>
          <w:numId w:val="7"/>
        </w:numPr>
        <w:rPr>
          <w:b/>
          <w:bCs/>
        </w:rPr>
      </w:pPr>
      <w:r>
        <w:rPr>
          <w:b/>
          <w:bCs/>
        </w:rPr>
        <w:t>Attracting and Retaining Talent</w:t>
      </w:r>
    </w:p>
    <w:p w14:paraId="15C81F03" w14:textId="35DBB628" w:rsidR="00650043" w:rsidRPr="00650043" w:rsidRDefault="00650043" w:rsidP="00650043">
      <w:pPr>
        <w:ind w:left="360"/>
      </w:pPr>
      <w:r>
        <w:t>Organisations that prioritise diversity and inclusion</w:t>
      </w:r>
      <w:r w:rsidR="0015735C">
        <w:t xml:space="preserve"> are more attractive to a wider pool of talent. Potential employees are drawn to companies where they feel they will be respected and have equal opportunities for advancement. </w:t>
      </w:r>
    </w:p>
    <w:p w14:paraId="1F06E074" w14:textId="1C0E6AD1" w:rsidR="00650043" w:rsidRDefault="0015735C" w:rsidP="0015735C">
      <w:r>
        <w:t xml:space="preserve">Diversity and inclusion are fundamental to creating a thriving workplace. By valuing and the differences amongst employees, you can foster a culture of innovation and improve employee satisfaction. </w:t>
      </w:r>
    </w:p>
    <w:p w14:paraId="0A2BB849" w14:textId="57E5D123" w:rsidR="0015735C" w:rsidRDefault="0015735C" w:rsidP="0015735C">
      <w:pPr>
        <w:rPr>
          <w:b/>
          <w:bCs/>
        </w:rPr>
      </w:pPr>
    </w:p>
    <w:p w14:paraId="405BAF3B" w14:textId="6EF2DCA5" w:rsidR="0015735C" w:rsidRPr="00C33DE2" w:rsidRDefault="0015735C" w:rsidP="0015735C">
      <w:pPr>
        <w:rPr>
          <w:b/>
          <w:bCs/>
          <w:u w:val="single"/>
        </w:rPr>
      </w:pPr>
      <w:r w:rsidRPr="00C33DE2">
        <w:rPr>
          <w:b/>
          <w:bCs/>
          <w:u w:val="single"/>
        </w:rPr>
        <w:t xml:space="preserve">Understanding Fair and Unfair Dismissal </w:t>
      </w:r>
    </w:p>
    <w:p w14:paraId="1C95012D" w14:textId="36ECF7D7" w:rsidR="0015735C" w:rsidRDefault="0015735C" w:rsidP="0015735C">
      <w:pPr>
        <w:rPr>
          <w:i/>
          <w:iCs/>
        </w:rPr>
      </w:pPr>
      <w:r>
        <w:rPr>
          <w:i/>
          <w:iCs/>
        </w:rPr>
        <w:t xml:space="preserve">What is Fair Dismissal? </w:t>
      </w:r>
    </w:p>
    <w:p w14:paraId="07BB635D" w14:textId="511E4098" w:rsidR="0015735C" w:rsidRDefault="0015735C" w:rsidP="0015735C">
      <w:r>
        <w:t>Fair dismissal occurs when an employer terminates an employee’s contract in a manner that is justifiable and in accordance with legal requirements</w:t>
      </w:r>
      <w:r w:rsidR="00F40B75">
        <w:t xml:space="preserve"> (Waite et al, 2021)</w:t>
      </w:r>
      <w:r>
        <w:t>. For a dismissal to be deemed fair, it must follow the following criteria:</w:t>
      </w:r>
    </w:p>
    <w:p w14:paraId="4A5D6D1E" w14:textId="01D7F008" w:rsidR="0015735C" w:rsidRDefault="0015735C" w:rsidP="0015735C">
      <w:pPr>
        <w:pStyle w:val="ListParagraph"/>
        <w:numPr>
          <w:ilvl w:val="0"/>
          <w:numId w:val="4"/>
        </w:numPr>
      </w:pPr>
      <w:r w:rsidRPr="002A56A1">
        <w:rPr>
          <w:b/>
          <w:bCs/>
        </w:rPr>
        <w:t>Conduct:</w:t>
      </w:r>
      <w:r>
        <w:t xml:space="preserve"> The employee’s behaviour is inappropriate or unacceptable (e.g. theft or harassment).</w:t>
      </w:r>
    </w:p>
    <w:p w14:paraId="6C7DB0FE" w14:textId="34B2F903" w:rsidR="0015735C" w:rsidRDefault="0015735C" w:rsidP="0015735C">
      <w:pPr>
        <w:pStyle w:val="ListParagraph"/>
        <w:numPr>
          <w:ilvl w:val="0"/>
          <w:numId w:val="4"/>
        </w:numPr>
      </w:pPr>
      <w:r w:rsidRPr="002A56A1">
        <w:rPr>
          <w:b/>
          <w:bCs/>
        </w:rPr>
        <w:t>Capability:</w:t>
      </w:r>
      <w:r>
        <w:t xml:space="preserve"> The employee lacks the necessary skills or qualifications to perform the job (e.g. consistent poor performance).</w:t>
      </w:r>
    </w:p>
    <w:p w14:paraId="2E603EE6" w14:textId="7B33CF18" w:rsidR="0015735C" w:rsidRDefault="0015735C" w:rsidP="0015735C">
      <w:pPr>
        <w:pStyle w:val="ListParagraph"/>
        <w:numPr>
          <w:ilvl w:val="0"/>
          <w:numId w:val="4"/>
        </w:numPr>
      </w:pPr>
      <w:r w:rsidRPr="002A56A1">
        <w:rPr>
          <w:b/>
          <w:bCs/>
        </w:rPr>
        <w:t>Redundancy:</w:t>
      </w:r>
      <w:r>
        <w:t xml:space="preserve"> </w:t>
      </w:r>
      <w:r w:rsidR="002A56A1">
        <w:t xml:space="preserve">The role is no longer needed due to business changes (e.g. restructuring). </w:t>
      </w:r>
    </w:p>
    <w:p w14:paraId="5042B158" w14:textId="755413C9" w:rsidR="002A56A1" w:rsidRDefault="002A56A1" w:rsidP="0015735C">
      <w:pPr>
        <w:pStyle w:val="ListParagraph"/>
        <w:numPr>
          <w:ilvl w:val="0"/>
          <w:numId w:val="4"/>
        </w:numPr>
      </w:pPr>
      <w:r w:rsidRPr="002A56A1">
        <w:rPr>
          <w:b/>
          <w:bCs/>
        </w:rPr>
        <w:t>Some Other Substantial Reason (SOSR):</w:t>
      </w:r>
      <w:r>
        <w:t xml:space="preserve"> Any other significant reason that justifies dismissal (e.g. breakdown of working relationships).</w:t>
      </w:r>
    </w:p>
    <w:p w14:paraId="3AEB527E" w14:textId="79004A91" w:rsidR="002A56A1" w:rsidRDefault="002A56A1" w:rsidP="002A56A1">
      <w:pPr>
        <w:rPr>
          <w:i/>
          <w:iCs/>
        </w:rPr>
      </w:pPr>
      <w:r>
        <w:rPr>
          <w:i/>
          <w:iCs/>
        </w:rPr>
        <w:lastRenderedPageBreak/>
        <w:t xml:space="preserve">What is Unfair Dismissal? </w:t>
      </w:r>
    </w:p>
    <w:p w14:paraId="6416F11C" w14:textId="4DCBA2C3" w:rsidR="002A56A1" w:rsidRDefault="002A56A1" w:rsidP="002A56A1">
      <w:r>
        <w:t xml:space="preserve">Unfair dismissal occurs when an employee is terminated without a valid reason or when the employer fails to follow proper procedures. There are various ways a dismissal can be classed as unfair: </w:t>
      </w:r>
    </w:p>
    <w:p w14:paraId="04B6BCEF" w14:textId="0274BEA1" w:rsidR="002A56A1" w:rsidRPr="002A56A1" w:rsidRDefault="002A56A1" w:rsidP="002A56A1">
      <w:pPr>
        <w:pStyle w:val="ListParagraph"/>
        <w:numPr>
          <w:ilvl w:val="0"/>
          <w:numId w:val="9"/>
        </w:numPr>
        <w:rPr>
          <w:b/>
          <w:bCs/>
        </w:rPr>
      </w:pPr>
      <w:r>
        <w:rPr>
          <w:b/>
          <w:bCs/>
        </w:rPr>
        <w:t xml:space="preserve">Lack of Valid Reason: </w:t>
      </w:r>
      <w:r>
        <w:t>Dismissal without any of the legally accepted reasons (conduct, capability, redundancy) is considered unfair.</w:t>
      </w:r>
    </w:p>
    <w:p w14:paraId="4D8079AA" w14:textId="4C39F761" w:rsidR="002A56A1" w:rsidRPr="002A56A1" w:rsidRDefault="002A56A1" w:rsidP="002A56A1">
      <w:pPr>
        <w:pStyle w:val="ListParagraph"/>
        <w:numPr>
          <w:ilvl w:val="0"/>
          <w:numId w:val="9"/>
        </w:numPr>
        <w:rPr>
          <w:b/>
          <w:bCs/>
        </w:rPr>
      </w:pPr>
      <w:r>
        <w:rPr>
          <w:b/>
          <w:bCs/>
        </w:rPr>
        <w:t xml:space="preserve">Improper Procedure: </w:t>
      </w:r>
      <w:r>
        <w:t>Failure to follow a fair and consistent procedure, even if there is a valid reason for dismissal can render to an unfair dismissal.</w:t>
      </w:r>
    </w:p>
    <w:p w14:paraId="7302D1E4" w14:textId="2F102AC9" w:rsidR="002A56A1" w:rsidRPr="002A56A1" w:rsidRDefault="002A56A1" w:rsidP="002A56A1">
      <w:pPr>
        <w:pStyle w:val="ListParagraph"/>
        <w:numPr>
          <w:ilvl w:val="0"/>
          <w:numId w:val="9"/>
        </w:numPr>
        <w:rPr>
          <w:b/>
          <w:bCs/>
        </w:rPr>
      </w:pPr>
      <w:r>
        <w:rPr>
          <w:b/>
          <w:bCs/>
        </w:rPr>
        <w:t xml:space="preserve">Automatically Unfair Dismissal: </w:t>
      </w:r>
      <w:r>
        <w:t xml:space="preserve">Certain reasons for dismissal are automatically considered unfair, regardless of circumstances when it comes to pregnancy or maternity, family related reasons, </w:t>
      </w:r>
      <w:proofErr w:type="gramStart"/>
      <w:r>
        <w:t>discrimination</w:t>
      </w:r>
      <w:proofErr w:type="gramEnd"/>
      <w:r>
        <w:t xml:space="preserve"> or whistleblowing. </w:t>
      </w:r>
    </w:p>
    <w:p w14:paraId="06CB0275" w14:textId="0D392B2E" w:rsidR="002A56A1" w:rsidRPr="00C33DE2" w:rsidRDefault="002A56A1" w:rsidP="002A56A1">
      <w:pPr>
        <w:rPr>
          <w:b/>
          <w:bCs/>
          <w:u w:val="single"/>
        </w:rPr>
      </w:pPr>
      <w:r w:rsidRPr="00C33DE2">
        <w:rPr>
          <w:b/>
          <w:bCs/>
          <w:u w:val="single"/>
        </w:rPr>
        <w:t>Key Differences between a Fair and Unfair Dismissal</w:t>
      </w:r>
    </w:p>
    <w:p w14:paraId="0610765B" w14:textId="1C84BE13" w:rsidR="002A56A1" w:rsidRDefault="002A56A1" w:rsidP="002A56A1">
      <w:pPr>
        <w:pStyle w:val="ListParagraph"/>
        <w:numPr>
          <w:ilvl w:val="0"/>
          <w:numId w:val="10"/>
        </w:numPr>
        <w:rPr>
          <w:b/>
          <w:bCs/>
        </w:rPr>
      </w:pPr>
      <w:r>
        <w:rPr>
          <w:b/>
          <w:bCs/>
        </w:rPr>
        <w:t>Basis for Dismissal:</w:t>
      </w:r>
    </w:p>
    <w:p w14:paraId="676129E1" w14:textId="3E9AE4A3" w:rsidR="002A56A1" w:rsidRPr="002A56A1" w:rsidRDefault="002A56A1" w:rsidP="002A56A1">
      <w:pPr>
        <w:pStyle w:val="ListParagraph"/>
        <w:numPr>
          <w:ilvl w:val="0"/>
          <w:numId w:val="4"/>
        </w:numPr>
        <w:rPr>
          <w:b/>
          <w:bCs/>
        </w:rPr>
      </w:pPr>
      <w:r>
        <w:t>Fair Dismissal: Based on valid and legally recognised reasons.</w:t>
      </w:r>
    </w:p>
    <w:p w14:paraId="1FBE269F" w14:textId="73D43E75" w:rsidR="002A56A1" w:rsidRPr="002A56A1" w:rsidRDefault="002A56A1" w:rsidP="002A56A1">
      <w:pPr>
        <w:pStyle w:val="ListParagraph"/>
        <w:numPr>
          <w:ilvl w:val="0"/>
          <w:numId w:val="4"/>
        </w:numPr>
        <w:rPr>
          <w:b/>
          <w:bCs/>
        </w:rPr>
      </w:pPr>
      <w:r>
        <w:t>Unfair Dismissal: Lacks a valid reason or based on prohibited reasons.</w:t>
      </w:r>
    </w:p>
    <w:p w14:paraId="600887E3" w14:textId="50653F25" w:rsidR="002A56A1" w:rsidRDefault="002A56A1" w:rsidP="002A56A1">
      <w:pPr>
        <w:pStyle w:val="ListParagraph"/>
        <w:numPr>
          <w:ilvl w:val="0"/>
          <w:numId w:val="10"/>
        </w:numPr>
        <w:rPr>
          <w:b/>
          <w:bCs/>
        </w:rPr>
      </w:pPr>
      <w:r>
        <w:rPr>
          <w:b/>
          <w:bCs/>
        </w:rPr>
        <w:t>Procedural Adherence:</w:t>
      </w:r>
    </w:p>
    <w:p w14:paraId="0DEACB21" w14:textId="04BDB4EA" w:rsidR="002A56A1" w:rsidRPr="00C33DE2" w:rsidRDefault="002A56A1" w:rsidP="002A56A1">
      <w:pPr>
        <w:pStyle w:val="ListParagraph"/>
        <w:numPr>
          <w:ilvl w:val="0"/>
          <w:numId w:val="4"/>
        </w:numPr>
        <w:rPr>
          <w:b/>
          <w:bCs/>
        </w:rPr>
      </w:pPr>
      <w:r>
        <w:t xml:space="preserve">Fair Dismissal: </w:t>
      </w:r>
      <w:r w:rsidR="00C33DE2">
        <w:t xml:space="preserve">Follows a clear, </w:t>
      </w:r>
      <w:proofErr w:type="gramStart"/>
      <w:r w:rsidR="00C33DE2">
        <w:t>fair</w:t>
      </w:r>
      <w:proofErr w:type="gramEnd"/>
      <w:r w:rsidR="00C33DE2">
        <w:t xml:space="preserve"> and consistent approach.</w:t>
      </w:r>
    </w:p>
    <w:p w14:paraId="25A72BE0" w14:textId="4F9A3D5C" w:rsidR="00C33DE2" w:rsidRPr="00C33DE2" w:rsidRDefault="00C33DE2" w:rsidP="002A56A1">
      <w:pPr>
        <w:pStyle w:val="ListParagraph"/>
        <w:numPr>
          <w:ilvl w:val="0"/>
          <w:numId w:val="4"/>
        </w:numPr>
        <w:rPr>
          <w:b/>
          <w:bCs/>
        </w:rPr>
      </w:pPr>
      <w:r>
        <w:t xml:space="preserve">Unfair Dismissal: Involves procedural failings, such as lack of proper investigation or denial of the right to appeal. </w:t>
      </w:r>
    </w:p>
    <w:p w14:paraId="4A4CB5AF" w14:textId="7CAB550D" w:rsidR="00C33DE2" w:rsidRDefault="00C33DE2" w:rsidP="00C33DE2">
      <w:pPr>
        <w:pStyle w:val="ListParagraph"/>
        <w:numPr>
          <w:ilvl w:val="0"/>
          <w:numId w:val="10"/>
        </w:numPr>
        <w:rPr>
          <w:b/>
          <w:bCs/>
        </w:rPr>
      </w:pPr>
      <w:r>
        <w:rPr>
          <w:b/>
          <w:bCs/>
        </w:rPr>
        <w:t>Employee Rights:</w:t>
      </w:r>
    </w:p>
    <w:p w14:paraId="711C1080" w14:textId="02FB5CB0" w:rsidR="00C33DE2" w:rsidRPr="00C33DE2" w:rsidRDefault="00C33DE2" w:rsidP="00C33DE2">
      <w:pPr>
        <w:pStyle w:val="ListParagraph"/>
        <w:numPr>
          <w:ilvl w:val="0"/>
          <w:numId w:val="4"/>
        </w:numPr>
        <w:rPr>
          <w:b/>
          <w:bCs/>
        </w:rPr>
      </w:pPr>
      <w:r>
        <w:t>Fair Dismissal: The employee’s rights are respected, including the right to be heard and the right to appeal.</w:t>
      </w:r>
    </w:p>
    <w:p w14:paraId="55E03ABB" w14:textId="077D273A" w:rsidR="00C33DE2" w:rsidRPr="00C33DE2" w:rsidRDefault="00C33DE2" w:rsidP="00C33DE2">
      <w:pPr>
        <w:pStyle w:val="ListParagraph"/>
        <w:numPr>
          <w:ilvl w:val="0"/>
          <w:numId w:val="4"/>
        </w:numPr>
        <w:rPr>
          <w:b/>
          <w:bCs/>
        </w:rPr>
      </w:pPr>
      <w:r>
        <w:t>Unfair Dismissal: The employee’s rights are violated, leading to potential legal consequences for the employer.</w:t>
      </w:r>
    </w:p>
    <w:p w14:paraId="7D8BCE03" w14:textId="77777777" w:rsidR="00C33DE2" w:rsidRPr="00C33DE2" w:rsidRDefault="00C33DE2" w:rsidP="00C33DE2">
      <w:pPr>
        <w:pStyle w:val="ListParagraph"/>
        <w:ind w:left="1080"/>
        <w:rPr>
          <w:b/>
          <w:bCs/>
        </w:rPr>
      </w:pPr>
    </w:p>
    <w:p w14:paraId="0120C4EB" w14:textId="77777777" w:rsidR="00F61BE1" w:rsidRPr="00315215" w:rsidRDefault="00F61BE1" w:rsidP="00315215"/>
    <w:p w14:paraId="79A65369" w14:textId="77777777" w:rsidR="009D7E50" w:rsidRDefault="009D7E50" w:rsidP="009D7E50"/>
    <w:p w14:paraId="105ABF27" w14:textId="77777777" w:rsidR="00C33DE2" w:rsidRDefault="00C33DE2" w:rsidP="009D7E50"/>
    <w:p w14:paraId="07DB4C39" w14:textId="77777777" w:rsidR="00C33DE2" w:rsidRDefault="00C33DE2" w:rsidP="009D7E50"/>
    <w:p w14:paraId="5E1F1C32" w14:textId="77777777" w:rsidR="00C33DE2" w:rsidRDefault="00C33DE2" w:rsidP="009D7E50"/>
    <w:p w14:paraId="3985B86F" w14:textId="77777777" w:rsidR="00C33DE2" w:rsidRDefault="00C33DE2" w:rsidP="009D7E50"/>
    <w:p w14:paraId="7FB344AD" w14:textId="77777777" w:rsidR="00C33DE2" w:rsidRDefault="00C33DE2" w:rsidP="009D7E50"/>
    <w:p w14:paraId="18ED9A8B" w14:textId="77777777" w:rsidR="00C33DE2" w:rsidRDefault="00C33DE2" w:rsidP="009D7E50"/>
    <w:p w14:paraId="555C239A" w14:textId="77777777" w:rsidR="00C33DE2" w:rsidRDefault="00C33DE2" w:rsidP="009D7E50"/>
    <w:p w14:paraId="35FC6903" w14:textId="77777777" w:rsidR="00C33DE2" w:rsidRDefault="00C33DE2" w:rsidP="009D7E50"/>
    <w:p w14:paraId="7B5F905F" w14:textId="29289E39" w:rsidR="00C33DE2" w:rsidRDefault="00C33DE2" w:rsidP="009D7E50">
      <w:r>
        <w:t>References</w:t>
      </w:r>
    </w:p>
    <w:p w14:paraId="318BD8DF" w14:textId="3D3F0232" w:rsidR="00C33DE2" w:rsidRPr="00C33DE2" w:rsidRDefault="00C33DE2" w:rsidP="00C33DE2">
      <w:r w:rsidRPr="00C33DE2">
        <w:t xml:space="preserve">Faragher, J. (2024) </w:t>
      </w:r>
      <w:r w:rsidRPr="00C33DE2">
        <w:rPr>
          <w:i/>
          <w:iCs/>
        </w:rPr>
        <w:t>Flexible working changes 2024: How the new law works.</w:t>
      </w:r>
      <w:r w:rsidRPr="00C33DE2">
        <w:t xml:space="preserve"> Available at: </w:t>
      </w:r>
      <w:hyperlink r:id="rId5" w:history="1">
        <w:r w:rsidRPr="00C33DE2">
          <w:rPr>
            <w:rStyle w:val="Hyperlink"/>
          </w:rPr>
          <w:t>Flexible working changes 2024: How the new law works (personneltoday.com)</w:t>
        </w:r>
      </w:hyperlink>
      <w:r w:rsidRPr="00C33DE2">
        <w:t xml:space="preserve"> (Accessed: </w:t>
      </w:r>
      <w:r>
        <w:t>2</w:t>
      </w:r>
      <w:r w:rsidRPr="00C33DE2">
        <w:rPr>
          <w:vertAlign w:val="superscript"/>
        </w:rPr>
        <w:t>nd</w:t>
      </w:r>
      <w:r>
        <w:t xml:space="preserve"> June</w:t>
      </w:r>
      <w:r w:rsidRPr="00C33DE2">
        <w:t xml:space="preserve"> 2024)</w:t>
      </w:r>
    </w:p>
    <w:p w14:paraId="1F82A9BC" w14:textId="77777777" w:rsidR="00B25303" w:rsidRDefault="00B25303" w:rsidP="00B25303">
      <w:pPr>
        <w:spacing w:before="240" w:after="240" w:line="256" w:lineRule="auto"/>
        <w:rPr>
          <w:rFonts w:ascii="Arial" w:eastAsia="Arial" w:hAnsi="Arial" w:cs="Arial"/>
          <w:color w:val="333333"/>
          <w:sz w:val="22"/>
          <w:szCs w:val="22"/>
        </w:rPr>
      </w:pPr>
      <w:r>
        <w:rPr>
          <w:rFonts w:ascii="Arial" w:eastAsia="Arial" w:hAnsi="Arial" w:cs="Arial"/>
          <w:color w:val="333333"/>
          <w:sz w:val="22"/>
          <w:szCs w:val="22"/>
        </w:rPr>
        <w:t xml:space="preserve">GOV.UK (2015) </w:t>
      </w:r>
      <w:r>
        <w:rPr>
          <w:rFonts w:ascii="Arial" w:eastAsia="Arial" w:hAnsi="Arial" w:cs="Arial"/>
          <w:i/>
          <w:iCs/>
          <w:color w:val="333333"/>
          <w:sz w:val="22"/>
          <w:szCs w:val="22"/>
        </w:rPr>
        <w:t>Equality Act 2010: guidance</w:t>
      </w:r>
      <w:r>
        <w:rPr>
          <w:rFonts w:ascii="Arial" w:eastAsia="Arial" w:hAnsi="Arial" w:cs="Arial"/>
          <w:color w:val="333333"/>
          <w:sz w:val="22"/>
          <w:szCs w:val="22"/>
        </w:rPr>
        <w:t xml:space="preserve"> Available at: </w:t>
      </w:r>
      <w:hyperlink r:id="rId6" w:anchor=":~:text=The%20Equality%20Act%202010%20legally,strengthening%20protection%20in%20some%20situations" w:history="1">
        <w:r>
          <w:rPr>
            <w:rStyle w:val="Hyperlink"/>
            <w:rFonts w:ascii="Arial" w:eastAsia="Arial" w:hAnsi="Arial" w:cs="Arial"/>
            <w:sz w:val="22"/>
            <w:szCs w:val="22"/>
          </w:rPr>
          <w:t>https://www.gov.uk/guidance/equality-act-2010-guidance#:~:text=The%20Equality%20Act%202010%20legally,strengthening%20protection%20in%20some%20situations</w:t>
        </w:r>
      </w:hyperlink>
      <w:r>
        <w:rPr>
          <w:rFonts w:ascii="Arial" w:eastAsia="Arial" w:hAnsi="Arial" w:cs="Arial"/>
          <w:color w:val="333333"/>
          <w:sz w:val="22"/>
          <w:szCs w:val="22"/>
        </w:rPr>
        <w:t>. (Accessed: 08/04/2024).</w:t>
      </w:r>
    </w:p>
    <w:p w14:paraId="4D2C9B56" w14:textId="1D75C315" w:rsidR="00C33DE2" w:rsidRDefault="00C33DE2" w:rsidP="009D7E50">
      <w:r>
        <w:t xml:space="preserve">Grant, A., Christianson, M. and Price, R. (2007) </w:t>
      </w:r>
      <w:r w:rsidR="00F40B75">
        <w:rPr>
          <w:i/>
          <w:iCs/>
        </w:rPr>
        <w:t xml:space="preserve">Happiness, </w:t>
      </w:r>
      <w:proofErr w:type="gramStart"/>
      <w:r w:rsidR="00F40B75">
        <w:rPr>
          <w:i/>
          <w:iCs/>
        </w:rPr>
        <w:t>Health</w:t>
      </w:r>
      <w:proofErr w:type="gramEnd"/>
      <w:r w:rsidR="00F40B75">
        <w:rPr>
          <w:i/>
          <w:iCs/>
        </w:rPr>
        <w:t xml:space="preserve"> or Relationships? Managerial Practices and Employee Well-Being </w:t>
      </w:r>
      <w:proofErr w:type="spellStart"/>
      <w:r w:rsidR="00F40B75">
        <w:rPr>
          <w:i/>
          <w:iCs/>
        </w:rPr>
        <w:t>Tradeoffs</w:t>
      </w:r>
      <w:proofErr w:type="spellEnd"/>
      <w:r w:rsidR="00F40B75">
        <w:t xml:space="preserve"> </w:t>
      </w:r>
      <w:r w:rsidR="00F40B75">
        <w:rPr>
          <w:rFonts w:ascii="Roboto" w:hAnsi="Roboto"/>
          <w:color w:val="555555"/>
          <w:sz w:val="21"/>
          <w:szCs w:val="21"/>
          <w:shd w:val="clear" w:color="auto" w:fill="FFFFFF"/>
        </w:rPr>
        <w:t>DOI:</w:t>
      </w:r>
      <w:hyperlink r:id="rId7" w:tgtFrame="_blank" w:history="1">
        <w:r w:rsidR="00F40B75">
          <w:rPr>
            <w:rStyle w:val="Hyperlink"/>
            <w:rFonts w:ascii="Roboto" w:hAnsi="Roboto"/>
            <w:sz w:val="21"/>
            <w:szCs w:val="21"/>
            <w:bdr w:val="none" w:sz="0" w:space="0" w:color="auto" w:frame="1"/>
            <w:shd w:val="clear" w:color="auto" w:fill="FFFFFF"/>
          </w:rPr>
          <w:t>10.5465/AMP.2007.26421238</w:t>
        </w:r>
      </w:hyperlink>
    </w:p>
    <w:p w14:paraId="346E3D90" w14:textId="138EFF87" w:rsidR="00F40B75" w:rsidRPr="00F40B75" w:rsidRDefault="00F40B75" w:rsidP="00F40B75">
      <w:r w:rsidRPr="00F40B75">
        <w:t xml:space="preserve">Mayne, M. (2023) Is work-life balance becoming more important than pay? Available at: </w:t>
      </w:r>
      <w:hyperlink r:id="rId8" w:history="1">
        <w:r w:rsidRPr="00F40B75">
          <w:rPr>
            <w:rStyle w:val="Hyperlink"/>
          </w:rPr>
          <w:t>Is work-life balance becoming more important than pay? (peoplemanagement.co.uk)</w:t>
        </w:r>
      </w:hyperlink>
      <w:r w:rsidRPr="00F40B75">
        <w:t xml:space="preserve"> (Accessed: </w:t>
      </w:r>
      <w:r>
        <w:t>2</w:t>
      </w:r>
      <w:r w:rsidRPr="00F40B75">
        <w:rPr>
          <w:vertAlign w:val="superscript"/>
        </w:rPr>
        <w:t>nd</w:t>
      </w:r>
      <w:r w:rsidRPr="00F40B75">
        <w:t xml:space="preserve"> </w:t>
      </w:r>
      <w:r>
        <w:t>June</w:t>
      </w:r>
      <w:r w:rsidRPr="00F40B75">
        <w:t xml:space="preserve"> 2024)</w:t>
      </w:r>
    </w:p>
    <w:p w14:paraId="1B948617" w14:textId="77777777" w:rsidR="00F40B75" w:rsidRDefault="00F40B75" w:rsidP="00F40B75">
      <w:pPr>
        <w:spacing w:before="240" w:after="240" w:line="254" w:lineRule="auto"/>
        <w:rPr>
          <w:rFonts w:eastAsia="Arial" w:cs="Arial"/>
          <w:color w:val="000000" w:themeColor="text1"/>
        </w:rPr>
      </w:pPr>
      <w:r>
        <w:rPr>
          <w:rFonts w:eastAsia="Arial" w:cs="Arial"/>
          <w:color w:val="000000" w:themeColor="text1"/>
        </w:rPr>
        <w:t xml:space="preserve">Waite, K., Beevers, K., Small, N., Tomlinson, K. and Hussain, S. (2021) </w:t>
      </w:r>
      <w:r>
        <w:rPr>
          <w:rFonts w:eastAsia="Arial" w:cs="Arial"/>
          <w:i/>
          <w:iCs/>
          <w:color w:val="000000" w:themeColor="text1"/>
        </w:rPr>
        <w:t>People Practice: A Complete Guide</w:t>
      </w:r>
      <w:r>
        <w:rPr>
          <w:rFonts w:eastAsia="Arial" w:cs="Arial"/>
          <w:color w:val="000000" w:themeColor="text1"/>
        </w:rPr>
        <w:t>. London: CIPD Kogan Page</w:t>
      </w:r>
    </w:p>
    <w:p w14:paraId="404344CF" w14:textId="77777777" w:rsidR="00F40B75" w:rsidRPr="00F40B75" w:rsidRDefault="00F40B75" w:rsidP="009D7E50"/>
    <w:sectPr w:rsidR="00F40B75" w:rsidRPr="00F40B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2E24F4"/>
    <w:multiLevelType w:val="hybridMultilevel"/>
    <w:tmpl w:val="9ECEDB06"/>
    <w:lvl w:ilvl="0" w:tplc="0172C7D2">
      <w:start w:val="1"/>
      <w:numFmt w:val="bullet"/>
      <w:lvlText w:val="–"/>
      <w:lvlJc w:val="left"/>
      <w:pPr>
        <w:tabs>
          <w:tab w:val="num" w:pos="720"/>
        </w:tabs>
        <w:ind w:left="720" w:hanging="360"/>
      </w:pPr>
      <w:rPr>
        <w:rFonts w:ascii="Arial" w:hAnsi="Arial" w:hint="default"/>
      </w:rPr>
    </w:lvl>
    <w:lvl w:ilvl="1" w:tplc="5BAE98A2">
      <w:start w:val="1"/>
      <w:numFmt w:val="bullet"/>
      <w:lvlText w:val="–"/>
      <w:lvlJc w:val="left"/>
      <w:pPr>
        <w:tabs>
          <w:tab w:val="num" w:pos="1440"/>
        </w:tabs>
        <w:ind w:left="1440" w:hanging="360"/>
      </w:pPr>
      <w:rPr>
        <w:rFonts w:ascii="Arial" w:hAnsi="Arial" w:hint="default"/>
      </w:rPr>
    </w:lvl>
    <w:lvl w:ilvl="2" w:tplc="2ED2A7A8" w:tentative="1">
      <w:start w:val="1"/>
      <w:numFmt w:val="bullet"/>
      <w:lvlText w:val="–"/>
      <w:lvlJc w:val="left"/>
      <w:pPr>
        <w:tabs>
          <w:tab w:val="num" w:pos="2160"/>
        </w:tabs>
        <w:ind w:left="2160" w:hanging="360"/>
      </w:pPr>
      <w:rPr>
        <w:rFonts w:ascii="Arial" w:hAnsi="Arial" w:hint="default"/>
      </w:rPr>
    </w:lvl>
    <w:lvl w:ilvl="3" w:tplc="84F06DAA" w:tentative="1">
      <w:start w:val="1"/>
      <w:numFmt w:val="bullet"/>
      <w:lvlText w:val="–"/>
      <w:lvlJc w:val="left"/>
      <w:pPr>
        <w:tabs>
          <w:tab w:val="num" w:pos="2880"/>
        </w:tabs>
        <w:ind w:left="2880" w:hanging="360"/>
      </w:pPr>
      <w:rPr>
        <w:rFonts w:ascii="Arial" w:hAnsi="Arial" w:hint="default"/>
      </w:rPr>
    </w:lvl>
    <w:lvl w:ilvl="4" w:tplc="7D546D68" w:tentative="1">
      <w:start w:val="1"/>
      <w:numFmt w:val="bullet"/>
      <w:lvlText w:val="–"/>
      <w:lvlJc w:val="left"/>
      <w:pPr>
        <w:tabs>
          <w:tab w:val="num" w:pos="3600"/>
        </w:tabs>
        <w:ind w:left="3600" w:hanging="360"/>
      </w:pPr>
      <w:rPr>
        <w:rFonts w:ascii="Arial" w:hAnsi="Arial" w:hint="default"/>
      </w:rPr>
    </w:lvl>
    <w:lvl w:ilvl="5" w:tplc="CA64FDA8" w:tentative="1">
      <w:start w:val="1"/>
      <w:numFmt w:val="bullet"/>
      <w:lvlText w:val="–"/>
      <w:lvlJc w:val="left"/>
      <w:pPr>
        <w:tabs>
          <w:tab w:val="num" w:pos="4320"/>
        </w:tabs>
        <w:ind w:left="4320" w:hanging="360"/>
      </w:pPr>
      <w:rPr>
        <w:rFonts w:ascii="Arial" w:hAnsi="Arial" w:hint="default"/>
      </w:rPr>
    </w:lvl>
    <w:lvl w:ilvl="6" w:tplc="DD021C38" w:tentative="1">
      <w:start w:val="1"/>
      <w:numFmt w:val="bullet"/>
      <w:lvlText w:val="–"/>
      <w:lvlJc w:val="left"/>
      <w:pPr>
        <w:tabs>
          <w:tab w:val="num" w:pos="5040"/>
        </w:tabs>
        <w:ind w:left="5040" w:hanging="360"/>
      </w:pPr>
      <w:rPr>
        <w:rFonts w:ascii="Arial" w:hAnsi="Arial" w:hint="default"/>
      </w:rPr>
    </w:lvl>
    <w:lvl w:ilvl="7" w:tplc="D598D3BA" w:tentative="1">
      <w:start w:val="1"/>
      <w:numFmt w:val="bullet"/>
      <w:lvlText w:val="–"/>
      <w:lvlJc w:val="left"/>
      <w:pPr>
        <w:tabs>
          <w:tab w:val="num" w:pos="5760"/>
        </w:tabs>
        <w:ind w:left="5760" w:hanging="360"/>
      </w:pPr>
      <w:rPr>
        <w:rFonts w:ascii="Arial" w:hAnsi="Arial" w:hint="default"/>
      </w:rPr>
    </w:lvl>
    <w:lvl w:ilvl="8" w:tplc="3108650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54F363B"/>
    <w:multiLevelType w:val="hybridMultilevel"/>
    <w:tmpl w:val="69C04C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AB1BC1"/>
    <w:multiLevelType w:val="hybridMultilevel"/>
    <w:tmpl w:val="EC4A6D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3905B6C"/>
    <w:multiLevelType w:val="hybridMultilevel"/>
    <w:tmpl w:val="BD10A338"/>
    <w:lvl w:ilvl="0" w:tplc="22A8E76C">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BE27F2"/>
    <w:multiLevelType w:val="hybridMultilevel"/>
    <w:tmpl w:val="CFEC05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6C004CA"/>
    <w:multiLevelType w:val="hybridMultilevel"/>
    <w:tmpl w:val="2DFEC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C11B79"/>
    <w:multiLevelType w:val="hybridMultilevel"/>
    <w:tmpl w:val="CE38DD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8B2E63"/>
    <w:multiLevelType w:val="hybridMultilevel"/>
    <w:tmpl w:val="7144D792"/>
    <w:lvl w:ilvl="0" w:tplc="AF2811B0">
      <w:start w:val="1"/>
      <w:numFmt w:val="bullet"/>
      <w:lvlText w:val="–"/>
      <w:lvlJc w:val="left"/>
      <w:pPr>
        <w:tabs>
          <w:tab w:val="num" w:pos="720"/>
        </w:tabs>
        <w:ind w:left="720" w:hanging="360"/>
      </w:pPr>
      <w:rPr>
        <w:rFonts w:ascii="Arial" w:hAnsi="Arial" w:hint="default"/>
      </w:rPr>
    </w:lvl>
    <w:lvl w:ilvl="1" w:tplc="01F682B4">
      <w:start w:val="1"/>
      <w:numFmt w:val="bullet"/>
      <w:lvlText w:val="–"/>
      <w:lvlJc w:val="left"/>
      <w:pPr>
        <w:tabs>
          <w:tab w:val="num" w:pos="1440"/>
        </w:tabs>
        <w:ind w:left="1440" w:hanging="360"/>
      </w:pPr>
      <w:rPr>
        <w:rFonts w:ascii="Arial" w:hAnsi="Arial" w:hint="default"/>
      </w:rPr>
    </w:lvl>
    <w:lvl w:ilvl="2" w:tplc="D5C205F6" w:tentative="1">
      <w:start w:val="1"/>
      <w:numFmt w:val="bullet"/>
      <w:lvlText w:val="–"/>
      <w:lvlJc w:val="left"/>
      <w:pPr>
        <w:tabs>
          <w:tab w:val="num" w:pos="2160"/>
        </w:tabs>
        <w:ind w:left="2160" w:hanging="360"/>
      </w:pPr>
      <w:rPr>
        <w:rFonts w:ascii="Arial" w:hAnsi="Arial" w:hint="default"/>
      </w:rPr>
    </w:lvl>
    <w:lvl w:ilvl="3" w:tplc="268C1A60" w:tentative="1">
      <w:start w:val="1"/>
      <w:numFmt w:val="bullet"/>
      <w:lvlText w:val="–"/>
      <w:lvlJc w:val="left"/>
      <w:pPr>
        <w:tabs>
          <w:tab w:val="num" w:pos="2880"/>
        </w:tabs>
        <w:ind w:left="2880" w:hanging="360"/>
      </w:pPr>
      <w:rPr>
        <w:rFonts w:ascii="Arial" w:hAnsi="Arial" w:hint="default"/>
      </w:rPr>
    </w:lvl>
    <w:lvl w:ilvl="4" w:tplc="3376B0F6" w:tentative="1">
      <w:start w:val="1"/>
      <w:numFmt w:val="bullet"/>
      <w:lvlText w:val="–"/>
      <w:lvlJc w:val="left"/>
      <w:pPr>
        <w:tabs>
          <w:tab w:val="num" w:pos="3600"/>
        </w:tabs>
        <w:ind w:left="3600" w:hanging="360"/>
      </w:pPr>
      <w:rPr>
        <w:rFonts w:ascii="Arial" w:hAnsi="Arial" w:hint="default"/>
      </w:rPr>
    </w:lvl>
    <w:lvl w:ilvl="5" w:tplc="695A027A" w:tentative="1">
      <w:start w:val="1"/>
      <w:numFmt w:val="bullet"/>
      <w:lvlText w:val="–"/>
      <w:lvlJc w:val="left"/>
      <w:pPr>
        <w:tabs>
          <w:tab w:val="num" w:pos="4320"/>
        </w:tabs>
        <w:ind w:left="4320" w:hanging="360"/>
      </w:pPr>
      <w:rPr>
        <w:rFonts w:ascii="Arial" w:hAnsi="Arial" w:hint="default"/>
      </w:rPr>
    </w:lvl>
    <w:lvl w:ilvl="6" w:tplc="3E0238C2" w:tentative="1">
      <w:start w:val="1"/>
      <w:numFmt w:val="bullet"/>
      <w:lvlText w:val="–"/>
      <w:lvlJc w:val="left"/>
      <w:pPr>
        <w:tabs>
          <w:tab w:val="num" w:pos="5040"/>
        </w:tabs>
        <w:ind w:left="5040" w:hanging="360"/>
      </w:pPr>
      <w:rPr>
        <w:rFonts w:ascii="Arial" w:hAnsi="Arial" w:hint="default"/>
      </w:rPr>
    </w:lvl>
    <w:lvl w:ilvl="7" w:tplc="B95A3DA8" w:tentative="1">
      <w:start w:val="1"/>
      <w:numFmt w:val="bullet"/>
      <w:lvlText w:val="–"/>
      <w:lvlJc w:val="left"/>
      <w:pPr>
        <w:tabs>
          <w:tab w:val="num" w:pos="5760"/>
        </w:tabs>
        <w:ind w:left="5760" w:hanging="360"/>
      </w:pPr>
      <w:rPr>
        <w:rFonts w:ascii="Arial" w:hAnsi="Arial" w:hint="default"/>
      </w:rPr>
    </w:lvl>
    <w:lvl w:ilvl="8" w:tplc="B18CC2A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7713150"/>
    <w:multiLevelType w:val="hybridMultilevel"/>
    <w:tmpl w:val="9F2625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AE60A32"/>
    <w:multiLevelType w:val="hybridMultilevel"/>
    <w:tmpl w:val="5434BB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D0862BE"/>
    <w:multiLevelType w:val="hybridMultilevel"/>
    <w:tmpl w:val="A7282258"/>
    <w:lvl w:ilvl="0" w:tplc="22A8E76C">
      <w:start w:val="1"/>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7E70638F"/>
    <w:multiLevelType w:val="hybridMultilevel"/>
    <w:tmpl w:val="83BA12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0937039">
    <w:abstractNumId w:val="9"/>
  </w:num>
  <w:num w:numId="2" w16cid:durableId="1940984944">
    <w:abstractNumId w:val="1"/>
  </w:num>
  <w:num w:numId="3" w16cid:durableId="450827588">
    <w:abstractNumId w:val="3"/>
  </w:num>
  <w:num w:numId="4" w16cid:durableId="1315913368">
    <w:abstractNumId w:val="10"/>
  </w:num>
  <w:num w:numId="5" w16cid:durableId="1684162713">
    <w:abstractNumId w:val="6"/>
  </w:num>
  <w:num w:numId="6" w16cid:durableId="272632574">
    <w:abstractNumId w:val="2"/>
  </w:num>
  <w:num w:numId="7" w16cid:durableId="785808607">
    <w:abstractNumId w:val="8"/>
  </w:num>
  <w:num w:numId="8" w16cid:durableId="112676866">
    <w:abstractNumId w:val="5"/>
  </w:num>
  <w:num w:numId="9" w16cid:durableId="1121723232">
    <w:abstractNumId w:val="11"/>
  </w:num>
  <w:num w:numId="10" w16cid:durableId="1976829771">
    <w:abstractNumId w:val="4"/>
  </w:num>
  <w:num w:numId="11" w16cid:durableId="808860538">
    <w:abstractNumId w:val="0"/>
  </w:num>
  <w:num w:numId="12" w16cid:durableId="11477405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738"/>
    <w:rsid w:val="00107D29"/>
    <w:rsid w:val="00140A96"/>
    <w:rsid w:val="0015735C"/>
    <w:rsid w:val="00187810"/>
    <w:rsid w:val="001C1738"/>
    <w:rsid w:val="00226212"/>
    <w:rsid w:val="002A56A1"/>
    <w:rsid w:val="00315215"/>
    <w:rsid w:val="005210C4"/>
    <w:rsid w:val="00646572"/>
    <w:rsid w:val="00650043"/>
    <w:rsid w:val="009D7E50"/>
    <w:rsid w:val="00A44479"/>
    <w:rsid w:val="00A67DF5"/>
    <w:rsid w:val="00A74E32"/>
    <w:rsid w:val="00B25303"/>
    <w:rsid w:val="00B25EBE"/>
    <w:rsid w:val="00C33DE2"/>
    <w:rsid w:val="00CD17BC"/>
    <w:rsid w:val="00E8772C"/>
    <w:rsid w:val="00EB4375"/>
    <w:rsid w:val="00F40B75"/>
    <w:rsid w:val="00F61BE1"/>
    <w:rsid w:val="00FE5C16"/>
    <w:rsid w:val="00FF05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6C181"/>
  <w15:chartTrackingRefBased/>
  <w15:docId w15:val="{C9457268-9AAF-491A-B62C-F9453DAF18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17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17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17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17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17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17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17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17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17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17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17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17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17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17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17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17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17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1738"/>
    <w:rPr>
      <w:rFonts w:eastAsiaTheme="majorEastAsia" w:cstheme="majorBidi"/>
      <w:color w:val="272727" w:themeColor="text1" w:themeTint="D8"/>
    </w:rPr>
  </w:style>
  <w:style w:type="paragraph" w:styleId="Title">
    <w:name w:val="Title"/>
    <w:basedOn w:val="Normal"/>
    <w:next w:val="Normal"/>
    <w:link w:val="TitleChar"/>
    <w:uiPriority w:val="10"/>
    <w:qFormat/>
    <w:rsid w:val="001C17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17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17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17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1738"/>
    <w:pPr>
      <w:spacing w:before="160"/>
      <w:jc w:val="center"/>
    </w:pPr>
    <w:rPr>
      <w:i/>
      <w:iCs/>
      <w:color w:val="404040" w:themeColor="text1" w:themeTint="BF"/>
    </w:rPr>
  </w:style>
  <w:style w:type="character" w:customStyle="1" w:styleId="QuoteChar">
    <w:name w:val="Quote Char"/>
    <w:basedOn w:val="DefaultParagraphFont"/>
    <w:link w:val="Quote"/>
    <w:uiPriority w:val="29"/>
    <w:rsid w:val="001C1738"/>
    <w:rPr>
      <w:i/>
      <w:iCs/>
      <w:color w:val="404040" w:themeColor="text1" w:themeTint="BF"/>
    </w:rPr>
  </w:style>
  <w:style w:type="paragraph" w:styleId="ListParagraph">
    <w:name w:val="List Paragraph"/>
    <w:basedOn w:val="Normal"/>
    <w:uiPriority w:val="34"/>
    <w:qFormat/>
    <w:rsid w:val="001C1738"/>
    <w:pPr>
      <w:ind w:left="720"/>
      <w:contextualSpacing/>
    </w:pPr>
  </w:style>
  <w:style w:type="character" w:styleId="IntenseEmphasis">
    <w:name w:val="Intense Emphasis"/>
    <w:basedOn w:val="DefaultParagraphFont"/>
    <w:uiPriority w:val="21"/>
    <w:qFormat/>
    <w:rsid w:val="001C1738"/>
    <w:rPr>
      <w:i/>
      <w:iCs/>
      <w:color w:val="0F4761" w:themeColor="accent1" w:themeShade="BF"/>
    </w:rPr>
  </w:style>
  <w:style w:type="paragraph" w:styleId="IntenseQuote">
    <w:name w:val="Intense Quote"/>
    <w:basedOn w:val="Normal"/>
    <w:next w:val="Normal"/>
    <w:link w:val="IntenseQuoteChar"/>
    <w:uiPriority w:val="30"/>
    <w:qFormat/>
    <w:rsid w:val="001C17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1738"/>
    <w:rPr>
      <w:i/>
      <w:iCs/>
      <w:color w:val="0F4761" w:themeColor="accent1" w:themeShade="BF"/>
    </w:rPr>
  </w:style>
  <w:style w:type="character" w:styleId="IntenseReference">
    <w:name w:val="Intense Reference"/>
    <w:basedOn w:val="DefaultParagraphFont"/>
    <w:uiPriority w:val="32"/>
    <w:qFormat/>
    <w:rsid w:val="001C1738"/>
    <w:rPr>
      <w:b/>
      <w:bCs/>
      <w:smallCaps/>
      <w:color w:val="0F4761" w:themeColor="accent1" w:themeShade="BF"/>
      <w:spacing w:val="5"/>
    </w:rPr>
  </w:style>
  <w:style w:type="character" w:styleId="Hyperlink">
    <w:name w:val="Hyperlink"/>
    <w:basedOn w:val="DefaultParagraphFont"/>
    <w:uiPriority w:val="99"/>
    <w:unhideWhenUsed/>
    <w:rsid w:val="00C33DE2"/>
    <w:rPr>
      <w:color w:val="467886" w:themeColor="hyperlink"/>
      <w:u w:val="single"/>
    </w:rPr>
  </w:style>
  <w:style w:type="character" w:styleId="UnresolvedMention">
    <w:name w:val="Unresolved Mention"/>
    <w:basedOn w:val="DefaultParagraphFont"/>
    <w:uiPriority w:val="99"/>
    <w:semiHidden/>
    <w:unhideWhenUsed/>
    <w:rsid w:val="00C33D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46582551">
      <w:bodyDiv w:val="1"/>
      <w:marLeft w:val="0"/>
      <w:marRight w:val="0"/>
      <w:marTop w:val="0"/>
      <w:marBottom w:val="0"/>
      <w:divBdr>
        <w:top w:val="none" w:sz="0" w:space="0" w:color="auto"/>
        <w:left w:val="none" w:sz="0" w:space="0" w:color="auto"/>
        <w:bottom w:val="none" w:sz="0" w:space="0" w:color="auto"/>
        <w:right w:val="none" w:sz="0" w:space="0" w:color="auto"/>
      </w:divBdr>
      <w:divsChild>
        <w:div w:id="804273541">
          <w:marLeft w:val="1166"/>
          <w:marRight w:val="0"/>
          <w:marTop w:val="96"/>
          <w:marBottom w:val="0"/>
          <w:divBdr>
            <w:top w:val="none" w:sz="0" w:space="0" w:color="auto"/>
            <w:left w:val="none" w:sz="0" w:space="0" w:color="auto"/>
            <w:bottom w:val="none" w:sz="0" w:space="0" w:color="auto"/>
            <w:right w:val="none" w:sz="0" w:space="0" w:color="auto"/>
          </w:divBdr>
        </w:div>
      </w:divsChild>
    </w:div>
    <w:div w:id="1441409655">
      <w:bodyDiv w:val="1"/>
      <w:marLeft w:val="0"/>
      <w:marRight w:val="0"/>
      <w:marTop w:val="0"/>
      <w:marBottom w:val="0"/>
      <w:divBdr>
        <w:top w:val="none" w:sz="0" w:space="0" w:color="auto"/>
        <w:left w:val="none" w:sz="0" w:space="0" w:color="auto"/>
        <w:bottom w:val="none" w:sz="0" w:space="0" w:color="auto"/>
        <w:right w:val="none" w:sz="0" w:space="0" w:color="auto"/>
      </w:divBdr>
    </w:div>
    <w:div w:id="1867211419">
      <w:bodyDiv w:val="1"/>
      <w:marLeft w:val="0"/>
      <w:marRight w:val="0"/>
      <w:marTop w:val="0"/>
      <w:marBottom w:val="0"/>
      <w:divBdr>
        <w:top w:val="none" w:sz="0" w:space="0" w:color="auto"/>
        <w:left w:val="none" w:sz="0" w:space="0" w:color="auto"/>
        <w:bottom w:val="none" w:sz="0" w:space="0" w:color="auto"/>
        <w:right w:val="none" w:sz="0" w:space="0" w:color="auto"/>
      </w:divBdr>
      <w:divsChild>
        <w:div w:id="1309016130">
          <w:marLeft w:val="1166"/>
          <w:marRight w:val="0"/>
          <w:marTop w:val="96"/>
          <w:marBottom w:val="0"/>
          <w:divBdr>
            <w:top w:val="none" w:sz="0" w:space="0" w:color="auto"/>
            <w:left w:val="none" w:sz="0" w:space="0" w:color="auto"/>
            <w:bottom w:val="none" w:sz="0" w:space="0" w:color="auto"/>
            <w:right w:val="none" w:sz="0" w:space="0" w:color="auto"/>
          </w:divBdr>
        </w:div>
      </w:divsChild>
    </w:div>
    <w:div w:id="2049406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oplemanagement.co.uk/article/1810688/work-life-balance-becoming-important-pay" TargetMode="External"/><Relationship Id="rId3" Type="http://schemas.openxmlformats.org/officeDocument/2006/relationships/settings" Target="settings.xml"/><Relationship Id="rId7" Type="http://schemas.openxmlformats.org/officeDocument/2006/relationships/hyperlink" Target="http://dx.doi.org/10.5465/AMP.2007.2642123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uidance/equality-act-2010-guidance" TargetMode="External"/><Relationship Id="rId5" Type="http://schemas.openxmlformats.org/officeDocument/2006/relationships/hyperlink" Target="https://www.personneltoday.com/hr/flexible-working-changes-2024-law-act-legislation-regulations-hr/"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1465</TotalTime>
  <Pages>6</Pages>
  <Words>1532</Words>
  <Characters>8733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Kidd</dc:creator>
  <cp:keywords/>
  <dc:description/>
  <cp:lastModifiedBy>Rebecca Kidd</cp:lastModifiedBy>
  <cp:revision>1</cp:revision>
  <dcterms:created xsi:type="dcterms:W3CDTF">2024-05-30T14:45:00Z</dcterms:created>
  <dcterms:modified xsi:type="dcterms:W3CDTF">2024-06-03T21:37:00Z</dcterms:modified>
</cp:coreProperties>
</file>