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2D146" w14:textId="77777777" w:rsidR="003A03DA" w:rsidRDefault="003A03DA" w:rsidP="003A03DA">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rPr>
        <w:drawing>
          <wp:inline distT="0" distB="0" distL="0" distR="0" wp14:anchorId="63132F68" wp14:editId="720E8757">
            <wp:extent cx="1907540" cy="634365"/>
            <wp:effectExtent l="0" t="0" r="0" b="0"/>
            <wp:docPr id="1771544078"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7540" cy="634365"/>
                    </a:xfrm>
                    <a:prstGeom prst="rect">
                      <a:avLst/>
                    </a:prstGeom>
                    <a:noFill/>
                    <a:ln>
                      <a:noFill/>
                    </a:ln>
                    <a:effectLst/>
                  </pic:spPr>
                </pic:pic>
              </a:graphicData>
            </a:graphic>
          </wp:inline>
        </w:drawing>
      </w:r>
    </w:p>
    <w:p w14:paraId="47E330F0" w14:textId="77777777" w:rsidR="003A03DA" w:rsidRDefault="003A03DA" w:rsidP="003A03DA">
      <w:pPr>
        <w:rPr>
          <w:rFonts w:ascii="Georgia" w:eastAsia="Georgia" w:hAnsi="Georgia" w:cs="Georgia"/>
          <w:color w:val="000000"/>
          <w:sz w:val="21"/>
          <w:szCs w:val="21"/>
          <w:u w:color="000000"/>
        </w:rPr>
      </w:pPr>
    </w:p>
    <w:p w14:paraId="71D93E1A" w14:textId="77777777" w:rsidR="003A03DA" w:rsidRDefault="003A03DA" w:rsidP="003A03DA">
      <w:pPr>
        <w:rPr>
          <w:rFonts w:ascii="Georgia" w:eastAsia="Georgia" w:hAnsi="Georgia" w:cs="Georgia"/>
          <w:color w:val="000000"/>
          <w:sz w:val="21"/>
          <w:szCs w:val="21"/>
          <w:u w:color="000000"/>
        </w:rPr>
      </w:pPr>
    </w:p>
    <w:p w14:paraId="36306042" w14:textId="77777777" w:rsidR="003A03DA" w:rsidRDefault="003A03DA" w:rsidP="003A03DA">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78E9A4B5" w14:textId="77777777" w:rsidR="003A03DA" w:rsidRDefault="003A03DA" w:rsidP="003A03DA">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3660A0B3" w14:textId="77777777" w:rsidR="003A03DA" w:rsidRDefault="003A03DA" w:rsidP="003A03DA">
      <w:pPr>
        <w:pStyle w:val="Heading3"/>
        <w:spacing w:before="0" w:after="0" w:line="240" w:lineRule="auto"/>
        <w:ind w:left="720"/>
        <w:jc w:val="center"/>
        <w:rPr>
          <w:rFonts w:ascii="Trebuchet MS" w:eastAsia="Trebuchet MS" w:hAnsi="Trebuchet MS" w:cs="Trebuchet MS"/>
          <w:b/>
          <w:bCs/>
          <w:sz w:val="20"/>
          <w:szCs w:val="20"/>
          <w:u w:color="000000"/>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3A03DA" w14:paraId="44BE2B14" w14:textId="77777777" w:rsidTr="00A45568">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401D110" w14:textId="77777777" w:rsidR="003A03DA" w:rsidRDefault="003A03DA" w:rsidP="00A45568">
            <w:pPr>
              <w:ind w:right="34"/>
            </w:pPr>
            <w:r>
              <w:rPr>
                <w:rFonts w:ascii="Arial" w:eastAsia="Arial Unicode MS" w:hAnsi="Arial" w:cs="Arial Unicode MS"/>
                <w:b/>
                <w:bCs/>
                <w:color w:val="000000"/>
                <w:sz w:val="22"/>
                <w:szCs w:val="22"/>
                <w:u w:color="000000"/>
              </w:rPr>
              <w:t>For completion by the student</w:t>
            </w:r>
            <w:r>
              <w:rPr>
                <w:rFonts w:ascii="Arial" w:eastAsia="Arial Unicode MS" w:hAnsi="Arial" w:cs="Arial Unicode MS"/>
                <w:color w:val="000000"/>
                <w:sz w:val="22"/>
                <w:szCs w:val="22"/>
                <w:u w:color="000000"/>
              </w:rPr>
              <w:t>:</w:t>
            </w:r>
          </w:p>
        </w:tc>
      </w:tr>
      <w:tr w:rsidR="003A03DA" w14:paraId="3DEF374B" w14:textId="77777777" w:rsidTr="00A45568">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4E87770E" w14:textId="77777777" w:rsidR="003A03DA" w:rsidRDefault="003A03DA" w:rsidP="00A45568">
            <w:pPr>
              <w:ind w:right="34"/>
            </w:pPr>
            <w:r>
              <w:rPr>
                <w:rFonts w:ascii="Arial" w:eastAsia="Arial Unicode MS" w:hAnsi="Arial" w:cs="Arial Unicode MS"/>
                <w:color w:val="000000"/>
                <w:sz w:val="22"/>
                <w:szCs w:val="22"/>
                <w:u w:color="000000"/>
              </w:rPr>
              <w:t>Student Name: Mohamad Ghabris</w:t>
            </w:r>
          </w:p>
        </w:tc>
      </w:tr>
      <w:tr w:rsidR="003A03DA" w14:paraId="75903243" w14:textId="77777777" w:rsidTr="00A45568">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1D28FE9B" w14:textId="77777777" w:rsidR="003A03DA" w:rsidRPr="00AB605B" w:rsidRDefault="003A03DA" w:rsidP="00A45568">
            <w:pPr>
              <w:ind w:right="34"/>
              <w:rPr>
                <w:rFonts w:ascii="Arial" w:eastAsia="Arial Unicode MS" w:hAnsi="Arial" w:cs="Arial Unicode MS"/>
                <w:b/>
                <w:bCs/>
                <w:color w:val="000000"/>
                <w:kern w:val="0"/>
                <w:sz w:val="22"/>
                <w:szCs w:val="22"/>
                <w:u w:color="000000"/>
              </w:rPr>
            </w:pPr>
            <w:r>
              <w:rPr>
                <w:rFonts w:ascii="Arial" w:eastAsia="Arial Unicode MS" w:hAnsi="Arial" w:cs="Arial Unicode MS"/>
                <w:color w:val="000000"/>
                <w:sz w:val="22"/>
                <w:szCs w:val="22"/>
                <w:u w:color="000000"/>
              </w:rPr>
              <w:t xml:space="preserve">Module code:  </w:t>
            </w:r>
            <w:r w:rsidRPr="00AB605B">
              <w:rPr>
                <w:rFonts w:ascii="Arial" w:eastAsia="Arial Unicode MS" w:hAnsi="Arial" w:cs="Arial Unicode MS"/>
                <w:b/>
                <w:bCs/>
                <w:color w:val="000000"/>
                <w:kern w:val="0"/>
                <w:sz w:val="22"/>
                <w:szCs w:val="22"/>
                <w:u w:color="000000"/>
              </w:rPr>
              <w:t>(HPCA7023)</w:t>
            </w:r>
          </w:p>
          <w:p w14:paraId="48BC494A" w14:textId="77777777" w:rsidR="003A03DA" w:rsidRDefault="003A03DA" w:rsidP="00A45568">
            <w:pPr>
              <w:ind w:right="34"/>
              <w:rPr>
                <w:rFonts w:ascii="Arial" w:eastAsia="Arial" w:hAnsi="Arial" w:cs="Arial"/>
                <w:color w:val="000000"/>
                <w:sz w:val="22"/>
                <w:szCs w:val="22"/>
                <w:u w:color="000000"/>
              </w:rPr>
            </w:pPr>
          </w:p>
          <w:p w14:paraId="7A547292" w14:textId="77777777" w:rsidR="003A03DA" w:rsidRDefault="003A03DA" w:rsidP="00A45568">
            <w:pPr>
              <w:ind w:right="34"/>
              <w:rPr>
                <w:rFonts w:ascii="Arial" w:eastAsia="Arial" w:hAnsi="Arial" w:cs="Arial"/>
                <w:color w:val="000000"/>
                <w:sz w:val="22"/>
                <w:szCs w:val="22"/>
                <w:u w:color="000000"/>
              </w:rPr>
            </w:pPr>
          </w:p>
          <w:p w14:paraId="14BC5150" w14:textId="77777777" w:rsidR="003A03DA" w:rsidRDefault="003A03DA" w:rsidP="00A45568">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title:  </w:t>
            </w:r>
            <w:r w:rsidRPr="00AB605B">
              <w:rPr>
                <w:rFonts w:ascii="Arial" w:eastAsia="Arial Unicode MS" w:hAnsi="Arial" w:cs="Arial Unicode MS"/>
                <w:b/>
                <w:bCs/>
                <w:color w:val="000000"/>
                <w:kern w:val="0"/>
                <w:sz w:val="22"/>
                <w:szCs w:val="22"/>
                <w:u w:color="000000"/>
              </w:rPr>
              <w:t>Ecology and Spirituality</w:t>
            </w:r>
          </w:p>
          <w:p w14:paraId="178830B9" w14:textId="77777777" w:rsidR="003A03DA" w:rsidRDefault="003A03DA" w:rsidP="00A45568">
            <w:pPr>
              <w:ind w:right="34"/>
            </w:pPr>
          </w:p>
        </w:tc>
        <w:tc>
          <w:tcPr>
            <w:tcW w:w="226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5EC1E7B2" w14:textId="77777777" w:rsidR="003A03DA" w:rsidRDefault="003A03DA" w:rsidP="00A45568">
            <w:pPr>
              <w:ind w:right="34"/>
              <w:rPr>
                <w:rFonts w:ascii="Arial" w:eastAsia="Arial Unicode MS" w:hAnsi="Arial" w:cs="Arial Unicode MS"/>
                <w:color w:val="000000"/>
                <w:sz w:val="22"/>
                <w:szCs w:val="22"/>
                <w:u w:color="000000"/>
              </w:rPr>
            </w:pPr>
            <w:r>
              <w:rPr>
                <w:rFonts w:ascii="Arial" w:eastAsia="Arial Unicode MS" w:hAnsi="Arial" w:cs="Arial Unicode MS"/>
                <w:color w:val="000000"/>
                <w:sz w:val="22"/>
                <w:szCs w:val="22"/>
                <w:u w:color="000000"/>
              </w:rPr>
              <w:t xml:space="preserve">Student ID number:  </w:t>
            </w:r>
          </w:p>
          <w:p w14:paraId="4FE2843C" w14:textId="77777777" w:rsidR="003A03DA" w:rsidRDefault="003A03DA" w:rsidP="00A45568">
            <w:pPr>
              <w:rPr>
                <w:rFonts w:ascii="Arial" w:eastAsia="Arial Unicode MS" w:hAnsi="Arial" w:cs="Arial Unicode MS"/>
                <w:color w:val="000000"/>
                <w:sz w:val="22"/>
                <w:szCs w:val="22"/>
                <w:u w:color="000000"/>
              </w:rPr>
            </w:pPr>
          </w:p>
          <w:p w14:paraId="3FF7D334" w14:textId="77777777" w:rsidR="003A03DA" w:rsidRPr="00AB605B" w:rsidRDefault="003A03DA" w:rsidP="00A45568">
            <w:r>
              <w:t>2502666</w:t>
            </w:r>
          </w:p>
        </w:tc>
        <w:tc>
          <w:tcPr>
            <w:tcW w:w="180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216E50D4" w14:textId="77777777" w:rsidR="003A03DA" w:rsidRDefault="003A03DA" w:rsidP="00A45568">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Educational support needs:</w:t>
            </w:r>
          </w:p>
          <w:p w14:paraId="201F8DD0" w14:textId="77777777" w:rsidR="003A03DA" w:rsidRDefault="003A03DA" w:rsidP="00A45568">
            <w:pPr>
              <w:ind w:right="34"/>
            </w:pPr>
            <w:r>
              <w:rPr>
                <w:rFonts w:ascii="Arial" w:eastAsia="Arial Unicode MS" w:hAnsi="Arial" w:cs="Arial Unicode MS"/>
                <w:color w:val="000000"/>
                <w:sz w:val="22"/>
                <w:szCs w:val="22"/>
                <w:u w:color="000000"/>
              </w:rPr>
              <w:t>Yes/No</w:t>
            </w:r>
          </w:p>
        </w:tc>
      </w:tr>
      <w:tr w:rsidR="003A03DA" w14:paraId="620AC755" w14:textId="77777777" w:rsidTr="00A45568">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114" w:type="dxa"/>
            </w:tcMar>
          </w:tcPr>
          <w:p w14:paraId="37E51C0B" w14:textId="77777777" w:rsidR="003A03DA" w:rsidRDefault="003A03DA" w:rsidP="00A45568">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 xml:space="preserve">Module tutor:  </w:t>
            </w:r>
            <w:r w:rsidRPr="00AB605B">
              <w:rPr>
                <w:rFonts w:ascii="Arial" w:eastAsia="Arial Unicode MS" w:hAnsi="Arial" w:cs="Arial Unicode MS"/>
                <w:b/>
                <w:bCs/>
                <w:color w:val="000000"/>
                <w:sz w:val="22"/>
                <w:szCs w:val="22"/>
                <w:u w:color="000000"/>
              </w:rPr>
              <w:t>Jack Hunter</w:t>
            </w:r>
          </w:p>
          <w:p w14:paraId="6B719475" w14:textId="77777777" w:rsidR="003A03DA" w:rsidRDefault="003A03DA" w:rsidP="00A45568">
            <w:pPr>
              <w:ind w:right="34"/>
              <w:rPr>
                <w:rFonts w:ascii="Arial" w:eastAsia="Arial" w:hAnsi="Arial" w:cs="Arial"/>
                <w:color w:val="000000"/>
                <w:sz w:val="22"/>
                <w:szCs w:val="22"/>
                <w:u w:color="000000"/>
              </w:rPr>
            </w:pPr>
          </w:p>
          <w:p w14:paraId="7F592AC3" w14:textId="77777777" w:rsidR="003A03DA" w:rsidRDefault="003A03DA" w:rsidP="00A45568">
            <w:pPr>
              <w:ind w:right="34"/>
              <w:rPr>
                <w:rFonts w:ascii="Arial" w:eastAsia="Arial" w:hAnsi="Arial" w:cs="Arial"/>
                <w:color w:val="000000"/>
                <w:sz w:val="22"/>
                <w:szCs w:val="22"/>
                <w:u w:color="000000"/>
              </w:rPr>
            </w:pPr>
          </w:p>
          <w:p w14:paraId="1ACA682A" w14:textId="1AA5B392" w:rsidR="003A03DA" w:rsidRDefault="003A03DA" w:rsidP="00A45568">
            <w:pPr>
              <w:ind w:right="34"/>
            </w:pPr>
            <w:r>
              <w:rPr>
                <w:rFonts w:ascii="Arial" w:eastAsia="Arial Unicode MS" w:hAnsi="Arial" w:cs="Arial Unicode MS"/>
                <w:color w:val="000000"/>
                <w:sz w:val="22"/>
                <w:szCs w:val="22"/>
                <w:u w:color="000000"/>
              </w:rPr>
              <w:t xml:space="preserve">Assignment due date: </w:t>
            </w:r>
            <w:r>
              <w:rPr>
                <w:rFonts w:ascii="Arial" w:eastAsia="Arial Unicode MS" w:hAnsi="Arial" w:cs="Arial Unicode MS"/>
                <w:b/>
                <w:bCs/>
                <w:color w:val="000000"/>
                <w:sz w:val="22"/>
                <w:szCs w:val="22"/>
                <w:u w:color="000000"/>
              </w:rPr>
              <w:t>5</w:t>
            </w:r>
            <w:r w:rsidRPr="003A03DA">
              <w:rPr>
                <w:rFonts w:ascii="Arial" w:eastAsia="Arial Unicode MS" w:hAnsi="Arial" w:cs="Arial Unicode MS"/>
                <w:b/>
                <w:bCs/>
                <w:color w:val="000000"/>
                <w:sz w:val="22"/>
                <w:szCs w:val="22"/>
                <w:u w:color="000000"/>
                <w:vertAlign w:val="superscript"/>
              </w:rPr>
              <w:t>th</w:t>
            </w:r>
            <w:r>
              <w:rPr>
                <w:rFonts w:ascii="Arial" w:eastAsia="Arial Unicode MS" w:hAnsi="Arial" w:cs="Arial Unicode MS"/>
                <w:b/>
                <w:bCs/>
                <w:color w:val="000000"/>
                <w:sz w:val="22"/>
                <w:szCs w:val="22"/>
                <w:u w:color="000000"/>
              </w:rPr>
              <w:t xml:space="preserve"> of January 2025</w:t>
            </w:r>
          </w:p>
        </w:tc>
      </w:tr>
      <w:tr w:rsidR="003A03DA" w14:paraId="0B9CED23" w14:textId="77777777" w:rsidTr="00A45568">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8DEAEF" w14:textId="77777777" w:rsidR="003A03DA" w:rsidRDefault="003A03DA" w:rsidP="00A45568">
            <w:pPr>
              <w:pStyle w:val="Body"/>
              <w:rPr>
                <w:rFonts w:ascii="Arial" w:eastAsia="Arial" w:hAnsi="Arial" w:cs="Arial"/>
                <w:u w:color="000000"/>
              </w:rPr>
            </w:pPr>
            <w:r>
              <w:rPr>
                <w:rFonts w:ascii="Arial" w:hAnsi="Arial"/>
                <w:u w:color="000000"/>
                <w:lang w:val="en-US"/>
              </w:rPr>
              <w:t>If your module has multiple submissions please indicate which piece of work this is.</w:t>
            </w:r>
          </w:p>
          <w:p w14:paraId="297AB19C" w14:textId="77777777" w:rsidR="003A03DA" w:rsidRDefault="003A03DA" w:rsidP="00A45568">
            <w:pPr>
              <w:pStyle w:val="Body"/>
              <w:rPr>
                <w:rFonts w:ascii="Arial" w:eastAsia="Arial" w:hAnsi="Arial" w:cs="Arial"/>
                <w:u w:color="000000"/>
                <w:lang w:val="en-US"/>
              </w:rPr>
            </w:pPr>
          </w:p>
          <w:p w14:paraId="62FC7EE4" w14:textId="77777777" w:rsidR="003A03DA" w:rsidRDefault="003A03DA" w:rsidP="00A45568">
            <w:pPr>
              <w:pStyle w:val="Body"/>
              <w:rPr>
                <w:rFonts w:ascii="Arial" w:hAnsi="Arial"/>
                <w:u w:color="000000"/>
                <w:lang w:val="en-US"/>
              </w:rPr>
            </w:pPr>
            <w:r>
              <w:rPr>
                <w:rFonts w:ascii="Arial" w:hAnsi="Arial"/>
                <w:u w:color="000000"/>
                <w:lang w:val="en-US"/>
              </w:rPr>
              <w:t>1</w:t>
            </w:r>
            <w:r>
              <w:rPr>
                <w:rFonts w:ascii="Arial" w:hAnsi="Arial"/>
                <w:u w:color="000000"/>
                <w:vertAlign w:val="superscript"/>
                <w:lang w:val="en-US"/>
              </w:rPr>
              <w:t xml:space="preserve">st </w:t>
            </w:r>
            <w:r>
              <w:rPr>
                <w:rFonts w:ascii="Arial" w:hAnsi="Arial"/>
                <w:u w:color="000000"/>
                <w:lang w:val="en-US"/>
              </w:rPr>
              <w:t xml:space="preserve">    2</w:t>
            </w:r>
            <w:r>
              <w:rPr>
                <w:rFonts w:ascii="Arial" w:hAnsi="Arial"/>
                <w:u w:color="000000"/>
                <w:vertAlign w:val="superscript"/>
                <w:lang w:val="en-US"/>
              </w:rPr>
              <w:t>nd</w:t>
            </w:r>
            <w:r>
              <w:rPr>
                <w:rFonts w:ascii="Arial" w:hAnsi="Arial"/>
                <w:u w:color="000000"/>
                <w:lang w:val="en-US"/>
              </w:rPr>
              <w:t xml:space="preserve">       3</w:t>
            </w:r>
            <w:r>
              <w:rPr>
                <w:rFonts w:ascii="Arial" w:hAnsi="Arial"/>
                <w:u w:color="000000"/>
                <w:vertAlign w:val="superscript"/>
                <w:lang w:val="en-US"/>
              </w:rPr>
              <w:t>rd</w:t>
            </w:r>
            <w:r>
              <w:rPr>
                <w:rFonts w:ascii="Arial" w:hAnsi="Arial"/>
                <w:u w:color="000000"/>
                <w:lang w:val="en-US"/>
              </w:rPr>
              <w:t xml:space="preserve">        4</w:t>
            </w:r>
            <w:r>
              <w:rPr>
                <w:rFonts w:ascii="Arial" w:hAnsi="Arial"/>
                <w:u w:color="000000"/>
                <w:vertAlign w:val="superscript"/>
                <w:lang w:val="en-US"/>
              </w:rPr>
              <w:t>th</w:t>
            </w:r>
            <w:r>
              <w:rPr>
                <w:rFonts w:ascii="Arial" w:hAnsi="Arial"/>
                <w:u w:color="000000"/>
                <w:lang w:val="en-US"/>
              </w:rPr>
              <w:t xml:space="preserve">       5</w:t>
            </w:r>
            <w:r>
              <w:rPr>
                <w:rFonts w:ascii="Arial" w:hAnsi="Arial"/>
                <w:u w:color="000000"/>
                <w:vertAlign w:val="superscript"/>
                <w:lang w:val="en-US"/>
              </w:rPr>
              <w:t>th</w:t>
            </w:r>
            <w:r>
              <w:rPr>
                <w:rFonts w:ascii="Arial" w:hAnsi="Arial"/>
                <w:u w:color="000000"/>
                <w:lang w:val="en-US"/>
              </w:rPr>
              <w:t xml:space="preserve">       6</w:t>
            </w:r>
            <w:r>
              <w:rPr>
                <w:rFonts w:ascii="Arial" w:hAnsi="Arial"/>
                <w:u w:color="000000"/>
                <w:vertAlign w:val="superscript"/>
                <w:lang w:val="en-US"/>
              </w:rPr>
              <w:t>th</w:t>
            </w:r>
            <w:r>
              <w:rPr>
                <w:rFonts w:ascii="Arial" w:hAnsi="Arial"/>
                <w:u w:color="000000"/>
                <w:lang w:val="en-US"/>
              </w:rPr>
              <w:t xml:space="preserve"> </w:t>
            </w:r>
          </w:p>
        </w:tc>
      </w:tr>
      <w:tr w:rsidR="003A03DA" w14:paraId="05536248" w14:textId="77777777" w:rsidTr="00A45568">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E42184E" w14:textId="77777777" w:rsidR="003A03DA" w:rsidRDefault="003A03DA" w:rsidP="00A45568">
            <w:pPr>
              <w:ind w:right="34"/>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lastRenderedPageBreak/>
              <w:t>I confirm that this is my original work and that I have adhered to the University policy on plagiarism.</w:t>
            </w:r>
          </w:p>
          <w:p w14:paraId="68AB31D7" w14:textId="77777777" w:rsidR="003A03DA" w:rsidRPr="00AB605B" w:rsidRDefault="003A03DA" w:rsidP="00A45568">
            <w:pPr>
              <w:ind w:right="34"/>
              <w:rPr>
                <w:rFonts w:ascii="Arial" w:eastAsia="Arial" w:hAnsi="Arial" w:cs="Arial"/>
                <w:b/>
                <w:bCs/>
                <w:color w:val="000000"/>
                <w:sz w:val="22"/>
                <w:szCs w:val="22"/>
                <w:u w:color="000000"/>
              </w:rPr>
            </w:pPr>
            <w:r>
              <w:rPr>
                <w:rFonts w:ascii="Arial" w:eastAsia="Arial Unicode MS" w:hAnsi="Arial" w:cs="Arial Unicode MS"/>
                <w:color w:val="000000"/>
                <w:sz w:val="22"/>
                <w:szCs w:val="22"/>
                <w:u w:color="000000"/>
              </w:rPr>
              <w:t xml:space="preserve">Signed (type your name in) </w:t>
            </w:r>
            <w:r w:rsidRPr="00AB605B">
              <w:rPr>
                <w:rFonts w:ascii="Arial" w:eastAsia="Arial Unicode MS" w:hAnsi="Arial" w:cs="Arial Unicode MS"/>
                <w:b/>
                <w:bCs/>
                <w:color w:val="000000"/>
                <w:sz w:val="22"/>
                <w:szCs w:val="22"/>
                <w:u w:color="000000"/>
              </w:rPr>
              <w:t>Mohamad Ghabris</w:t>
            </w:r>
          </w:p>
          <w:p w14:paraId="0AA3E637" w14:textId="77777777" w:rsidR="003A03DA" w:rsidRDefault="003A03DA" w:rsidP="00A45568">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4CC38F0A" w14:textId="77777777" w:rsidR="003A03DA" w:rsidRDefault="003A03DA" w:rsidP="00A45568">
            <w:pPr>
              <w:ind w:right="34"/>
            </w:pPr>
            <w:r>
              <w:rPr>
                <w:rFonts w:ascii="Calibri" w:eastAsia="Arial Unicode MS" w:hAnsi="Calibri" w:cs="Arial Unicode MS"/>
                <w:b/>
                <w:bCs/>
                <w:color w:val="000000"/>
                <w:u w:color="000000"/>
              </w:rPr>
              <w:t>(as a substitute for your signature) to confirm that you agree to the above declaration.</w:t>
            </w:r>
          </w:p>
        </w:tc>
      </w:tr>
      <w:tr w:rsidR="003A03DA" w14:paraId="45FB22C4" w14:textId="77777777" w:rsidTr="00A45568">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EE09FE" w14:textId="77777777" w:rsidR="003A03DA" w:rsidRDefault="003A03DA" w:rsidP="00A45568">
            <w:pPr>
              <w:pStyle w:val="Body"/>
              <w:rPr>
                <w:rFonts w:ascii="Arial" w:eastAsia="Arial" w:hAnsi="Arial" w:cs="Arial"/>
                <w:b/>
                <w:bCs/>
                <w:u w:color="000000"/>
                <w:lang w:val="en-US"/>
              </w:rPr>
            </w:pPr>
          </w:p>
          <w:p w14:paraId="49024B0F" w14:textId="77777777" w:rsidR="003A03DA" w:rsidRDefault="003A03DA" w:rsidP="00A45568">
            <w:pPr>
              <w:pStyle w:val="Body"/>
              <w:rPr>
                <w:rFonts w:ascii="Arial" w:eastAsia="Arial" w:hAnsi="Arial" w:cs="Arial"/>
                <w:b/>
                <w:bCs/>
                <w:u w:color="000000"/>
              </w:rPr>
            </w:pPr>
            <w:r>
              <w:rPr>
                <w:rFonts w:ascii="Arial" w:hAnsi="Arial"/>
                <w:b/>
                <w:bCs/>
                <w:u w:color="000000"/>
                <w:lang w:val="en-US"/>
              </w:rPr>
              <w:t>Assignment Mark</w:t>
            </w:r>
          </w:p>
          <w:p w14:paraId="78066CF7" w14:textId="77777777" w:rsidR="003A03DA" w:rsidRDefault="003A03DA" w:rsidP="00A45568">
            <w:pPr>
              <w:pStyle w:val="Body"/>
              <w:rPr>
                <w:rFonts w:ascii="Arial" w:eastAsia="Arial" w:hAnsi="Arial" w:cs="Arial"/>
                <w:sz w:val="20"/>
                <w:szCs w:val="20"/>
                <w:u w:color="000000"/>
                <w:lang w:val="en-US"/>
              </w:rPr>
            </w:pPr>
          </w:p>
          <w:p w14:paraId="298F3CDD" w14:textId="77777777" w:rsidR="003A03DA" w:rsidRDefault="003A03DA" w:rsidP="00A45568">
            <w:pPr>
              <w:pStyle w:val="Body"/>
              <w:rPr>
                <w:rFonts w:ascii="Arial" w:eastAsia="Arial" w:hAnsi="Arial" w:cs="Arial"/>
                <w:b/>
                <w:bCs/>
                <w:sz w:val="20"/>
                <w:szCs w:val="20"/>
                <w:u w:color="000000"/>
              </w:rPr>
            </w:pPr>
            <w:r>
              <w:rPr>
                <w:rFonts w:ascii="Arial" w:hAnsi="Arial"/>
                <w:b/>
                <w:bCs/>
                <w:sz w:val="20"/>
                <w:szCs w:val="20"/>
                <w:u w:color="000000"/>
                <w:lang w:val="en-US"/>
              </w:rPr>
              <w:t>Final Mark</w:t>
            </w:r>
          </w:p>
          <w:p w14:paraId="771EAAF2" w14:textId="77777777" w:rsidR="003A03DA" w:rsidRDefault="003A03DA" w:rsidP="00A45568">
            <w:pPr>
              <w:pStyle w:val="Body"/>
              <w:rPr>
                <w:rFonts w:ascii="Arial" w:eastAsia="Arial" w:hAnsi="Arial" w:cs="Arial"/>
                <w:sz w:val="20"/>
                <w:szCs w:val="20"/>
                <w:u w:color="000000"/>
                <w:lang w:val="en-US"/>
              </w:rPr>
            </w:pPr>
            <w:r>
              <w:rPr>
                <w:rFonts w:ascii="Arial" w:eastAsia="Arial" w:hAnsi="Arial" w:cs="Arial"/>
                <w:b/>
                <w:bCs/>
                <w:sz w:val="20"/>
                <w:szCs w:val="20"/>
                <w:u w:color="000000"/>
              </w:rPr>
              <w:tab/>
            </w:r>
            <w:r>
              <w:rPr>
                <w:rFonts w:ascii="Arial" w:hAnsi="Arial"/>
                <w:sz w:val="20"/>
                <w:szCs w:val="20"/>
                <w:u w:color="000000"/>
                <w:lang w:val="en-US"/>
              </w:rPr>
              <w:t>WILL BE GIVEN ON TURNITIN</w:t>
            </w:r>
          </w:p>
          <w:p w14:paraId="6E90FCBF" w14:textId="77777777" w:rsidR="003A03DA" w:rsidRDefault="003A03DA" w:rsidP="00A45568">
            <w:pPr>
              <w:ind w:left="142" w:right="34"/>
              <w:rPr>
                <w:rFonts w:ascii="Arial" w:eastAsia="Arial" w:hAnsi="Arial" w:cs="Arial"/>
                <w:b/>
                <w:bCs/>
                <w:color w:val="000000"/>
                <w:sz w:val="22"/>
                <w:szCs w:val="22"/>
                <w:u w:color="000000"/>
              </w:rPr>
            </w:pPr>
          </w:p>
          <w:p w14:paraId="4B3D2EE3" w14:textId="77777777" w:rsidR="003A03DA" w:rsidRDefault="003A03DA" w:rsidP="00A45568">
            <w:pPr>
              <w:ind w:left="142" w:right="34"/>
              <w:rPr>
                <w:rFonts w:ascii="Arial" w:eastAsia="Arial" w:hAnsi="Arial" w:cs="Arial"/>
                <w:color w:val="000000"/>
                <w:sz w:val="22"/>
                <w:szCs w:val="22"/>
                <w:u w:color="000000"/>
              </w:rPr>
            </w:pPr>
            <w:r>
              <w:rPr>
                <w:rFonts w:ascii="Arial" w:eastAsia="Arial Unicode MS" w:hAnsi="Arial" w:cs="Arial Unicode MS"/>
                <w:b/>
                <w:bCs/>
                <w:color w:val="000000"/>
                <w:sz w:val="22"/>
                <w:szCs w:val="22"/>
                <w:u w:color="000000"/>
              </w:rPr>
              <w:t>NB.</w:t>
            </w:r>
            <w:r>
              <w:rPr>
                <w:rFonts w:ascii="Arial" w:eastAsia="Arial Unicode MS" w:hAnsi="Arial" w:cs="Arial Unicode MS"/>
                <w:color w:val="000000"/>
                <w:sz w:val="22"/>
                <w:szCs w:val="22"/>
                <w:u w:color="000000"/>
              </w:rPr>
              <w:t xml:space="preserve">  All marks are provisional until confirmed by the Final Examination Board.</w:t>
            </w:r>
          </w:p>
          <w:p w14:paraId="053C8BEA" w14:textId="77777777" w:rsidR="003A03DA" w:rsidRDefault="003A03DA" w:rsidP="00A45568">
            <w:pPr>
              <w:rPr>
                <w:rFonts w:ascii="Arial" w:eastAsia="Arial" w:hAnsi="Arial" w:cs="Arial"/>
                <w:b/>
                <w:bCs/>
                <w:color w:val="000000"/>
                <w:sz w:val="22"/>
                <w:szCs w:val="22"/>
                <w:u w:color="000000"/>
              </w:rPr>
            </w:pPr>
          </w:p>
          <w:p w14:paraId="7ED0547D" w14:textId="77777777" w:rsidR="003A03DA" w:rsidRDefault="003A03DA" w:rsidP="00A45568">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PLEASE NOTE: ALL COMMENTS WILL BE POSTED ON TURNITIN</w:t>
            </w:r>
          </w:p>
          <w:p w14:paraId="1946405D" w14:textId="77777777" w:rsidR="003A03DA" w:rsidRDefault="003A03DA" w:rsidP="00A45568">
            <w:pPr>
              <w:rPr>
                <w:rFonts w:ascii="Arial" w:eastAsia="Arial" w:hAnsi="Arial" w:cs="Arial"/>
                <w:b/>
                <w:bCs/>
                <w:color w:val="000000"/>
                <w:sz w:val="22"/>
                <w:szCs w:val="22"/>
                <w:u w:color="000000"/>
              </w:rPr>
            </w:pPr>
          </w:p>
          <w:p w14:paraId="371FFA7D" w14:textId="77777777" w:rsidR="003A03DA" w:rsidRDefault="003A03DA" w:rsidP="00A45568">
            <w:pPr>
              <w:rPr>
                <w:rFonts w:ascii="Arial" w:eastAsia="Arial" w:hAnsi="Arial" w:cs="Arial"/>
                <w:b/>
                <w:bCs/>
                <w:color w:val="000000"/>
                <w:sz w:val="22"/>
                <w:szCs w:val="22"/>
                <w:u w:color="000000"/>
              </w:rPr>
            </w:pPr>
          </w:p>
          <w:p w14:paraId="60D96AEB" w14:textId="77777777" w:rsidR="003A03DA" w:rsidRDefault="003A03DA" w:rsidP="00A45568">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1 :</w:t>
            </w:r>
          </w:p>
          <w:p w14:paraId="0FE7AD97" w14:textId="77777777" w:rsidR="003A03DA" w:rsidRDefault="003A03DA" w:rsidP="00A45568">
            <w:pPr>
              <w:spacing w:before="100" w:after="100"/>
            </w:pPr>
            <w:r>
              <w:rPr>
                <w:rFonts w:ascii="Arial" w:eastAsia="Arial Unicode MS" w:hAnsi="Arial" w:cs="Arial Unicode MS"/>
                <w:color w:val="000000"/>
                <w:sz w:val="22"/>
                <w:szCs w:val="22"/>
                <w:u w:color="000000"/>
              </w:rPr>
              <w:t>Comments:</w:t>
            </w:r>
          </w:p>
        </w:tc>
      </w:tr>
      <w:tr w:rsidR="003A03DA" w14:paraId="778659AB" w14:textId="77777777" w:rsidTr="00A45568">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4E7199C9" w14:textId="77777777" w:rsidR="003A03DA" w:rsidRDefault="003A03DA" w:rsidP="00A45568">
            <w:pPr>
              <w:spacing w:before="100" w:after="100"/>
              <w:ind w:left="142" w:right="34"/>
            </w:pPr>
            <w:r>
              <w:rPr>
                <w:rFonts w:ascii="Arial" w:eastAsia="Arial Unicode MS" w:hAnsi="Arial" w:cs="Arial Unicode MS"/>
                <w:color w:val="000000"/>
                <w:sz w:val="22"/>
                <w:szCs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tcMar>
              <w:top w:w="80" w:type="dxa"/>
              <w:left w:w="222" w:type="dxa"/>
              <w:bottom w:w="80" w:type="dxa"/>
              <w:right w:w="114" w:type="dxa"/>
            </w:tcMar>
          </w:tcPr>
          <w:p w14:paraId="77259307" w14:textId="77777777" w:rsidR="003A03DA" w:rsidRDefault="003A03DA" w:rsidP="00A45568">
            <w:pPr>
              <w:spacing w:before="100" w:after="100"/>
              <w:ind w:left="142" w:right="34"/>
            </w:pPr>
            <w:r>
              <w:rPr>
                <w:rFonts w:ascii="Arial" w:eastAsia="Arial Unicode MS" w:hAnsi="Arial" w:cs="Arial Unicode MS"/>
                <w:color w:val="000000"/>
                <w:sz w:val="22"/>
                <w:szCs w:val="22"/>
                <w:u w:color="000000"/>
              </w:rPr>
              <w:t>Date:</w:t>
            </w:r>
          </w:p>
        </w:tc>
      </w:tr>
      <w:tr w:rsidR="003A03DA" w14:paraId="606EDEA2" w14:textId="77777777" w:rsidTr="00A45568">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2AE523" w14:textId="77777777" w:rsidR="003A03DA" w:rsidRDefault="003A03DA" w:rsidP="00A45568">
            <w:pPr>
              <w:rPr>
                <w:rFonts w:ascii="Arial" w:eastAsia="Arial" w:hAnsi="Arial" w:cs="Arial"/>
                <w:i/>
                <w:iCs/>
                <w:color w:val="000000"/>
                <w:sz w:val="22"/>
                <w:szCs w:val="22"/>
                <w:u w:color="000000"/>
              </w:rPr>
            </w:pPr>
          </w:p>
          <w:p w14:paraId="20A55ED6" w14:textId="77777777" w:rsidR="003A03DA" w:rsidRDefault="003A03DA" w:rsidP="00A45568">
            <w:pPr>
              <w:rPr>
                <w:rFonts w:ascii="Arial" w:eastAsia="Arial" w:hAnsi="Arial" w:cs="Arial"/>
                <w:b/>
                <w:bCs/>
                <w:color w:val="000000"/>
                <w:sz w:val="22"/>
                <w:szCs w:val="22"/>
                <w:u w:color="000000"/>
              </w:rPr>
            </w:pPr>
            <w:r>
              <w:rPr>
                <w:rFonts w:ascii="Arial" w:eastAsia="Arial Unicode MS" w:hAnsi="Arial" w:cs="Arial Unicode MS"/>
                <w:b/>
                <w:bCs/>
                <w:color w:val="000000"/>
                <w:sz w:val="22"/>
                <w:szCs w:val="22"/>
                <w:u w:color="000000"/>
              </w:rPr>
              <w:t>For completion by Marker 2/Moderator:</w:t>
            </w:r>
          </w:p>
          <w:p w14:paraId="0333F99C" w14:textId="77777777" w:rsidR="003A03DA" w:rsidRDefault="003A03DA" w:rsidP="00A45568">
            <w:pPr>
              <w:rPr>
                <w:rFonts w:ascii="Arial" w:eastAsia="Arial" w:hAnsi="Arial" w:cs="Arial"/>
                <w:b/>
                <w:bCs/>
                <w:color w:val="000000"/>
                <w:sz w:val="22"/>
                <w:szCs w:val="22"/>
                <w:u w:color="000000"/>
              </w:rPr>
            </w:pPr>
          </w:p>
          <w:p w14:paraId="7BFB7C2F" w14:textId="77777777" w:rsidR="003A03DA" w:rsidRDefault="003A03DA" w:rsidP="00A45568">
            <w:pPr>
              <w:rPr>
                <w:rFonts w:ascii="Arial" w:eastAsia="Arial" w:hAnsi="Arial" w:cs="Arial"/>
                <w:color w:val="000000"/>
                <w:sz w:val="22"/>
                <w:szCs w:val="22"/>
                <w:u w:color="000000"/>
              </w:rPr>
            </w:pPr>
            <w:r>
              <w:rPr>
                <w:rFonts w:ascii="Arial" w:eastAsia="Arial Unicode MS" w:hAnsi="Arial" w:cs="Arial Unicode MS"/>
                <w:color w:val="000000"/>
                <w:sz w:val="22"/>
                <w:szCs w:val="22"/>
                <w:u w:color="000000"/>
              </w:rPr>
              <w:t>Comments:</w:t>
            </w:r>
          </w:p>
          <w:p w14:paraId="79D7FED9" w14:textId="77777777" w:rsidR="003A03DA" w:rsidRDefault="003A03DA" w:rsidP="00A45568">
            <w:pPr>
              <w:rPr>
                <w:rFonts w:ascii="Arial" w:eastAsia="Arial" w:hAnsi="Arial" w:cs="Arial"/>
                <w:color w:val="000000"/>
                <w:sz w:val="22"/>
                <w:szCs w:val="22"/>
                <w:u w:color="000000"/>
              </w:rPr>
            </w:pPr>
          </w:p>
          <w:p w14:paraId="6E58D1A0" w14:textId="77777777" w:rsidR="003A03DA" w:rsidRDefault="003A03DA" w:rsidP="00A45568"/>
        </w:tc>
      </w:tr>
      <w:tr w:rsidR="003A03DA" w14:paraId="66FF729C" w14:textId="77777777" w:rsidTr="00A45568">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5FE244" w14:textId="77777777" w:rsidR="003A03DA" w:rsidRDefault="003A03DA" w:rsidP="00A45568">
            <w:r>
              <w:rPr>
                <w:rFonts w:ascii="Arial" w:eastAsia="Arial Unicode MS" w:hAnsi="Arial" w:cs="Arial Unicode MS"/>
                <w:color w:val="000000"/>
                <w:sz w:val="22"/>
                <w:szCs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781662" w14:textId="77777777" w:rsidR="003A03DA" w:rsidRDefault="003A03DA" w:rsidP="00A45568">
            <w:r>
              <w:rPr>
                <w:rFonts w:ascii="Arial" w:eastAsia="Arial Unicode MS" w:hAnsi="Arial" w:cs="Arial Unicode MS"/>
                <w:color w:val="000000"/>
                <w:sz w:val="22"/>
                <w:szCs w:val="22"/>
                <w:u w:color="000000"/>
              </w:rPr>
              <w:t>Date:</w:t>
            </w:r>
          </w:p>
        </w:tc>
      </w:tr>
      <w:tr w:rsidR="003A03DA" w14:paraId="2FDFA510" w14:textId="77777777" w:rsidTr="00A45568">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DCAFAC" w14:textId="77777777" w:rsidR="003A03DA" w:rsidRDefault="003A03DA" w:rsidP="00A45568">
            <w:pPr>
              <w:pStyle w:val="Body"/>
              <w:rPr>
                <w:rFonts w:ascii="Arial" w:eastAsia="Arial" w:hAnsi="Arial" w:cs="Arial"/>
                <w:b/>
                <w:bCs/>
                <w:u w:color="000000"/>
              </w:rPr>
            </w:pPr>
            <w:r>
              <w:rPr>
                <w:rFonts w:ascii="Arial" w:hAnsi="Arial"/>
                <w:b/>
                <w:bCs/>
                <w:u w:color="000000"/>
                <w:lang w:val="en-US"/>
              </w:rPr>
              <w:lastRenderedPageBreak/>
              <w:t>AGREED INTERNAL MARK (where necessary):</w:t>
            </w:r>
          </w:p>
          <w:p w14:paraId="5D4C53FE" w14:textId="77777777" w:rsidR="003A03DA" w:rsidRDefault="003A03DA" w:rsidP="00A45568">
            <w:pPr>
              <w:pStyle w:val="Body"/>
              <w:rPr>
                <w:rFonts w:ascii="Arial" w:eastAsia="Arial" w:hAnsi="Arial" w:cs="Arial"/>
                <w:b/>
                <w:bCs/>
                <w:u w:color="000000"/>
                <w:lang w:val="en-US"/>
              </w:rPr>
            </w:pPr>
          </w:p>
          <w:p w14:paraId="543F1083" w14:textId="77777777" w:rsidR="003A03DA" w:rsidRDefault="003A03DA" w:rsidP="00A45568">
            <w:pPr>
              <w:pStyle w:val="Body"/>
              <w:rPr>
                <w:rFonts w:ascii="Arial" w:eastAsia="Arial" w:hAnsi="Arial" w:cs="Arial"/>
                <w:b/>
                <w:bCs/>
                <w:u w:color="000000"/>
              </w:rPr>
            </w:pPr>
            <w:r>
              <w:rPr>
                <w:rFonts w:ascii="Arial" w:hAnsi="Arial"/>
                <w:b/>
                <w:bCs/>
                <w:u w:color="000000"/>
                <w:lang w:val="en-US"/>
              </w:rPr>
              <w:t>Comment on process of arriving at agreed mark:</w:t>
            </w:r>
          </w:p>
          <w:p w14:paraId="1269583F" w14:textId="77777777" w:rsidR="003A03DA" w:rsidRDefault="003A03DA" w:rsidP="00A45568">
            <w:pPr>
              <w:pStyle w:val="Body"/>
              <w:rPr>
                <w:rFonts w:ascii="Arial" w:eastAsia="Arial" w:hAnsi="Arial" w:cs="Arial"/>
                <w:b/>
                <w:bCs/>
                <w:u w:color="000000"/>
                <w:lang w:val="en-US"/>
              </w:rPr>
            </w:pPr>
          </w:p>
          <w:p w14:paraId="6E6B1684" w14:textId="77777777" w:rsidR="003A03DA" w:rsidRDefault="003A03DA" w:rsidP="00A45568">
            <w:pPr>
              <w:pStyle w:val="Body"/>
              <w:rPr>
                <w:rFonts w:ascii="Arial" w:eastAsia="Arial" w:hAnsi="Arial" w:cs="Arial"/>
                <w:b/>
                <w:bCs/>
                <w:u w:color="000000"/>
                <w:lang w:val="en-US"/>
              </w:rPr>
            </w:pPr>
          </w:p>
          <w:p w14:paraId="1D4BB78C" w14:textId="77777777" w:rsidR="003A03DA" w:rsidRDefault="003A03DA" w:rsidP="00A45568">
            <w:pPr>
              <w:pStyle w:val="Body"/>
              <w:rPr>
                <w:rFonts w:ascii="Arial" w:eastAsia="Arial" w:hAnsi="Arial" w:cs="Arial"/>
                <w:b/>
                <w:bCs/>
                <w:u w:color="000000"/>
                <w:lang w:val="en-US"/>
              </w:rPr>
            </w:pPr>
          </w:p>
          <w:p w14:paraId="7CCD376B" w14:textId="77777777" w:rsidR="003A03DA" w:rsidRDefault="003A03DA" w:rsidP="00A45568">
            <w:pPr>
              <w:pStyle w:val="Body"/>
              <w:rPr>
                <w:rFonts w:ascii="Arial" w:eastAsia="Arial" w:hAnsi="Arial" w:cs="Arial"/>
                <w:b/>
                <w:bCs/>
                <w:u w:color="000000"/>
                <w:lang w:val="en-US"/>
              </w:rPr>
            </w:pPr>
          </w:p>
          <w:p w14:paraId="67D40199" w14:textId="77777777" w:rsidR="003A03DA" w:rsidRDefault="003A03DA" w:rsidP="00A45568">
            <w:pPr>
              <w:pStyle w:val="Body"/>
              <w:rPr>
                <w:rFonts w:ascii="Arial" w:eastAsia="Arial" w:hAnsi="Arial" w:cs="Arial"/>
                <w:b/>
                <w:bCs/>
                <w:u w:color="000000"/>
                <w:lang w:val="en-US"/>
              </w:rPr>
            </w:pPr>
          </w:p>
          <w:p w14:paraId="4B4E42FE" w14:textId="77777777" w:rsidR="003A03DA" w:rsidRDefault="003A03DA" w:rsidP="00A45568">
            <w:pPr>
              <w:pStyle w:val="Body"/>
              <w:rPr>
                <w:rFonts w:ascii="Arial" w:eastAsia="Arial" w:hAnsi="Arial" w:cs="Arial"/>
                <w:b/>
                <w:bCs/>
                <w:u w:color="000000"/>
                <w:lang w:val="en-US"/>
              </w:rPr>
            </w:pPr>
          </w:p>
          <w:p w14:paraId="146CE025" w14:textId="77777777" w:rsidR="003A03DA" w:rsidRDefault="003A03DA" w:rsidP="00A45568">
            <w:pPr>
              <w:pStyle w:val="Body"/>
            </w:pPr>
          </w:p>
        </w:tc>
      </w:tr>
      <w:tr w:rsidR="003A03DA" w14:paraId="477A4861" w14:textId="77777777" w:rsidTr="00A45568">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CC2470" w14:textId="77777777" w:rsidR="003A03DA" w:rsidRDefault="003A03DA" w:rsidP="00A45568">
            <w:pPr>
              <w:pStyle w:val="Body"/>
              <w:rPr>
                <w:rFonts w:ascii="Arial" w:eastAsia="Arial" w:hAnsi="Arial" w:cs="Arial"/>
                <w:b/>
                <w:bCs/>
                <w:u w:color="000000"/>
              </w:rPr>
            </w:pPr>
            <w:r>
              <w:rPr>
                <w:rFonts w:ascii="Arial" w:hAnsi="Arial"/>
                <w:b/>
                <w:bCs/>
                <w:u w:color="000000"/>
                <w:lang w:val="en-US"/>
              </w:rPr>
              <w:t>External Examiner’s comments (if relevant)</w:t>
            </w:r>
          </w:p>
          <w:p w14:paraId="7F9EBD6B" w14:textId="77777777" w:rsidR="003A03DA" w:rsidRDefault="003A03DA" w:rsidP="00A45568">
            <w:pPr>
              <w:rPr>
                <w:rFonts w:ascii="Arial" w:eastAsia="Arial" w:hAnsi="Arial" w:cs="Arial"/>
                <w:color w:val="000000"/>
                <w:sz w:val="22"/>
                <w:szCs w:val="22"/>
                <w:u w:color="000000"/>
              </w:rPr>
            </w:pPr>
          </w:p>
          <w:p w14:paraId="07D59ED2" w14:textId="77777777" w:rsidR="003A03DA" w:rsidRDefault="003A03DA" w:rsidP="00A45568">
            <w:pPr>
              <w:rPr>
                <w:rFonts w:ascii="Arial" w:eastAsia="Arial" w:hAnsi="Arial" w:cs="Arial"/>
                <w:color w:val="000000"/>
                <w:sz w:val="22"/>
                <w:szCs w:val="22"/>
                <w:u w:color="000000"/>
              </w:rPr>
            </w:pPr>
          </w:p>
          <w:p w14:paraId="293A95F6" w14:textId="77777777" w:rsidR="003A03DA" w:rsidRDefault="003A03DA" w:rsidP="00A45568">
            <w:pPr>
              <w:rPr>
                <w:rFonts w:ascii="Arial" w:eastAsia="Arial" w:hAnsi="Arial" w:cs="Arial"/>
                <w:color w:val="000000"/>
                <w:sz w:val="22"/>
                <w:szCs w:val="22"/>
                <w:u w:color="000000"/>
              </w:rPr>
            </w:pPr>
          </w:p>
          <w:p w14:paraId="4797D6A2" w14:textId="77777777" w:rsidR="003A03DA" w:rsidRDefault="003A03DA" w:rsidP="00A45568">
            <w:pPr>
              <w:rPr>
                <w:rFonts w:ascii="Arial" w:eastAsia="Arial" w:hAnsi="Arial" w:cs="Arial"/>
                <w:color w:val="000000"/>
                <w:sz w:val="22"/>
                <w:szCs w:val="22"/>
                <w:u w:color="000000"/>
              </w:rPr>
            </w:pPr>
          </w:p>
          <w:p w14:paraId="2711DDA5" w14:textId="77777777" w:rsidR="003A03DA" w:rsidRDefault="003A03DA" w:rsidP="00A45568">
            <w:pPr>
              <w:rPr>
                <w:rFonts w:ascii="Arial" w:eastAsia="Arial" w:hAnsi="Arial" w:cs="Arial"/>
                <w:color w:val="000000"/>
                <w:sz w:val="22"/>
                <w:szCs w:val="22"/>
                <w:u w:color="000000"/>
              </w:rPr>
            </w:pPr>
          </w:p>
          <w:p w14:paraId="7370BFC8" w14:textId="77777777" w:rsidR="003A03DA" w:rsidRDefault="003A03DA" w:rsidP="00A45568"/>
        </w:tc>
      </w:tr>
      <w:tr w:rsidR="003A03DA" w14:paraId="6E6DDC11" w14:textId="77777777" w:rsidTr="00A45568">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377A4B" w14:textId="77777777" w:rsidR="003A03DA" w:rsidRDefault="003A03DA" w:rsidP="00A45568">
            <w:pPr>
              <w:pStyle w:val="Body"/>
            </w:pPr>
            <w:r>
              <w:rPr>
                <w:rFonts w:ascii="Arial" w:hAnsi="Arial"/>
                <w:u w:color="000000"/>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5B6CE9" w14:textId="77777777" w:rsidR="003A03DA" w:rsidRDefault="003A03DA" w:rsidP="00A45568">
            <w:pPr>
              <w:pStyle w:val="Body"/>
            </w:pPr>
            <w:r>
              <w:rPr>
                <w:rFonts w:ascii="Arial" w:hAnsi="Arial"/>
                <w:u w:color="000000"/>
                <w:lang w:val="en-US"/>
              </w:rPr>
              <w:t>Date:</w:t>
            </w:r>
          </w:p>
        </w:tc>
      </w:tr>
    </w:tbl>
    <w:p w14:paraId="07A06593"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2F65735F"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6207DB7A"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627BBA99"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3FB27346"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3BFD094A"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755A32F2"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206170AB"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552C023F"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145F1896" w14:textId="77777777" w:rsidR="003A03DA" w:rsidRDefault="003A03DA" w:rsidP="003A03DA">
      <w:pPr>
        <w:pStyle w:val="Heading3"/>
        <w:widowControl w:val="0"/>
        <w:spacing w:before="0" w:after="0" w:line="240" w:lineRule="auto"/>
        <w:jc w:val="center"/>
        <w:rPr>
          <w:rFonts w:ascii="Trebuchet MS" w:eastAsia="Trebuchet MS" w:hAnsi="Trebuchet MS" w:cs="Trebuchet MS"/>
          <w:b/>
          <w:bCs/>
          <w:sz w:val="20"/>
          <w:szCs w:val="20"/>
          <w:u w:color="000000"/>
        </w:rPr>
      </w:pPr>
    </w:p>
    <w:p w14:paraId="1F3EE2F9" w14:textId="77777777" w:rsidR="003A03DA" w:rsidRDefault="003A03DA" w:rsidP="003A03DA">
      <w:pPr>
        <w:pStyle w:val="Body"/>
        <w:rPr>
          <w:rFonts w:ascii="Times New Roman" w:eastAsia="Times New Roman" w:hAnsi="Times New Roman" w:cs="Times New Roman"/>
        </w:rPr>
      </w:pPr>
    </w:p>
    <w:p w14:paraId="4A9631F0" w14:textId="77777777" w:rsidR="003A03DA" w:rsidRDefault="003A03DA" w:rsidP="003A03DA">
      <w:pPr>
        <w:jc w:val="both"/>
        <w:rPr>
          <w:b/>
          <w:bCs/>
          <w:sz w:val="28"/>
          <w:szCs w:val="28"/>
        </w:rPr>
      </w:pPr>
    </w:p>
    <w:p w14:paraId="7F06A8F6" w14:textId="77777777" w:rsidR="003A03DA" w:rsidRDefault="003A03DA" w:rsidP="003A03DA">
      <w:pPr>
        <w:jc w:val="both"/>
        <w:rPr>
          <w:b/>
          <w:bCs/>
          <w:sz w:val="28"/>
          <w:szCs w:val="28"/>
        </w:rPr>
      </w:pPr>
    </w:p>
    <w:p w14:paraId="0EE66524" w14:textId="77777777" w:rsidR="003A03DA" w:rsidRDefault="003A03DA" w:rsidP="00001C2A">
      <w:pPr>
        <w:ind w:left="1080" w:hanging="720"/>
        <w:jc w:val="both"/>
      </w:pPr>
    </w:p>
    <w:p w14:paraId="6A24C360" w14:textId="77777777" w:rsidR="003A03DA" w:rsidRDefault="003A03DA" w:rsidP="00001C2A">
      <w:pPr>
        <w:ind w:left="1080" w:hanging="720"/>
        <w:jc w:val="both"/>
      </w:pPr>
    </w:p>
    <w:p w14:paraId="7CD39F92" w14:textId="77777777" w:rsidR="003A03DA" w:rsidRDefault="003A03DA" w:rsidP="00001C2A">
      <w:pPr>
        <w:ind w:left="1080" w:hanging="720"/>
        <w:jc w:val="both"/>
      </w:pPr>
    </w:p>
    <w:p w14:paraId="04D22357" w14:textId="77777777" w:rsidR="003A03DA" w:rsidRDefault="003A03DA" w:rsidP="00001C2A">
      <w:pPr>
        <w:ind w:left="1080" w:hanging="720"/>
        <w:jc w:val="both"/>
      </w:pPr>
    </w:p>
    <w:p w14:paraId="51C19EFA" w14:textId="77777777" w:rsidR="003A03DA" w:rsidRDefault="003A03DA" w:rsidP="00001C2A">
      <w:pPr>
        <w:ind w:left="1080" w:hanging="720"/>
        <w:jc w:val="both"/>
      </w:pPr>
    </w:p>
    <w:p w14:paraId="7BA1846A" w14:textId="77777777" w:rsidR="003A03DA" w:rsidRDefault="003A03DA" w:rsidP="00001C2A">
      <w:pPr>
        <w:ind w:left="1080" w:hanging="720"/>
        <w:jc w:val="both"/>
      </w:pPr>
    </w:p>
    <w:p w14:paraId="07C2151C" w14:textId="5080C60F" w:rsidR="003A03DA" w:rsidRPr="009E352B" w:rsidRDefault="0003258A" w:rsidP="009E352B">
      <w:pPr>
        <w:ind w:left="1080" w:hanging="720"/>
        <w:jc w:val="center"/>
        <w:rPr>
          <w:b/>
          <w:bCs/>
          <w:sz w:val="40"/>
          <w:szCs w:val="40"/>
        </w:rPr>
      </w:pPr>
      <w:r w:rsidRPr="009E352B">
        <w:rPr>
          <w:b/>
          <w:bCs/>
          <w:sz w:val="40"/>
          <w:szCs w:val="40"/>
        </w:rPr>
        <w:t xml:space="preserve">Japanese Shinto Animism and </w:t>
      </w:r>
      <w:r w:rsidR="009E352B" w:rsidRPr="009E352B">
        <w:rPr>
          <w:b/>
          <w:bCs/>
          <w:sz w:val="40"/>
          <w:szCs w:val="40"/>
        </w:rPr>
        <w:t>Folklore</w:t>
      </w:r>
      <w:r w:rsidR="00B508B9" w:rsidRPr="009E352B">
        <w:rPr>
          <w:b/>
          <w:bCs/>
          <w:sz w:val="40"/>
          <w:szCs w:val="40"/>
        </w:rPr>
        <w:t xml:space="preserve">: </w:t>
      </w:r>
      <w:r w:rsidR="00D047E1" w:rsidRPr="009E352B">
        <w:rPr>
          <w:b/>
          <w:bCs/>
          <w:sz w:val="40"/>
          <w:szCs w:val="40"/>
        </w:rPr>
        <w:t>Relation</w:t>
      </w:r>
      <w:r w:rsidR="00B508B9" w:rsidRPr="009E352B">
        <w:rPr>
          <w:b/>
          <w:bCs/>
          <w:sz w:val="40"/>
          <w:szCs w:val="40"/>
        </w:rPr>
        <w:t>al Ethics and</w:t>
      </w:r>
      <w:r w:rsidR="00D047E1" w:rsidRPr="009E352B">
        <w:rPr>
          <w:b/>
          <w:bCs/>
          <w:sz w:val="40"/>
          <w:szCs w:val="40"/>
        </w:rPr>
        <w:t xml:space="preserve"> the Non-Human </w:t>
      </w:r>
      <w:r w:rsidR="00CC0BE7" w:rsidRPr="009E352B">
        <w:rPr>
          <w:b/>
          <w:bCs/>
          <w:sz w:val="40"/>
          <w:szCs w:val="40"/>
        </w:rPr>
        <w:t>W</w:t>
      </w:r>
      <w:r w:rsidR="00D047E1" w:rsidRPr="009E352B">
        <w:rPr>
          <w:b/>
          <w:bCs/>
          <w:sz w:val="40"/>
          <w:szCs w:val="40"/>
        </w:rPr>
        <w:t>orld</w:t>
      </w:r>
    </w:p>
    <w:p w14:paraId="7F8ECFF0" w14:textId="77777777" w:rsidR="003A03DA" w:rsidRDefault="003A03DA" w:rsidP="00001C2A">
      <w:pPr>
        <w:ind w:left="1080" w:hanging="720"/>
        <w:jc w:val="both"/>
      </w:pPr>
    </w:p>
    <w:p w14:paraId="459A660F" w14:textId="77777777" w:rsidR="003A03DA" w:rsidRDefault="003A03DA" w:rsidP="00001C2A">
      <w:pPr>
        <w:ind w:left="1080" w:hanging="720"/>
        <w:jc w:val="both"/>
      </w:pPr>
    </w:p>
    <w:p w14:paraId="6D4D56F9" w14:textId="77777777" w:rsidR="003A03DA" w:rsidRDefault="003A03DA" w:rsidP="00001C2A">
      <w:pPr>
        <w:ind w:left="1080" w:hanging="720"/>
        <w:jc w:val="both"/>
      </w:pPr>
    </w:p>
    <w:p w14:paraId="04310D03" w14:textId="77777777" w:rsidR="003A03DA" w:rsidRDefault="003A03DA" w:rsidP="00001C2A">
      <w:pPr>
        <w:ind w:left="1080" w:hanging="720"/>
        <w:jc w:val="both"/>
      </w:pPr>
    </w:p>
    <w:p w14:paraId="14FD429F" w14:textId="77777777" w:rsidR="003A03DA" w:rsidRDefault="003A03DA" w:rsidP="00001C2A">
      <w:pPr>
        <w:ind w:left="1080" w:hanging="720"/>
        <w:jc w:val="both"/>
      </w:pPr>
    </w:p>
    <w:p w14:paraId="15EF3339" w14:textId="77777777" w:rsidR="003A03DA" w:rsidRDefault="003A03DA" w:rsidP="00001C2A">
      <w:pPr>
        <w:ind w:left="1080" w:hanging="720"/>
        <w:jc w:val="both"/>
      </w:pPr>
    </w:p>
    <w:p w14:paraId="79616FBA" w14:textId="77777777" w:rsidR="005544BE" w:rsidRDefault="005544BE" w:rsidP="00001C2A">
      <w:pPr>
        <w:ind w:left="1080" w:hanging="720"/>
        <w:jc w:val="both"/>
      </w:pPr>
    </w:p>
    <w:p w14:paraId="17BEA59C" w14:textId="77777777" w:rsidR="005544BE" w:rsidRDefault="005544BE" w:rsidP="00001C2A">
      <w:pPr>
        <w:ind w:left="1080" w:hanging="720"/>
        <w:jc w:val="both"/>
      </w:pPr>
    </w:p>
    <w:p w14:paraId="1959E072" w14:textId="77777777" w:rsidR="005544BE" w:rsidRDefault="005544BE" w:rsidP="00001C2A">
      <w:pPr>
        <w:ind w:left="1080" w:hanging="720"/>
        <w:jc w:val="both"/>
      </w:pPr>
    </w:p>
    <w:p w14:paraId="1EE8D10F" w14:textId="77777777" w:rsidR="005544BE" w:rsidRDefault="005544BE" w:rsidP="00001C2A">
      <w:pPr>
        <w:ind w:left="1080" w:hanging="720"/>
        <w:jc w:val="both"/>
      </w:pPr>
    </w:p>
    <w:p w14:paraId="793E792E" w14:textId="77777777" w:rsidR="003A03DA" w:rsidRDefault="003A03DA" w:rsidP="00001C2A">
      <w:pPr>
        <w:ind w:left="1080" w:hanging="720"/>
        <w:jc w:val="both"/>
      </w:pPr>
    </w:p>
    <w:p w14:paraId="7D1C9DC1" w14:textId="77777777" w:rsidR="003A03DA" w:rsidRPr="005544BE" w:rsidRDefault="003A03DA" w:rsidP="00001C2A">
      <w:pPr>
        <w:ind w:left="1080" w:hanging="720"/>
        <w:jc w:val="both"/>
      </w:pPr>
    </w:p>
    <w:p w14:paraId="6EC496DA" w14:textId="52BBFA87" w:rsidR="00FA6F0C" w:rsidRPr="005544BE" w:rsidRDefault="00FA6F0C" w:rsidP="00FA6F0C">
      <w:pPr>
        <w:jc w:val="both"/>
        <w:rPr>
          <w:rFonts w:cstheme="majorBidi"/>
        </w:rPr>
      </w:pPr>
      <w:r w:rsidRPr="005544BE">
        <w:rPr>
          <w:rFonts w:cstheme="majorBidi"/>
          <w:b/>
          <w:bCs/>
        </w:rPr>
        <w:t>Name</w:t>
      </w:r>
      <w:r w:rsidRPr="005544BE">
        <w:rPr>
          <w:rFonts w:cstheme="majorBidi"/>
          <w:b/>
          <w:bCs/>
        </w:rPr>
        <w:t xml:space="preserve"> of the Author</w:t>
      </w:r>
      <w:r w:rsidRPr="005544BE">
        <w:rPr>
          <w:rFonts w:cstheme="majorBidi"/>
          <w:b/>
          <w:bCs/>
        </w:rPr>
        <w:t xml:space="preserve">: </w:t>
      </w:r>
      <w:r w:rsidRPr="005544BE">
        <w:rPr>
          <w:rFonts w:cstheme="majorBidi"/>
        </w:rPr>
        <w:t>Mohamad Ghabris</w:t>
      </w:r>
    </w:p>
    <w:p w14:paraId="06DC20B6" w14:textId="77777777" w:rsidR="00FA6F0C" w:rsidRPr="005544BE" w:rsidRDefault="00FA6F0C" w:rsidP="00FA6F0C">
      <w:pPr>
        <w:jc w:val="both"/>
        <w:rPr>
          <w:rFonts w:cstheme="majorBidi"/>
          <w:b/>
          <w:bCs/>
        </w:rPr>
      </w:pPr>
      <w:r w:rsidRPr="005544BE">
        <w:rPr>
          <w:rFonts w:cstheme="majorBidi"/>
          <w:b/>
          <w:bCs/>
        </w:rPr>
        <w:t xml:space="preserve">Student ID: </w:t>
      </w:r>
      <w:r w:rsidRPr="005544BE">
        <w:rPr>
          <w:rFonts w:cstheme="majorBidi"/>
        </w:rPr>
        <w:t>2502666</w:t>
      </w:r>
    </w:p>
    <w:p w14:paraId="5CFCADF0" w14:textId="77777777" w:rsidR="005544BE" w:rsidRPr="005544BE" w:rsidRDefault="00FA6F0C" w:rsidP="005544BE">
      <w:pPr>
        <w:jc w:val="both"/>
      </w:pPr>
      <w:r w:rsidRPr="005544BE">
        <w:rPr>
          <w:rFonts w:cstheme="majorBidi"/>
          <w:b/>
          <w:bCs/>
        </w:rPr>
        <w:t xml:space="preserve">Course Title: </w:t>
      </w:r>
      <w:r w:rsidR="005544BE" w:rsidRPr="005544BE">
        <w:t>Ecology and Spirituality </w:t>
      </w:r>
    </w:p>
    <w:p w14:paraId="2C764084" w14:textId="506FE221" w:rsidR="00FA6F0C" w:rsidRPr="005544BE" w:rsidRDefault="00FA6F0C" w:rsidP="005544BE">
      <w:pPr>
        <w:jc w:val="both"/>
        <w:rPr>
          <w:rFonts w:cstheme="majorBidi"/>
          <w:b/>
          <w:bCs/>
        </w:rPr>
      </w:pPr>
      <w:r w:rsidRPr="005544BE">
        <w:rPr>
          <w:rFonts w:cstheme="majorBidi"/>
          <w:b/>
          <w:bCs/>
        </w:rPr>
        <w:t xml:space="preserve">Instructor: </w:t>
      </w:r>
      <w:r w:rsidRPr="005544BE">
        <w:rPr>
          <w:rFonts w:cstheme="majorBidi"/>
        </w:rPr>
        <w:t xml:space="preserve">Dr. </w:t>
      </w:r>
      <w:r w:rsidR="005544BE" w:rsidRPr="005544BE">
        <w:rPr>
          <w:rFonts w:cstheme="majorBidi"/>
        </w:rPr>
        <w:t>Jack Hunter</w:t>
      </w:r>
    </w:p>
    <w:p w14:paraId="4F95CCF6" w14:textId="77777777" w:rsidR="00FA6F0C" w:rsidRPr="005544BE" w:rsidRDefault="00FA6F0C" w:rsidP="00FA6F0C">
      <w:pPr>
        <w:jc w:val="both"/>
        <w:rPr>
          <w:rFonts w:cstheme="majorBidi"/>
        </w:rPr>
      </w:pPr>
      <w:r w:rsidRPr="005544BE">
        <w:rPr>
          <w:rFonts w:cstheme="majorBidi"/>
          <w:b/>
          <w:bCs/>
        </w:rPr>
        <w:t xml:space="preserve">Institution: </w:t>
      </w:r>
      <w:r w:rsidRPr="005544BE">
        <w:rPr>
          <w:rFonts w:cstheme="majorBidi"/>
        </w:rPr>
        <w:t>University of Wales Trinity Saint David</w:t>
      </w:r>
    </w:p>
    <w:p w14:paraId="11DAEF0C" w14:textId="31DA9B8A" w:rsidR="003A03DA" w:rsidRPr="005544BE" w:rsidRDefault="00FA6F0C" w:rsidP="005544BE">
      <w:pPr>
        <w:jc w:val="both"/>
        <w:rPr>
          <w:rFonts w:cstheme="majorBidi"/>
          <w:b/>
          <w:bCs/>
        </w:rPr>
      </w:pPr>
      <w:r w:rsidRPr="005544BE">
        <w:rPr>
          <w:rFonts w:cstheme="majorBidi"/>
          <w:b/>
          <w:bCs/>
        </w:rPr>
        <w:t xml:space="preserve">Date of Submission: </w:t>
      </w:r>
      <w:r w:rsidR="005544BE" w:rsidRPr="005544BE">
        <w:rPr>
          <w:rFonts w:cstheme="majorBidi"/>
        </w:rPr>
        <w:t>5</w:t>
      </w:r>
      <w:r w:rsidR="005544BE" w:rsidRPr="005544BE">
        <w:rPr>
          <w:rFonts w:cstheme="majorBidi"/>
          <w:vertAlign w:val="superscript"/>
        </w:rPr>
        <w:t>th</w:t>
      </w:r>
      <w:r w:rsidR="005544BE" w:rsidRPr="005544BE">
        <w:rPr>
          <w:rFonts w:cstheme="majorBidi"/>
        </w:rPr>
        <w:t xml:space="preserve"> of Jan</w:t>
      </w:r>
      <w:r w:rsidRPr="005544BE">
        <w:rPr>
          <w:rFonts w:cstheme="majorBidi"/>
        </w:rPr>
        <w:t xml:space="preserve"> 202</w:t>
      </w:r>
      <w:r w:rsidR="005544BE" w:rsidRPr="005544BE">
        <w:rPr>
          <w:rFonts w:cstheme="majorBidi"/>
        </w:rPr>
        <w:t>6</w:t>
      </w:r>
    </w:p>
    <w:p w14:paraId="5A6E5316" w14:textId="45C55A64" w:rsidR="00442BF9" w:rsidRPr="00001C2A" w:rsidRDefault="008276F0" w:rsidP="00001C2A">
      <w:pPr>
        <w:pStyle w:val="ListParagraph"/>
        <w:numPr>
          <w:ilvl w:val="0"/>
          <w:numId w:val="1"/>
        </w:numPr>
        <w:jc w:val="both"/>
        <w:rPr>
          <w:b/>
          <w:bCs/>
        </w:rPr>
      </w:pPr>
      <w:r w:rsidRPr="00001C2A">
        <w:rPr>
          <w:b/>
          <w:bCs/>
        </w:rPr>
        <w:lastRenderedPageBreak/>
        <w:t>Introduction</w:t>
      </w:r>
    </w:p>
    <w:p w14:paraId="224E7B19" w14:textId="6891A708" w:rsidR="008276F0" w:rsidRPr="00001C2A" w:rsidRDefault="008276F0" w:rsidP="00001C2A">
      <w:pPr>
        <w:ind w:firstLine="720"/>
        <w:jc w:val="both"/>
      </w:pPr>
      <w:r w:rsidRPr="00001C2A">
        <w:t xml:space="preserve">Japan is widely known historically and in our present times, of being in harmony with the natural environment; often characterized with having a constructive and sustainable relationship with the surrounding ecosystem. This perception can be traced to the Japanese religious practices and cultural forms varying from the aesthetics of seasonal awareness, preservation of shrine forests, exemplary waste management schemes, and cultural narratives that reinforces the notion of co-existence rather than domination and exploitation of nature. </w:t>
      </w:r>
      <w:r w:rsidR="00E706F2" w:rsidRPr="00001C2A">
        <w:t>However, it is also important to acknowledge Japan’s history of industrial pollution, heavy resource extraction, urban hyper-density, and overall involvement in the global consumer capitalism.  This existing contradiction raises the question on whether Japan’s</w:t>
      </w:r>
      <w:r w:rsidR="006D5EE6" w:rsidRPr="00001C2A">
        <w:t xml:space="preserve"> harmonious</w:t>
      </w:r>
      <w:r w:rsidR="00E706F2" w:rsidRPr="00001C2A">
        <w:t xml:space="preserve"> ecological </w:t>
      </w:r>
      <w:r w:rsidR="006D5EE6" w:rsidRPr="00001C2A">
        <w:t xml:space="preserve">relationship is </w:t>
      </w:r>
      <w:r w:rsidR="00501492" w:rsidRPr="00001C2A">
        <w:t>a manifestation of</w:t>
      </w:r>
      <w:r w:rsidR="006D5EE6" w:rsidRPr="00001C2A">
        <w:t xml:space="preserve"> their distinctive cultural worldviews, or whether claims of harmony risk romanticizing tradition on the expense of existing structural and historical contradictions (White, 1967; Moore, 2017).</w:t>
      </w:r>
    </w:p>
    <w:p w14:paraId="453BC60D" w14:textId="429C0BCE" w:rsidR="002768E9" w:rsidRPr="00001C2A" w:rsidRDefault="00501492" w:rsidP="00001C2A">
      <w:pPr>
        <w:ind w:firstLine="720"/>
        <w:jc w:val="both"/>
      </w:pPr>
      <w:r w:rsidRPr="00001C2A">
        <w:t>Shinto is a formal religion that was derived from ancient animistic beliefs in Japan</w:t>
      </w:r>
      <w:r w:rsidR="002768E9" w:rsidRPr="00001C2A">
        <w:t xml:space="preserve">. It is often described as animistic, in which it revolves around the concept of kami, which is a word that refers to the sacred spirits or divine forces found in all living and non-living things from natural phenomena like rivers and mountains to animals and material objects. In contrast to the monotheistic religious systems, Shinto does not advocate for separation between humans and the natural world, nor between living and non-living things (Rappaport, 1979; Harvey, 2005). </w:t>
      </w:r>
      <w:r w:rsidR="00443B23" w:rsidRPr="00001C2A">
        <w:t xml:space="preserve">Instead, Shinto calls for the harmonious co-existence between humans and non-human entities, each deserving of respect, ethical consideration, and ritual recognition. </w:t>
      </w:r>
    </w:p>
    <w:p w14:paraId="6D9D02A4" w14:textId="77777777" w:rsidR="00D31D24" w:rsidRPr="00001C2A" w:rsidRDefault="00D31D24" w:rsidP="00001C2A">
      <w:pPr>
        <w:jc w:val="both"/>
      </w:pPr>
      <w:r w:rsidRPr="00001C2A">
        <w:tab/>
        <w:t>This paper therefore explores the following question: To what extent can Japan’s relatively harmonious ecological relationship be traced to Japanese folklore and Shinto animism’s view of nature as ensouled, and how do these animistic values manifest in today’s environmental policies, conservation efforts, and everyday cultural practices?</w:t>
      </w:r>
    </w:p>
    <w:p w14:paraId="0FD5D4E8" w14:textId="77777777" w:rsidR="008E32C1" w:rsidRPr="00001C2A" w:rsidRDefault="008E32C1" w:rsidP="00001C2A">
      <w:pPr>
        <w:jc w:val="both"/>
      </w:pPr>
    </w:p>
    <w:p w14:paraId="7F90921C" w14:textId="77777777" w:rsidR="008E32C1" w:rsidRPr="00001C2A" w:rsidRDefault="008E32C1" w:rsidP="00001C2A">
      <w:pPr>
        <w:jc w:val="both"/>
      </w:pPr>
    </w:p>
    <w:p w14:paraId="50D0B816" w14:textId="77777777" w:rsidR="008E32C1" w:rsidRPr="00001C2A" w:rsidRDefault="008E32C1" w:rsidP="00001C2A">
      <w:pPr>
        <w:jc w:val="both"/>
      </w:pPr>
    </w:p>
    <w:p w14:paraId="29B680C0" w14:textId="77777777" w:rsidR="008E32C1" w:rsidRPr="00001C2A" w:rsidRDefault="008E32C1" w:rsidP="00001C2A">
      <w:pPr>
        <w:jc w:val="both"/>
      </w:pPr>
    </w:p>
    <w:p w14:paraId="406C6690" w14:textId="77777777" w:rsidR="008E32C1" w:rsidRPr="00001C2A" w:rsidRDefault="008E32C1" w:rsidP="00001C2A">
      <w:pPr>
        <w:jc w:val="both"/>
      </w:pPr>
    </w:p>
    <w:p w14:paraId="49DCAFA2" w14:textId="77777777" w:rsidR="008E32C1" w:rsidRPr="00001C2A" w:rsidRDefault="008E32C1" w:rsidP="00001C2A">
      <w:pPr>
        <w:jc w:val="both"/>
      </w:pPr>
    </w:p>
    <w:p w14:paraId="4AF420F9" w14:textId="77777777" w:rsidR="00D31D24" w:rsidRPr="00001C2A" w:rsidRDefault="00D31D24" w:rsidP="00001C2A">
      <w:pPr>
        <w:jc w:val="both"/>
      </w:pPr>
    </w:p>
    <w:p w14:paraId="0DFB0494" w14:textId="75E7BDDE" w:rsidR="0050629A" w:rsidRPr="00001C2A" w:rsidRDefault="0050629A" w:rsidP="00001C2A">
      <w:pPr>
        <w:pStyle w:val="ListParagraph"/>
        <w:numPr>
          <w:ilvl w:val="0"/>
          <w:numId w:val="1"/>
        </w:numPr>
        <w:jc w:val="both"/>
        <w:rPr>
          <w:b/>
          <w:bCs/>
        </w:rPr>
      </w:pPr>
      <w:r w:rsidRPr="00001C2A">
        <w:rPr>
          <w:b/>
          <w:bCs/>
        </w:rPr>
        <w:lastRenderedPageBreak/>
        <w:t>Literature Review: Animism, the Non-Human, and Ecological Relations</w:t>
      </w:r>
    </w:p>
    <w:p w14:paraId="03211314" w14:textId="77777777" w:rsidR="0050629A" w:rsidRPr="00001C2A" w:rsidRDefault="0050629A" w:rsidP="00001C2A">
      <w:pPr>
        <w:pStyle w:val="ListParagraph"/>
        <w:ind w:left="1080"/>
        <w:jc w:val="both"/>
        <w:rPr>
          <w:b/>
          <w:bCs/>
        </w:rPr>
      </w:pPr>
    </w:p>
    <w:p w14:paraId="6BCA81D9" w14:textId="45EC9730" w:rsidR="0050629A" w:rsidRPr="00001C2A" w:rsidRDefault="0050629A" w:rsidP="00001C2A">
      <w:pPr>
        <w:pStyle w:val="ListParagraph"/>
        <w:numPr>
          <w:ilvl w:val="0"/>
          <w:numId w:val="2"/>
        </w:numPr>
        <w:jc w:val="both"/>
        <w:rPr>
          <w:b/>
          <w:bCs/>
        </w:rPr>
      </w:pPr>
      <w:r w:rsidRPr="00001C2A">
        <w:rPr>
          <w:b/>
          <w:bCs/>
        </w:rPr>
        <w:t>Animism and Relational Ontologies</w:t>
      </w:r>
    </w:p>
    <w:p w14:paraId="18E0CD30" w14:textId="6DC7AEE7" w:rsidR="008A2B7C" w:rsidRPr="00001C2A" w:rsidRDefault="00DA44D6" w:rsidP="00001C2A">
      <w:pPr>
        <w:ind w:firstLine="720"/>
        <w:jc w:val="both"/>
      </w:pPr>
      <w:r w:rsidRPr="00001C2A">
        <w:t xml:space="preserve">The term animism was introduced and defined by an English anthropologist Sir Edward Burnett Tylor in his 1871 book Primitive Culture. He defined animism as the belief </w:t>
      </w:r>
      <w:r w:rsidR="008A2B7C" w:rsidRPr="00001C2A">
        <w:t>that all things including animals</w:t>
      </w:r>
      <w:r w:rsidR="00556BFD" w:rsidRPr="00001C2A">
        <w:t>, natural phenomena</w:t>
      </w:r>
      <w:r w:rsidR="008A2B7C" w:rsidRPr="00001C2A">
        <w:t xml:space="preserve">, and objects, possess a unique spiritual essence or soul. Animism is derived from the Latin word anima, which means “breath” or “soul”, describing a worldview were the physical world intertwined by spiritual forces. </w:t>
      </w:r>
      <w:r w:rsidR="00556BFD" w:rsidRPr="00001C2A">
        <w:t>Animism has been historically marginalized within anthropology and the study of religions, due to its framing of being regarded as an intellectual error; E.B Tylor interpreting animism as a primitive attempt to explain life and movement (Tylor, 1871, cited in Harvey, 2005). In such a framework, animism was considered to be an early developmental stage of religion that was expected to be replaced by monotheism and scientific rationality as they advance and evolve.</w:t>
      </w:r>
    </w:p>
    <w:p w14:paraId="3B9FB277" w14:textId="7160B715" w:rsidR="00556BFD" w:rsidRPr="00001C2A" w:rsidRDefault="00FE22F3" w:rsidP="00001C2A">
      <w:pPr>
        <w:ind w:firstLine="720"/>
        <w:jc w:val="both"/>
      </w:pPr>
      <w:r w:rsidRPr="00001C2A">
        <w:t xml:space="preserve">Modern scholars </w:t>
      </w:r>
      <w:r w:rsidR="00B222B8" w:rsidRPr="00001C2A">
        <w:t>have</w:t>
      </w:r>
      <w:r w:rsidRPr="00001C2A">
        <w:t xml:space="preserve"> challenged E.B Tylor’s and other similar scholar’s interpretation of animism. Graham Harvey argues that animism should not be perceived as a primitive or mistaken belief about spirits, but rather as a relational ontology, a way of understanding the world consisting of many kinds of persons. As Harvey states, animism is based on the concept that “the world is full of persons, only some of whom are human” (Harvey, 2005, p. xi). This shift in perspective </w:t>
      </w:r>
      <w:r w:rsidR="00B222B8" w:rsidRPr="00001C2A">
        <w:t>invites us</w:t>
      </w:r>
      <w:r w:rsidRPr="00001C2A">
        <w:t xml:space="preserve"> to think of animism being less concerned with explaining how the world works, to more concerned with guiding how humans should coexist and engage with it.</w:t>
      </w:r>
      <w:r w:rsidR="00B222B8" w:rsidRPr="00001C2A">
        <w:t xml:space="preserve"> </w:t>
      </w:r>
      <w:r w:rsidR="00317CFD" w:rsidRPr="00001C2A">
        <w:t>Harvey adopts the phrase “other-than-human persons” to challenge the Western dualism that often categorizes the rest of the world as simply “non-human” objects</w:t>
      </w:r>
      <w:r w:rsidR="00AF6F63" w:rsidRPr="00001C2A">
        <w:t xml:space="preserve"> (Harvey, 2005, p. 17)</w:t>
      </w:r>
      <w:r w:rsidR="00317CFD" w:rsidRPr="00001C2A">
        <w:t xml:space="preserve">. </w:t>
      </w:r>
      <w:r w:rsidR="00AF6F63" w:rsidRPr="00001C2A">
        <w:t>He</w:t>
      </w:r>
      <w:r w:rsidR="00B222B8" w:rsidRPr="00001C2A">
        <w:t xml:space="preserve"> also adds that animism is not a set of beliefs but a way of living that prioritizes relational ethics. He defines ethical behavior as being a “good person” within a larger community that includes both human and other-than-human beings</w:t>
      </w:r>
      <w:r w:rsidR="00AF6F63" w:rsidRPr="00001C2A">
        <w:rPr>
          <w:rFonts w:cs="Arial"/>
          <w:color w:val="0A0A0A"/>
          <w:shd w:val="clear" w:color="auto" w:fill="FFFFFF"/>
        </w:rPr>
        <w:t xml:space="preserve"> </w:t>
      </w:r>
      <w:r w:rsidR="00AF6F63" w:rsidRPr="00001C2A">
        <w:t>(Harvey, 2005, p. xi)</w:t>
      </w:r>
      <w:r w:rsidR="00B222B8" w:rsidRPr="00001C2A">
        <w:t>; in which humans would learn how to relate respectfully and constructively to a diverse community of beings instead of treating the non-human world as a disposable resource.</w:t>
      </w:r>
      <w:r w:rsidR="00317CFD" w:rsidRPr="00001C2A">
        <w:t xml:space="preserve"> </w:t>
      </w:r>
    </w:p>
    <w:p w14:paraId="79D99CC7" w14:textId="28AC97AF" w:rsidR="00B222B8" w:rsidRPr="00001C2A" w:rsidRDefault="00AF6F63" w:rsidP="00001C2A">
      <w:pPr>
        <w:ind w:firstLine="720"/>
        <w:jc w:val="both"/>
      </w:pPr>
      <w:r w:rsidRPr="00001C2A">
        <w:t xml:space="preserve">This reconceptualization has been revolutionary in anthropology and environmental humanities, where scholars acknowledge animism as being an alternative to dominant Western dualisms that separates nature from culture and subject from object. Animistic ontologies positions nature and objects from being a passive matter created to serve human needs, to it being a responsive and morally significant entity with its own agency.  </w:t>
      </w:r>
      <w:r w:rsidR="007E3951" w:rsidRPr="00001C2A">
        <w:t xml:space="preserve">This shift and modern outlook to animism, provides a framework for assessing and evaluating </w:t>
      </w:r>
      <w:r w:rsidR="007E3951" w:rsidRPr="00001C2A">
        <w:lastRenderedPageBreak/>
        <w:t xml:space="preserve">practices of ecological ethics such as the context in Japan and its embodiment of Shinto animism (Rappaport, 1979; Harvey, 2005). </w:t>
      </w:r>
    </w:p>
    <w:p w14:paraId="1955D3C9" w14:textId="3A3C06A2" w:rsidR="007E3951" w:rsidRPr="00001C2A" w:rsidRDefault="007E3951" w:rsidP="00001C2A">
      <w:pPr>
        <w:pStyle w:val="ListParagraph"/>
        <w:numPr>
          <w:ilvl w:val="0"/>
          <w:numId w:val="2"/>
        </w:numPr>
        <w:jc w:val="both"/>
        <w:rPr>
          <w:b/>
          <w:bCs/>
        </w:rPr>
      </w:pPr>
      <w:r w:rsidRPr="00001C2A">
        <w:rPr>
          <w:b/>
          <w:bCs/>
        </w:rPr>
        <w:t>Agency Beyond Humans</w:t>
      </w:r>
    </w:p>
    <w:p w14:paraId="7BEA6561" w14:textId="5B392EC2" w:rsidR="007E3951" w:rsidRPr="00001C2A" w:rsidRDefault="004634E7" w:rsidP="00001C2A">
      <w:pPr>
        <w:ind w:firstLine="720"/>
        <w:jc w:val="both"/>
      </w:pPr>
      <w:r w:rsidRPr="00001C2A">
        <w:t xml:space="preserve">Modern outlooks on animism and its slow integration into anthropology often challenge and question long standing assumptions such as that agency, intelligence, and creative action are merely exclusive to human capabilities. A scholar from this school of thought, Eduardo Kohen, argues in his book </w:t>
      </w:r>
      <w:r w:rsidRPr="00001C2A">
        <w:rPr>
          <w:i/>
          <w:iCs/>
        </w:rPr>
        <w:t xml:space="preserve">How Forests Think </w:t>
      </w:r>
      <w:r w:rsidR="00AA67C1" w:rsidRPr="00001C2A">
        <w:t>that forests are not a simple ecological resource for human utilization. He adds that forests are semiotic systems capable of response and interpretation, suggesting that “seeing, representing, and perhaps knowing, even thinking, are not exclusively human affairs,” and that non-human life forms interact in meaningful processes (Kohn, 2013, p.16)</w:t>
      </w:r>
      <w:r w:rsidR="006F4F8D" w:rsidRPr="00001C2A">
        <w:t xml:space="preserve">. Further research on plant intelligence, for example, showcases that planta has the capacity to communicate, learn, retain memory, and other adaptive behavior despite the absence of a centralized nervous system. The latter had been </w:t>
      </w:r>
      <w:r w:rsidR="00427E8D" w:rsidRPr="00001C2A">
        <w:t>validated</w:t>
      </w:r>
      <w:r w:rsidR="006F4F8D" w:rsidRPr="00001C2A">
        <w:t xml:space="preserve"> through an experiment carried out by Gagliano and colleagues demonstrating how plants can respond to repeated stimuli with the retention of this learning over a time </w:t>
      </w:r>
      <w:r w:rsidR="00427E8D" w:rsidRPr="00001C2A">
        <w:t>period, revealing how forms of memory are distributed across the plant’s roots, stems, and leaves instead of a centralized brain (Gagliano et al., 2014). Other studies of forest ecology have similarly revealed complex networks of mycorrhizal fungi for facilitating sharing of nutrients, signaling and coordination among trees. This had led scholars to describe forests as agents of communicative and socially organized networks (Simard et al., 2012; Wohlleben, 2016).</w:t>
      </w:r>
    </w:p>
    <w:p w14:paraId="44431B26" w14:textId="4BF80A54" w:rsidR="00B139EC" w:rsidRPr="00001C2A" w:rsidRDefault="00AA67C1" w:rsidP="00001C2A">
      <w:pPr>
        <w:jc w:val="both"/>
      </w:pPr>
      <w:r w:rsidRPr="00001C2A">
        <w:tab/>
        <w:t xml:space="preserve">This school of thought challenges the assumption that non-human beings think the same way as humans do, that cognition should </w:t>
      </w:r>
      <w:r w:rsidR="00F45465" w:rsidRPr="00001C2A">
        <w:t xml:space="preserve">adhere to human reasoning to value or interpret it as a thought. Harvey supported this claim through his referencing to diverse “personhoods” in the world and how each has their own ways of relating and communicating, challenging human-centric </w:t>
      </w:r>
      <w:r w:rsidR="00361563" w:rsidRPr="00001C2A">
        <w:t xml:space="preserve">standard of recognition (Harvey, 2005, p. xi). Similarly, Val Plumwood critiqued human exceptionalism, arguing that denying agency to non-human beings reinforces exploitative practices, and the narrative that the environment is resource designed for unconditional human utilization. She warns that such narratives would enable domination and irreversible ecological harm, calling for the recognition of non-human agency </w:t>
      </w:r>
      <w:r w:rsidR="006F4F8D" w:rsidRPr="00001C2A">
        <w:t xml:space="preserve">to open doors for more ethical forms of coexistence (Plumwood, 2010). </w:t>
      </w:r>
    </w:p>
    <w:p w14:paraId="6879EE68" w14:textId="5E034DE9" w:rsidR="000C0A04" w:rsidRPr="00001C2A" w:rsidRDefault="00B139EC" w:rsidP="00001C2A">
      <w:pPr>
        <w:jc w:val="both"/>
      </w:pPr>
      <w:r w:rsidRPr="00001C2A">
        <w:tab/>
        <w:t xml:space="preserve">Such arguments </w:t>
      </w:r>
      <w:r w:rsidR="001B0053" w:rsidRPr="00001C2A">
        <w:t xml:space="preserve">elevated the positioning of animism </w:t>
      </w:r>
      <w:r w:rsidR="003F0336" w:rsidRPr="00001C2A">
        <w:t>from being incompatible with modern thought, to being increasingly validated and recognized</w:t>
      </w:r>
      <w:r w:rsidR="00CB638C" w:rsidRPr="00001C2A">
        <w:t xml:space="preserve"> through several scholars back</w:t>
      </w:r>
      <w:r w:rsidR="00770961" w:rsidRPr="00001C2A">
        <w:t>ed</w:t>
      </w:r>
      <w:r w:rsidR="00CB638C" w:rsidRPr="00001C2A">
        <w:t xml:space="preserve"> with credible and </w:t>
      </w:r>
      <w:r w:rsidR="00770961" w:rsidRPr="00001C2A">
        <w:t xml:space="preserve">measurable </w:t>
      </w:r>
      <w:r w:rsidR="00DD6B1D" w:rsidRPr="00001C2A">
        <w:t xml:space="preserve">studies and experimentations. </w:t>
      </w:r>
      <w:r w:rsidR="009F43CE" w:rsidRPr="00001C2A">
        <w:t xml:space="preserve"> Sharon E. Kingsland's in her book </w:t>
      </w:r>
      <w:r w:rsidR="00724646" w:rsidRPr="00001C2A">
        <w:rPr>
          <w:i/>
          <w:iCs/>
        </w:rPr>
        <w:t xml:space="preserve">Modeling Nature: Episodes in the History of Population Ecology, </w:t>
      </w:r>
      <w:r w:rsidR="00204D25" w:rsidRPr="00001C2A">
        <w:t xml:space="preserve">she states </w:t>
      </w:r>
      <w:r w:rsidR="002D4A14" w:rsidRPr="00001C2A">
        <w:t>“</w:t>
      </w:r>
      <w:r w:rsidR="00204D25" w:rsidRPr="00001C2A">
        <w:t xml:space="preserve">the basic ecological interactions described are well supported by empirical research” </w:t>
      </w:r>
      <w:r w:rsidR="002D4A14" w:rsidRPr="00001C2A">
        <w:lastRenderedPageBreak/>
        <w:t>(Kingsland, 2018, p. 211)</w:t>
      </w:r>
      <w:r w:rsidR="00724646" w:rsidRPr="00001C2A">
        <w:t>.</w:t>
      </w:r>
      <w:r w:rsidR="002D4A14" w:rsidRPr="00001C2A">
        <w:t xml:space="preserve"> </w:t>
      </w:r>
      <w:r w:rsidR="00C24507" w:rsidRPr="00001C2A">
        <w:t>This gives anim</w:t>
      </w:r>
      <w:r w:rsidR="002E6770" w:rsidRPr="00001C2A">
        <w:t xml:space="preserve">istic traditions </w:t>
      </w:r>
      <w:r w:rsidR="00F927A7" w:rsidRPr="00001C2A">
        <w:t xml:space="preserve">greater value </w:t>
      </w:r>
      <w:r w:rsidR="00D46A0F" w:rsidRPr="00001C2A">
        <w:t xml:space="preserve">and credibility </w:t>
      </w:r>
      <w:r w:rsidR="00BF759F" w:rsidRPr="00001C2A">
        <w:t xml:space="preserve">in being referenced </w:t>
      </w:r>
      <w:r w:rsidR="00D46A0F" w:rsidRPr="00001C2A">
        <w:t xml:space="preserve">as ethical frameworks rather than being dismissed as </w:t>
      </w:r>
      <w:r w:rsidR="00BF759F" w:rsidRPr="00001C2A">
        <w:t>irrational.</w:t>
      </w:r>
    </w:p>
    <w:p w14:paraId="72B01014" w14:textId="2B6093D3" w:rsidR="000E3374" w:rsidRPr="00001C2A" w:rsidRDefault="000E3374" w:rsidP="00001C2A">
      <w:pPr>
        <w:pStyle w:val="ListParagraph"/>
        <w:numPr>
          <w:ilvl w:val="0"/>
          <w:numId w:val="2"/>
        </w:numPr>
        <w:jc w:val="both"/>
        <w:rPr>
          <w:b/>
          <w:bCs/>
        </w:rPr>
      </w:pPr>
      <w:r w:rsidRPr="00001C2A">
        <w:rPr>
          <w:b/>
          <w:bCs/>
        </w:rPr>
        <w:t>Materiality and Objects</w:t>
      </w:r>
    </w:p>
    <w:p w14:paraId="3E895B56" w14:textId="1E193FB0" w:rsidR="00D72953" w:rsidRPr="00001C2A" w:rsidRDefault="00BC102F" w:rsidP="00001C2A">
      <w:pPr>
        <w:ind w:firstLine="720"/>
        <w:jc w:val="both"/>
      </w:pPr>
      <w:r w:rsidRPr="00001C2A">
        <w:t xml:space="preserve">Besides living organisms, material objects have also gained recognition from several scholars under animism, in which they argue that matter itself is not lifeless and static but rather active. One of these scholars, Barad, introduced the concept of “posthumanist performativity” emphasizing that material entities play a key role in meaning making and in shaping reality, shifting their positions from passive substrates </w:t>
      </w:r>
      <w:r w:rsidR="00D72953" w:rsidRPr="00001C2A">
        <w:t xml:space="preserve">for human expenditure </w:t>
      </w:r>
      <w:r w:rsidR="00222E3A" w:rsidRPr="00001C2A">
        <w:t>She</w:t>
      </w:r>
      <w:r w:rsidR="00D72953" w:rsidRPr="00001C2A">
        <w:t xml:space="preserve"> states that</w:t>
      </w:r>
      <w:r w:rsidR="00222E3A" w:rsidRPr="00001C2A">
        <w:t xml:space="preserve"> </w:t>
      </w:r>
      <w:r w:rsidR="00D72953" w:rsidRPr="00001C2A">
        <w:t xml:space="preserve"> </w:t>
      </w:r>
      <w:r w:rsidR="00222E3A" w:rsidRPr="00001C2A">
        <w:t>“on an agential realist account, matter does not refer to a fixed substance; rather, matter is substance in its intra-active becoming — not a thing, but a doing, a congealing of agency.” (Barad, 2003, p. 822)</w:t>
      </w:r>
    </w:p>
    <w:p w14:paraId="108677DB" w14:textId="562BC0E6" w:rsidR="00222E3A" w:rsidRPr="00001C2A" w:rsidRDefault="00222E3A" w:rsidP="00001C2A">
      <w:pPr>
        <w:ind w:firstLine="720"/>
        <w:jc w:val="both"/>
      </w:pPr>
      <w:r w:rsidRPr="00001C2A">
        <w:t xml:space="preserve">Material personhood can be </w:t>
      </w:r>
      <w:r w:rsidR="00E66452" w:rsidRPr="00001C2A">
        <w:t xml:space="preserve">evidently found in several cross-cultural contexts as reflected by anthropological and folkloric studies. </w:t>
      </w:r>
      <w:r w:rsidR="00937F6A" w:rsidRPr="00001C2A">
        <w:t>Irving Hallowell</w:t>
      </w:r>
      <w:r w:rsidR="00E66452" w:rsidRPr="00001C2A">
        <w:t xml:space="preserve"> conducted a study of Ojibwe ontology, in which </w:t>
      </w:r>
      <w:r w:rsidR="00937F6A" w:rsidRPr="00001C2A">
        <w:t xml:space="preserve">he described stones that were treated as animated persons, being recognized through lived relationships rather than a simple classification. He stated “The Ojibwa do not perceive stones, in general, as animate, any more than we do. The crucial test is experience… whether they have been observed to manifest animate properties.” He asked an elderly if whether all stones were alive, the elderly famously replied “No, but some are”, reflecting the animistic belief and the perception of personhood towards the stone (Hallowell, 1960/2002, pp. 24–26). Similarly, another scholar called Lecouteux, </w:t>
      </w:r>
      <w:r w:rsidR="009772C6" w:rsidRPr="00001C2A">
        <w:t>notes that in several European traditions, objects and landscapes were treated and perceived as morally responsive agents, capable of “rewarding respect and punishing neglect”. He describes that bronies, fairies, and water spirits were linked to forests, springs, and rivers. Respecting and honoring these entities was considered as a prerequisite for safe travels and prosperity (Lecouteux, 2015, ch. 2–4).  He continues then by explaining that failure to pay respect or honor the local land spirits (genius loci) would lead to serious moral and material consequences.</w:t>
      </w:r>
    </w:p>
    <w:p w14:paraId="72B33C40" w14:textId="3215A4F9" w:rsidR="00937F6A" w:rsidRPr="00001C2A" w:rsidRDefault="009772C6" w:rsidP="00001C2A">
      <w:pPr>
        <w:ind w:firstLine="720"/>
        <w:jc w:val="both"/>
      </w:pPr>
      <w:r w:rsidRPr="00001C2A">
        <w:t xml:space="preserve">Such reflections and perspectives are relevant for understanding Japanese folklore when it comes to </w:t>
      </w:r>
      <w:r w:rsidRPr="00001C2A">
        <w:rPr>
          <w:i/>
          <w:iCs/>
        </w:rPr>
        <w:t>tsukumogami</w:t>
      </w:r>
      <w:r w:rsidRPr="00001C2A">
        <w:t>, the belief that objects would embody agency and spirit through either long-term use or neglect. Moving away from irrationality and superstition</w:t>
      </w:r>
      <w:r w:rsidR="00B712D7" w:rsidRPr="00001C2A">
        <w:t>, such belief systems can play a crucial role in advocating for ethical engagement with material things</w:t>
      </w:r>
      <w:r w:rsidR="00001C2A" w:rsidRPr="00001C2A">
        <w:t xml:space="preserve"> calling for</w:t>
      </w:r>
      <w:r w:rsidR="00B712D7" w:rsidRPr="00001C2A">
        <w:t xml:space="preserve"> </w:t>
      </w:r>
      <w:r w:rsidR="00001C2A" w:rsidRPr="00001C2A">
        <w:t xml:space="preserve">accountable use and </w:t>
      </w:r>
      <w:r w:rsidR="00B712D7" w:rsidRPr="00001C2A">
        <w:t xml:space="preserve">less consumerism. </w:t>
      </w:r>
    </w:p>
    <w:p w14:paraId="01C3338F" w14:textId="77777777" w:rsidR="00B712D7" w:rsidRPr="00001C2A" w:rsidRDefault="00B712D7" w:rsidP="00001C2A">
      <w:pPr>
        <w:ind w:firstLine="720"/>
        <w:jc w:val="both"/>
      </w:pPr>
    </w:p>
    <w:p w14:paraId="21806812" w14:textId="77777777" w:rsidR="00B712D7" w:rsidRPr="00001C2A" w:rsidRDefault="00B712D7" w:rsidP="00001C2A">
      <w:pPr>
        <w:ind w:firstLine="720"/>
        <w:jc w:val="both"/>
      </w:pPr>
    </w:p>
    <w:p w14:paraId="6B43828C" w14:textId="77777777" w:rsidR="00B712D7" w:rsidRPr="00001C2A" w:rsidRDefault="00B712D7" w:rsidP="00001C2A">
      <w:pPr>
        <w:ind w:firstLine="720"/>
        <w:jc w:val="both"/>
      </w:pPr>
    </w:p>
    <w:p w14:paraId="1B8C2D97" w14:textId="6E83CBAB" w:rsidR="00B712D7" w:rsidRPr="00001C2A" w:rsidRDefault="00B712D7" w:rsidP="00001C2A">
      <w:pPr>
        <w:pStyle w:val="ListParagraph"/>
        <w:numPr>
          <w:ilvl w:val="0"/>
          <w:numId w:val="2"/>
        </w:numPr>
        <w:jc w:val="both"/>
        <w:rPr>
          <w:b/>
          <w:bCs/>
        </w:rPr>
      </w:pPr>
      <w:r w:rsidRPr="00001C2A">
        <w:rPr>
          <w:b/>
          <w:bCs/>
        </w:rPr>
        <w:lastRenderedPageBreak/>
        <w:t>Perspectivism and the Ecological Self</w:t>
      </w:r>
    </w:p>
    <w:p w14:paraId="0D461A9A" w14:textId="3D0BB53D" w:rsidR="008D75D5" w:rsidRPr="00001C2A" w:rsidRDefault="00B712D7" w:rsidP="00001C2A">
      <w:pPr>
        <w:ind w:firstLine="720"/>
        <w:jc w:val="both"/>
      </w:pPr>
      <w:r w:rsidRPr="00001C2A">
        <w:t xml:space="preserve">Perspectivism is a theory that frames the knowledge </w:t>
      </w:r>
      <w:r w:rsidR="008D75D5" w:rsidRPr="00001C2A">
        <w:t xml:space="preserve">or truth </w:t>
      </w:r>
      <w:r w:rsidRPr="00001C2A">
        <w:t xml:space="preserve">of a subject is not </w:t>
      </w:r>
      <w:r w:rsidR="008D75D5" w:rsidRPr="00001C2A">
        <w:t>conclusive or rigid, it is rather fluid and based on a person’s perspective; hence truth or knowledge is relative to that person’s perspective</w:t>
      </w:r>
      <w:r w:rsidR="00772559">
        <w:t xml:space="preserve">. </w:t>
      </w:r>
      <w:r w:rsidR="008D75D5" w:rsidRPr="00001C2A">
        <w:t xml:space="preserve">Eduardo Viveiros de Castro supports this theory by describing beings inhabiting distinct yet overlapping worlds, have different worldviews shaped by their lived perspectives. He explains that, within Amerindian perspectivism, “Animals and spirits </w:t>
      </w:r>
      <w:r w:rsidR="008D75D5" w:rsidRPr="00001C2A">
        <w:rPr>
          <w:i/>
          <w:iCs/>
        </w:rPr>
        <w:t>see themselves as humans</w:t>
      </w:r>
      <w:r w:rsidR="008D75D5" w:rsidRPr="00001C2A">
        <w:t>: they perceive themselves as (or become) anthropomorphic beings when they are in their own houses or villages and they experience their own habits and characteristics in the form of culture…”, challenging Western views that limit the worlds of non-humans as ‘nature</w:t>
      </w:r>
      <w:r w:rsidR="001850D5" w:rsidRPr="00001C2A">
        <w:t>’. He elaborates further by an example that “…jaguars see blood as manioc beer, vultures see the maggots in rotting meat as grilled fish…” (Viveiros de Castro, 1998/2006, p. 470)</w:t>
      </w:r>
    </w:p>
    <w:p w14:paraId="5A2DF69C" w14:textId="33911E63" w:rsidR="001850D5" w:rsidRPr="00001C2A" w:rsidRDefault="001850D5" w:rsidP="00001C2A">
      <w:pPr>
        <w:ind w:firstLine="720"/>
        <w:jc w:val="both"/>
      </w:pPr>
      <w:r w:rsidRPr="00001C2A">
        <w:t xml:space="preserve">Such ideas also resonate with Indigenous philosophical ecologies, such as the ones of Devorah Bird Rose. She emphasizes that Indigenous ecological knowledge is not a mere empirical data about the environment, but a philosophical ecology that positions humans in networks of mutual engagements. She further defines philosophical ecology as “our conceptions of our place and task in this world,” discussing that indigenous traditions positions humans as participants within living systems instead of managers with unconditional entitlement over nature (Rose, 2005, p. 294). </w:t>
      </w:r>
      <w:r w:rsidR="00370A63" w:rsidRPr="00001C2A">
        <w:t>Rose draws on Val Plumwood, as she highlights tw</w:t>
      </w:r>
      <w:r w:rsidR="00DD4C8B" w:rsidRPr="00001C2A">
        <w:t xml:space="preserve">o ethical tasks: “to re-situate the human in ecological terms, and to re-situate the non-human in ethical terms” (Plumwood, 2002, cited in Rose, 2005, p. 295). Such dual positioning reinforces ethical responsibility, by changing how humans are expected to relate and interact with the non-human world. </w:t>
      </w:r>
    </w:p>
    <w:p w14:paraId="2F8F65AD" w14:textId="584DFE22" w:rsidR="001850D5" w:rsidRPr="00001C2A" w:rsidRDefault="001850D5" w:rsidP="00001C2A">
      <w:pPr>
        <w:tabs>
          <w:tab w:val="left" w:pos="955"/>
        </w:tabs>
        <w:jc w:val="both"/>
      </w:pPr>
      <w:r w:rsidRPr="00001C2A">
        <w:tab/>
      </w:r>
      <w:r w:rsidR="00271132" w:rsidRPr="00001C2A">
        <w:t>Within deep ecology, under the larger umbrella of environmental philosophy, the concept of ecological</w:t>
      </w:r>
      <w:r w:rsidR="00F17602" w:rsidRPr="00001C2A">
        <w:t>-</w:t>
      </w:r>
      <w:r w:rsidR="00271132" w:rsidRPr="00001C2A">
        <w:t>self emerged. This concept represents a relational understanding of identity, in which it describes the self not being confined to individual human body but extends to wider ecological systems. Arne Naess argues that self-awareness involves the expansion of one’s sense of self to a larger scope encompassing more-than-human-world.  Such expansion invites care for the environment as a form of self-care rather than an independent moral obligation</w:t>
      </w:r>
      <w:r w:rsidR="00F17602" w:rsidRPr="00001C2A">
        <w:t>. She explicitly states that “Whatever the differences between beings, increased self</w:t>
      </w:r>
      <w:r w:rsidR="00F17602" w:rsidRPr="00001C2A">
        <w:noBreakHyphen/>
        <w:t>realization implies broadening and deepening of the self … We ‘see ourselves in others.’” In addition to expressing that “care flows naturally if the self is widened and deepened so that protection of free nature is felt and conceived of as protection of our very selves.” (Næss, 1995, pp.</w:t>
      </w:r>
      <w:r w:rsidR="00F17602" w:rsidRPr="00001C2A">
        <w:rPr>
          <w:rFonts w:ascii="Arial" w:hAnsi="Arial" w:cs="Arial"/>
        </w:rPr>
        <w:t> </w:t>
      </w:r>
      <w:r w:rsidR="00F17602" w:rsidRPr="00001C2A">
        <w:t>227</w:t>
      </w:r>
      <w:r w:rsidR="00F17602" w:rsidRPr="00001C2A">
        <w:rPr>
          <w:rFonts w:cs="Aptos"/>
        </w:rPr>
        <w:t>–</w:t>
      </w:r>
      <w:r w:rsidR="00F17602" w:rsidRPr="00001C2A">
        <w:t xml:space="preserve">228). </w:t>
      </w:r>
      <w:r w:rsidR="00F65EFD" w:rsidRPr="00001C2A">
        <w:t>Freya Matthews</w:t>
      </w:r>
      <w:r w:rsidR="00F17602" w:rsidRPr="00001C2A">
        <w:t xml:space="preserve"> elaborates on this further by suggesting that ethical responsibility comes to life when humans recognize themselves as “participants in a community of interdependent beings,” instead of being detached playing </w:t>
      </w:r>
      <w:r w:rsidR="00F17602" w:rsidRPr="00001C2A">
        <w:lastRenderedPageBreak/>
        <w:t xml:space="preserve">the role of observers distancing ourselves from nature (Matthews, 2006, p. 162). Such schools of </w:t>
      </w:r>
      <w:r w:rsidR="00827B9F" w:rsidRPr="00001C2A">
        <w:t>thought</w:t>
      </w:r>
      <w:r w:rsidR="00F17602" w:rsidRPr="00001C2A">
        <w:t xml:space="preserve"> </w:t>
      </w:r>
      <w:r w:rsidR="00F65EFD" w:rsidRPr="00001C2A">
        <w:t>advocate</w:t>
      </w:r>
      <w:r w:rsidR="00F17602" w:rsidRPr="00001C2A">
        <w:t xml:space="preserve"> for ethical action through attentiveness and responsiveness to the non-human world by reinforcing care instead of domination. Such philosophies align with animistic traditions, by offering theoretical foundations for understanding how animistic values can influence and shape our relationships towards the environment between human and non-human beings.</w:t>
      </w:r>
    </w:p>
    <w:p w14:paraId="4D6C7D1A" w14:textId="6D427279" w:rsidR="00F65EFD" w:rsidRPr="00001C2A" w:rsidRDefault="00F65EFD" w:rsidP="00001C2A">
      <w:pPr>
        <w:pStyle w:val="ListParagraph"/>
        <w:numPr>
          <w:ilvl w:val="0"/>
          <w:numId w:val="2"/>
        </w:numPr>
        <w:tabs>
          <w:tab w:val="left" w:pos="955"/>
        </w:tabs>
        <w:jc w:val="both"/>
        <w:rPr>
          <w:b/>
          <w:bCs/>
        </w:rPr>
      </w:pPr>
      <w:r w:rsidRPr="00001C2A">
        <w:rPr>
          <w:b/>
          <w:bCs/>
        </w:rPr>
        <w:t>Critiques and Limitations</w:t>
      </w:r>
    </w:p>
    <w:p w14:paraId="758B0344" w14:textId="3B2041AE" w:rsidR="00F65EFD" w:rsidRPr="00001C2A" w:rsidRDefault="00F65EFD" w:rsidP="00001C2A">
      <w:pPr>
        <w:tabs>
          <w:tab w:val="left" w:pos="955"/>
        </w:tabs>
        <w:jc w:val="both"/>
      </w:pPr>
      <w:r w:rsidRPr="00001C2A">
        <w:tab/>
        <w:t xml:space="preserve">Parallel to the growing scholarly interest in animism and relational ontologies, many critical scholars have emerged expressing caution against </w:t>
      </w:r>
      <w:r w:rsidR="00001C2A" w:rsidRPr="00001C2A">
        <w:t>describing</w:t>
      </w:r>
      <w:r w:rsidRPr="00001C2A">
        <w:t xml:space="preserve"> animistic traditions</w:t>
      </w:r>
      <w:r w:rsidR="00001C2A" w:rsidRPr="00001C2A">
        <w:t xml:space="preserve"> as being exclusively ecological or environmentally protective</w:t>
      </w:r>
      <w:r w:rsidR="00824B88" w:rsidRPr="00001C2A">
        <w:t>. One of the critical voices, Lynn White, famously argued that environmental outcomes do not depend only on religious beliefs alone, but on how these beliefs are incorporated and embedded within political, economic, and overall historical systems. He expressed that “what people do about their ecology depends on what they think about themselves in relation to nature” (White, 1967, p.</w:t>
      </w:r>
      <w:r w:rsidR="004B35AD" w:rsidRPr="00001C2A">
        <w:t xml:space="preserve"> 1205</w:t>
      </w:r>
      <w:r w:rsidR="00824B88" w:rsidRPr="00001C2A">
        <w:t xml:space="preserve">), warning that religious worldviews are a doubled edged sword </w:t>
      </w:r>
      <w:r w:rsidR="004B35AD" w:rsidRPr="00001C2A">
        <w:t>that can legitimize both exploitation as well as care equally.</w:t>
      </w:r>
    </w:p>
    <w:p w14:paraId="1747A460" w14:textId="19ACA000" w:rsidR="00CF1F4A" w:rsidRPr="00001C2A" w:rsidRDefault="004B35AD" w:rsidP="00001C2A">
      <w:pPr>
        <w:tabs>
          <w:tab w:val="left" w:pos="955"/>
        </w:tabs>
        <w:jc w:val="both"/>
      </w:pPr>
      <w:r w:rsidRPr="00001C2A">
        <w:tab/>
      </w:r>
      <w:r w:rsidR="00AA797D" w:rsidRPr="00001C2A">
        <w:t>Kelly Alley’s</w:t>
      </w:r>
      <w:r w:rsidRPr="00001C2A">
        <w:t xml:space="preserve"> echoes this caution, </w:t>
      </w:r>
      <w:r w:rsidR="00AA797D" w:rsidRPr="00001C2A">
        <w:t xml:space="preserve">arguing through her analysis of legal personhood status for rivers in India showcasing how religious beliefs of sacred nature can be utilized in environmental preservation, on the other hand the same systems being tangled with political agendas that degrades nature. Alley states that legal initiatives of granting personhood to rivers in India represent “an interesting bending of the boundaries of nature, person, and deity,” merging religious worldviews with contemporary legal frameworks (Alley, 2019, p. 2). She continues by warning that such initiatives may also risk reinforcing religious nationalism deviating away from ecological enforcement. Alley refers to the </w:t>
      </w:r>
      <w:r w:rsidR="00CF1F4A" w:rsidRPr="00001C2A">
        <w:t>Ganga River</w:t>
      </w:r>
      <w:r w:rsidR="00AA797D" w:rsidRPr="00001C2A">
        <w:t xml:space="preserve"> as an example</w:t>
      </w:r>
      <w:r w:rsidR="00CF1F4A" w:rsidRPr="00001C2A">
        <w:t>, despite it being</w:t>
      </w:r>
      <w:r w:rsidR="00AA797D" w:rsidRPr="00001C2A">
        <w:t xml:space="preserve"> regard</w:t>
      </w:r>
      <w:r w:rsidR="00CF1F4A" w:rsidRPr="00001C2A">
        <w:t>ed</w:t>
      </w:r>
      <w:r w:rsidR="00AA797D" w:rsidRPr="00001C2A">
        <w:t xml:space="preserve"> as a living </w:t>
      </w:r>
      <w:r w:rsidR="00CF1F4A" w:rsidRPr="00001C2A">
        <w:t>entity, it</w:t>
      </w:r>
      <w:r w:rsidR="00AA797D" w:rsidRPr="00001C2A">
        <w:t xml:space="preserve"> didn’t prevent severe pollution and ecological degradation </w:t>
      </w:r>
      <w:r w:rsidR="00CF1F4A" w:rsidRPr="00001C2A">
        <w:t xml:space="preserve">due to religious rituals. She notes that rivers are perceived as “Mother Goddesses” however still heavily exploited, revealing a contradiction between spiritual values and material practices (Alley, 2019, p. 6). This justifies the call for caution in avoiding simplistic </w:t>
      </w:r>
      <w:r w:rsidR="00827B9F" w:rsidRPr="00001C2A">
        <w:t>correspondence</w:t>
      </w:r>
      <w:r w:rsidR="00CF1F4A" w:rsidRPr="00001C2A">
        <w:t xml:space="preserve"> between animistic belief and ecological harmony.</w:t>
      </w:r>
    </w:p>
    <w:p w14:paraId="19DC13F9" w14:textId="43128A19" w:rsidR="00CF1F4A" w:rsidRPr="00001C2A" w:rsidRDefault="00CF1F4A" w:rsidP="00001C2A">
      <w:pPr>
        <w:tabs>
          <w:tab w:val="left" w:pos="955"/>
        </w:tabs>
        <w:jc w:val="both"/>
      </w:pPr>
      <w:r w:rsidRPr="00001C2A">
        <w:tab/>
        <w:t xml:space="preserve">Similar caution applies to the Japanese context, as Shinto animism and folklore stands on promoting harmonious engagement of nature and objects, Japan’s history of industrial pollution and continued participation in global extractive systems implies that animism alone does not define or determine environmental practice. </w:t>
      </w:r>
      <w:r w:rsidR="00827B9F" w:rsidRPr="00001C2A">
        <w:t>This indicates that animistic values influence how people relate</w:t>
      </w:r>
      <w:r w:rsidR="0004517F">
        <w:t xml:space="preserve"> to</w:t>
      </w:r>
      <w:r w:rsidR="00827B9F" w:rsidRPr="00001C2A">
        <w:t xml:space="preserve"> and </w:t>
      </w:r>
      <w:r w:rsidR="007209BE" w:rsidRPr="00001C2A">
        <w:t>perceive</w:t>
      </w:r>
      <w:r w:rsidR="00827B9F" w:rsidRPr="00001C2A">
        <w:t xml:space="preserve"> nature, however overall environmental outcomes are also influenced by politics, economics, and history. Hence, Animism by itself is not sufficient to ensure environmental sustainability. </w:t>
      </w:r>
    </w:p>
    <w:p w14:paraId="0A0D5606" w14:textId="77777777" w:rsidR="00827B9F" w:rsidRPr="00001C2A" w:rsidRDefault="00827B9F" w:rsidP="00001C2A">
      <w:pPr>
        <w:tabs>
          <w:tab w:val="left" w:pos="955"/>
        </w:tabs>
        <w:jc w:val="both"/>
      </w:pPr>
    </w:p>
    <w:p w14:paraId="5A27E0AF" w14:textId="426CE8F3" w:rsidR="00827B9F" w:rsidRPr="00001C2A" w:rsidRDefault="00BE6D54" w:rsidP="00001C2A">
      <w:pPr>
        <w:pStyle w:val="ListParagraph"/>
        <w:numPr>
          <w:ilvl w:val="0"/>
          <w:numId w:val="1"/>
        </w:numPr>
        <w:tabs>
          <w:tab w:val="left" w:pos="955"/>
        </w:tabs>
        <w:jc w:val="both"/>
        <w:rPr>
          <w:b/>
          <w:bCs/>
        </w:rPr>
      </w:pPr>
      <w:r w:rsidRPr="00001C2A">
        <w:rPr>
          <w:b/>
          <w:bCs/>
        </w:rPr>
        <w:t>Japan and the nexus of Ecology, Animism, Folklore, and Cultural Practice</w:t>
      </w:r>
    </w:p>
    <w:p w14:paraId="53BEC592" w14:textId="3279B3A5" w:rsidR="00AA797D" w:rsidRPr="00001C2A" w:rsidRDefault="00AA797D" w:rsidP="00001C2A">
      <w:pPr>
        <w:tabs>
          <w:tab w:val="left" w:pos="955"/>
        </w:tabs>
        <w:jc w:val="both"/>
      </w:pPr>
    </w:p>
    <w:p w14:paraId="349D17E2" w14:textId="3314467A" w:rsidR="004B35AD" w:rsidRPr="00001C2A" w:rsidRDefault="00BE6D54" w:rsidP="00001C2A">
      <w:pPr>
        <w:pStyle w:val="ListParagraph"/>
        <w:numPr>
          <w:ilvl w:val="0"/>
          <w:numId w:val="3"/>
        </w:numPr>
        <w:tabs>
          <w:tab w:val="left" w:pos="955"/>
        </w:tabs>
        <w:jc w:val="both"/>
        <w:rPr>
          <w:b/>
          <w:bCs/>
        </w:rPr>
      </w:pPr>
      <w:r w:rsidRPr="00001C2A">
        <w:rPr>
          <w:b/>
          <w:bCs/>
        </w:rPr>
        <w:t>Ontological Engagement Between Japanese Society and the Environment</w:t>
      </w:r>
    </w:p>
    <w:p w14:paraId="473866D9" w14:textId="2F08612E" w:rsidR="00EB04A5" w:rsidRPr="00001C2A" w:rsidRDefault="00EB04A5" w:rsidP="00001C2A">
      <w:pPr>
        <w:tabs>
          <w:tab w:val="left" w:pos="955"/>
        </w:tabs>
        <w:jc w:val="both"/>
      </w:pPr>
      <w:r w:rsidRPr="00001C2A">
        <w:tab/>
      </w:r>
      <w:r w:rsidR="00BE6D54" w:rsidRPr="00001C2A">
        <w:t xml:space="preserve">Japan and the Japanese culture </w:t>
      </w:r>
      <w:r w:rsidRPr="00001C2A">
        <w:t>are</w:t>
      </w:r>
      <w:r w:rsidR="00BE6D54" w:rsidRPr="00001C2A">
        <w:t xml:space="preserve"> perceived and recognized globally as one of the leading nations in having a</w:t>
      </w:r>
      <w:r w:rsidR="00716BC6" w:rsidRPr="00001C2A">
        <w:t xml:space="preserve"> </w:t>
      </w:r>
      <w:r w:rsidR="00BE6D54" w:rsidRPr="00001C2A">
        <w:t>relatively respectful and mindful relationship with the natural environment</w:t>
      </w:r>
      <w:r w:rsidR="001F53B0" w:rsidRPr="00001C2A">
        <w:t xml:space="preserve"> (Sensoneo, 2025)</w:t>
      </w:r>
      <w:r w:rsidR="00BE6D54" w:rsidRPr="00001C2A">
        <w:t>. Scholars acknowledge that this relationship is embedded in the Japanese culture forming habits that values order, cleanliness, mindfulness, and care for shared spaces.</w:t>
      </w:r>
      <w:r w:rsidR="00356C7D" w:rsidRPr="00001C2A">
        <w:t xml:space="preserve"> For instance, Japan’s waste-management systems are famously known for their efficiency in which residents are expected to consistently sort waste, clean public spaces, and take personal accountability for disposal (Allison, 2013). </w:t>
      </w:r>
      <w:r w:rsidR="00BE6D54" w:rsidRPr="00001C2A">
        <w:t xml:space="preserve"> </w:t>
      </w:r>
      <w:r w:rsidRPr="00001C2A">
        <w:t xml:space="preserve">Mottainai is a Japanese concept that </w:t>
      </w:r>
      <w:r w:rsidR="001F53B0" w:rsidRPr="00001C2A">
        <w:t xml:space="preserve">means regret over waste or meaning “don’t be wasteful” derived from the Buddhist belief of respecting all things and utilizing their full potential. A concept that reflects deep cultural value of sustainability, calling for mindful consumption and repairing </w:t>
      </w:r>
      <w:r w:rsidR="004F5206" w:rsidRPr="00001C2A">
        <w:t>or</w:t>
      </w:r>
      <w:r w:rsidR="001F53B0" w:rsidRPr="00001C2A">
        <w:t xml:space="preserve"> repurposing disposable objects. </w:t>
      </w:r>
      <w:r w:rsidRPr="00001C2A">
        <w:t xml:space="preserve"> </w:t>
      </w:r>
      <w:r w:rsidR="001F53B0" w:rsidRPr="00001C2A">
        <w:t>This concept is deeply rooted in the Shinto belief that all things possess a spirit (</w:t>
      </w:r>
      <w:r w:rsidR="001F53B0" w:rsidRPr="00001C2A">
        <w:rPr>
          <w:i/>
          <w:iCs/>
        </w:rPr>
        <w:t>kami)</w:t>
      </w:r>
      <w:r w:rsidR="001F53B0" w:rsidRPr="00001C2A">
        <w:t xml:space="preserve"> </w:t>
      </w:r>
      <w:r w:rsidR="00356C7D" w:rsidRPr="00001C2A">
        <w:t>(Sato, 2017). Kagawa-Fox states that “Most Japanese have an intuitive belief in the kami that has been significant in forming their caring attitude toward the natural world.” (Kagawa-Fox, 2017), showing how cultural beliefs have shaped environmental respect.</w:t>
      </w:r>
    </w:p>
    <w:p w14:paraId="601E710A" w14:textId="566238F2" w:rsidR="00BE6D54" w:rsidRPr="00001C2A" w:rsidRDefault="00C716EA" w:rsidP="00001C2A">
      <w:pPr>
        <w:tabs>
          <w:tab w:val="left" w:pos="955"/>
        </w:tabs>
        <w:jc w:val="both"/>
      </w:pPr>
      <w:r w:rsidRPr="00001C2A">
        <w:tab/>
        <w:t>Japan’s waste management systems had been praised by scholars in environmental studies, often relied on as an exemplary point of reference. Japan’s ministry of environment describe</w:t>
      </w:r>
      <w:r w:rsidR="0064415A" w:rsidRPr="00001C2A">
        <w:t>d</w:t>
      </w:r>
      <w:r w:rsidRPr="00001C2A">
        <w:t xml:space="preserve"> waste management as a civic duty, stating that </w:t>
      </w:r>
      <w:r w:rsidR="00E63858" w:rsidRPr="00001C2A">
        <w:t>“proper waste separation is essential for maintaining harmony between daily life and the environment” (Ministry of the Environment Japan, 2022). Scholars argue that such modern policies are in sync with older cultural practices that values cleanliness and care as ethical responsibilities instead of a technical requirement.</w:t>
      </w:r>
      <w:r w:rsidR="00BE6D54" w:rsidRPr="00001C2A">
        <w:t xml:space="preserve"> </w:t>
      </w:r>
      <w:r w:rsidR="00356C7D" w:rsidRPr="00001C2A">
        <w:t xml:space="preserve">In further support, anthropologist Anne Allison shares that in everyday Japanese life, </w:t>
      </w:r>
      <w:r w:rsidRPr="00001C2A">
        <w:t>mindful</w:t>
      </w:r>
      <w:r w:rsidR="00356C7D" w:rsidRPr="00001C2A">
        <w:t xml:space="preserve"> conduct in ethical consumerism is heavily reflected</w:t>
      </w:r>
      <w:r w:rsidRPr="00001C2A">
        <w:t xml:space="preserve">, noting that “care for things and spaces is understood as care for social relations themselves” (Allison, 2013, p. 18). Suggesting that such attitudes towards the environment are collectively shaped by shared values that connect people, objects, and spaces, rather than </w:t>
      </w:r>
      <w:r w:rsidR="00E63858" w:rsidRPr="00001C2A">
        <w:t xml:space="preserve">stemming from </w:t>
      </w:r>
      <w:r w:rsidRPr="00001C2A">
        <w:t>individual moralism</w:t>
      </w:r>
      <w:r w:rsidR="00E63858" w:rsidRPr="00001C2A">
        <w:t xml:space="preserve"> and compliance</w:t>
      </w:r>
      <w:r w:rsidRPr="00001C2A">
        <w:t xml:space="preserve"> solely. </w:t>
      </w:r>
    </w:p>
    <w:p w14:paraId="15B5A360" w14:textId="0F39F99B" w:rsidR="00C716EA" w:rsidRPr="00001C2A" w:rsidRDefault="00E63858" w:rsidP="00001C2A">
      <w:pPr>
        <w:tabs>
          <w:tab w:val="left" w:pos="955"/>
        </w:tabs>
        <w:jc w:val="both"/>
      </w:pPr>
      <w:r w:rsidRPr="00001C2A">
        <w:tab/>
        <w:t>It’s important to note that scholars are reserved from idealizing Japan’s environmental record due to its historical experience with severe industrial pollution, such as the Minamata mercury poisoning incident</w:t>
      </w:r>
      <w:r w:rsidR="00BE4E6C" w:rsidRPr="00001C2A">
        <w:t xml:space="preserve"> that resulted in a major environmental and human disaster due to industrial </w:t>
      </w:r>
      <w:r w:rsidR="00E945CA" w:rsidRPr="00001C2A">
        <w:t>activity.</w:t>
      </w:r>
      <w:r w:rsidR="00BE4E6C" w:rsidRPr="00001C2A">
        <w:t xml:space="preserve"> In addition, Japan currently remains deeply </w:t>
      </w:r>
      <w:r w:rsidR="00BE4E6C" w:rsidRPr="00001C2A">
        <w:lastRenderedPageBreak/>
        <w:t xml:space="preserve">embedded in global industrial and consumer systems </w:t>
      </w:r>
      <w:r w:rsidR="00E945CA" w:rsidRPr="00001C2A">
        <w:t>including</w:t>
      </w:r>
      <w:r w:rsidR="00BE4E6C" w:rsidRPr="00001C2A">
        <w:t xml:space="preserve"> resource extraction, energy intensive manufacturing, and other industrial schemes</w:t>
      </w:r>
      <w:r w:rsidR="00E945CA" w:rsidRPr="00001C2A">
        <w:t xml:space="preserve"> (White, 1967; Taylor, 2010)</w:t>
      </w:r>
      <w:r w:rsidR="00BE4E6C" w:rsidRPr="00001C2A">
        <w:t xml:space="preserve">. However, such </w:t>
      </w:r>
      <w:r w:rsidR="00E945CA" w:rsidRPr="00001C2A">
        <w:t xml:space="preserve">a </w:t>
      </w:r>
      <w:r w:rsidR="00BE4E6C" w:rsidRPr="00001C2A">
        <w:t xml:space="preserve">contrast can </w:t>
      </w:r>
      <w:r w:rsidR="00E945CA" w:rsidRPr="00001C2A">
        <w:t>coexist</w:t>
      </w:r>
      <w:r w:rsidR="00BE4E6C" w:rsidRPr="00001C2A">
        <w:t xml:space="preserve"> between</w:t>
      </w:r>
      <w:r w:rsidR="00E945CA" w:rsidRPr="00001C2A">
        <w:t xml:space="preserve"> the ecologically mindful culture and political-economic forces that continue to generate ecological harm.</w:t>
      </w:r>
    </w:p>
    <w:p w14:paraId="1AEA8F2D" w14:textId="77777777" w:rsidR="00453DF0" w:rsidRPr="00001C2A" w:rsidRDefault="00453DF0" w:rsidP="00001C2A">
      <w:pPr>
        <w:tabs>
          <w:tab w:val="left" w:pos="955"/>
        </w:tabs>
        <w:jc w:val="both"/>
      </w:pPr>
    </w:p>
    <w:p w14:paraId="1A40DB18" w14:textId="6C5163E4" w:rsidR="00E945CA" w:rsidRPr="00001C2A" w:rsidRDefault="00E945CA" w:rsidP="00001C2A">
      <w:pPr>
        <w:pStyle w:val="ListParagraph"/>
        <w:numPr>
          <w:ilvl w:val="0"/>
          <w:numId w:val="3"/>
        </w:numPr>
        <w:tabs>
          <w:tab w:val="left" w:pos="955"/>
        </w:tabs>
        <w:jc w:val="both"/>
        <w:rPr>
          <w:b/>
          <w:bCs/>
        </w:rPr>
      </w:pPr>
      <w:r w:rsidRPr="00001C2A">
        <w:rPr>
          <w:b/>
          <w:bCs/>
        </w:rPr>
        <w:t xml:space="preserve">Shinto Animism and </w:t>
      </w:r>
      <w:r w:rsidR="00453DF0" w:rsidRPr="00001C2A">
        <w:rPr>
          <w:b/>
          <w:bCs/>
        </w:rPr>
        <w:t>Folklore</w:t>
      </w:r>
    </w:p>
    <w:p w14:paraId="46B07136" w14:textId="4E2E6911" w:rsidR="008E32C1" w:rsidRPr="00001C2A" w:rsidRDefault="0004517F" w:rsidP="00001C2A">
      <w:pPr>
        <w:tabs>
          <w:tab w:val="left" w:pos="955"/>
        </w:tabs>
        <w:jc w:val="both"/>
      </w:pPr>
      <w:r>
        <w:tab/>
      </w:r>
      <w:r w:rsidR="008E32C1" w:rsidRPr="00001C2A">
        <w:t xml:space="preserve">Shinto animism is one of the main keys and framework for understanding Japanese relationships with nature and materiality. Shinto expresses the presence of Kami or the spiritual presence that may inhabit living and non-living things </w:t>
      </w:r>
      <w:r w:rsidRPr="00001C2A">
        <w:t>from rivers</w:t>
      </w:r>
      <w:r w:rsidR="008E32C1" w:rsidRPr="00001C2A">
        <w:t xml:space="preserve"> to trees, mountains, animals, and objects. As Sokyo Ono elaborates on Shintoism, “kami are not separate from the natural world but are revealed through it” (Ono, 1962, p. 7). </w:t>
      </w:r>
    </w:p>
    <w:p w14:paraId="36D3195A" w14:textId="34D35172" w:rsidR="00E945CA" w:rsidRPr="00001C2A" w:rsidRDefault="0004517F" w:rsidP="00001C2A">
      <w:pPr>
        <w:tabs>
          <w:tab w:val="left" w:pos="955"/>
        </w:tabs>
        <w:jc w:val="both"/>
      </w:pPr>
      <w:r>
        <w:tab/>
      </w:r>
      <w:r w:rsidR="008E32C1" w:rsidRPr="00001C2A">
        <w:t>The Japanese folklore embodies the foundational belief of Shinto animism, that is perceived to being the root cause of Japan’s current sustainable relation with the natural world. Shinto animism and Japanese folklore will be used throughout as points of references to analyze and explain this relationship.</w:t>
      </w:r>
    </w:p>
    <w:p w14:paraId="324AAD3F" w14:textId="7EA910AA" w:rsidR="008E32C1" w:rsidRPr="00001C2A" w:rsidRDefault="008E32C1" w:rsidP="00001C2A">
      <w:pPr>
        <w:ind w:firstLine="720"/>
        <w:jc w:val="both"/>
      </w:pPr>
      <w:r w:rsidRPr="00001C2A">
        <w:t xml:space="preserve">In addition to Shinto animism, Japanese folklore further elaborates this worldview through </w:t>
      </w:r>
      <w:r w:rsidRPr="00001C2A">
        <w:rPr>
          <w:i/>
          <w:iCs/>
        </w:rPr>
        <w:t>Yōkai</w:t>
      </w:r>
      <w:r w:rsidRPr="00001C2A">
        <w:t xml:space="preserve">, </w:t>
      </w:r>
      <w:r w:rsidRPr="00001C2A">
        <w:rPr>
          <w:i/>
          <w:iCs/>
        </w:rPr>
        <w:t xml:space="preserve">Tsukumogami, </w:t>
      </w:r>
      <w:r w:rsidRPr="00001C2A">
        <w:t>and other mythical beings that challenges common boundaries between nature, culture, and materiality. These concepts encompass the belief that spirits are associated with forests, mountains, rivers, weather phenomena, animals, and even objects and tools such as household items, that would acquire agency and moral presence depending on how we as humans engage with them.</w:t>
      </w:r>
      <w:r w:rsidR="00453DF0" w:rsidRPr="00001C2A">
        <w:t xml:space="preserve"> As Michael Dylan Foster notes, yōkai descriptions “frequently articulate anxieties about excess, neglect, and imbalance” in relation to human-environment engagement (Foster, 2015, p. 62).</w:t>
      </w:r>
      <w:r w:rsidRPr="00001C2A">
        <w:t xml:space="preserve"> Japanese folklore has played an essential role in shaping Japan’s history, such perceptions of non-human entities shaped moral expectations around human engagement and conduct with respect to consumerism and the natural world (Lecouteux, 2015; Weinstock, 2020). </w:t>
      </w:r>
    </w:p>
    <w:p w14:paraId="75E52A17" w14:textId="77777777" w:rsidR="008E32C1" w:rsidRPr="00001C2A" w:rsidRDefault="008E32C1" w:rsidP="00001C2A">
      <w:pPr>
        <w:ind w:firstLine="720"/>
        <w:jc w:val="both"/>
      </w:pPr>
      <w:r w:rsidRPr="00001C2A">
        <w:t xml:space="preserve">Recent developments in anthropology, environmental humanities and philosophy have challenged long-standing assumptions that agency, intelligence, culture and personhood are only exclusive to humans. Scholars in this domain argued that Western ontological frameworks that are shaped by Enlightenment dualisms between subject and object, human versus non-human, have systematically marginalized non-human beings. This perception placed non-human beings in a position of being mere passive resources created for the purpose of exploitation, rather than giving them recognition and acknowledgment of being participants in shared ecological worlds (Plumwood, 2010; Kohn, 2013).  This shift in perspective of the animistic cosmologies yields to alternative relational </w:t>
      </w:r>
      <w:r w:rsidRPr="00001C2A">
        <w:lastRenderedPageBreak/>
        <w:t>systems that offer valuable insights into modern ecological practices that aim at recovery and suitability.</w:t>
      </w:r>
    </w:p>
    <w:p w14:paraId="738CBD3F" w14:textId="77777777" w:rsidR="008E32C1" w:rsidRPr="00001C2A" w:rsidRDefault="008E32C1" w:rsidP="00001C2A">
      <w:pPr>
        <w:jc w:val="both"/>
      </w:pPr>
      <w:r w:rsidRPr="00001C2A">
        <w:tab/>
        <w:t xml:space="preserve">This drastic shift between the old and the new, is evident in recent debates around animism. E.B. Tylor, resorted to the classical anthropological definitions of animism framing it as “primitive’ belief system that suggests that souls embody or are attributed to objects and natural phenomena. He viewed it as an early stage of religious thought that is meant to be eventually replaced by scientific rationality (Tylor, 1871, cited in Harvey, 2005). On the other hand, advocates of “new animism” argues that animism is a better framed as a relational ontology, in which it frames the world in being composed of many kinds of person, however only few of which are human (Harvey, 2005). This perspective invites the notion of ethical living in which humans would learn to live harmoniously and respectfully within a community that consists of multiple species, rather than non-human entities waiting to be used and exploited for personal gains. </w:t>
      </w:r>
    </w:p>
    <w:p w14:paraId="794514B1" w14:textId="628335F5" w:rsidR="008E32C1" w:rsidRPr="00001C2A" w:rsidRDefault="008E32C1" w:rsidP="00001C2A">
      <w:pPr>
        <w:jc w:val="both"/>
      </w:pPr>
      <w:r w:rsidRPr="00001C2A">
        <w:tab/>
        <w:t xml:space="preserve">In Japan, such ontological orientations manifested in Shinto ritual and folklore, in which across time it became embodied and integrated in everyday cultural practices, such as seasonal festivals, purification rituals, and respectful engagement with both the natural world and material objects. Such a belief system has also influenced civil practices in relation to repair, disposal, and care for material things; expressions of ethical materiality instead of mere efficiency (Hunter, 2023). However, </w:t>
      </w:r>
      <w:r w:rsidR="00453DF0" w:rsidRPr="00001C2A">
        <w:t xml:space="preserve">as previously mentioned, </w:t>
      </w:r>
      <w:r w:rsidRPr="00001C2A">
        <w:t xml:space="preserve">due to Japan’s history of severe industrial pollution crises and current active participation in global </w:t>
      </w:r>
      <w:r w:rsidR="00453DF0" w:rsidRPr="00001C2A">
        <w:t>resource extraction</w:t>
      </w:r>
      <w:r w:rsidRPr="00001C2A">
        <w:t xml:space="preserve">, scholars warn against directly linking Japan’s current environmental practices only to animistic practices (White, 1967; Taylor, 2010). </w:t>
      </w:r>
    </w:p>
    <w:p w14:paraId="2AF17865" w14:textId="47D06840" w:rsidR="009A503D" w:rsidRPr="00001C2A" w:rsidRDefault="009A503D" w:rsidP="00001C2A">
      <w:pPr>
        <w:pStyle w:val="ListParagraph"/>
        <w:numPr>
          <w:ilvl w:val="0"/>
          <w:numId w:val="3"/>
        </w:numPr>
        <w:tabs>
          <w:tab w:val="left" w:pos="955"/>
        </w:tabs>
        <w:jc w:val="both"/>
        <w:rPr>
          <w:b/>
          <w:bCs/>
        </w:rPr>
      </w:pPr>
      <w:r w:rsidRPr="00001C2A">
        <w:rPr>
          <w:b/>
          <w:bCs/>
        </w:rPr>
        <w:t>Shinto Values Manifestation in Japanese Culture and Animation</w:t>
      </w:r>
    </w:p>
    <w:p w14:paraId="204CC32C" w14:textId="13ED47FF" w:rsidR="009A503D" w:rsidRPr="00001C2A" w:rsidRDefault="009A503D" w:rsidP="00001C2A">
      <w:pPr>
        <w:tabs>
          <w:tab w:val="left" w:pos="955"/>
        </w:tabs>
        <w:jc w:val="both"/>
      </w:pPr>
      <w:r w:rsidRPr="00001C2A">
        <w:tab/>
        <w:t>One might wonder about</w:t>
      </w:r>
      <w:r w:rsidR="00B20401">
        <w:t xml:space="preserve"> how</w:t>
      </w:r>
      <w:r w:rsidRPr="00001C2A">
        <w:t xml:space="preserve"> such ancient practices and believe systems survived in a modern civilization</w:t>
      </w:r>
      <w:r w:rsidR="007B7243">
        <w:t>,</w:t>
      </w:r>
      <w:r w:rsidRPr="00001C2A">
        <w:t xml:space="preserve"> being carried out from one generation to the younger</w:t>
      </w:r>
      <w:r w:rsidR="007B7243">
        <w:t>,</w:t>
      </w:r>
      <w:r w:rsidRPr="00001C2A">
        <w:t xml:space="preserve"> yet maintaining its strong presence. This awe can be answered by reflecting</w:t>
      </w:r>
      <w:r w:rsidR="007B7243">
        <w:t xml:space="preserve"> on</w:t>
      </w:r>
      <w:r w:rsidRPr="00001C2A">
        <w:t xml:space="preserve"> Japan’s current contemporary culture, particularly through the Japanese animation. Scholars regard anime as a cross-generational form that translated older cosmologies and folklore into relatable narratives (Napier, 2005). Napier states that anime extensively draws upon “traditional myths, religious imagery, and folk beliefs” adapted to modern settings, </w:t>
      </w:r>
      <w:r w:rsidR="008377BB" w:rsidRPr="00001C2A">
        <w:t>creating a portal for ancient ontologies to thrive in the present (Napier, 2005, p. 6).</w:t>
      </w:r>
    </w:p>
    <w:p w14:paraId="7B0C7D3C" w14:textId="3A3E77C3" w:rsidR="008377BB" w:rsidRPr="00001C2A" w:rsidRDefault="008377BB" w:rsidP="00001C2A">
      <w:pPr>
        <w:tabs>
          <w:tab w:val="left" w:pos="955"/>
        </w:tabs>
        <w:jc w:val="both"/>
      </w:pPr>
      <w:r w:rsidRPr="00001C2A">
        <w:tab/>
        <w:t xml:space="preserve">Anime is often about stories that revolve around worlds of spirits, nature, landscapes, animals and objects that come to life serving significant purposes. Anime portrays an art form that echoes Shinto animism and ancient folkloric traditions in appealing visuals and creative storylines. Napier notes that what makes anime appealing is its ability </w:t>
      </w:r>
      <w:r w:rsidRPr="00001C2A">
        <w:lastRenderedPageBreak/>
        <w:t xml:space="preserve">to introduce “a world in which the boundaries between the human and non-human are fluid,” inviting viewers to entertain their imaginations and to step into uncommon realms and relations between the human and the </w:t>
      </w:r>
      <w:r w:rsidR="008405C0">
        <w:t>non-human</w:t>
      </w:r>
      <w:r w:rsidR="00320B89">
        <w:t>,</w:t>
      </w:r>
      <w:r w:rsidRPr="00001C2A">
        <w:t xml:space="preserve"> challenging modern Western dualisms (Napier, 2005, p. 12). Through magical creatures, enchanted forests, and sentimental objects</w:t>
      </w:r>
      <w:r w:rsidR="00910C10" w:rsidRPr="00001C2A">
        <w:t xml:space="preserve">, anime provides the audience with an emotionally charged experience of animistic worldviews. Focusing on the lived experience and on meaningful ways of perceiving the world, presented in a dance between ancient traditions and the modern world with respect to greater ecological system. </w:t>
      </w:r>
    </w:p>
    <w:p w14:paraId="79A1B3E9" w14:textId="3356D0D0" w:rsidR="00910C10" w:rsidRPr="00001C2A" w:rsidRDefault="007061F3" w:rsidP="00001C2A">
      <w:pPr>
        <w:tabs>
          <w:tab w:val="left" w:pos="955"/>
        </w:tabs>
        <w:jc w:val="both"/>
      </w:pPr>
      <w:r w:rsidRPr="00001C2A">
        <w:tab/>
      </w:r>
      <w:r w:rsidR="00910C10" w:rsidRPr="00001C2A">
        <w:t>Hayao Miyazaki had been regarded as the greatest director of animated features in Japan, and one of the most influential animators globally, achieving cross-cultural success</w:t>
      </w:r>
      <w:r w:rsidR="004F5206" w:rsidRPr="00001C2A">
        <w:t>,</w:t>
      </w:r>
      <w:r w:rsidRPr="00001C2A">
        <w:t xml:space="preserve"> </w:t>
      </w:r>
      <w:r w:rsidR="004F5206" w:rsidRPr="00001C2A">
        <w:t>elevating animation in the world of arts</w:t>
      </w:r>
      <w:r w:rsidRPr="00001C2A">
        <w:t xml:space="preserve"> (Asahi Shimbun, 2024). Miyazaki’s films are famous</w:t>
      </w:r>
      <w:r w:rsidR="00605B26">
        <w:t>ly</w:t>
      </w:r>
      <w:r w:rsidRPr="00001C2A">
        <w:t xml:space="preserve"> and frequently cited for their animistic themes. One of his most famous </w:t>
      </w:r>
      <w:r w:rsidR="004F5206" w:rsidRPr="00001C2A">
        <w:t>works</w:t>
      </w:r>
      <w:r w:rsidRPr="00001C2A">
        <w:t xml:space="preserve">, </w:t>
      </w:r>
      <w:r w:rsidRPr="00001C2A">
        <w:rPr>
          <w:i/>
          <w:iCs/>
        </w:rPr>
        <w:t>Spirited Away</w:t>
      </w:r>
      <w:r w:rsidRPr="00001C2A">
        <w:t xml:space="preserve"> (2001), talks about the spirit world and how spirits manifest in nature</w:t>
      </w:r>
      <w:r w:rsidR="00C376B3">
        <w:t xml:space="preserve"> and </w:t>
      </w:r>
      <w:r w:rsidRPr="00001C2A">
        <w:t xml:space="preserve">animated objects, illustrating how exploitation and neglect </w:t>
      </w:r>
      <w:r w:rsidR="00B427E9" w:rsidRPr="00001C2A">
        <w:t xml:space="preserve">can disrupt moral balance. Napier elaborates how Miyazaki’s work consistently portrays nature “as alive, responsive, and morally engaged with human action” (Napier, 2005, p. 287). </w:t>
      </w:r>
      <w:r w:rsidR="000810AA" w:rsidRPr="00001C2A">
        <w:t xml:space="preserve">Similarly, Miyazakis other awarded movie </w:t>
      </w:r>
      <w:r w:rsidR="000810AA" w:rsidRPr="00001C2A">
        <w:rPr>
          <w:i/>
          <w:iCs/>
        </w:rPr>
        <w:t>Princess Mononoke</w:t>
      </w:r>
      <w:r w:rsidR="000810AA" w:rsidRPr="00001C2A">
        <w:t xml:space="preserve"> (1997), narrates a story of forest spirts and animals resisting human activity of industrial destruction, framing the conflict as a moral struggle rather than a technical obstruction. </w:t>
      </w:r>
    </w:p>
    <w:p w14:paraId="33BF8508" w14:textId="24CC1D91" w:rsidR="000810AA" w:rsidRPr="00001C2A" w:rsidRDefault="00352869" w:rsidP="00001C2A">
      <w:pPr>
        <w:tabs>
          <w:tab w:val="left" w:pos="955"/>
        </w:tabs>
        <w:jc w:val="both"/>
      </w:pPr>
      <w:r w:rsidRPr="00001C2A">
        <w:tab/>
      </w:r>
      <w:r w:rsidR="000810AA" w:rsidRPr="00001C2A">
        <w:t xml:space="preserve">In recent works, animistic views in anime </w:t>
      </w:r>
      <w:r w:rsidR="00C1597A" w:rsidRPr="00001C2A">
        <w:t>have</w:t>
      </w:r>
      <w:r w:rsidR="000810AA" w:rsidRPr="00001C2A">
        <w:t xml:space="preserve"> extended to material objects and waste. Gachiakuta</w:t>
      </w:r>
      <w:r w:rsidRPr="00001C2A">
        <w:t xml:space="preserve"> (2025)</w:t>
      </w:r>
      <w:r w:rsidR="000810AA" w:rsidRPr="00001C2A">
        <w:t xml:space="preserve">, is a Japanese animated series </w:t>
      </w:r>
      <w:r w:rsidRPr="00001C2A">
        <w:t xml:space="preserve">that revolves around a wasteland that’s filled with spirits where </w:t>
      </w:r>
      <w:r w:rsidR="0064415A" w:rsidRPr="00001C2A">
        <w:t xml:space="preserve">some </w:t>
      </w:r>
      <w:r w:rsidRPr="00001C2A">
        <w:t xml:space="preserve">discarded </w:t>
      </w:r>
      <w:r w:rsidR="0064415A" w:rsidRPr="00001C2A">
        <w:t xml:space="preserve">or neglected </w:t>
      </w:r>
      <w:r w:rsidRPr="00001C2A">
        <w:t>objects</w:t>
      </w:r>
      <w:r w:rsidR="0064415A" w:rsidRPr="00001C2A">
        <w:t xml:space="preserve"> </w:t>
      </w:r>
      <w:r w:rsidRPr="00001C2A">
        <w:t xml:space="preserve">host souls, reflecting Shintoism’s Kami. </w:t>
      </w:r>
      <w:r w:rsidR="004F5206" w:rsidRPr="00001C2A">
        <w:t>Its opening</w:t>
      </w:r>
      <w:r w:rsidR="0064415A" w:rsidRPr="00001C2A">
        <w:t xml:space="preserve"> episode starts with the quote “</w:t>
      </w:r>
      <w:r w:rsidR="00250E65" w:rsidRPr="00001C2A">
        <w:t>It’s said that when an object</w:t>
      </w:r>
      <w:r w:rsidR="0064415A" w:rsidRPr="00001C2A">
        <w:t xml:space="preserve"> </w:t>
      </w:r>
      <w:r w:rsidR="00250E65" w:rsidRPr="00001C2A">
        <w:t>is treated with care, a soul will come to inhabit it”</w:t>
      </w:r>
      <w:r w:rsidR="0064415A" w:rsidRPr="00001C2A">
        <w:t xml:space="preserve"> (Gachiakuta</w:t>
      </w:r>
      <w:r w:rsidR="002E6317">
        <w:t>, Episode 1</w:t>
      </w:r>
      <w:r w:rsidR="0064415A" w:rsidRPr="00001C2A">
        <w:t xml:space="preserve">, 2025). </w:t>
      </w:r>
      <w:r w:rsidRPr="00001C2A">
        <w:t xml:space="preserve">It </w:t>
      </w:r>
      <w:r w:rsidR="004F5206" w:rsidRPr="00001C2A">
        <w:t xml:space="preserve">echoes echoing folkloric ideas of </w:t>
      </w:r>
      <w:r w:rsidR="004F5206" w:rsidRPr="00001C2A">
        <w:rPr>
          <w:i/>
          <w:iCs/>
        </w:rPr>
        <w:t>tsukumogami</w:t>
      </w:r>
      <w:r w:rsidR="004F5206" w:rsidRPr="00001C2A">
        <w:t xml:space="preserve">, by </w:t>
      </w:r>
      <w:r w:rsidRPr="00001C2A">
        <w:t>illustrat</w:t>
      </w:r>
      <w:r w:rsidR="004F5206" w:rsidRPr="00001C2A">
        <w:t>ing</w:t>
      </w:r>
      <w:r w:rsidRPr="00001C2A">
        <w:t xml:space="preserve"> how objects embody spirits due to their </w:t>
      </w:r>
      <w:r w:rsidR="004F5206" w:rsidRPr="00001C2A">
        <w:t>sentimental and moral value.</w:t>
      </w:r>
      <w:r w:rsidRPr="00001C2A">
        <w:t xml:space="preserve"> </w:t>
      </w:r>
      <w:r w:rsidR="00EE5A4A" w:rsidRPr="00001C2A">
        <w:t>The series also narrates in a dystopian setting</w:t>
      </w:r>
      <w:r w:rsidR="002E129F" w:rsidRPr="00001C2A">
        <w:t xml:space="preserve"> the ecological harm of</w:t>
      </w:r>
      <w:r w:rsidR="00EE5A4A" w:rsidRPr="00001C2A">
        <w:t xml:space="preserve"> </w:t>
      </w:r>
      <w:r w:rsidR="002E129F" w:rsidRPr="00001C2A">
        <w:t xml:space="preserve">consumerism and disposability, and the </w:t>
      </w:r>
      <w:r w:rsidR="003B10C4" w:rsidRPr="00001C2A">
        <w:t>added value</w:t>
      </w:r>
      <w:r w:rsidR="002E129F" w:rsidRPr="00001C2A">
        <w:t xml:space="preserve"> of treating objects as moral participants instead of disposable waste. </w:t>
      </w:r>
      <w:r w:rsidR="00EE5A4A" w:rsidRPr="00001C2A">
        <w:t>According to cultural critics, such stories represent “a continuing Japanese sensitivity to the ethical life of things” (Yoda &amp; Harootunian, 2006, p. 12).</w:t>
      </w:r>
    </w:p>
    <w:p w14:paraId="1661FF7B" w14:textId="3EFFFC46" w:rsidR="002E129F" w:rsidRPr="00001C2A" w:rsidRDefault="002E129F" w:rsidP="00001C2A">
      <w:pPr>
        <w:tabs>
          <w:tab w:val="left" w:pos="955"/>
        </w:tabs>
        <w:jc w:val="both"/>
      </w:pPr>
      <w:r w:rsidRPr="00001C2A">
        <w:tab/>
        <w:t xml:space="preserve">Other examples, </w:t>
      </w:r>
      <w:r w:rsidRPr="00001C2A">
        <w:rPr>
          <w:i/>
          <w:iCs/>
        </w:rPr>
        <w:t>Natsume Yūjin-chō</w:t>
      </w:r>
      <w:r w:rsidRPr="00001C2A">
        <w:t xml:space="preserve"> and </w:t>
      </w:r>
      <w:r w:rsidRPr="00001C2A">
        <w:rPr>
          <w:i/>
          <w:iCs/>
        </w:rPr>
        <w:t>Pom Poko</w:t>
      </w:r>
      <w:r w:rsidRPr="00001C2A">
        <w:t xml:space="preserve"> (1994), similarly portraying animistic themes of landscapes, spirits, and moral dilemmas in everyday life. Such narratives serve as advocating agents for viewing nature and objects as relational beings that require care, mindfulness, and respect instead of passive backgrounds.  </w:t>
      </w:r>
    </w:p>
    <w:p w14:paraId="6192FF17" w14:textId="3F8511F6" w:rsidR="002E129F" w:rsidRPr="00001C2A" w:rsidRDefault="002E129F" w:rsidP="00001C2A">
      <w:pPr>
        <w:tabs>
          <w:tab w:val="left" w:pos="955"/>
        </w:tabs>
        <w:jc w:val="both"/>
      </w:pPr>
      <w:r w:rsidRPr="00001C2A">
        <w:tab/>
      </w:r>
      <w:r w:rsidR="002E7FCE" w:rsidRPr="00001C2A">
        <w:t xml:space="preserve">Important to note that </w:t>
      </w:r>
      <w:r w:rsidR="00E63704">
        <w:t xml:space="preserve">the </w:t>
      </w:r>
      <w:r w:rsidR="002E7FCE" w:rsidRPr="00001C2A">
        <w:t>influence</w:t>
      </w:r>
      <w:r w:rsidR="00E63704">
        <w:t xml:space="preserve"> of</w:t>
      </w:r>
      <w:r w:rsidR="002E7FCE" w:rsidRPr="00001C2A">
        <w:t xml:space="preserve"> Japanese anime goes far beyond Japan to the global audience. Japanese anime has introduced animistic cosmology and Japanese </w:t>
      </w:r>
      <w:r w:rsidR="002E7FCE" w:rsidRPr="00001C2A">
        <w:lastRenderedPageBreak/>
        <w:t>F</w:t>
      </w:r>
      <w:r w:rsidR="006A7148" w:rsidRPr="00001C2A">
        <w:t xml:space="preserve">olklore to non-Japanese </w:t>
      </w:r>
      <w:r w:rsidR="004824AD" w:rsidRPr="00001C2A">
        <w:t>audiences, presenting new worldviews on environmental awareness. Napier expresses that anime is popular globally since it takes the viewer on a journey away from ecological anxiety and mechanistic worldviews</w:t>
      </w:r>
      <w:r w:rsidR="00684EEE">
        <w:t>,</w:t>
      </w:r>
      <w:r w:rsidR="004824AD" w:rsidRPr="00001C2A">
        <w:t xml:space="preserve"> to a realm of “alternative modes of being in the world” engaging with imaginative possibilities (Napier, 2005, p. 28). </w:t>
      </w:r>
      <w:r w:rsidR="00716BC6" w:rsidRPr="00001C2A">
        <w:t xml:space="preserve">Through this lens, anime functions not only as a vessel for entertainment but also as a vessel that carries Japanese animistic values and ecological practices, transmitted in a way that influences how diverse audience conceptualize the relationships between humans, technology, and the natural world.  </w:t>
      </w:r>
    </w:p>
    <w:p w14:paraId="1A2BA03B" w14:textId="7D808567" w:rsidR="00250E65" w:rsidRPr="00001C2A" w:rsidRDefault="00250E65" w:rsidP="00001C2A">
      <w:pPr>
        <w:pStyle w:val="ListParagraph"/>
        <w:numPr>
          <w:ilvl w:val="0"/>
          <w:numId w:val="1"/>
        </w:numPr>
        <w:tabs>
          <w:tab w:val="left" w:pos="955"/>
        </w:tabs>
        <w:jc w:val="both"/>
        <w:rPr>
          <w:b/>
          <w:bCs/>
        </w:rPr>
      </w:pPr>
      <w:r w:rsidRPr="00001C2A">
        <w:rPr>
          <w:b/>
          <w:bCs/>
        </w:rPr>
        <w:t>Conclusion</w:t>
      </w:r>
    </w:p>
    <w:p w14:paraId="5262F8A6" w14:textId="5AC1FA2D" w:rsidR="00250E65" w:rsidRPr="00001C2A" w:rsidRDefault="00250E65" w:rsidP="00001C2A">
      <w:pPr>
        <w:tabs>
          <w:tab w:val="left" w:pos="955"/>
        </w:tabs>
        <w:jc w:val="both"/>
      </w:pPr>
      <w:r w:rsidRPr="00001C2A">
        <w:tab/>
        <w:t xml:space="preserve">This essay has examined the extent to which Japan’s relatively harmonious ecological relationship can be </w:t>
      </w:r>
      <w:r w:rsidR="00C0138C" w:rsidRPr="00001C2A">
        <w:t>linked</w:t>
      </w:r>
      <w:r w:rsidRPr="00001C2A">
        <w:t xml:space="preserve"> to Shinto animism and Japanese Folklore, and how these animistic values continue to manifest in modern environmental policies,</w:t>
      </w:r>
      <w:r w:rsidR="00C0138C" w:rsidRPr="00001C2A">
        <w:t xml:space="preserve"> </w:t>
      </w:r>
      <w:r w:rsidR="00EA1A01">
        <w:t xml:space="preserve">and </w:t>
      </w:r>
      <w:r w:rsidR="00C0138C" w:rsidRPr="00001C2A">
        <w:t xml:space="preserve">cultural </w:t>
      </w:r>
      <w:r w:rsidRPr="00001C2A">
        <w:t>practices</w:t>
      </w:r>
      <w:r w:rsidR="00C0138C" w:rsidRPr="00001C2A">
        <w:t xml:space="preserve"> .</w:t>
      </w:r>
      <w:r w:rsidRPr="00001C2A">
        <w:t xml:space="preserve">The analysis has framed Shinto animism as a cultural and ethical lens to better understand how </w:t>
      </w:r>
      <w:r w:rsidR="0052455D" w:rsidRPr="00001C2A">
        <w:t xml:space="preserve">relationships between humans, nature, and material objects are shaped and determined. Drifting away from solely </w:t>
      </w:r>
      <w:r w:rsidR="007F29B1">
        <w:t>considering</w:t>
      </w:r>
      <w:r w:rsidR="0052455D" w:rsidRPr="00001C2A">
        <w:t xml:space="preserve"> animism as a guaranteed concept for environmental harmony. </w:t>
      </w:r>
    </w:p>
    <w:p w14:paraId="33D92B01" w14:textId="55CACB8B" w:rsidR="0052455D" w:rsidRPr="00001C2A" w:rsidRDefault="0052455D" w:rsidP="00001C2A">
      <w:pPr>
        <w:tabs>
          <w:tab w:val="left" w:pos="955"/>
        </w:tabs>
        <w:jc w:val="both"/>
      </w:pPr>
      <w:r w:rsidRPr="00001C2A">
        <w:tab/>
        <w:t>The literature review highlighted how animism challenges human-centered assumptions by recognizing that non-human beings and material objects possesses agency, intelligence, and responsiveness</w:t>
      </w:r>
      <w:r w:rsidR="00C0138C" w:rsidRPr="00001C2A">
        <w:t>;</w:t>
      </w:r>
      <w:r w:rsidRPr="00001C2A">
        <w:t xml:space="preserve"> making them worthy of respect and acknowledgment. These theoretical frameworks </w:t>
      </w:r>
      <w:r w:rsidR="00C0138C" w:rsidRPr="00001C2A">
        <w:t>were used for</w:t>
      </w:r>
      <w:r w:rsidRPr="00001C2A">
        <w:t xml:space="preserve"> analyzing the Japanese culture</w:t>
      </w:r>
      <w:r w:rsidR="00C0138C" w:rsidRPr="00001C2A">
        <w:t xml:space="preserve"> in relation to</w:t>
      </w:r>
      <w:r w:rsidRPr="00001C2A">
        <w:t xml:space="preserve"> Shinto animism and Japanese Folklore</w:t>
      </w:r>
      <w:r w:rsidR="00C0138C" w:rsidRPr="00001C2A">
        <w:t>,</w:t>
      </w:r>
      <w:r w:rsidRPr="00001C2A">
        <w:t xml:space="preserve"> </w:t>
      </w:r>
      <w:r w:rsidR="00331EB8" w:rsidRPr="00001C2A">
        <w:t>portray</w:t>
      </w:r>
      <w:r w:rsidR="00C0138C" w:rsidRPr="00001C2A">
        <w:t>ing</w:t>
      </w:r>
      <w:r w:rsidRPr="00001C2A">
        <w:t xml:space="preserve"> the natural world as an equal living </w:t>
      </w:r>
      <w:r w:rsidR="00C0138C" w:rsidRPr="00001C2A">
        <w:t>entity</w:t>
      </w:r>
      <w:r w:rsidRPr="00001C2A">
        <w:t xml:space="preserve">. Concepts such as </w:t>
      </w:r>
      <w:r w:rsidRPr="00001C2A">
        <w:rPr>
          <w:i/>
          <w:iCs/>
        </w:rPr>
        <w:t>kami</w:t>
      </w:r>
      <w:r w:rsidRPr="00001C2A">
        <w:t xml:space="preserve">, </w:t>
      </w:r>
      <w:r w:rsidRPr="00001C2A">
        <w:rPr>
          <w:i/>
          <w:iCs/>
        </w:rPr>
        <w:t>yōkai</w:t>
      </w:r>
      <w:r w:rsidRPr="00001C2A">
        <w:t xml:space="preserve">, and </w:t>
      </w:r>
      <w:r w:rsidRPr="00001C2A">
        <w:rPr>
          <w:i/>
          <w:iCs/>
        </w:rPr>
        <w:t xml:space="preserve">tsukumogami </w:t>
      </w:r>
      <w:r w:rsidRPr="00001C2A">
        <w:t xml:space="preserve">demonstrate a worldview were landscapes, </w:t>
      </w:r>
      <w:r w:rsidR="00331EB8" w:rsidRPr="00001C2A">
        <w:t>animals, and objects require moral engagement with humans</w:t>
      </w:r>
      <w:r w:rsidR="00C0138C" w:rsidRPr="00001C2A">
        <w:t>.</w:t>
      </w:r>
    </w:p>
    <w:p w14:paraId="084E3CA4" w14:textId="28876084" w:rsidR="00331EB8" w:rsidRPr="00001C2A" w:rsidRDefault="00331EB8" w:rsidP="00001C2A">
      <w:pPr>
        <w:tabs>
          <w:tab w:val="left" w:pos="955"/>
        </w:tabs>
        <w:jc w:val="both"/>
      </w:pPr>
      <w:r w:rsidRPr="00001C2A">
        <w:tab/>
        <w:t>In contemporary Japan, animistic traditions can be observed in how they manifest in practices such distinct waste management</w:t>
      </w:r>
      <w:r w:rsidR="004F3C44" w:rsidRPr="00001C2A">
        <w:t xml:space="preserve"> systems</w:t>
      </w:r>
      <w:r w:rsidRPr="00001C2A">
        <w:t xml:space="preserve">, </w:t>
      </w:r>
      <w:r w:rsidR="004F3C44" w:rsidRPr="00001C2A">
        <w:t xml:space="preserve">care for shared spaces, and other forms of cultural expressions that values nature and material things. Culturally, Japanese animation played a major role in contemporarily translating Shinto animism and old Folklore values to generations, whilst raising their awareness to human responsibility towards the natural world.  </w:t>
      </w:r>
    </w:p>
    <w:p w14:paraId="16F439C6" w14:textId="33A550B5" w:rsidR="00331EB8" w:rsidRPr="00001C2A" w:rsidRDefault="00331EB8" w:rsidP="00001C2A">
      <w:pPr>
        <w:tabs>
          <w:tab w:val="left" w:pos="955"/>
        </w:tabs>
        <w:jc w:val="both"/>
      </w:pPr>
      <w:r w:rsidRPr="00001C2A">
        <w:tab/>
        <w:t>However, due to Japan’s history of industrial pollution and its ongoing participation in the global resource extraction and consumerism schemes, it indicates that Japan’s environmental outcomes cannot be viewed from an animistic point of view alone. Demonstrating that Japan’s ecological practices are influenced by political, economic, and historical motives besides cultural values and practices. Animism in this case</w:t>
      </w:r>
      <w:r w:rsidR="00C0138C" w:rsidRPr="00001C2A">
        <w:t xml:space="preserve"> does not </w:t>
      </w:r>
      <w:r w:rsidR="00C0138C" w:rsidRPr="00001C2A">
        <w:lastRenderedPageBreak/>
        <w:t>guarantee ecological stability, however it</w:t>
      </w:r>
      <w:r w:rsidRPr="00001C2A">
        <w:t xml:space="preserve"> influences environmental attitudes and ethical orientations.</w:t>
      </w:r>
    </w:p>
    <w:p w14:paraId="4A1A015A" w14:textId="43764584" w:rsidR="004F3C44" w:rsidRDefault="004F3C44" w:rsidP="00001C2A">
      <w:pPr>
        <w:tabs>
          <w:tab w:val="left" w:pos="955"/>
        </w:tabs>
        <w:jc w:val="both"/>
      </w:pPr>
      <w:r w:rsidRPr="00001C2A">
        <w:tab/>
        <w:t xml:space="preserve">In conclusion, Japanese Shinto animism and Folklore play a significant role in shaping how humans relate to the non-human world. It offers a moral and ethical framework, </w:t>
      </w:r>
      <w:r w:rsidR="00C0138C" w:rsidRPr="00001C2A">
        <w:t>that invites</w:t>
      </w:r>
      <w:r w:rsidRPr="00001C2A">
        <w:t xml:space="preserve"> </w:t>
      </w:r>
      <w:r w:rsidR="00C0138C" w:rsidRPr="00001C2A">
        <w:t>humans to be environmentally</w:t>
      </w:r>
      <w:r w:rsidRPr="00001C2A">
        <w:t xml:space="preserve"> mindful and sustainable </w:t>
      </w:r>
      <w:r w:rsidR="00C0138C" w:rsidRPr="00001C2A">
        <w:t xml:space="preserve">in their </w:t>
      </w:r>
      <w:r w:rsidRPr="00001C2A">
        <w:t xml:space="preserve">cultural practices. </w:t>
      </w:r>
      <w:r w:rsidR="00C0138C" w:rsidRPr="00001C2A">
        <w:t>The influence of the concepts</w:t>
      </w:r>
      <w:r w:rsidRPr="00001C2A">
        <w:t xml:space="preserve"> is significant</w:t>
      </w:r>
      <w:r w:rsidR="004F5206" w:rsidRPr="00001C2A">
        <w:t>,</w:t>
      </w:r>
      <w:r w:rsidRPr="00001C2A">
        <w:t xml:space="preserve"> but not enough </w:t>
      </w:r>
      <w:r w:rsidR="00C0138C" w:rsidRPr="00001C2A">
        <w:t>for achieving ecological harmony</w:t>
      </w:r>
      <w:r w:rsidRPr="00001C2A">
        <w:t xml:space="preserve">, as it </w:t>
      </w:r>
      <w:r w:rsidR="00C0138C" w:rsidRPr="00001C2A">
        <w:t>needs to complement</w:t>
      </w:r>
      <w:r w:rsidRPr="00001C2A">
        <w:t xml:space="preserve"> </w:t>
      </w:r>
      <w:r w:rsidR="00C0138C" w:rsidRPr="00001C2A">
        <w:t xml:space="preserve">and tame </w:t>
      </w:r>
      <w:r w:rsidRPr="00001C2A">
        <w:t xml:space="preserve">other existing </w:t>
      </w:r>
      <w:r w:rsidR="00C0138C" w:rsidRPr="00001C2A">
        <w:t>political, economic, and historical factors.</w:t>
      </w:r>
    </w:p>
    <w:p w14:paraId="68DC842E" w14:textId="77777777" w:rsidR="00001C2A" w:rsidRDefault="00001C2A" w:rsidP="00001C2A">
      <w:pPr>
        <w:tabs>
          <w:tab w:val="left" w:pos="955"/>
        </w:tabs>
        <w:jc w:val="both"/>
      </w:pPr>
    </w:p>
    <w:p w14:paraId="01CB525A" w14:textId="77777777" w:rsidR="00001C2A" w:rsidRDefault="00001C2A" w:rsidP="00001C2A">
      <w:pPr>
        <w:tabs>
          <w:tab w:val="left" w:pos="955"/>
        </w:tabs>
        <w:jc w:val="both"/>
      </w:pPr>
    </w:p>
    <w:p w14:paraId="06DED2F1" w14:textId="77777777" w:rsidR="00001C2A" w:rsidRDefault="00001C2A" w:rsidP="00001C2A">
      <w:pPr>
        <w:tabs>
          <w:tab w:val="left" w:pos="955"/>
        </w:tabs>
        <w:jc w:val="both"/>
      </w:pPr>
    </w:p>
    <w:p w14:paraId="4E5F7221" w14:textId="77777777" w:rsidR="00001C2A" w:rsidRDefault="00001C2A" w:rsidP="00001C2A">
      <w:pPr>
        <w:tabs>
          <w:tab w:val="left" w:pos="955"/>
        </w:tabs>
        <w:jc w:val="both"/>
      </w:pPr>
    </w:p>
    <w:p w14:paraId="23475309" w14:textId="77777777" w:rsidR="00001C2A" w:rsidRDefault="00001C2A" w:rsidP="00001C2A">
      <w:pPr>
        <w:tabs>
          <w:tab w:val="left" w:pos="955"/>
        </w:tabs>
        <w:jc w:val="both"/>
      </w:pPr>
    </w:p>
    <w:p w14:paraId="4E05300A" w14:textId="77777777" w:rsidR="00001C2A" w:rsidRDefault="00001C2A" w:rsidP="00001C2A">
      <w:pPr>
        <w:tabs>
          <w:tab w:val="left" w:pos="955"/>
        </w:tabs>
        <w:jc w:val="both"/>
      </w:pPr>
    </w:p>
    <w:p w14:paraId="78F0F9E7" w14:textId="77777777" w:rsidR="00001C2A" w:rsidRDefault="00001C2A" w:rsidP="00001C2A">
      <w:pPr>
        <w:tabs>
          <w:tab w:val="left" w:pos="955"/>
        </w:tabs>
        <w:jc w:val="both"/>
      </w:pPr>
    </w:p>
    <w:p w14:paraId="2F285177" w14:textId="77777777" w:rsidR="00001C2A" w:rsidRDefault="00001C2A" w:rsidP="00001C2A">
      <w:pPr>
        <w:tabs>
          <w:tab w:val="left" w:pos="955"/>
        </w:tabs>
        <w:jc w:val="both"/>
      </w:pPr>
    </w:p>
    <w:p w14:paraId="38178497" w14:textId="77777777" w:rsidR="00001C2A" w:rsidRDefault="00001C2A" w:rsidP="00001C2A">
      <w:pPr>
        <w:tabs>
          <w:tab w:val="left" w:pos="955"/>
        </w:tabs>
        <w:jc w:val="both"/>
      </w:pPr>
    </w:p>
    <w:p w14:paraId="1B28F5D5" w14:textId="77777777" w:rsidR="00001C2A" w:rsidRDefault="00001C2A" w:rsidP="00001C2A">
      <w:pPr>
        <w:tabs>
          <w:tab w:val="left" w:pos="955"/>
        </w:tabs>
        <w:jc w:val="both"/>
      </w:pPr>
    </w:p>
    <w:p w14:paraId="798C306D" w14:textId="77777777" w:rsidR="00001C2A" w:rsidRDefault="00001C2A" w:rsidP="00001C2A">
      <w:pPr>
        <w:tabs>
          <w:tab w:val="left" w:pos="955"/>
        </w:tabs>
        <w:jc w:val="both"/>
      </w:pPr>
    </w:p>
    <w:p w14:paraId="0FADC74E" w14:textId="77777777" w:rsidR="00001C2A" w:rsidRDefault="00001C2A" w:rsidP="00001C2A">
      <w:pPr>
        <w:tabs>
          <w:tab w:val="left" w:pos="955"/>
        </w:tabs>
        <w:jc w:val="both"/>
      </w:pPr>
    </w:p>
    <w:p w14:paraId="29B0E9B9" w14:textId="77777777" w:rsidR="00001C2A" w:rsidRDefault="00001C2A" w:rsidP="00001C2A">
      <w:pPr>
        <w:tabs>
          <w:tab w:val="left" w:pos="955"/>
        </w:tabs>
        <w:jc w:val="both"/>
      </w:pPr>
    </w:p>
    <w:p w14:paraId="2AB2B6C1" w14:textId="77777777" w:rsidR="00001C2A" w:rsidRDefault="00001C2A" w:rsidP="00001C2A">
      <w:pPr>
        <w:tabs>
          <w:tab w:val="left" w:pos="955"/>
        </w:tabs>
        <w:jc w:val="both"/>
      </w:pPr>
    </w:p>
    <w:p w14:paraId="687F8789" w14:textId="77777777" w:rsidR="00001C2A" w:rsidRDefault="00001C2A" w:rsidP="00001C2A">
      <w:pPr>
        <w:tabs>
          <w:tab w:val="left" w:pos="955"/>
        </w:tabs>
        <w:jc w:val="both"/>
      </w:pPr>
    </w:p>
    <w:p w14:paraId="5A088538" w14:textId="77777777" w:rsidR="00001C2A" w:rsidRDefault="00001C2A" w:rsidP="00001C2A">
      <w:pPr>
        <w:tabs>
          <w:tab w:val="left" w:pos="955"/>
        </w:tabs>
        <w:jc w:val="both"/>
      </w:pPr>
    </w:p>
    <w:p w14:paraId="4DE3DB20" w14:textId="77777777" w:rsidR="00001C2A" w:rsidRDefault="00001C2A" w:rsidP="00001C2A">
      <w:pPr>
        <w:tabs>
          <w:tab w:val="left" w:pos="955"/>
        </w:tabs>
        <w:jc w:val="both"/>
      </w:pPr>
    </w:p>
    <w:p w14:paraId="57252DAC" w14:textId="77777777" w:rsidR="00001C2A" w:rsidRDefault="00001C2A" w:rsidP="00001C2A">
      <w:pPr>
        <w:tabs>
          <w:tab w:val="left" w:pos="955"/>
        </w:tabs>
        <w:jc w:val="both"/>
      </w:pPr>
    </w:p>
    <w:p w14:paraId="296107C0" w14:textId="77777777" w:rsidR="00001C2A" w:rsidRDefault="00001C2A" w:rsidP="00001C2A">
      <w:pPr>
        <w:tabs>
          <w:tab w:val="left" w:pos="955"/>
        </w:tabs>
        <w:jc w:val="both"/>
      </w:pPr>
    </w:p>
    <w:p w14:paraId="72DDDCDC" w14:textId="77777777" w:rsidR="00001C2A" w:rsidRDefault="00001C2A" w:rsidP="00001C2A">
      <w:pPr>
        <w:tabs>
          <w:tab w:val="left" w:pos="955"/>
        </w:tabs>
        <w:jc w:val="both"/>
      </w:pPr>
    </w:p>
    <w:p w14:paraId="6DFE8843" w14:textId="3D5CAAB8" w:rsidR="00001C2A" w:rsidRPr="00001C2A" w:rsidRDefault="00001C2A" w:rsidP="00001C2A">
      <w:pPr>
        <w:tabs>
          <w:tab w:val="left" w:pos="955"/>
        </w:tabs>
        <w:jc w:val="both"/>
        <w:rPr>
          <w:b/>
          <w:bCs/>
          <w:sz w:val="28"/>
          <w:szCs w:val="28"/>
        </w:rPr>
      </w:pPr>
      <w:r w:rsidRPr="00001C2A">
        <w:rPr>
          <w:b/>
          <w:bCs/>
          <w:sz w:val="28"/>
          <w:szCs w:val="28"/>
        </w:rPr>
        <w:lastRenderedPageBreak/>
        <w:t>References</w:t>
      </w:r>
    </w:p>
    <w:p w14:paraId="0CCDA348" w14:textId="36A74620" w:rsidR="00001C2A" w:rsidRPr="00001C2A" w:rsidRDefault="00001C2A" w:rsidP="00001C2A">
      <w:pPr>
        <w:tabs>
          <w:tab w:val="left" w:pos="955"/>
        </w:tabs>
        <w:jc w:val="both"/>
      </w:pPr>
      <w:r w:rsidRPr="00001C2A">
        <w:t xml:space="preserve">Allison, A. (2013) </w:t>
      </w:r>
      <w:r w:rsidRPr="00001C2A">
        <w:rPr>
          <w:i/>
          <w:iCs/>
        </w:rPr>
        <w:t>Precarious Japan</w:t>
      </w:r>
      <w:r w:rsidRPr="00001C2A">
        <w:t>. Durham, NC: Duke University Press.</w:t>
      </w:r>
    </w:p>
    <w:p w14:paraId="47FDC63D" w14:textId="77777777" w:rsidR="00001C2A" w:rsidRPr="00001C2A" w:rsidRDefault="00001C2A" w:rsidP="00001C2A">
      <w:pPr>
        <w:tabs>
          <w:tab w:val="left" w:pos="955"/>
        </w:tabs>
        <w:jc w:val="both"/>
      </w:pPr>
      <w:r w:rsidRPr="00001C2A">
        <w:t xml:space="preserve">Alley, K.D. (2019) ‘Legal personhood for rivers: merging religion, law and the environment’, </w:t>
      </w:r>
      <w:r w:rsidRPr="00001C2A">
        <w:rPr>
          <w:i/>
          <w:iCs/>
        </w:rPr>
        <w:t>Religions</w:t>
      </w:r>
      <w:r w:rsidRPr="00001C2A">
        <w:t>, 10(9), 502. https://doi.org/10.3390/rel10090502</w:t>
      </w:r>
    </w:p>
    <w:p w14:paraId="6DAAFE21" w14:textId="77777777" w:rsidR="00001C2A" w:rsidRDefault="00001C2A" w:rsidP="00001C2A">
      <w:pPr>
        <w:tabs>
          <w:tab w:val="left" w:pos="955"/>
        </w:tabs>
        <w:jc w:val="both"/>
      </w:pPr>
      <w:r w:rsidRPr="00001C2A">
        <w:t xml:space="preserve">Barad, K. (2003) ‘Posthumanist performativity: toward an understanding of how matter comes to matter’, </w:t>
      </w:r>
      <w:r w:rsidRPr="00001C2A">
        <w:rPr>
          <w:i/>
          <w:iCs/>
        </w:rPr>
        <w:t>Signs</w:t>
      </w:r>
      <w:r w:rsidRPr="00001C2A">
        <w:t>, 28(3), pp. 801–831.</w:t>
      </w:r>
    </w:p>
    <w:p w14:paraId="074474F1" w14:textId="52A7F17C" w:rsidR="002E6317" w:rsidRPr="00001C2A" w:rsidRDefault="002E6317" w:rsidP="002E6317">
      <w:pPr>
        <w:tabs>
          <w:tab w:val="left" w:pos="955"/>
        </w:tabs>
        <w:jc w:val="both"/>
      </w:pPr>
      <w:r w:rsidRPr="002E6317">
        <w:t xml:space="preserve">Bones Film. (2025). </w:t>
      </w:r>
      <w:r w:rsidRPr="002E6317">
        <w:rPr>
          <w:i/>
          <w:iCs/>
        </w:rPr>
        <w:t>Gachiakuta</w:t>
      </w:r>
      <w:r w:rsidRPr="002E6317">
        <w:t xml:space="preserve"> (Episode 1) [TV series episode]. In </w:t>
      </w:r>
      <w:r w:rsidRPr="002E6317">
        <w:rPr>
          <w:i/>
          <w:iCs/>
        </w:rPr>
        <w:t>Gachiakuta</w:t>
      </w:r>
      <w:r w:rsidRPr="002E6317">
        <w:t>. Crunchyroll/Studio Bones.</w:t>
      </w:r>
    </w:p>
    <w:p w14:paraId="52B8D698" w14:textId="75E5E901" w:rsidR="002E6317" w:rsidRPr="00001C2A" w:rsidRDefault="00001C2A" w:rsidP="002E6317">
      <w:pPr>
        <w:tabs>
          <w:tab w:val="left" w:pos="955"/>
        </w:tabs>
        <w:jc w:val="both"/>
      </w:pPr>
      <w:r w:rsidRPr="00001C2A">
        <w:t xml:space="preserve">Foster, M.D. (2015) </w:t>
      </w:r>
      <w:r w:rsidRPr="00001C2A">
        <w:rPr>
          <w:i/>
          <w:iCs/>
        </w:rPr>
        <w:t>The Book of Yōkai: Mysterious Creatures of Japanese Folklore</w:t>
      </w:r>
      <w:r w:rsidRPr="00001C2A">
        <w:t>. Berkeley: University of California Press.</w:t>
      </w:r>
    </w:p>
    <w:p w14:paraId="73D3F269" w14:textId="77777777" w:rsidR="00001C2A" w:rsidRPr="00001C2A" w:rsidRDefault="00001C2A" w:rsidP="00001C2A">
      <w:pPr>
        <w:tabs>
          <w:tab w:val="left" w:pos="955"/>
        </w:tabs>
        <w:jc w:val="both"/>
      </w:pPr>
      <w:r w:rsidRPr="00001C2A">
        <w:t xml:space="preserve">Gagliano, M., Renton, M., Duvdevani, N., Timmins, M. and Mancuso, S. (2014) ‘Experience teaches plants to learn faster and forget slower in environments where it matters’, </w:t>
      </w:r>
      <w:r w:rsidRPr="00001C2A">
        <w:rPr>
          <w:i/>
          <w:iCs/>
        </w:rPr>
        <w:t>Oecologia</w:t>
      </w:r>
      <w:r w:rsidRPr="00001C2A">
        <w:t>, 175(1), pp. 63–72.</w:t>
      </w:r>
    </w:p>
    <w:p w14:paraId="2507A8AC" w14:textId="77777777" w:rsidR="00001C2A" w:rsidRPr="00001C2A" w:rsidRDefault="00001C2A" w:rsidP="00001C2A">
      <w:pPr>
        <w:tabs>
          <w:tab w:val="left" w:pos="955"/>
        </w:tabs>
        <w:jc w:val="both"/>
      </w:pPr>
      <w:r w:rsidRPr="00001C2A">
        <w:t xml:space="preserve">Harvey, G. (2005) </w:t>
      </w:r>
      <w:r w:rsidRPr="00001C2A">
        <w:rPr>
          <w:i/>
          <w:iCs/>
        </w:rPr>
        <w:t>Animism: Respecting the Living World</w:t>
      </w:r>
      <w:r w:rsidRPr="00001C2A">
        <w:t>. London: Hurst &amp; Company.</w:t>
      </w:r>
    </w:p>
    <w:p w14:paraId="31DE9225" w14:textId="77777777" w:rsidR="00001C2A" w:rsidRPr="00001C2A" w:rsidRDefault="00001C2A" w:rsidP="00001C2A">
      <w:pPr>
        <w:tabs>
          <w:tab w:val="left" w:pos="955"/>
        </w:tabs>
        <w:jc w:val="both"/>
      </w:pPr>
      <w:r w:rsidRPr="00001C2A">
        <w:t xml:space="preserve">Hallowell, A.I. (2002) ‘Ojibwa ontology, behavior, and world view’, in Harvey, G. (ed.) </w:t>
      </w:r>
      <w:r w:rsidRPr="00001C2A">
        <w:rPr>
          <w:i/>
          <w:iCs/>
        </w:rPr>
        <w:t>Readings in Indigenous Religions</w:t>
      </w:r>
      <w:r w:rsidRPr="00001C2A">
        <w:t>. London: Continuum, pp. 17–49.</w:t>
      </w:r>
      <w:r w:rsidRPr="00001C2A">
        <w:br/>
        <w:t>(Originally published 1960.)</w:t>
      </w:r>
    </w:p>
    <w:p w14:paraId="4299701B" w14:textId="77777777" w:rsidR="00001C2A" w:rsidRDefault="00001C2A" w:rsidP="00001C2A">
      <w:pPr>
        <w:tabs>
          <w:tab w:val="left" w:pos="955"/>
        </w:tabs>
        <w:jc w:val="both"/>
      </w:pPr>
      <w:r w:rsidRPr="00001C2A">
        <w:t xml:space="preserve">Hunter, J. (2023) </w:t>
      </w:r>
      <w:r w:rsidRPr="00001C2A">
        <w:rPr>
          <w:i/>
          <w:iCs/>
        </w:rPr>
        <w:t>Ecology and Spirituality: A Brief Introduction</w:t>
      </w:r>
      <w:r w:rsidRPr="00001C2A">
        <w:t>. Lampeter: Sophia Centre Press.</w:t>
      </w:r>
    </w:p>
    <w:p w14:paraId="01A6508F" w14:textId="566D0C40" w:rsidR="0039563F" w:rsidRPr="00001C2A" w:rsidRDefault="0039563F" w:rsidP="0039563F">
      <w:pPr>
        <w:tabs>
          <w:tab w:val="left" w:pos="955"/>
        </w:tabs>
        <w:jc w:val="both"/>
      </w:pPr>
      <w:r w:rsidRPr="0039563F">
        <w:t xml:space="preserve">Kagawa-Fox, M. (2017). </w:t>
      </w:r>
      <w:r w:rsidRPr="0039563F">
        <w:rPr>
          <w:i/>
          <w:iCs/>
        </w:rPr>
        <w:t>The crucial role of culture in Japanese environmental philosophy</w:t>
      </w:r>
      <w:r w:rsidRPr="0039563F">
        <w:t xml:space="preserve">. In J. B. Callicott &amp; J. McRae (Eds.), </w:t>
      </w:r>
      <w:r w:rsidRPr="0039563F">
        <w:rPr>
          <w:i/>
          <w:iCs/>
        </w:rPr>
        <w:t>Japanese environmental philosophy</w:t>
      </w:r>
      <w:r w:rsidRPr="0039563F">
        <w:t xml:space="preserve"> (pp. 195–215). Oxford University Press.</w:t>
      </w:r>
    </w:p>
    <w:p w14:paraId="136E8D69" w14:textId="77777777" w:rsidR="00001C2A" w:rsidRPr="00001C2A" w:rsidRDefault="00001C2A" w:rsidP="00001C2A">
      <w:pPr>
        <w:tabs>
          <w:tab w:val="left" w:pos="955"/>
        </w:tabs>
        <w:jc w:val="both"/>
      </w:pPr>
      <w:r w:rsidRPr="00001C2A">
        <w:t xml:space="preserve">Kingsland, S.E. (2018) </w:t>
      </w:r>
      <w:r w:rsidRPr="00001C2A">
        <w:rPr>
          <w:i/>
          <w:iCs/>
        </w:rPr>
        <w:t>Modeling Nature: Episodes in the History of Population Ecology</w:t>
      </w:r>
      <w:r w:rsidRPr="00001C2A">
        <w:t>. Chicago: University of Chicago Press.</w:t>
      </w:r>
    </w:p>
    <w:p w14:paraId="1333A135" w14:textId="77777777" w:rsidR="00001C2A" w:rsidRPr="00001C2A" w:rsidRDefault="00001C2A" w:rsidP="00001C2A">
      <w:pPr>
        <w:tabs>
          <w:tab w:val="left" w:pos="955"/>
        </w:tabs>
        <w:jc w:val="both"/>
      </w:pPr>
      <w:r w:rsidRPr="00001C2A">
        <w:t xml:space="preserve">Kohn, E. (2013) </w:t>
      </w:r>
      <w:r w:rsidRPr="00001C2A">
        <w:rPr>
          <w:i/>
          <w:iCs/>
        </w:rPr>
        <w:t>How Forests Think: Toward an Anthropology Beyond the Human</w:t>
      </w:r>
      <w:r w:rsidRPr="00001C2A">
        <w:t>. Berkeley: University of California Press.</w:t>
      </w:r>
    </w:p>
    <w:p w14:paraId="3EBC1A3D" w14:textId="77777777" w:rsidR="00001C2A" w:rsidRPr="00001C2A" w:rsidRDefault="00001C2A" w:rsidP="00001C2A">
      <w:pPr>
        <w:tabs>
          <w:tab w:val="left" w:pos="955"/>
        </w:tabs>
        <w:jc w:val="both"/>
      </w:pPr>
      <w:r w:rsidRPr="00001C2A">
        <w:t xml:space="preserve">Lecouteux, C. (2015) </w:t>
      </w:r>
      <w:r w:rsidRPr="00001C2A">
        <w:rPr>
          <w:i/>
          <w:iCs/>
        </w:rPr>
        <w:t>Demons and Spirits of the Land: Ancestral Lore and Practices</w:t>
      </w:r>
      <w:r w:rsidRPr="00001C2A">
        <w:t>. Rochester, VT: Inner Traditions.</w:t>
      </w:r>
    </w:p>
    <w:p w14:paraId="5147618A" w14:textId="77777777" w:rsidR="00001C2A" w:rsidRPr="00001C2A" w:rsidRDefault="00001C2A" w:rsidP="00001C2A">
      <w:pPr>
        <w:tabs>
          <w:tab w:val="left" w:pos="955"/>
        </w:tabs>
        <w:jc w:val="both"/>
      </w:pPr>
      <w:r w:rsidRPr="00001C2A">
        <w:t xml:space="preserve">Matthews, F. (2006) </w:t>
      </w:r>
      <w:r w:rsidRPr="00001C2A">
        <w:rPr>
          <w:i/>
          <w:iCs/>
        </w:rPr>
        <w:t>Reinhabiting Reality: Towards a Recovery of Culture</w:t>
      </w:r>
      <w:r w:rsidRPr="00001C2A">
        <w:t>. Albany: State University of New York Press.</w:t>
      </w:r>
    </w:p>
    <w:p w14:paraId="3A75BAA2" w14:textId="77777777" w:rsidR="00001C2A" w:rsidRPr="00001C2A" w:rsidRDefault="00001C2A" w:rsidP="00001C2A">
      <w:pPr>
        <w:tabs>
          <w:tab w:val="left" w:pos="955"/>
        </w:tabs>
        <w:jc w:val="both"/>
      </w:pPr>
      <w:r w:rsidRPr="00001C2A">
        <w:lastRenderedPageBreak/>
        <w:t xml:space="preserve">Ministry of the Environment, Japan (2022) </w:t>
      </w:r>
      <w:r w:rsidRPr="00001C2A">
        <w:rPr>
          <w:i/>
          <w:iCs/>
        </w:rPr>
        <w:t>Waste management and recycling in Japan</w:t>
      </w:r>
      <w:r w:rsidRPr="00001C2A">
        <w:t xml:space="preserve">. Available at: </w:t>
      </w:r>
      <w:hyperlink r:id="rId8" w:tgtFrame="_new" w:history="1">
        <w:r w:rsidRPr="00001C2A">
          <w:rPr>
            <w:rStyle w:val="Hyperlink"/>
          </w:rPr>
          <w:t>https://www.env.go.jp/en/recycle/</w:t>
        </w:r>
      </w:hyperlink>
      <w:r w:rsidRPr="00001C2A">
        <w:t xml:space="preserve"> (Accessed: 5 January 2026).</w:t>
      </w:r>
    </w:p>
    <w:p w14:paraId="5185A7FA" w14:textId="77777777" w:rsidR="00001C2A" w:rsidRPr="00001C2A" w:rsidRDefault="00001C2A" w:rsidP="00001C2A">
      <w:pPr>
        <w:tabs>
          <w:tab w:val="left" w:pos="955"/>
        </w:tabs>
        <w:jc w:val="both"/>
      </w:pPr>
      <w:r w:rsidRPr="00001C2A">
        <w:t xml:space="preserve">Moore, J.W. (2017) ‘The Capitalocene, Part I: On the nature and origins of our ecological crisis’, </w:t>
      </w:r>
      <w:r w:rsidRPr="00001C2A">
        <w:rPr>
          <w:i/>
          <w:iCs/>
        </w:rPr>
        <w:t>The Journal of Peasant Studies</w:t>
      </w:r>
      <w:r w:rsidRPr="00001C2A">
        <w:t>, 44(3), pp. 594–630.</w:t>
      </w:r>
    </w:p>
    <w:p w14:paraId="0F89F478" w14:textId="77777777" w:rsidR="00001C2A" w:rsidRPr="00001C2A" w:rsidRDefault="00001C2A" w:rsidP="00001C2A">
      <w:pPr>
        <w:tabs>
          <w:tab w:val="left" w:pos="955"/>
        </w:tabs>
        <w:jc w:val="both"/>
      </w:pPr>
      <w:r w:rsidRPr="00001C2A">
        <w:t xml:space="preserve">Napier, S.J. (2005) </w:t>
      </w:r>
      <w:r w:rsidRPr="00001C2A">
        <w:rPr>
          <w:i/>
          <w:iCs/>
        </w:rPr>
        <w:t>Anime from Akira to Howl’s Moving Castle: Experiencing Contemporary Japanese Animation</w:t>
      </w:r>
      <w:r w:rsidRPr="00001C2A">
        <w:t>. New York: Palgrave Macmillan.</w:t>
      </w:r>
    </w:p>
    <w:p w14:paraId="3A74607B" w14:textId="77777777" w:rsidR="00001C2A" w:rsidRPr="00001C2A" w:rsidRDefault="00001C2A" w:rsidP="00001C2A">
      <w:pPr>
        <w:tabs>
          <w:tab w:val="left" w:pos="955"/>
        </w:tabs>
        <w:jc w:val="both"/>
      </w:pPr>
      <w:r w:rsidRPr="00001C2A">
        <w:t xml:space="preserve">Næss, A. (1995) ‘Self-realization: An ecological approach to being in the world’, in Drengson, A. and Inoue, Y. (eds.) </w:t>
      </w:r>
      <w:r w:rsidRPr="00001C2A">
        <w:rPr>
          <w:i/>
          <w:iCs/>
        </w:rPr>
        <w:t>The Deep Ecology Movement</w:t>
      </w:r>
      <w:r w:rsidRPr="00001C2A">
        <w:t>. Berkeley: North Atlantic Books, pp. 225–239.</w:t>
      </w:r>
    </w:p>
    <w:p w14:paraId="1DA63410" w14:textId="77777777" w:rsidR="00001C2A" w:rsidRPr="00001C2A" w:rsidRDefault="00001C2A" w:rsidP="00001C2A">
      <w:pPr>
        <w:tabs>
          <w:tab w:val="left" w:pos="955"/>
        </w:tabs>
        <w:jc w:val="both"/>
      </w:pPr>
      <w:r w:rsidRPr="00001C2A">
        <w:t xml:space="preserve">Ono, S. (1962) </w:t>
      </w:r>
      <w:r w:rsidRPr="00001C2A">
        <w:rPr>
          <w:i/>
          <w:iCs/>
        </w:rPr>
        <w:t>Shinto: The Kami Way</w:t>
      </w:r>
      <w:r w:rsidRPr="00001C2A">
        <w:t>. Rutland, VT: Charles E. Tuttle Company.</w:t>
      </w:r>
    </w:p>
    <w:p w14:paraId="0C281A70" w14:textId="77777777" w:rsidR="00001C2A" w:rsidRPr="00001C2A" w:rsidRDefault="00001C2A" w:rsidP="00001C2A">
      <w:pPr>
        <w:tabs>
          <w:tab w:val="left" w:pos="955"/>
        </w:tabs>
        <w:jc w:val="both"/>
      </w:pPr>
      <w:r w:rsidRPr="00001C2A">
        <w:t xml:space="preserve">Plumwood, V. (2010) </w:t>
      </w:r>
      <w:r w:rsidRPr="00001C2A">
        <w:rPr>
          <w:i/>
          <w:iCs/>
        </w:rPr>
        <w:t>Environmental Culture: The Ecological Crisis of Reason</w:t>
      </w:r>
      <w:r w:rsidRPr="00001C2A">
        <w:t>. London: Routledge.</w:t>
      </w:r>
    </w:p>
    <w:p w14:paraId="798AFF3E" w14:textId="77777777" w:rsidR="00001C2A" w:rsidRPr="00001C2A" w:rsidRDefault="00001C2A" w:rsidP="00001C2A">
      <w:pPr>
        <w:tabs>
          <w:tab w:val="left" w:pos="955"/>
        </w:tabs>
        <w:jc w:val="both"/>
      </w:pPr>
      <w:r w:rsidRPr="00001C2A">
        <w:t xml:space="preserve">Rappaport, R.A. (1979) </w:t>
      </w:r>
      <w:r w:rsidRPr="00001C2A">
        <w:rPr>
          <w:i/>
          <w:iCs/>
        </w:rPr>
        <w:t>Ecology, Meaning, and Religion</w:t>
      </w:r>
      <w:r w:rsidRPr="00001C2A">
        <w:t>. Berkeley: North Atlantic Books.</w:t>
      </w:r>
    </w:p>
    <w:p w14:paraId="646EF571" w14:textId="77777777" w:rsidR="00001C2A" w:rsidRPr="00001C2A" w:rsidRDefault="00001C2A" w:rsidP="00001C2A">
      <w:pPr>
        <w:tabs>
          <w:tab w:val="left" w:pos="955"/>
        </w:tabs>
        <w:jc w:val="both"/>
      </w:pPr>
      <w:r w:rsidRPr="00001C2A">
        <w:t xml:space="preserve">Rose, D.B. (2005) ‘An Indigenous philosophical ecology: situating the human’, </w:t>
      </w:r>
      <w:r w:rsidRPr="00001C2A">
        <w:rPr>
          <w:i/>
          <w:iCs/>
        </w:rPr>
        <w:t>The Australian Journal of Anthropology</w:t>
      </w:r>
      <w:r w:rsidRPr="00001C2A">
        <w:t>, 16(3), pp. 294–305.</w:t>
      </w:r>
    </w:p>
    <w:p w14:paraId="0FCADD13" w14:textId="77777777" w:rsidR="00001C2A" w:rsidRPr="00001C2A" w:rsidRDefault="00001C2A" w:rsidP="00001C2A">
      <w:pPr>
        <w:tabs>
          <w:tab w:val="left" w:pos="955"/>
        </w:tabs>
        <w:jc w:val="both"/>
      </w:pPr>
      <w:r w:rsidRPr="00001C2A">
        <w:t xml:space="preserve">Sato, T. (2017) ‘Mottainai: a Japanese sense of anima mundi’, </w:t>
      </w:r>
      <w:r w:rsidRPr="00001C2A">
        <w:rPr>
          <w:i/>
          <w:iCs/>
        </w:rPr>
        <w:t>Journal of Analytical Psychology</w:t>
      </w:r>
      <w:r w:rsidRPr="00001C2A">
        <w:t>, 62(1), pp. 110–127. https://doi.org/10.1111/1468-5922.12302</w:t>
      </w:r>
    </w:p>
    <w:p w14:paraId="748FE064" w14:textId="77777777" w:rsidR="00001C2A" w:rsidRPr="00001C2A" w:rsidRDefault="00001C2A" w:rsidP="00001C2A">
      <w:pPr>
        <w:tabs>
          <w:tab w:val="left" w:pos="955"/>
        </w:tabs>
        <w:jc w:val="both"/>
      </w:pPr>
      <w:r w:rsidRPr="00001C2A">
        <w:t xml:space="preserve">Sensoneo (2025) </w:t>
      </w:r>
      <w:r w:rsidRPr="00001C2A">
        <w:rPr>
          <w:i/>
          <w:iCs/>
        </w:rPr>
        <w:t>Global Waste Index 2025: Ranking the biggest waste polluters worldwide</w:t>
      </w:r>
      <w:r w:rsidRPr="00001C2A">
        <w:t xml:space="preserve">. Available at: </w:t>
      </w:r>
      <w:hyperlink r:id="rId9" w:tgtFrame="_new" w:history="1">
        <w:r w:rsidRPr="00001C2A">
          <w:rPr>
            <w:rStyle w:val="Hyperlink"/>
          </w:rPr>
          <w:t>https://www.sensoneo.com/global-waste-index/2025/</w:t>
        </w:r>
      </w:hyperlink>
      <w:r w:rsidRPr="00001C2A">
        <w:t xml:space="preserve"> (Accessed: 5 January 2026).</w:t>
      </w:r>
    </w:p>
    <w:p w14:paraId="4EA048E6" w14:textId="77777777" w:rsidR="00001C2A" w:rsidRPr="00001C2A" w:rsidRDefault="00001C2A" w:rsidP="00001C2A">
      <w:pPr>
        <w:tabs>
          <w:tab w:val="left" w:pos="955"/>
        </w:tabs>
        <w:jc w:val="both"/>
      </w:pPr>
      <w:r w:rsidRPr="00001C2A">
        <w:t xml:space="preserve">Simard, S.W., Beiler, K.J., Bingham, M.A., Deslippe, J.R., Philip, L.J. and Teste, F.P. (2012) ‘Mycorrhizal networks: mechanisms, ecology and modelling’, </w:t>
      </w:r>
      <w:r w:rsidRPr="00001C2A">
        <w:rPr>
          <w:i/>
          <w:iCs/>
        </w:rPr>
        <w:t>Fungal Biology Reviews</w:t>
      </w:r>
      <w:r w:rsidRPr="00001C2A">
        <w:t>, 26(1), pp. 39–60.</w:t>
      </w:r>
    </w:p>
    <w:p w14:paraId="76198109" w14:textId="77777777" w:rsidR="00001C2A" w:rsidRDefault="00001C2A" w:rsidP="00001C2A">
      <w:pPr>
        <w:tabs>
          <w:tab w:val="left" w:pos="955"/>
        </w:tabs>
        <w:jc w:val="both"/>
      </w:pPr>
      <w:r w:rsidRPr="00001C2A">
        <w:t xml:space="preserve">Taylor, B. (2010) </w:t>
      </w:r>
      <w:r w:rsidRPr="00001C2A">
        <w:rPr>
          <w:i/>
          <w:iCs/>
        </w:rPr>
        <w:t>Dark Green Religion: Nature Spirituality and the Planetary Future</w:t>
      </w:r>
      <w:r w:rsidRPr="00001C2A">
        <w:t>. Berkeley: University of California Press.</w:t>
      </w:r>
    </w:p>
    <w:p w14:paraId="7104B69E" w14:textId="510A98EA" w:rsidR="00C023A6" w:rsidRPr="00001C2A" w:rsidRDefault="00C023A6" w:rsidP="00C023A6">
      <w:pPr>
        <w:tabs>
          <w:tab w:val="left" w:pos="955"/>
        </w:tabs>
        <w:jc w:val="both"/>
      </w:pPr>
      <w:r w:rsidRPr="00C023A6">
        <w:t xml:space="preserve">The Asahi Shimbun. (2024, April 19). </w:t>
      </w:r>
      <w:r w:rsidRPr="00C023A6">
        <w:rPr>
          <w:i/>
          <w:iCs/>
        </w:rPr>
        <w:t>Hayao Miyazaki listed on Time’s 100 influential people of 2024.</w:t>
      </w:r>
      <w:r w:rsidRPr="00C023A6">
        <w:t xml:space="preserve"> The Asahi Shimbun.</w:t>
      </w:r>
    </w:p>
    <w:p w14:paraId="4B781C2C" w14:textId="77777777" w:rsidR="00001C2A" w:rsidRPr="00001C2A" w:rsidRDefault="00001C2A" w:rsidP="00001C2A">
      <w:pPr>
        <w:tabs>
          <w:tab w:val="left" w:pos="955"/>
        </w:tabs>
        <w:jc w:val="both"/>
      </w:pPr>
      <w:r w:rsidRPr="00001C2A">
        <w:t xml:space="preserve">Tylor, E.B. (1871) </w:t>
      </w:r>
      <w:r w:rsidRPr="00001C2A">
        <w:rPr>
          <w:i/>
          <w:iCs/>
        </w:rPr>
        <w:t>Primitive Culture</w:t>
      </w:r>
      <w:r w:rsidRPr="00001C2A">
        <w:t>. London: John Murray.</w:t>
      </w:r>
      <w:r w:rsidRPr="00001C2A">
        <w:br/>
        <w:t xml:space="preserve">Cited in Harvey, G. (2005) </w:t>
      </w:r>
      <w:r w:rsidRPr="00001C2A">
        <w:rPr>
          <w:i/>
          <w:iCs/>
        </w:rPr>
        <w:t>Animism: Respecting the Living World</w:t>
      </w:r>
      <w:r w:rsidRPr="00001C2A">
        <w:t>. London: Hurst &amp; Company.</w:t>
      </w:r>
    </w:p>
    <w:p w14:paraId="59DD9F05" w14:textId="77777777" w:rsidR="00001C2A" w:rsidRPr="00001C2A" w:rsidRDefault="00001C2A" w:rsidP="00001C2A">
      <w:pPr>
        <w:tabs>
          <w:tab w:val="left" w:pos="955"/>
        </w:tabs>
        <w:jc w:val="both"/>
      </w:pPr>
      <w:r w:rsidRPr="00001C2A">
        <w:lastRenderedPageBreak/>
        <w:t xml:space="preserve">Viveiros de Castro, E. (2006) ‘Perspectivism and multinaturalism in Indigenous Amazonia’, in </w:t>
      </w:r>
      <w:r w:rsidRPr="00001C2A">
        <w:rPr>
          <w:i/>
          <w:iCs/>
        </w:rPr>
        <w:t>A Companion to the Anthropology of Religion</w:t>
      </w:r>
      <w:r w:rsidRPr="00001C2A">
        <w:t>. Oxford: Blackwell, pp. 439–459.</w:t>
      </w:r>
      <w:r w:rsidRPr="00001C2A">
        <w:br/>
        <w:t>(Originally published 1998.)</w:t>
      </w:r>
    </w:p>
    <w:p w14:paraId="262A7742" w14:textId="77777777" w:rsidR="00001C2A" w:rsidRPr="00001C2A" w:rsidRDefault="00001C2A" w:rsidP="00001C2A">
      <w:pPr>
        <w:tabs>
          <w:tab w:val="left" w:pos="955"/>
        </w:tabs>
        <w:jc w:val="both"/>
      </w:pPr>
      <w:r w:rsidRPr="00001C2A">
        <w:t xml:space="preserve">Weinstock, J.A. (2020) </w:t>
      </w:r>
      <w:r w:rsidRPr="00001C2A">
        <w:rPr>
          <w:i/>
          <w:iCs/>
        </w:rPr>
        <w:t>The Monster Theory Reader</w:t>
      </w:r>
      <w:r w:rsidRPr="00001C2A">
        <w:t>. Minneapolis: University of Minnesota Press.</w:t>
      </w:r>
    </w:p>
    <w:p w14:paraId="462DDCCB" w14:textId="77777777" w:rsidR="00001C2A" w:rsidRPr="00001C2A" w:rsidRDefault="00001C2A" w:rsidP="00001C2A">
      <w:pPr>
        <w:tabs>
          <w:tab w:val="left" w:pos="955"/>
        </w:tabs>
        <w:jc w:val="both"/>
      </w:pPr>
      <w:r w:rsidRPr="00001C2A">
        <w:t xml:space="preserve">White, L. (1967) ‘The historical roots of our ecologic crisis’, </w:t>
      </w:r>
      <w:r w:rsidRPr="00001C2A">
        <w:rPr>
          <w:i/>
          <w:iCs/>
        </w:rPr>
        <w:t>Science</w:t>
      </w:r>
      <w:r w:rsidRPr="00001C2A">
        <w:t>, 155(3767), pp. 1203–1207.</w:t>
      </w:r>
    </w:p>
    <w:p w14:paraId="687C2BF7" w14:textId="77777777" w:rsidR="00001C2A" w:rsidRPr="00001C2A" w:rsidRDefault="00001C2A" w:rsidP="00001C2A">
      <w:pPr>
        <w:tabs>
          <w:tab w:val="left" w:pos="955"/>
        </w:tabs>
        <w:jc w:val="both"/>
      </w:pPr>
      <w:r w:rsidRPr="00001C2A">
        <w:t xml:space="preserve">Wohlleben, P. (2016) </w:t>
      </w:r>
      <w:r w:rsidRPr="00001C2A">
        <w:rPr>
          <w:i/>
          <w:iCs/>
        </w:rPr>
        <w:t>The Hidden Life of Trees</w:t>
      </w:r>
      <w:r w:rsidRPr="00001C2A">
        <w:t>. London: William Collins.</w:t>
      </w:r>
    </w:p>
    <w:p w14:paraId="5C671D80" w14:textId="0BEB2838" w:rsidR="00331EB8" w:rsidRPr="00001C2A" w:rsidRDefault="00001C2A" w:rsidP="00001C2A">
      <w:pPr>
        <w:tabs>
          <w:tab w:val="left" w:pos="955"/>
        </w:tabs>
        <w:jc w:val="both"/>
      </w:pPr>
      <w:r w:rsidRPr="00001C2A">
        <w:t xml:space="preserve">Yoda, T. and Harootunian, H.D. (2006) </w:t>
      </w:r>
      <w:r w:rsidRPr="00001C2A">
        <w:rPr>
          <w:i/>
          <w:iCs/>
        </w:rPr>
        <w:t>Japan After Japan: Social and Cultural Life from the Recessionary 1990s to the Present</w:t>
      </w:r>
      <w:r w:rsidRPr="00001C2A">
        <w:t>. Durham, NC: Duke University Press.</w:t>
      </w:r>
    </w:p>
    <w:sectPr w:rsidR="00331EB8" w:rsidRPr="00001C2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E57C5" w14:textId="77777777" w:rsidR="003015DB" w:rsidRDefault="003015DB" w:rsidP="00D43F61">
      <w:pPr>
        <w:spacing w:after="0" w:line="240" w:lineRule="auto"/>
      </w:pPr>
      <w:r>
        <w:separator/>
      </w:r>
    </w:p>
  </w:endnote>
  <w:endnote w:type="continuationSeparator" w:id="0">
    <w:p w14:paraId="4B6D82F7" w14:textId="77777777" w:rsidR="003015DB" w:rsidRDefault="003015DB" w:rsidP="00D43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Neue">
    <w:altName w:val="Times New Roman"/>
    <w:charset w:val="00"/>
    <w:family w:val="roman"/>
    <w:pitch w:val="default"/>
  </w:font>
  <w:font w:name="Arial Unicode MS">
    <w:panose1 w:val="020B0604020202020204"/>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B8CE1" w14:textId="77777777" w:rsidR="003015DB" w:rsidRDefault="003015DB" w:rsidP="00D43F61">
      <w:pPr>
        <w:spacing w:after="0" w:line="240" w:lineRule="auto"/>
      </w:pPr>
      <w:r>
        <w:separator/>
      </w:r>
    </w:p>
  </w:footnote>
  <w:footnote w:type="continuationSeparator" w:id="0">
    <w:p w14:paraId="28004792" w14:textId="77777777" w:rsidR="003015DB" w:rsidRDefault="003015DB" w:rsidP="00D43F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2936C0"/>
    <w:multiLevelType w:val="hybridMultilevel"/>
    <w:tmpl w:val="65889DAC"/>
    <w:lvl w:ilvl="0" w:tplc="391E8F3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6B5E84"/>
    <w:multiLevelType w:val="hybridMultilevel"/>
    <w:tmpl w:val="A7143C10"/>
    <w:lvl w:ilvl="0" w:tplc="04090011">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543C50AF"/>
    <w:multiLevelType w:val="hybridMultilevel"/>
    <w:tmpl w:val="CD7A65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4625500">
    <w:abstractNumId w:val="0"/>
  </w:num>
  <w:num w:numId="2" w16cid:durableId="827135959">
    <w:abstractNumId w:val="1"/>
  </w:num>
  <w:num w:numId="3" w16cid:durableId="1372152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6FD"/>
    <w:rsid w:val="00000E77"/>
    <w:rsid w:val="00001C2A"/>
    <w:rsid w:val="0003258A"/>
    <w:rsid w:val="0004517F"/>
    <w:rsid w:val="000805C8"/>
    <w:rsid w:val="000810AA"/>
    <w:rsid w:val="0009059A"/>
    <w:rsid w:val="000C0A04"/>
    <w:rsid w:val="000E3374"/>
    <w:rsid w:val="001850D5"/>
    <w:rsid w:val="001B0053"/>
    <w:rsid w:val="001B61F9"/>
    <w:rsid w:val="001F53B0"/>
    <w:rsid w:val="00204D25"/>
    <w:rsid w:val="00222E3A"/>
    <w:rsid w:val="00250E65"/>
    <w:rsid w:val="00271132"/>
    <w:rsid w:val="002768E9"/>
    <w:rsid w:val="00283AC3"/>
    <w:rsid w:val="002D4A14"/>
    <w:rsid w:val="002D77E7"/>
    <w:rsid w:val="002D77FE"/>
    <w:rsid w:val="002E129F"/>
    <w:rsid w:val="002E6317"/>
    <w:rsid w:val="002E6770"/>
    <w:rsid w:val="002E7FCE"/>
    <w:rsid w:val="003015DB"/>
    <w:rsid w:val="00317CFD"/>
    <w:rsid w:val="00320B89"/>
    <w:rsid w:val="00331EB8"/>
    <w:rsid w:val="00352869"/>
    <w:rsid w:val="00356C7D"/>
    <w:rsid w:val="00361563"/>
    <w:rsid w:val="00370A63"/>
    <w:rsid w:val="00376540"/>
    <w:rsid w:val="00392EFD"/>
    <w:rsid w:val="0039563F"/>
    <w:rsid w:val="003A03DA"/>
    <w:rsid w:val="003B10C4"/>
    <w:rsid w:val="003F0336"/>
    <w:rsid w:val="00427E8D"/>
    <w:rsid w:val="00442BF9"/>
    <w:rsid w:val="00443B23"/>
    <w:rsid w:val="00453DF0"/>
    <w:rsid w:val="004634E7"/>
    <w:rsid w:val="004824AD"/>
    <w:rsid w:val="004B35AD"/>
    <w:rsid w:val="004F3C44"/>
    <w:rsid w:val="004F5206"/>
    <w:rsid w:val="00501492"/>
    <w:rsid w:val="0050629A"/>
    <w:rsid w:val="0051113D"/>
    <w:rsid w:val="0052455D"/>
    <w:rsid w:val="005544BE"/>
    <w:rsid w:val="00556BFD"/>
    <w:rsid w:val="005B7121"/>
    <w:rsid w:val="00605B26"/>
    <w:rsid w:val="0064415A"/>
    <w:rsid w:val="00663A5F"/>
    <w:rsid w:val="00684EEE"/>
    <w:rsid w:val="00694B7B"/>
    <w:rsid w:val="006A7148"/>
    <w:rsid w:val="006D5EE6"/>
    <w:rsid w:val="006F4F8D"/>
    <w:rsid w:val="007061F3"/>
    <w:rsid w:val="00716BC6"/>
    <w:rsid w:val="007209BE"/>
    <w:rsid w:val="00724646"/>
    <w:rsid w:val="007536FD"/>
    <w:rsid w:val="00766B33"/>
    <w:rsid w:val="00770961"/>
    <w:rsid w:val="00772559"/>
    <w:rsid w:val="00792E3D"/>
    <w:rsid w:val="007A2C5D"/>
    <w:rsid w:val="007A608D"/>
    <w:rsid w:val="007B7243"/>
    <w:rsid w:val="007D02FD"/>
    <w:rsid w:val="007E3951"/>
    <w:rsid w:val="007F02E7"/>
    <w:rsid w:val="007F29B1"/>
    <w:rsid w:val="00824B88"/>
    <w:rsid w:val="008276F0"/>
    <w:rsid w:val="00827B9F"/>
    <w:rsid w:val="008377BB"/>
    <w:rsid w:val="008405C0"/>
    <w:rsid w:val="00870F00"/>
    <w:rsid w:val="008A2B7C"/>
    <w:rsid w:val="008D75D5"/>
    <w:rsid w:val="008E32C1"/>
    <w:rsid w:val="00910C10"/>
    <w:rsid w:val="0092629A"/>
    <w:rsid w:val="00937F6A"/>
    <w:rsid w:val="00942E72"/>
    <w:rsid w:val="0095190C"/>
    <w:rsid w:val="009772C6"/>
    <w:rsid w:val="009A503D"/>
    <w:rsid w:val="009E352B"/>
    <w:rsid w:val="009F43CE"/>
    <w:rsid w:val="00A06582"/>
    <w:rsid w:val="00A65816"/>
    <w:rsid w:val="00A83869"/>
    <w:rsid w:val="00AA67C1"/>
    <w:rsid w:val="00AA797D"/>
    <w:rsid w:val="00AC72EF"/>
    <w:rsid w:val="00AD7656"/>
    <w:rsid w:val="00AF6F63"/>
    <w:rsid w:val="00B139EC"/>
    <w:rsid w:val="00B20401"/>
    <w:rsid w:val="00B222B8"/>
    <w:rsid w:val="00B427E9"/>
    <w:rsid w:val="00B508B9"/>
    <w:rsid w:val="00B712D7"/>
    <w:rsid w:val="00B90C5E"/>
    <w:rsid w:val="00BC102F"/>
    <w:rsid w:val="00BE4E6C"/>
    <w:rsid w:val="00BE6D54"/>
    <w:rsid w:val="00BF759F"/>
    <w:rsid w:val="00C0138C"/>
    <w:rsid w:val="00C023A6"/>
    <w:rsid w:val="00C1597A"/>
    <w:rsid w:val="00C24507"/>
    <w:rsid w:val="00C376B3"/>
    <w:rsid w:val="00C5037C"/>
    <w:rsid w:val="00C716EA"/>
    <w:rsid w:val="00CA147F"/>
    <w:rsid w:val="00CB638C"/>
    <w:rsid w:val="00CC0BE7"/>
    <w:rsid w:val="00CF1F4A"/>
    <w:rsid w:val="00D047E1"/>
    <w:rsid w:val="00D31D24"/>
    <w:rsid w:val="00D43F61"/>
    <w:rsid w:val="00D46A0F"/>
    <w:rsid w:val="00D72953"/>
    <w:rsid w:val="00DA44D6"/>
    <w:rsid w:val="00DD4C8B"/>
    <w:rsid w:val="00DD6B1D"/>
    <w:rsid w:val="00E63704"/>
    <w:rsid w:val="00E63858"/>
    <w:rsid w:val="00E66452"/>
    <w:rsid w:val="00E706F2"/>
    <w:rsid w:val="00E945CA"/>
    <w:rsid w:val="00E96C7B"/>
    <w:rsid w:val="00EA1A01"/>
    <w:rsid w:val="00EB04A5"/>
    <w:rsid w:val="00EE5A4A"/>
    <w:rsid w:val="00F17602"/>
    <w:rsid w:val="00F45465"/>
    <w:rsid w:val="00F65EFD"/>
    <w:rsid w:val="00F927A7"/>
    <w:rsid w:val="00FA2F6D"/>
    <w:rsid w:val="00FA6F0C"/>
    <w:rsid w:val="00FE1475"/>
    <w:rsid w:val="00FE22F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CCC0B"/>
  <w15:chartTrackingRefBased/>
  <w15:docId w15:val="{4247E2A3-3CDC-4A37-8D62-8FDB803D4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6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36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7536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36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36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36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36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36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36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36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36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36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36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36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36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36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36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36FD"/>
    <w:rPr>
      <w:rFonts w:eastAsiaTheme="majorEastAsia" w:cstheme="majorBidi"/>
      <w:color w:val="272727" w:themeColor="text1" w:themeTint="D8"/>
    </w:rPr>
  </w:style>
  <w:style w:type="paragraph" w:styleId="Title">
    <w:name w:val="Title"/>
    <w:basedOn w:val="Normal"/>
    <w:next w:val="Normal"/>
    <w:link w:val="TitleChar"/>
    <w:uiPriority w:val="10"/>
    <w:qFormat/>
    <w:rsid w:val="007536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36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36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36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36FD"/>
    <w:pPr>
      <w:spacing w:before="160"/>
      <w:jc w:val="center"/>
    </w:pPr>
    <w:rPr>
      <w:i/>
      <w:iCs/>
      <w:color w:val="404040" w:themeColor="text1" w:themeTint="BF"/>
    </w:rPr>
  </w:style>
  <w:style w:type="character" w:customStyle="1" w:styleId="QuoteChar">
    <w:name w:val="Quote Char"/>
    <w:basedOn w:val="DefaultParagraphFont"/>
    <w:link w:val="Quote"/>
    <w:uiPriority w:val="29"/>
    <w:rsid w:val="007536FD"/>
    <w:rPr>
      <w:i/>
      <w:iCs/>
      <w:color w:val="404040" w:themeColor="text1" w:themeTint="BF"/>
    </w:rPr>
  </w:style>
  <w:style w:type="paragraph" w:styleId="ListParagraph">
    <w:name w:val="List Paragraph"/>
    <w:basedOn w:val="Normal"/>
    <w:uiPriority w:val="34"/>
    <w:qFormat/>
    <w:rsid w:val="007536FD"/>
    <w:pPr>
      <w:ind w:left="720"/>
      <w:contextualSpacing/>
    </w:pPr>
  </w:style>
  <w:style w:type="character" w:styleId="IntenseEmphasis">
    <w:name w:val="Intense Emphasis"/>
    <w:basedOn w:val="DefaultParagraphFont"/>
    <w:uiPriority w:val="21"/>
    <w:qFormat/>
    <w:rsid w:val="007536FD"/>
    <w:rPr>
      <w:i/>
      <w:iCs/>
      <w:color w:val="0F4761" w:themeColor="accent1" w:themeShade="BF"/>
    </w:rPr>
  </w:style>
  <w:style w:type="paragraph" w:styleId="IntenseQuote">
    <w:name w:val="Intense Quote"/>
    <w:basedOn w:val="Normal"/>
    <w:next w:val="Normal"/>
    <w:link w:val="IntenseQuoteChar"/>
    <w:uiPriority w:val="30"/>
    <w:qFormat/>
    <w:rsid w:val="007536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36FD"/>
    <w:rPr>
      <w:i/>
      <w:iCs/>
      <w:color w:val="0F4761" w:themeColor="accent1" w:themeShade="BF"/>
    </w:rPr>
  </w:style>
  <w:style w:type="character" w:styleId="IntenseReference">
    <w:name w:val="Intense Reference"/>
    <w:basedOn w:val="DefaultParagraphFont"/>
    <w:uiPriority w:val="32"/>
    <w:qFormat/>
    <w:rsid w:val="007536FD"/>
    <w:rPr>
      <w:b/>
      <w:bCs/>
      <w:smallCaps/>
      <w:color w:val="0F4761" w:themeColor="accent1" w:themeShade="BF"/>
      <w:spacing w:val="5"/>
    </w:rPr>
  </w:style>
  <w:style w:type="paragraph" w:styleId="Header">
    <w:name w:val="header"/>
    <w:basedOn w:val="Normal"/>
    <w:link w:val="HeaderChar"/>
    <w:uiPriority w:val="99"/>
    <w:unhideWhenUsed/>
    <w:rsid w:val="00D43F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3F61"/>
  </w:style>
  <w:style w:type="paragraph" w:styleId="Footer">
    <w:name w:val="footer"/>
    <w:basedOn w:val="Normal"/>
    <w:link w:val="FooterChar"/>
    <w:uiPriority w:val="99"/>
    <w:unhideWhenUsed/>
    <w:rsid w:val="00D43F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3F61"/>
  </w:style>
  <w:style w:type="character" w:styleId="Hyperlink">
    <w:name w:val="Hyperlink"/>
    <w:basedOn w:val="DefaultParagraphFont"/>
    <w:uiPriority w:val="99"/>
    <w:unhideWhenUsed/>
    <w:rsid w:val="00DA44D6"/>
    <w:rPr>
      <w:color w:val="467886" w:themeColor="hyperlink"/>
      <w:u w:val="single"/>
    </w:rPr>
  </w:style>
  <w:style w:type="character" w:styleId="UnresolvedMention">
    <w:name w:val="Unresolved Mention"/>
    <w:basedOn w:val="DefaultParagraphFont"/>
    <w:uiPriority w:val="99"/>
    <w:semiHidden/>
    <w:unhideWhenUsed/>
    <w:rsid w:val="00DA44D6"/>
    <w:rPr>
      <w:color w:val="605E5C"/>
      <w:shd w:val="clear" w:color="auto" w:fill="E1DFDD"/>
    </w:rPr>
  </w:style>
  <w:style w:type="paragraph" w:customStyle="1" w:styleId="Body">
    <w:name w:val="Body"/>
    <w:rsid w:val="003A03DA"/>
    <w:pPr>
      <w:spacing w:before="160" w:after="0" w:line="240" w:lineRule="auto"/>
    </w:pPr>
    <w:rPr>
      <w:rFonts w:ascii="Helvetica Neue" w:eastAsia="Arial Unicode MS" w:hAnsi="Helvetica Neue" w:cs="Arial Unicode MS"/>
      <w:color w:val="000000"/>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v.go.jp/en/recycl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ensoneo.com/global-waste-index/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1720</TotalTime>
  <Pages>19</Pages>
  <Words>5611</Words>
  <Characters>31984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63</cp:revision>
  <dcterms:created xsi:type="dcterms:W3CDTF">2026-01-03T00:03:00Z</dcterms:created>
  <dcterms:modified xsi:type="dcterms:W3CDTF">2026-01-05T22:37:00Z</dcterms:modified>
</cp:coreProperties>
</file>