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760F9D" w14:textId="77777777" w:rsidR="000E4AA8" w:rsidRPr="009937AD" w:rsidRDefault="000E4AA8" w:rsidP="009937AD">
      <w:pPr>
        <w:pStyle w:val="Title"/>
        <w:numPr>
          <w:ilvl w:val="1"/>
          <w:numId w:val="0"/>
        </w:numPr>
        <w:pBdr>
          <w:bottom w:val="none" w:sz="0" w:space="0" w:color="auto"/>
        </w:pBdr>
        <w:spacing w:after="80"/>
        <w:rPr>
          <w:rFonts w:cs="Arial"/>
          <w:noProof/>
          <w:color w:val="auto"/>
          <w:spacing w:val="-10"/>
          <w:sz w:val="24"/>
          <w:szCs w:val="24"/>
          <w:lang w:val="en-GB" w:eastAsia="en-IN"/>
        </w:rPr>
      </w:pPr>
      <w:r w:rsidRPr="009937AD">
        <w:rPr>
          <w:rFonts w:cs="Arial"/>
          <w:noProof/>
          <w:color w:val="auto"/>
          <w:spacing w:val="-10"/>
          <w:sz w:val="24"/>
          <w:szCs w:val="24"/>
          <w:lang w:val="en-GB" w:eastAsia="en-IN"/>
        </w:rPr>
        <w:drawing>
          <wp:inline distT="0" distB="0" distL="0" distR="0" wp14:anchorId="124200D6" wp14:editId="0926BC88">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5836" cy="1291786"/>
                    </a:xfrm>
                    <a:prstGeom prst="rect">
                      <a:avLst/>
                    </a:prstGeom>
                    <a:noFill/>
                    <a:ln>
                      <a:noFill/>
                    </a:ln>
                  </pic:spPr>
                </pic:pic>
              </a:graphicData>
            </a:graphic>
          </wp:inline>
        </w:drawing>
      </w:r>
    </w:p>
    <w:p w14:paraId="4869FD5F" w14:textId="77777777" w:rsidR="00672ED4" w:rsidRPr="009937AD" w:rsidRDefault="00672ED4" w:rsidP="009937AD">
      <w:pPr>
        <w:pStyle w:val="Title"/>
        <w:numPr>
          <w:ilvl w:val="1"/>
          <w:numId w:val="0"/>
        </w:numPr>
        <w:pBdr>
          <w:bottom w:val="none" w:sz="0" w:space="0" w:color="auto"/>
        </w:pBdr>
        <w:spacing w:after="80"/>
        <w:rPr>
          <w:rFonts w:cs="Arial"/>
          <w:noProof/>
          <w:color w:val="auto"/>
          <w:spacing w:val="-10"/>
          <w:sz w:val="24"/>
          <w:szCs w:val="24"/>
          <w:lang w:val="en-GB" w:eastAsia="en-IN"/>
        </w:rPr>
      </w:pPr>
    </w:p>
    <w:p w14:paraId="2DB86D7E" w14:textId="4FD16439" w:rsidR="000E4AA8" w:rsidRPr="000E4AA8" w:rsidRDefault="00B83BA1" w:rsidP="000E4AA8">
      <w:pPr>
        <w:pStyle w:val="Title"/>
        <w:pBdr>
          <w:bottom w:val="none" w:sz="0" w:space="0" w:color="auto"/>
        </w:pBdr>
        <w:spacing w:after="80"/>
        <w:jc w:val="center"/>
        <w:rPr>
          <w:rFonts w:ascii="Times New Roman" w:hAnsi="Times New Roman" w:cs="Times New Roman"/>
          <w:b/>
          <w:bCs/>
          <w:color w:val="auto"/>
          <w:spacing w:val="-10"/>
          <w:sz w:val="56"/>
          <w:szCs w:val="56"/>
          <w:lang w:val="en-GB"/>
        </w:rPr>
      </w:pPr>
      <w:r w:rsidRPr="00B83BA1">
        <w:rPr>
          <w:rFonts w:ascii="Times New Roman" w:hAnsi="Times New Roman" w:cs="Times New Roman"/>
          <w:b/>
          <w:bCs/>
          <w:color w:val="auto"/>
          <w:spacing w:val="-10"/>
          <w:sz w:val="56"/>
          <w:szCs w:val="56"/>
          <w:lang w:val="en-GB"/>
        </w:rPr>
        <w:t>Sustainable Hospitality &amp; Tourism</w:t>
      </w:r>
      <w:r>
        <w:rPr>
          <w:rFonts w:ascii="Times New Roman" w:hAnsi="Times New Roman" w:cs="Times New Roman"/>
          <w:b/>
          <w:bCs/>
          <w:color w:val="auto"/>
          <w:spacing w:val="-10"/>
          <w:sz w:val="56"/>
          <w:szCs w:val="56"/>
          <w:lang w:val="en-GB"/>
        </w:rPr>
        <w:t xml:space="preserve"> </w:t>
      </w:r>
      <w:r w:rsidR="000E4AA8" w:rsidRPr="000E4AA8">
        <w:rPr>
          <w:rFonts w:ascii="Times New Roman" w:hAnsi="Times New Roman" w:cs="Times New Roman"/>
          <w:b/>
          <w:bCs/>
          <w:color w:val="auto"/>
          <w:spacing w:val="-10"/>
          <w:sz w:val="56"/>
          <w:szCs w:val="56"/>
          <w:lang w:val="en-GB"/>
        </w:rPr>
        <w:t>Management</w:t>
      </w:r>
      <w:r>
        <w:rPr>
          <w:rFonts w:ascii="Times New Roman" w:hAnsi="Times New Roman" w:cs="Times New Roman"/>
          <w:b/>
          <w:bCs/>
          <w:color w:val="auto"/>
          <w:spacing w:val="-10"/>
          <w:sz w:val="56"/>
          <w:szCs w:val="56"/>
          <w:lang w:val="en-GB"/>
        </w:rPr>
        <w:t xml:space="preserve"> - </w:t>
      </w:r>
      <w:r w:rsidRPr="00B83BA1">
        <w:rPr>
          <w:rFonts w:ascii="Times New Roman" w:hAnsi="Times New Roman" w:cs="Times New Roman"/>
          <w:b/>
          <w:bCs/>
          <w:color w:val="auto"/>
          <w:spacing w:val="-10"/>
          <w:sz w:val="56"/>
          <w:szCs w:val="56"/>
          <w:lang w:val="en-GB"/>
        </w:rPr>
        <w:t>BMIH5006</w:t>
      </w:r>
    </w:p>
    <w:p w14:paraId="211E9972" w14:textId="77777777" w:rsidR="000E4AA8" w:rsidRPr="000E4AA8" w:rsidRDefault="000E4AA8" w:rsidP="000E4AA8">
      <w:pPr>
        <w:rPr>
          <w:b/>
          <w:bCs/>
        </w:rPr>
      </w:pPr>
    </w:p>
    <w:p w14:paraId="10084389" w14:textId="5DC1F209" w:rsidR="000E4AA8" w:rsidRPr="00B83BA1" w:rsidRDefault="005B32DF" w:rsidP="000E4AA8">
      <w:pPr>
        <w:jc w:val="center"/>
        <w:rPr>
          <w:rFonts w:ascii="Times New Roman" w:hAnsi="Times New Roman" w:cs="Times New Roman"/>
          <w:b/>
          <w:bCs/>
          <w:sz w:val="52"/>
          <w:szCs w:val="52"/>
          <w:u w:val="single"/>
        </w:rPr>
      </w:pPr>
      <w:r w:rsidRPr="00B83BA1">
        <w:rPr>
          <w:rFonts w:eastAsiaTheme="minorEastAsia"/>
          <w:b/>
          <w:bCs/>
          <w:color w:val="5A5A5A" w:themeColor="text1" w:themeTint="A5"/>
          <w:spacing w:val="15"/>
          <w:kern w:val="2"/>
          <w:sz w:val="52"/>
          <w:szCs w:val="52"/>
          <w:u w:val="single"/>
          <w14:ligatures w14:val="standardContextual"/>
        </w:rPr>
        <w:t>Essay</w:t>
      </w:r>
    </w:p>
    <w:p w14:paraId="779A1C1B" w14:textId="77777777" w:rsidR="000E4AA8" w:rsidRDefault="000E4AA8"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4764AF03" w14:textId="0B187BB1" w:rsidR="000E4AA8" w:rsidRPr="000E4AA8" w:rsidRDefault="005B32DF"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r>
        <w:rPr>
          <w:rFonts w:ascii="Times New Roman" w:hAnsi="Times New Roman" w:cs="Times New Roman"/>
          <w:b/>
          <w:bCs/>
          <w:color w:val="auto"/>
          <w:spacing w:val="-10"/>
          <w:sz w:val="32"/>
          <w:szCs w:val="32"/>
          <w:lang w:val="en-GB"/>
        </w:rPr>
        <w:br/>
      </w:r>
      <w:r w:rsidR="000E4AA8" w:rsidRPr="000E4AA8">
        <w:rPr>
          <w:rFonts w:ascii="Times New Roman" w:hAnsi="Times New Roman" w:cs="Times New Roman"/>
          <w:b/>
          <w:bCs/>
          <w:color w:val="auto"/>
          <w:spacing w:val="-10"/>
          <w:sz w:val="32"/>
          <w:szCs w:val="32"/>
          <w:lang w:val="en-GB"/>
        </w:rPr>
        <w:t>Student name: Mihaita Ionut Manda</w:t>
      </w:r>
    </w:p>
    <w:p w14:paraId="7C9AE253" w14:textId="77777777" w:rsidR="000E4AA8" w:rsidRPr="000E4AA8" w:rsidRDefault="000E4AA8"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5CE97AFE" w14:textId="77777777" w:rsidR="000E4AA8" w:rsidRPr="000E4AA8" w:rsidRDefault="000E4AA8"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r w:rsidRPr="000E4AA8">
        <w:rPr>
          <w:rFonts w:ascii="Times New Roman" w:hAnsi="Times New Roman" w:cs="Times New Roman"/>
          <w:b/>
          <w:bCs/>
          <w:color w:val="auto"/>
          <w:spacing w:val="-10"/>
          <w:sz w:val="32"/>
          <w:szCs w:val="32"/>
          <w:lang w:val="en-GB"/>
        </w:rPr>
        <w:t>Student ID number: 2232074</w:t>
      </w:r>
    </w:p>
    <w:p w14:paraId="04205165" w14:textId="77777777" w:rsidR="000E4AA8" w:rsidRPr="000E4AA8" w:rsidRDefault="000E4AA8"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66DF517A" w14:textId="41B43F9F" w:rsidR="000E4AA8" w:rsidRPr="000E4AA8" w:rsidRDefault="000E4AA8"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r w:rsidRPr="000E4AA8">
        <w:rPr>
          <w:rFonts w:ascii="Times New Roman" w:hAnsi="Times New Roman" w:cs="Times New Roman"/>
          <w:b/>
          <w:bCs/>
          <w:color w:val="auto"/>
          <w:spacing w:val="-10"/>
          <w:sz w:val="32"/>
          <w:szCs w:val="32"/>
          <w:lang w:val="en-GB"/>
        </w:rPr>
        <w:t xml:space="preserve">Lecturer: </w:t>
      </w:r>
      <w:r w:rsidR="00E7446D" w:rsidRPr="00E7446D">
        <w:rPr>
          <w:rFonts w:ascii="Times New Roman" w:hAnsi="Times New Roman" w:cs="Times New Roman"/>
          <w:b/>
          <w:bCs/>
          <w:color w:val="auto"/>
          <w:spacing w:val="-10"/>
          <w:sz w:val="32"/>
          <w:szCs w:val="32"/>
          <w:lang w:val="en-GB"/>
        </w:rPr>
        <w:t>Daniel Payne</w:t>
      </w:r>
    </w:p>
    <w:p w14:paraId="2045A198" w14:textId="77777777" w:rsidR="000E4AA8" w:rsidRPr="000E4AA8" w:rsidRDefault="000E4AA8"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2A5509C1" w14:textId="7FC93AA0" w:rsidR="000E4AA8" w:rsidRPr="000E4AA8" w:rsidRDefault="000E4AA8"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r w:rsidRPr="000E4AA8">
        <w:rPr>
          <w:rFonts w:ascii="Times New Roman" w:hAnsi="Times New Roman" w:cs="Times New Roman"/>
          <w:b/>
          <w:bCs/>
          <w:color w:val="auto"/>
          <w:spacing w:val="-10"/>
          <w:sz w:val="32"/>
          <w:szCs w:val="32"/>
          <w:lang w:val="en-GB"/>
        </w:rPr>
        <w:t>Word Count: 2</w:t>
      </w:r>
      <w:r w:rsidR="00675DA3">
        <w:rPr>
          <w:rFonts w:ascii="Times New Roman" w:hAnsi="Times New Roman" w:cs="Times New Roman"/>
          <w:b/>
          <w:bCs/>
          <w:color w:val="auto"/>
          <w:spacing w:val="-10"/>
          <w:sz w:val="32"/>
          <w:szCs w:val="32"/>
          <w:lang w:val="en-GB"/>
        </w:rPr>
        <w:t>0</w:t>
      </w:r>
      <w:r w:rsidR="006E254C">
        <w:rPr>
          <w:rFonts w:ascii="Times New Roman" w:hAnsi="Times New Roman" w:cs="Times New Roman"/>
          <w:b/>
          <w:bCs/>
          <w:color w:val="auto"/>
          <w:spacing w:val="-10"/>
          <w:sz w:val="32"/>
          <w:szCs w:val="32"/>
          <w:lang w:val="en-GB"/>
        </w:rPr>
        <w:t>48</w:t>
      </w:r>
    </w:p>
    <w:p w14:paraId="1B63FA2C" w14:textId="77777777" w:rsidR="000E4AA8" w:rsidRPr="000E4AA8" w:rsidRDefault="000E4AA8" w:rsidP="000E4AA8">
      <w:pPr>
        <w:pStyle w:val="Title"/>
        <w:pBdr>
          <w:bottom w:val="none" w:sz="0" w:space="0" w:color="auto"/>
        </w:pBdr>
        <w:spacing w:after="0"/>
        <w:jc w:val="both"/>
        <w:rPr>
          <w:rFonts w:ascii="Times New Roman" w:hAnsi="Times New Roman" w:cs="Times New Roman"/>
          <w:b/>
          <w:bCs/>
          <w:color w:val="auto"/>
          <w:spacing w:val="-10"/>
          <w:sz w:val="32"/>
          <w:szCs w:val="32"/>
          <w:lang w:val="en-GB"/>
        </w:rPr>
      </w:pPr>
    </w:p>
    <w:p w14:paraId="65812148" w14:textId="77777777" w:rsidR="000E4AA8" w:rsidRPr="00880A09" w:rsidRDefault="000E4AA8" w:rsidP="000E4AA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14:paraId="25E6A2F2" w14:textId="77777777" w:rsidR="000E4AA8" w:rsidRPr="00880A09" w:rsidRDefault="000E4AA8" w:rsidP="000E4AA8">
      <w:pPr>
        <w:spacing w:line="360" w:lineRule="auto"/>
        <w:jc w:val="both"/>
        <w:rPr>
          <w:rFonts w:ascii="Times New Roman" w:hAnsi="Times New Roman" w:cs="Times New Roman"/>
          <w:b/>
          <w:sz w:val="24"/>
          <w:szCs w:val="24"/>
        </w:rPr>
      </w:pPr>
    </w:p>
    <w:p w14:paraId="1C05E4F3" w14:textId="77777777" w:rsidR="000E4AA8" w:rsidRPr="00880A09" w:rsidRDefault="000E4AA8" w:rsidP="000E4AA8">
      <w:pPr>
        <w:spacing w:line="360" w:lineRule="auto"/>
        <w:jc w:val="both"/>
        <w:rPr>
          <w:rFonts w:ascii="Times New Roman" w:hAnsi="Times New Roman" w:cs="Times New Roman"/>
          <w:b/>
          <w:sz w:val="24"/>
          <w:szCs w:val="24"/>
        </w:rPr>
      </w:pPr>
      <w:r w:rsidRPr="00880A09">
        <w:rPr>
          <w:rFonts w:ascii="Times New Roman" w:hAnsi="Times New Roman" w:cs="Times New Roman"/>
          <w:b/>
          <w:sz w:val="24"/>
          <w:szCs w:val="24"/>
        </w:rPr>
        <w:t xml:space="preserve">Declaration </w:t>
      </w:r>
    </w:p>
    <w:p w14:paraId="45E3ED74" w14:textId="17A1A354" w:rsidR="00C30A7B" w:rsidRPr="000E4AA8" w:rsidRDefault="000E4AA8" w:rsidP="000E4AA8">
      <w:pPr>
        <w:spacing w:line="360" w:lineRule="auto"/>
        <w:jc w:val="both"/>
      </w:pPr>
      <w:r w:rsidRPr="00880A09">
        <w:rPr>
          <w:rFonts w:ascii="Times New Roman" w:hAnsi="Times New Roman" w:cs="Times New Roman"/>
          <w:sz w:val="24"/>
          <w:szCs w:val="24"/>
        </w:rPr>
        <w:t>I assure you that this report is the result of my individual work only. As for this work, none of the AI tools were used in writing. All the research was done from academic sources mainly Google Scholar, reports and trustable sources to ensure that the research carries the highest standards of research.</w:t>
      </w:r>
      <w:r w:rsidR="00CE72A6">
        <w:br w:type="page"/>
      </w:r>
    </w:p>
    <w:p w14:paraId="59102A27" w14:textId="77777777" w:rsidR="00675DA3" w:rsidRPr="00675DA3" w:rsidRDefault="00675DA3" w:rsidP="00675DA3">
      <w:pPr>
        <w:jc w:val="center"/>
        <w:rPr>
          <w:rFonts w:eastAsiaTheme="minorEastAsia"/>
          <w:color w:val="5A5A5A" w:themeColor="text1" w:themeTint="A5"/>
          <w:spacing w:val="15"/>
          <w:kern w:val="2"/>
          <w:sz w:val="40"/>
          <w:szCs w:val="40"/>
          <w:lang w:val="en-GB"/>
          <w14:ligatures w14:val="standardContextual"/>
        </w:rPr>
      </w:pPr>
      <w:r w:rsidRPr="00675DA3">
        <w:rPr>
          <w:rFonts w:eastAsiaTheme="minorEastAsia"/>
          <w:color w:val="5A5A5A" w:themeColor="text1" w:themeTint="A5"/>
          <w:spacing w:val="15"/>
          <w:kern w:val="2"/>
          <w:sz w:val="40"/>
          <w:szCs w:val="40"/>
          <w:lang w:val="en-GB"/>
          <w14:ligatures w14:val="standardContextual"/>
        </w:rPr>
        <w:lastRenderedPageBreak/>
        <w:t>Essay</w:t>
      </w:r>
    </w:p>
    <w:p w14:paraId="5C6E867C" w14:textId="77777777" w:rsidR="009C712A" w:rsidRPr="009C712A" w:rsidRDefault="009C712A" w:rsidP="009C712A">
      <w:pPr>
        <w:spacing w:line="360" w:lineRule="auto"/>
        <w:ind w:firstLine="720"/>
        <w:jc w:val="both"/>
        <w:rPr>
          <w:rFonts w:ascii="Arial" w:hAnsi="Arial" w:cs="Arial"/>
          <w:sz w:val="24"/>
          <w:szCs w:val="24"/>
        </w:rPr>
      </w:pPr>
      <w:r w:rsidRPr="009C712A">
        <w:rPr>
          <w:rFonts w:ascii="Arial" w:hAnsi="Arial" w:cs="Arial"/>
          <w:sz w:val="24"/>
          <w:szCs w:val="24"/>
        </w:rPr>
        <w:t>Understanding Green and Sustainable Practices in Hospitality, green and sustainable practices refer to all strategies businesses adopt that, through environmental consciousness and social response, will reduce their adverse impact on the planet and ensure long-term economic viability. Sustainability is also growing as an imperative in hospitality, as hotels and resorts look toward reducing their carbon footprint, preserving their resources, and aligning themselves with global environmental goals (Molina et al., 2022).  Sustained hospitality focuses on just a few areas that revolve around, that will be pursued like using renewable energy such as solar or wind power, energy-efficient appliances, and smart technology that maximizes the intake of energy, low-flow fixtures and using water recycling systems and astute laundry practices reduce water intake and, utilize waste reduction, recycling, and composting programs to minimize waste that is sent to the landfill, with a focus on food and packaging waste (</w:t>
      </w:r>
      <w:proofErr w:type="spellStart"/>
      <w:r w:rsidRPr="009C712A">
        <w:rPr>
          <w:rFonts w:ascii="Arial" w:hAnsi="Arial" w:cs="Arial"/>
          <w:sz w:val="24"/>
          <w:szCs w:val="24"/>
        </w:rPr>
        <w:t>Karvariti</w:t>
      </w:r>
      <w:proofErr w:type="spellEnd"/>
      <w:r w:rsidRPr="009C712A">
        <w:rPr>
          <w:rFonts w:ascii="Arial" w:hAnsi="Arial" w:cs="Arial"/>
          <w:sz w:val="24"/>
          <w:szCs w:val="24"/>
        </w:rPr>
        <w:t xml:space="preserve"> et al., 2022). </w:t>
      </w:r>
    </w:p>
    <w:p w14:paraId="5D1EF118" w14:textId="77777777" w:rsidR="009C712A" w:rsidRPr="009C712A" w:rsidRDefault="009C712A" w:rsidP="009C712A">
      <w:pPr>
        <w:spacing w:line="360" w:lineRule="auto"/>
        <w:ind w:firstLine="720"/>
        <w:jc w:val="both"/>
        <w:rPr>
          <w:rFonts w:ascii="Arial" w:hAnsi="Arial" w:cs="Arial"/>
          <w:sz w:val="24"/>
          <w:szCs w:val="24"/>
        </w:rPr>
      </w:pPr>
      <w:r w:rsidRPr="009C712A">
        <w:rPr>
          <w:rFonts w:ascii="Arial" w:hAnsi="Arial" w:cs="Arial"/>
          <w:sz w:val="24"/>
          <w:szCs w:val="24"/>
        </w:rPr>
        <w:t xml:space="preserve">Identified Gap, the Savoy ranks as one of the most famous and elegant establishments in London, with great pride in heritage and service excellence. Still, despite its great accolades and commitment to excellence, there are challenges that The Savoy faces specifically in achieving full sustainability, majorly in waste management and reduction, with a special gap in food waste. Hospitality is considered one of the largest industries worldwide that generates food waste (Khan et al., 2021).  It not only generates economic losses but also creates dangerous impacts on the environment. The emission of methane in the environment is a by-product of food waste decomposition in landfills, and it is the greatest source of methane. Therefore, such an activity leads to climate change directly. This also utilizes a wasteful use of resources: water and energy consumed in food production, transportation, and disposal. Although the hotel has designed several recycling programs and sources supplies, the source reduction strategy for food waste remains still underdeveloped (Clean Water and Sanitation). (Han, 2021). Food and beverages are a kind of service that is used in hospitality; source reduction needs to be initiated in such a manner that the </w:t>
      </w:r>
      <w:r w:rsidRPr="009C712A">
        <w:rPr>
          <w:rFonts w:ascii="Arial" w:hAnsi="Arial" w:cs="Arial"/>
          <w:sz w:val="24"/>
          <w:szCs w:val="24"/>
        </w:rPr>
        <w:lastRenderedPageBreak/>
        <w:t xml:space="preserve">expectations of the whole world of sustainability can be achieved along with those of customers toward operation along with a healthy environment.  </w:t>
      </w:r>
    </w:p>
    <w:p w14:paraId="261A58CB" w14:textId="6BA7D171"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What Does This Initiative Entail? The missing link in the Greener Practice Initiative is bridged by this by introducing the closed-loop food waste management system in the company. It will thus try to transform the manner of food waste management in The Savoy from the current way of creating it and avoiding the same at the source. Thus, all unmanageable wastes would not have to end up in landfills (Khalil et al., 2024). Thorough auditing is an extremely detailed audit of food waste throughout the whole supply chain from procurement to preparation and service. This will enable the definition of key points that generate waste, so solutions can be developed with appropriate targeting. Therefore, The Savoy can adopt certain strategic moves that would permit it to successfully prevent food waste and move forward towards a circular economy without wastes in landfills (Climate Action) (Purnell, 2022).</w:t>
      </w:r>
    </w:p>
    <w:p w14:paraId="5BCD36D7"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This controlling mechanism can be put in place with ease by proper portion control, redesigning the menu, and improving inventory management. It would design the menu strategically in excess ingredient consumption so that there would be no over-purchasing and a lot of spoilage (Henry, 2021). Yet, there is an opportunity for such joint ventures with such waste-to-resource companies, which would natively convert all unavoidable, inevitable food waste to other possible resource options like agricultural usage of biofertilizers, renewable natural gas, or </w:t>
      </w:r>
      <w:proofErr w:type="gramStart"/>
      <w:r w:rsidRPr="009C712A">
        <w:rPr>
          <w:rFonts w:ascii="Arial" w:hAnsi="Arial" w:cs="Arial"/>
          <w:sz w:val="24"/>
          <w:szCs w:val="24"/>
        </w:rPr>
        <w:t>actually animal</w:t>
      </w:r>
      <w:proofErr w:type="gramEnd"/>
      <w:r w:rsidRPr="009C712A">
        <w:rPr>
          <w:rFonts w:ascii="Arial" w:hAnsi="Arial" w:cs="Arial"/>
          <w:sz w:val="24"/>
          <w:szCs w:val="24"/>
        </w:rPr>
        <w:t xml:space="preserve"> feed. It will also be a vital education for the employees, as a culture for sustainability shall </w:t>
      </w:r>
      <w:proofErr w:type="gramStart"/>
      <w:r w:rsidRPr="009C712A">
        <w:rPr>
          <w:rFonts w:ascii="Arial" w:hAnsi="Arial" w:cs="Arial"/>
          <w:sz w:val="24"/>
          <w:szCs w:val="24"/>
        </w:rPr>
        <w:t>to a great extent be</w:t>
      </w:r>
      <w:proofErr w:type="gramEnd"/>
      <w:r w:rsidRPr="009C712A">
        <w:rPr>
          <w:rFonts w:ascii="Arial" w:hAnsi="Arial" w:cs="Arial"/>
          <w:sz w:val="24"/>
          <w:szCs w:val="24"/>
        </w:rPr>
        <w:t xml:space="preserve"> carried along by people's appreciation of effective methods of food handling, proper systems of waste distinction, 'green kitchen', and others. The guest is quite a significant partner in sustainability. The guest should be educated on what is being done inside the hotel to save the environment through printed or online information. This provides awareness and enriches the experience of the guest (Lasserre and Monteiro, 2022). Therefore, all these actions ensure responsible waste disposal to avoid as much as possible waste saved from The Savoy. </w:t>
      </w:r>
    </w:p>
    <w:p w14:paraId="6ABDC0CD"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 What Other Hotels/Businesses Have Implemented This Initiative? Many top hotels and hospitality chains have operated closed-loop food waste systems in-house, </w:t>
      </w:r>
      <w:r w:rsidRPr="009C712A">
        <w:rPr>
          <w:rFonts w:ascii="Arial" w:hAnsi="Arial" w:cs="Arial"/>
          <w:sz w:val="24"/>
          <w:szCs w:val="24"/>
        </w:rPr>
        <w:lastRenderedPageBreak/>
        <w:t>implementing them successfully thus being very informative examples for The Savoy to adapt to. Companies such as Hilton, The Ritz-Carlton, and Accor have adopted this approach since they introduced many new solutions in the organization towards the management of food waste and became pragmatic and scalable for this case concerning the closed-loop system within the industry (Putra and Law, 2024). With the company's "Travel with Purpose" initiative, Hilton utilizes technology to monitor real-time food waste helps the company to have data-driven approaches toward waste reduction and local redistribution. This contributes to reducing food insecurity (Zero Hunger). Ritz-Carlton installed some properties with bio-digesters that break down organic food waste into water and nutrient-rich slurry as valuable inputs for farming activities, supporting the local farmers (Affordable and Clean Energy). Accor Group has integrated the Winnow food waste tracking system into its properties (Decent Work and Economic Growth). This smart technology tracks actionable insights in terms of minimizing waste, thereby causing a drastically reduced amount of food waste across its properties (Jawabreh et al., 2023). The Savoy would, through this, fill gaps in food waste management, optimize its operations, and provide a more robust profile regarding sustainability than international benchmarks in luxury hospitality.</w:t>
      </w:r>
    </w:p>
    <w:p w14:paraId="0C9A6B7E"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 How Would This Project Help the Hotel Be More Sustainable? It would be quite advantageous to The Savoy on environmental and financial fronts. This will prevent additional methane from a decomposing food source in the landfill and subsequently minimize the carbon footprint of the hotel. Turning it into compost or biogas will also maximize the use of food waste to increase production in the agricultural and renewable energy sectors instead of non-renewable ones (Clean Water and Sanitation). (Leverenz et al., 2021). From the economic side, this project has some benefits. It will save from minimized over-ordering and lesser product wastage, which reduces operation costs. Extra features Efficiency in processes at the efficient management cost levels would be useful to the management while growing in profitability as people get committed through The Savoy toward sustainability (Affordable and Clean Energy) (Savoy, 2025).</w:t>
      </w:r>
    </w:p>
    <w:p w14:paraId="1B1A6D49"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What Challenges Might the Initiative Pose for the Hotel? Implementing a closed-loop food waste management system at The Savoy Hotel will pose some challenges that </w:t>
      </w:r>
      <w:r w:rsidRPr="009C712A">
        <w:rPr>
          <w:rFonts w:ascii="Arial" w:hAnsi="Arial" w:cs="Arial"/>
          <w:sz w:val="24"/>
          <w:szCs w:val="24"/>
        </w:rPr>
        <w:lastRenderedPageBreak/>
        <w:t>must be taken into careful consideration to guarantee its success. First, high initial investment cost to acquire advanced food waste tracking technologies such as Winnow Vision and installing biodigesters for the processing of the waste (Ingrassia et al., 2023). These technologies require heavy investment in funds, which turns difficult to describe, especially on occasions when limited revenues are accumulated. Next to that is a cost that accrues, like maintenance costs, software, and training costs as the process keeps evolving. The other cause of worry remains in the complexity of embedding new processes and technologies in a previously established hospitality business.</w:t>
      </w:r>
    </w:p>
    <w:p w14:paraId="5FDF38F3"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The switchover to a closed-loop system will disrupt workflows and efficiency in kitchen services for some time, bringing with it the potential for operational inefficiencies. Such staff will require significant training to adapt to the new waste management approach, and natural resistance to change will only worsen the situation (</w:t>
      </w:r>
      <w:proofErr w:type="spellStart"/>
      <w:r w:rsidRPr="009C712A">
        <w:rPr>
          <w:rFonts w:ascii="Arial" w:hAnsi="Arial" w:cs="Arial"/>
          <w:sz w:val="24"/>
          <w:szCs w:val="24"/>
        </w:rPr>
        <w:t>Pekdemir</w:t>
      </w:r>
      <w:proofErr w:type="spellEnd"/>
      <w:r w:rsidRPr="009C712A">
        <w:rPr>
          <w:rFonts w:ascii="Arial" w:hAnsi="Arial" w:cs="Arial"/>
          <w:sz w:val="24"/>
          <w:szCs w:val="24"/>
        </w:rPr>
        <w:t xml:space="preserve">, 2021). There is also coordination with external waste management providers and local suppliers, which is another layer of complexity requiring leadership and communication strength for anything short of a perfect implementation. Finally, spatial constraints from the historic architecture of the hotel may add an extra layer of complexity. </w:t>
      </w:r>
    </w:p>
    <w:p w14:paraId="11989B4C"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 Cost-effective and Realistic, considering all these, the long-term gains of establishing a closed-loop food waste management system justifies their cost for The Savoy in terms of them being affordable. Research into hotels suggests that with a waste reduction plan, a hotel can gain an ROI of 7:1 in the first year of the program. Thus, </w:t>
      </w:r>
      <w:proofErr w:type="gramStart"/>
      <w:r w:rsidRPr="009C712A">
        <w:rPr>
          <w:rFonts w:ascii="Arial" w:hAnsi="Arial" w:cs="Arial"/>
          <w:sz w:val="24"/>
          <w:szCs w:val="24"/>
        </w:rPr>
        <w:t>it is clear that this</w:t>
      </w:r>
      <w:proofErr w:type="gramEnd"/>
      <w:r w:rsidRPr="009C712A">
        <w:rPr>
          <w:rFonts w:ascii="Arial" w:hAnsi="Arial" w:cs="Arial"/>
          <w:sz w:val="24"/>
          <w:szCs w:val="24"/>
        </w:rPr>
        <w:t xml:space="preserve"> is a financially viable idea (Camilleri, 2021).</w:t>
      </w:r>
    </w:p>
    <w:p w14:paraId="268A5DFF"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Less source waste would certainly define the cost-effectiveness of the hotel. The amount of food required to deliver a service eliminates over-purchases, menu redesign strategies, and proper portion control along with the proper inventory ensures The Savoy minimizes the number of over-purchases; therefore, it has fewer third-party waste management dependencies and will consequently have reduced overheads.</w:t>
      </w:r>
    </w:p>
    <w:p w14:paraId="2544B9A2"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The introduction of the latest technologies can also bring AI-based waste tracking systems such as Winnow Vision, through which real-time insights into the patterns of waste generation can be achieved. Such data-driven decision-making allows </w:t>
      </w:r>
      <w:r w:rsidRPr="009C712A">
        <w:rPr>
          <w:rFonts w:ascii="Arial" w:hAnsi="Arial" w:cs="Arial"/>
          <w:sz w:val="24"/>
          <w:szCs w:val="24"/>
        </w:rPr>
        <w:lastRenderedPageBreak/>
        <w:t>management to make decisions that lead to the minimization of waste and optimal use of resources, thereby saving more finances (Salama and Abdelsalam, 2021). Although the cost of introducing these technologies and training staff is huge in the beginning, long-term economic returns justify the investment.</w:t>
      </w:r>
    </w:p>
    <w:p w14:paraId="589245F4"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Other forms of additional values created occur while collaborating solely with food waste-redistributive establishments such as Too Good </w:t>
      </w:r>
      <w:proofErr w:type="gramStart"/>
      <w:r w:rsidRPr="009C712A">
        <w:rPr>
          <w:rFonts w:ascii="Arial" w:hAnsi="Arial" w:cs="Arial"/>
          <w:sz w:val="24"/>
          <w:szCs w:val="24"/>
        </w:rPr>
        <w:t>To</w:t>
      </w:r>
      <w:proofErr w:type="gramEnd"/>
      <w:r w:rsidRPr="009C712A">
        <w:rPr>
          <w:rFonts w:ascii="Arial" w:hAnsi="Arial" w:cs="Arial"/>
          <w:sz w:val="24"/>
          <w:szCs w:val="24"/>
        </w:rPr>
        <w:t xml:space="preserve"> Go or simply in the town's local food bank. The key questions are managing reduced waste alongside a heightened CSR footprint of the hotel with more </w:t>
      </w:r>
      <w:proofErr w:type="gramStart"/>
      <w:r w:rsidRPr="009C712A">
        <w:rPr>
          <w:rFonts w:ascii="Arial" w:hAnsi="Arial" w:cs="Arial"/>
          <w:sz w:val="24"/>
          <w:szCs w:val="24"/>
        </w:rPr>
        <w:t>socially-conscious</w:t>
      </w:r>
      <w:proofErr w:type="gramEnd"/>
      <w:r w:rsidRPr="009C712A">
        <w:rPr>
          <w:rFonts w:ascii="Arial" w:hAnsi="Arial" w:cs="Arial"/>
          <w:sz w:val="24"/>
          <w:szCs w:val="24"/>
        </w:rPr>
        <w:t xml:space="preserve"> tourists and investment coming in over the complex's doors, including incentives, especially governmental funds being provided here make it valuable financially (Baena and Cervino, 2024).</w:t>
      </w:r>
    </w:p>
    <w:p w14:paraId="7E929421"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How Will the Initiative Benefit the Environment? There will be much more environmental benefit in a closed-loop food waste management system at The Savoy Hotel from diverting food waste out of landfills. These landfills would have not emitted one of the strongest greenhouse gasses, methane. By reducing dependency on chemical fertilizers and instead promoting sustainable agriculture, the organic fertilizer made from food waste is healthier for the soil. Additionally, garbage can be converted into animal feed or renewable energy, therefore leading to a circular economy, which would lower the carbon footprint of the hotel (Kara et al., 2022). </w:t>
      </w:r>
    </w:p>
    <w:p w14:paraId="5849A4CE"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Another massive environmental advantage of composting is the transformation of food waste into organic fertilizer. Composting of food waste helps to promote healthy soil conditions, which advances the appropriate agriculture movement. So, dependence on chemical fertilizers cuts down on soil degradation and water pollution by using less of them. The Savoy can collaborate with its local farmers or agricultural firms, converting their food waste into valuable supplies for the next agricultural season.</w:t>
      </w:r>
    </w:p>
    <w:p w14:paraId="1C44658E" w14:textId="77777777" w:rsidR="009C712A" w:rsidRPr="009C712A" w:rsidRDefault="009C712A" w:rsidP="009C712A">
      <w:pPr>
        <w:spacing w:line="360" w:lineRule="auto"/>
        <w:jc w:val="both"/>
        <w:rPr>
          <w:rFonts w:ascii="Arial" w:hAnsi="Arial" w:cs="Arial"/>
          <w:sz w:val="24"/>
          <w:szCs w:val="24"/>
        </w:rPr>
      </w:pPr>
      <w:r w:rsidRPr="009C712A">
        <w:rPr>
          <w:rFonts w:ascii="Arial" w:hAnsi="Arial" w:cs="Arial"/>
          <w:sz w:val="24"/>
          <w:szCs w:val="24"/>
        </w:rPr>
        <w:t>Further, organic wastes in foods can be turned into alternative energies such as biogas. Methane-generating anaerobic digestion of organic matter has been discovered by technologists as a renewable fuel to be captured from it (</w:t>
      </w:r>
      <w:proofErr w:type="spellStart"/>
      <w:r w:rsidRPr="009C712A">
        <w:rPr>
          <w:rFonts w:ascii="Arial" w:hAnsi="Arial" w:cs="Arial"/>
          <w:sz w:val="24"/>
          <w:szCs w:val="24"/>
        </w:rPr>
        <w:t>Bremaghani</w:t>
      </w:r>
      <w:proofErr w:type="spellEnd"/>
      <w:r w:rsidRPr="009C712A">
        <w:rPr>
          <w:rFonts w:ascii="Arial" w:hAnsi="Arial" w:cs="Arial"/>
          <w:sz w:val="24"/>
          <w:szCs w:val="24"/>
        </w:rPr>
        <w:t xml:space="preserve">, 2024). By using </w:t>
      </w:r>
      <w:r w:rsidRPr="009C712A">
        <w:rPr>
          <w:rFonts w:ascii="Arial" w:hAnsi="Arial" w:cs="Arial"/>
          <w:sz w:val="24"/>
          <w:szCs w:val="24"/>
        </w:rPr>
        <w:lastRenderedPageBreak/>
        <w:t>anaerobic organic breakdown technology, the hotel will make less use of fossil fuel to help decrease the carbon footprint from clean energy.</w:t>
      </w:r>
    </w:p>
    <w:p w14:paraId="18A2CA97" w14:textId="0D74CD69" w:rsidR="00675DA3" w:rsidRPr="00C30A7B" w:rsidRDefault="009C712A" w:rsidP="009C712A">
      <w:pPr>
        <w:spacing w:line="360" w:lineRule="auto"/>
        <w:jc w:val="both"/>
        <w:rPr>
          <w:rFonts w:ascii="Arial" w:hAnsi="Arial" w:cs="Arial"/>
          <w:sz w:val="24"/>
          <w:szCs w:val="24"/>
        </w:rPr>
      </w:pPr>
      <w:r w:rsidRPr="009C712A">
        <w:rPr>
          <w:rFonts w:ascii="Arial" w:hAnsi="Arial" w:cs="Arial"/>
          <w:sz w:val="24"/>
          <w:szCs w:val="24"/>
        </w:rPr>
        <w:t xml:space="preserve">Identified Gap in Sustainability Practices at The Savoy, the gap in The Savoy's food waste source reduction strategy lies in the underdeveloped management and reduction of food waste, especially when recycling </w:t>
      </w:r>
      <w:proofErr w:type="spellStart"/>
      <w:r w:rsidRPr="009C712A">
        <w:rPr>
          <w:rFonts w:ascii="Arial" w:hAnsi="Arial" w:cs="Arial"/>
          <w:sz w:val="24"/>
          <w:szCs w:val="24"/>
        </w:rPr>
        <w:t>programmes</w:t>
      </w:r>
      <w:proofErr w:type="spellEnd"/>
      <w:r w:rsidRPr="009C712A">
        <w:rPr>
          <w:rFonts w:ascii="Arial" w:hAnsi="Arial" w:cs="Arial"/>
          <w:sz w:val="24"/>
          <w:szCs w:val="24"/>
        </w:rPr>
        <w:t xml:space="preserve"> are in place but not complemented by a more panoramic approach aimed at stopping food waste at its source.</w:t>
      </w:r>
      <w:r w:rsidR="00CE72A6" w:rsidRPr="00C30A7B">
        <w:rPr>
          <w:rFonts w:ascii="Arial" w:hAnsi="Arial" w:cs="Arial"/>
          <w:sz w:val="24"/>
          <w:szCs w:val="24"/>
        </w:rPr>
        <w:t xml:space="preserve"> </w:t>
      </w:r>
    </w:p>
    <w:p w14:paraId="607C206F" w14:textId="6C69860B" w:rsidR="00C30A7B" w:rsidRPr="00675DA3" w:rsidRDefault="00CE72A6" w:rsidP="00675DA3">
      <w:pPr>
        <w:spacing w:line="360" w:lineRule="auto"/>
        <w:ind w:firstLine="720"/>
        <w:jc w:val="both"/>
        <w:rPr>
          <w:rFonts w:ascii="Arial" w:hAnsi="Arial" w:cs="Arial"/>
          <w:sz w:val="24"/>
          <w:szCs w:val="24"/>
        </w:rPr>
      </w:pPr>
      <w:r w:rsidRPr="00C30A7B">
        <w:rPr>
          <w:rFonts w:ascii="Arial" w:hAnsi="Arial" w:cs="Arial"/>
          <w:sz w:val="24"/>
          <w:szCs w:val="24"/>
        </w:rPr>
        <w:t xml:space="preserve">The essay concludes that despite being a luxury establishment and with such sustainability initiatives at The Savoy Hotel, its food waste management was still characterized by a serious gap. These gaps led to environmental damage inefficiencies of resources and other operational issues hence the need for a holistic way of addressing this problem. An appropriate solution in this regard should be a closed-loop food waste management system. </w:t>
      </w:r>
    </w:p>
    <w:p w14:paraId="14F51AD1" w14:textId="77777777" w:rsidR="00C30A7B" w:rsidRPr="00C30A7B" w:rsidRDefault="00CE72A6" w:rsidP="00C30A7B">
      <w:pPr>
        <w:spacing w:line="360" w:lineRule="auto"/>
        <w:jc w:val="both"/>
        <w:rPr>
          <w:rFonts w:ascii="Arial" w:hAnsi="Arial" w:cs="Arial"/>
          <w:sz w:val="24"/>
          <w:szCs w:val="24"/>
        </w:rPr>
      </w:pPr>
      <w:r w:rsidRPr="00C30A7B">
        <w:rPr>
          <w:rFonts w:ascii="Arial" w:hAnsi="Arial" w:cs="Arial"/>
          <w:sz w:val="24"/>
          <w:szCs w:val="24"/>
        </w:rPr>
        <w:t xml:space="preserve">The program included waste tracking through intensive audits, reduction of waste through control of portions and menu reformulation, and working with </w:t>
      </w:r>
      <w:r w:rsidR="00174852">
        <w:rPr>
          <w:rFonts w:ascii="Arial" w:hAnsi="Arial" w:cs="Arial"/>
          <w:sz w:val="24"/>
          <w:szCs w:val="24"/>
        </w:rPr>
        <w:t>organisation</w:t>
      </w:r>
      <w:r w:rsidRPr="00C30A7B">
        <w:rPr>
          <w:rFonts w:ascii="Arial" w:hAnsi="Arial" w:cs="Arial"/>
          <w:sz w:val="24"/>
          <w:szCs w:val="24"/>
        </w:rPr>
        <w:t xml:space="preserve">s to convert unavoidable waste into resources like compost, biogas, or animal feed. The training of employees and guest interaction were also promoted as essential factors to achieve a culture of sustainability in the hotel. </w:t>
      </w:r>
    </w:p>
    <w:p w14:paraId="1A128B43" w14:textId="77777777" w:rsidR="00C30A7B" w:rsidRPr="00C30A7B" w:rsidRDefault="00CE72A6" w:rsidP="00C30A7B">
      <w:pPr>
        <w:spacing w:line="360" w:lineRule="auto"/>
        <w:jc w:val="both"/>
        <w:rPr>
          <w:rFonts w:ascii="Arial" w:hAnsi="Arial" w:cs="Arial"/>
          <w:sz w:val="24"/>
          <w:szCs w:val="24"/>
        </w:rPr>
      </w:pPr>
      <w:r w:rsidRPr="00C30A7B">
        <w:rPr>
          <w:rFonts w:ascii="Arial" w:hAnsi="Arial" w:cs="Arial"/>
          <w:sz w:val="24"/>
          <w:szCs w:val="24"/>
        </w:rPr>
        <w:t xml:space="preserve">Case studies on Hilton, Ritz-Carlton, and Accor showed that similar systems had been successfully implemented and proved both feasible and beneficial. The essay pointed out the environmental benefits of reducing methane emissions and the contribution towards the promotion of sustainable agriculture besides economic benefits through cost savings and efficiency in operations. </w:t>
      </w:r>
    </w:p>
    <w:p w14:paraId="547539D1" w14:textId="77777777" w:rsidR="009817CF" w:rsidRDefault="00CE72A6" w:rsidP="00C30A7B">
      <w:pPr>
        <w:spacing w:line="360" w:lineRule="auto"/>
        <w:jc w:val="both"/>
        <w:rPr>
          <w:rFonts w:ascii="Arial" w:hAnsi="Arial" w:cs="Arial"/>
          <w:sz w:val="24"/>
          <w:szCs w:val="24"/>
        </w:rPr>
      </w:pPr>
      <w:r w:rsidRPr="00C30A7B">
        <w:rPr>
          <w:rFonts w:ascii="Arial" w:hAnsi="Arial" w:cs="Arial"/>
          <w:sz w:val="24"/>
          <w:szCs w:val="24"/>
        </w:rPr>
        <w:t>Although the long-term benefits included improved reputation and environmental impact, the short-term drawbacks were issues of initial investment costs, operational complexities, and space limitations. The initiative provided The Savoy with a realistic and impactful route to achieving global sustainability goals.</w:t>
      </w:r>
    </w:p>
    <w:p w14:paraId="3037F4C6" w14:textId="77777777" w:rsidR="00174852" w:rsidRDefault="00CE72A6">
      <w:pPr>
        <w:rPr>
          <w:rFonts w:ascii="Arial" w:hAnsi="Arial" w:cs="Arial"/>
          <w:sz w:val="24"/>
          <w:szCs w:val="24"/>
        </w:rPr>
      </w:pPr>
      <w:r>
        <w:rPr>
          <w:rFonts w:ascii="Arial" w:hAnsi="Arial" w:cs="Arial"/>
          <w:sz w:val="24"/>
          <w:szCs w:val="24"/>
        </w:rPr>
        <w:br w:type="page"/>
      </w:r>
    </w:p>
    <w:p w14:paraId="6DB60E58" w14:textId="77777777" w:rsidR="007517D3" w:rsidRPr="00174852" w:rsidRDefault="00CE72A6" w:rsidP="00174852">
      <w:pPr>
        <w:pStyle w:val="Heading1"/>
        <w:spacing w:line="360" w:lineRule="auto"/>
        <w:jc w:val="both"/>
        <w:rPr>
          <w:rFonts w:ascii="Arial" w:hAnsi="Arial" w:cs="Arial"/>
          <w:b w:val="0"/>
        </w:rPr>
      </w:pPr>
      <w:r w:rsidRPr="00174852">
        <w:rPr>
          <w:rFonts w:ascii="Arial" w:hAnsi="Arial" w:cs="Arial"/>
          <w:b w:val="0"/>
        </w:rPr>
        <w:lastRenderedPageBreak/>
        <w:t>References</w:t>
      </w:r>
    </w:p>
    <w:p w14:paraId="7E979888" w14:textId="14E8315F"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Achmad, W. and </w:t>
      </w:r>
      <w:proofErr w:type="spellStart"/>
      <w:r w:rsidRPr="009C5CAA">
        <w:rPr>
          <w:rFonts w:ascii="Arial" w:hAnsi="Arial" w:cs="Arial"/>
          <w:color w:val="222222"/>
          <w:sz w:val="24"/>
          <w:szCs w:val="24"/>
          <w:shd w:val="clear" w:color="auto" w:fill="FFFFFF"/>
        </w:rPr>
        <w:t>Yulianah</w:t>
      </w:r>
      <w:proofErr w:type="spellEnd"/>
      <w:r w:rsidRPr="009C5CAA">
        <w:rPr>
          <w:rFonts w:ascii="Arial" w:hAnsi="Arial" w:cs="Arial"/>
          <w:color w:val="222222"/>
          <w:sz w:val="24"/>
          <w:szCs w:val="24"/>
          <w:shd w:val="clear" w:color="auto" w:fill="FFFFFF"/>
        </w:rPr>
        <w:t>, Y (2022) ‘Corporate social responsibility of the hospitality industry in realizing sustainable tourism development’. </w:t>
      </w:r>
      <w:r w:rsidRPr="009C5CAA">
        <w:rPr>
          <w:rFonts w:ascii="Arial" w:hAnsi="Arial" w:cs="Arial"/>
          <w:i/>
          <w:iCs/>
          <w:color w:val="222222"/>
          <w:sz w:val="24"/>
          <w:szCs w:val="24"/>
          <w:shd w:val="clear" w:color="auto" w:fill="FFFFFF"/>
        </w:rPr>
        <w:t>Enrichment: Journal of Management</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12</w:t>
      </w:r>
      <w:r w:rsidRPr="009C5CAA">
        <w:rPr>
          <w:rFonts w:ascii="Arial" w:hAnsi="Arial" w:cs="Arial"/>
          <w:color w:val="222222"/>
          <w:sz w:val="24"/>
          <w:szCs w:val="24"/>
          <w:shd w:val="clear" w:color="auto" w:fill="FFFFFF"/>
        </w:rPr>
        <w:t xml:space="preserve">(2), pp.1610-1616. Online Available at: </w:t>
      </w:r>
      <w:hyperlink r:id="rId8" w:history="1">
        <w:r w:rsidRPr="009C5CAA">
          <w:rPr>
            <w:rStyle w:val="Hyperlink"/>
            <w:rFonts w:ascii="Arial" w:hAnsi="Arial" w:cs="Arial"/>
            <w:sz w:val="24"/>
            <w:szCs w:val="24"/>
            <w:shd w:val="clear" w:color="auto" w:fill="FFFFFF"/>
          </w:rPr>
          <w:t>http://enrichment.iocspublisher.org/index.php/enrichment/article/download/447/332</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Pr="009C5CAA">
        <w:rPr>
          <w:rFonts w:ascii="Arial" w:hAnsi="Arial" w:cs="Arial"/>
          <w:color w:val="222222"/>
          <w:sz w:val="24"/>
          <w:szCs w:val="24"/>
          <w:shd w:val="clear" w:color="auto" w:fill="FFFFFF"/>
        </w:rPr>
        <w:t xml:space="preserve"> 2025.</w:t>
      </w:r>
    </w:p>
    <w:p w14:paraId="18C39125" w14:textId="57AF1611"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 Akbari, M., Nazarian, A., </w:t>
      </w:r>
      <w:proofErr w:type="spellStart"/>
      <w:r w:rsidRPr="009C5CAA">
        <w:rPr>
          <w:rFonts w:ascii="Arial" w:hAnsi="Arial" w:cs="Arial"/>
          <w:color w:val="222222"/>
          <w:sz w:val="24"/>
          <w:szCs w:val="24"/>
          <w:shd w:val="clear" w:color="auto" w:fill="FFFFFF"/>
        </w:rPr>
        <w:t>Foroudi</w:t>
      </w:r>
      <w:proofErr w:type="spellEnd"/>
      <w:r w:rsidRPr="009C5CAA">
        <w:rPr>
          <w:rFonts w:ascii="Arial" w:hAnsi="Arial" w:cs="Arial"/>
          <w:color w:val="222222"/>
          <w:sz w:val="24"/>
          <w:szCs w:val="24"/>
          <w:shd w:val="clear" w:color="auto" w:fill="FFFFFF"/>
        </w:rPr>
        <w:t xml:space="preserve">, P., Seyyed Amiri, N. and </w:t>
      </w:r>
      <w:proofErr w:type="spellStart"/>
      <w:r w:rsidRPr="009C5CAA">
        <w:rPr>
          <w:rFonts w:ascii="Arial" w:hAnsi="Arial" w:cs="Arial"/>
          <w:color w:val="222222"/>
          <w:sz w:val="24"/>
          <w:szCs w:val="24"/>
          <w:shd w:val="clear" w:color="auto" w:fill="FFFFFF"/>
        </w:rPr>
        <w:t>Ezatabadipoor</w:t>
      </w:r>
      <w:proofErr w:type="spellEnd"/>
      <w:r w:rsidRPr="009C5CAA">
        <w:rPr>
          <w:rFonts w:ascii="Arial" w:hAnsi="Arial" w:cs="Arial"/>
          <w:color w:val="222222"/>
          <w:sz w:val="24"/>
          <w:szCs w:val="24"/>
          <w:shd w:val="clear" w:color="auto" w:fill="FFFFFF"/>
        </w:rPr>
        <w:t>, E (2021) ‘How corporate social responsibility contributes to strengthening brand loyalty, hotel positioning and intention to revisit?’. </w:t>
      </w:r>
      <w:r w:rsidRPr="009C5CAA">
        <w:rPr>
          <w:rFonts w:ascii="Arial" w:hAnsi="Arial" w:cs="Arial"/>
          <w:i/>
          <w:iCs/>
          <w:color w:val="222222"/>
          <w:sz w:val="24"/>
          <w:szCs w:val="24"/>
          <w:shd w:val="clear" w:color="auto" w:fill="FFFFFF"/>
        </w:rPr>
        <w:t>Current Issues in Tourism</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24</w:t>
      </w:r>
      <w:r w:rsidRPr="009C5CAA">
        <w:rPr>
          <w:rFonts w:ascii="Arial" w:hAnsi="Arial" w:cs="Arial"/>
          <w:color w:val="222222"/>
          <w:sz w:val="24"/>
          <w:szCs w:val="24"/>
          <w:shd w:val="clear" w:color="auto" w:fill="FFFFFF"/>
        </w:rPr>
        <w:t xml:space="preserve">(13), pp.1897-1917. Online Available at: </w:t>
      </w:r>
      <w:hyperlink r:id="rId9" w:history="1">
        <w:r w:rsidRPr="009C5CAA">
          <w:rPr>
            <w:rStyle w:val="Hyperlink"/>
            <w:rFonts w:ascii="Arial" w:hAnsi="Arial" w:cs="Arial"/>
            <w:sz w:val="24"/>
            <w:szCs w:val="24"/>
            <w:shd w:val="clear" w:color="auto" w:fill="FFFFFF"/>
          </w:rPr>
          <w:t>https://westminsterresearch.westminster.ac.uk/download/7c73d164928a7b6a4ebfd1d4c9c32987a90e004cc6b05bb2ae37aa67ed0ff2b4/508275/How%20Corporate%20Social%20Responsibility%20Contributes%20to%20Strengthening%20Brand%20Loyalty.pdf</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Pr="009C5CAA">
        <w:rPr>
          <w:rFonts w:ascii="Arial" w:hAnsi="Arial" w:cs="Arial"/>
          <w:color w:val="222222"/>
          <w:sz w:val="24"/>
          <w:szCs w:val="24"/>
          <w:shd w:val="clear" w:color="auto" w:fill="FFFFFF"/>
        </w:rPr>
        <w:t xml:space="preserve"> 2025.</w:t>
      </w:r>
    </w:p>
    <w:p w14:paraId="21A3F61C" w14:textId="2B71AA6A"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Al-</w:t>
      </w:r>
      <w:proofErr w:type="spellStart"/>
      <w:r w:rsidRPr="009C5CAA">
        <w:rPr>
          <w:rFonts w:ascii="Arial" w:hAnsi="Arial" w:cs="Arial"/>
          <w:color w:val="222222"/>
          <w:sz w:val="24"/>
          <w:szCs w:val="24"/>
          <w:shd w:val="clear" w:color="auto" w:fill="FFFFFF"/>
        </w:rPr>
        <w:t>Obadi</w:t>
      </w:r>
      <w:proofErr w:type="spellEnd"/>
      <w:r w:rsidRPr="009C5CAA">
        <w:rPr>
          <w:rFonts w:ascii="Arial" w:hAnsi="Arial" w:cs="Arial"/>
          <w:color w:val="222222"/>
          <w:sz w:val="24"/>
          <w:szCs w:val="24"/>
          <w:shd w:val="clear" w:color="auto" w:fill="FFFFFF"/>
        </w:rPr>
        <w:t xml:space="preserve">, M., Ayad, H., Pokharel, S. and Ayari, M.A (2022) ‘Perspectives on food waste management: Prevention and social </w:t>
      </w:r>
      <w:proofErr w:type="gramStart"/>
      <w:r w:rsidRPr="009C5CAA">
        <w:rPr>
          <w:rFonts w:ascii="Arial" w:hAnsi="Arial" w:cs="Arial"/>
          <w:color w:val="222222"/>
          <w:sz w:val="24"/>
          <w:szCs w:val="24"/>
          <w:shd w:val="clear" w:color="auto" w:fill="FFFFFF"/>
        </w:rPr>
        <w:t>innovations’</w:t>
      </w:r>
      <w:proofErr w:type="gramEnd"/>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Sustainable Production and Consumption</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31</w:t>
      </w:r>
      <w:r w:rsidRPr="009C5CAA">
        <w:rPr>
          <w:rFonts w:ascii="Arial" w:hAnsi="Arial" w:cs="Arial"/>
          <w:color w:val="222222"/>
          <w:sz w:val="24"/>
          <w:szCs w:val="24"/>
          <w:shd w:val="clear" w:color="auto" w:fill="FFFFFF"/>
        </w:rPr>
        <w:t xml:space="preserve">, pp.190-208. Online Available at: </w:t>
      </w:r>
      <w:hyperlink r:id="rId10" w:history="1">
        <w:r w:rsidRPr="009C5CAA">
          <w:rPr>
            <w:rStyle w:val="Hyperlink"/>
            <w:rFonts w:ascii="Arial" w:hAnsi="Arial" w:cs="Arial"/>
            <w:sz w:val="24"/>
            <w:szCs w:val="24"/>
            <w:shd w:val="clear" w:color="auto" w:fill="FFFFFF"/>
          </w:rPr>
          <w:t>https://doi.org/10.1016/j.spc.2022.02.012</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Pr="009C5CAA">
        <w:rPr>
          <w:rFonts w:ascii="Arial" w:hAnsi="Arial" w:cs="Arial"/>
          <w:color w:val="222222"/>
          <w:sz w:val="24"/>
          <w:szCs w:val="24"/>
          <w:shd w:val="clear" w:color="auto" w:fill="FFFFFF"/>
        </w:rPr>
        <w:t xml:space="preserve"> 2025.</w:t>
      </w:r>
    </w:p>
    <w:p w14:paraId="2A255675" w14:textId="77777777" w:rsidR="009C5CAA" w:rsidRPr="009C5CAA" w:rsidRDefault="009C5CAA" w:rsidP="009C5CAA">
      <w:pPr>
        <w:spacing w:line="360" w:lineRule="auto"/>
        <w:jc w:val="both"/>
        <w:rPr>
          <w:rFonts w:ascii="Arial" w:hAnsi="Arial" w:cs="Arial"/>
          <w:color w:val="222222"/>
          <w:sz w:val="24"/>
          <w:szCs w:val="24"/>
          <w:shd w:val="clear" w:color="auto" w:fill="FFFFFF"/>
        </w:rPr>
      </w:pPr>
      <w:proofErr w:type="spellStart"/>
      <w:r w:rsidRPr="009C5CAA">
        <w:rPr>
          <w:rFonts w:ascii="Arial" w:hAnsi="Arial" w:cs="Arial"/>
          <w:color w:val="222222"/>
          <w:sz w:val="24"/>
          <w:szCs w:val="24"/>
          <w:shd w:val="clear" w:color="auto" w:fill="FFFFFF"/>
        </w:rPr>
        <w:t>AlQershi</w:t>
      </w:r>
      <w:proofErr w:type="spellEnd"/>
      <w:r w:rsidRPr="009C5CAA">
        <w:rPr>
          <w:rFonts w:ascii="Arial" w:hAnsi="Arial" w:cs="Arial"/>
          <w:color w:val="222222"/>
          <w:sz w:val="24"/>
          <w:szCs w:val="24"/>
          <w:shd w:val="clear" w:color="auto" w:fill="FFFFFF"/>
        </w:rPr>
        <w:t>, N (2021) ‘Strategic thinking, strategic planning, strategic innovation and the performance of SMEs: The mediating role of human capital’. </w:t>
      </w:r>
      <w:r w:rsidRPr="009C5CAA">
        <w:rPr>
          <w:rFonts w:ascii="Arial" w:hAnsi="Arial" w:cs="Arial"/>
          <w:i/>
          <w:iCs/>
          <w:color w:val="222222"/>
          <w:sz w:val="24"/>
          <w:szCs w:val="24"/>
          <w:shd w:val="clear" w:color="auto" w:fill="FFFFFF"/>
        </w:rPr>
        <w:t>Management Science Letters</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11</w:t>
      </w:r>
      <w:r w:rsidRPr="009C5CAA">
        <w:rPr>
          <w:rFonts w:ascii="Arial" w:hAnsi="Arial" w:cs="Arial"/>
          <w:color w:val="222222"/>
          <w:sz w:val="24"/>
          <w:szCs w:val="24"/>
          <w:shd w:val="clear" w:color="auto" w:fill="FFFFFF"/>
        </w:rPr>
        <w:t xml:space="preserve">(3), pp.1003-1012. Online Available at: </w:t>
      </w:r>
      <w:hyperlink r:id="rId11" w:history="1">
        <w:r w:rsidRPr="009C5CAA">
          <w:rPr>
            <w:rStyle w:val="Hyperlink"/>
            <w:rFonts w:ascii="Arial" w:hAnsi="Arial" w:cs="Arial"/>
            <w:sz w:val="24"/>
            <w:szCs w:val="24"/>
            <w:shd w:val="clear" w:color="auto" w:fill="FFFFFF"/>
          </w:rPr>
          <w:t>http://growingscience.com/msl/Vol11/msl_2020_345.pdf</w:t>
        </w:r>
      </w:hyperlink>
      <w:r w:rsidRPr="009C5CAA">
        <w:rPr>
          <w:rFonts w:ascii="Arial" w:hAnsi="Arial" w:cs="Arial"/>
          <w:color w:val="222222"/>
          <w:sz w:val="24"/>
          <w:szCs w:val="24"/>
          <w:shd w:val="clear" w:color="auto" w:fill="FFFFFF"/>
        </w:rPr>
        <w:t>. Last accessed on: 24</w:t>
      </w:r>
      <w:r w:rsidRPr="009C5CAA">
        <w:rPr>
          <w:rFonts w:ascii="Arial" w:hAnsi="Arial" w:cs="Arial"/>
          <w:color w:val="222222"/>
          <w:sz w:val="24"/>
          <w:szCs w:val="24"/>
          <w:shd w:val="clear" w:color="auto" w:fill="FFFFFF"/>
          <w:vertAlign w:val="superscript"/>
        </w:rPr>
        <w:t>th</w:t>
      </w:r>
      <w:r w:rsidRPr="009C5CAA">
        <w:rPr>
          <w:rFonts w:ascii="Arial" w:hAnsi="Arial" w:cs="Arial"/>
          <w:color w:val="222222"/>
          <w:sz w:val="24"/>
          <w:szCs w:val="24"/>
          <w:shd w:val="clear" w:color="auto" w:fill="FFFFFF"/>
        </w:rPr>
        <w:t xml:space="preserve"> Jan 2025.</w:t>
      </w:r>
    </w:p>
    <w:p w14:paraId="75728883" w14:textId="77777777"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Baena, V. and Cerviño, J (</w:t>
      </w:r>
      <w:proofErr w:type="gramStart"/>
      <w:r w:rsidRPr="009C5CAA">
        <w:rPr>
          <w:rFonts w:ascii="Arial" w:hAnsi="Arial" w:cs="Arial"/>
          <w:color w:val="222222"/>
          <w:sz w:val="24"/>
          <w:szCs w:val="24"/>
          <w:shd w:val="clear" w:color="auto" w:fill="FFFFFF"/>
        </w:rPr>
        <w:t>2024)‘</w:t>
      </w:r>
      <w:proofErr w:type="gramEnd"/>
      <w:r w:rsidRPr="009C5CAA">
        <w:rPr>
          <w:rFonts w:ascii="Arial" w:hAnsi="Arial" w:cs="Arial"/>
          <w:color w:val="222222"/>
          <w:sz w:val="24"/>
          <w:szCs w:val="24"/>
          <w:shd w:val="clear" w:color="auto" w:fill="FFFFFF"/>
        </w:rPr>
        <w:t>Tourism in the Era of Social Responsibility and Sustainability: Understanding International Tourists’ Destination Choices’. </w:t>
      </w:r>
      <w:r w:rsidRPr="009C5CAA">
        <w:rPr>
          <w:rFonts w:ascii="Arial" w:hAnsi="Arial" w:cs="Arial"/>
          <w:i/>
          <w:iCs/>
          <w:color w:val="222222"/>
          <w:sz w:val="24"/>
          <w:szCs w:val="24"/>
          <w:shd w:val="clear" w:color="auto" w:fill="FFFFFF"/>
        </w:rPr>
        <w:t>Sustainability</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16</w:t>
      </w:r>
      <w:r w:rsidRPr="009C5CAA">
        <w:rPr>
          <w:rFonts w:ascii="Arial" w:hAnsi="Arial" w:cs="Arial"/>
          <w:color w:val="222222"/>
          <w:sz w:val="24"/>
          <w:szCs w:val="24"/>
          <w:shd w:val="clear" w:color="auto" w:fill="FFFFFF"/>
        </w:rPr>
        <w:t xml:space="preserve">(19), p.8509. Online Available at: </w:t>
      </w:r>
      <w:hyperlink r:id="rId12" w:history="1">
        <w:r w:rsidRPr="009C5CAA">
          <w:rPr>
            <w:rStyle w:val="Hyperlink"/>
            <w:rFonts w:ascii="Arial" w:hAnsi="Arial" w:cs="Arial"/>
            <w:sz w:val="24"/>
            <w:szCs w:val="24"/>
            <w:shd w:val="clear" w:color="auto" w:fill="FFFFFF"/>
          </w:rPr>
          <w:t>https://www.mdpi.com/2071-1050/16/19/8509</w:t>
        </w:r>
      </w:hyperlink>
      <w:r w:rsidRPr="009C5CAA">
        <w:rPr>
          <w:rFonts w:ascii="Arial" w:hAnsi="Arial" w:cs="Arial"/>
          <w:color w:val="222222"/>
          <w:sz w:val="24"/>
          <w:szCs w:val="24"/>
          <w:shd w:val="clear" w:color="auto" w:fill="FFFFFF"/>
        </w:rPr>
        <w:t>. Last accessed on: 24</w:t>
      </w:r>
      <w:r w:rsidRPr="009C5CAA">
        <w:rPr>
          <w:rFonts w:ascii="Arial" w:hAnsi="Arial" w:cs="Arial"/>
          <w:color w:val="222222"/>
          <w:sz w:val="24"/>
          <w:szCs w:val="24"/>
          <w:shd w:val="clear" w:color="auto" w:fill="FFFFFF"/>
          <w:vertAlign w:val="superscript"/>
        </w:rPr>
        <w:t>th</w:t>
      </w:r>
      <w:r w:rsidRPr="009C5CAA">
        <w:rPr>
          <w:rFonts w:ascii="Arial" w:hAnsi="Arial" w:cs="Arial"/>
          <w:color w:val="222222"/>
          <w:sz w:val="24"/>
          <w:szCs w:val="24"/>
          <w:shd w:val="clear" w:color="auto" w:fill="FFFFFF"/>
        </w:rPr>
        <w:t xml:space="preserve"> Jan 2025.</w:t>
      </w:r>
    </w:p>
    <w:p w14:paraId="45EC0AC4" w14:textId="3E9C7DD5" w:rsidR="009C5CAA" w:rsidRPr="009C5CAA" w:rsidRDefault="009C5CAA" w:rsidP="009C5CAA">
      <w:pPr>
        <w:spacing w:line="360" w:lineRule="auto"/>
        <w:jc w:val="both"/>
        <w:rPr>
          <w:rFonts w:ascii="Arial" w:hAnsi="Arial" w:cs="Arial"/>
          <w:color w:val="222222"/>
          <w:sz w:val="24"/>
          <w:szCs w:val="24"/>
          <w:shd w:val="clear" w:color="auto" w:fill="FFFFFF"/>
        </w:rPr>
      </w:pPr>
      <w:proofErr w:type="spellStart"/>
      <w:r w:rsidRPr="009C5CAA">
        <w:rPr>
          <w:rFonts w:ascii="Arial" w:hAnsi="Arial" w:cs="Arial"/>
          <w:color w:val="222222"/>
          <w:sz w:val="24"/>
          <w:szCs w:val="24"/>
          <w:shd w:val="clear" w:color="auto" w:fill="FFFFFF"/>
        </w:rPr>
        <w:t>Bremaghani</w:t>
      </w:r>
      <w:proofErr w:type="spellEnd"/>
      <w:r w:rsidRPr="009C5CAA">
        <w:rPr>
          <w:rFonts w:ascii="Arial" w:hAnsi="Arial" w:cs="Arial"/>
          <w:color w:val="222222"/>
          <w:sz w:val="24"/>
          <w:szCs w:val="24"/>
          <w:shd w:val="clear" w:color="auto" w:fill="FFFFFF"/>
        </w:rPr>
        <w:t>, A (2024) ‘Utilization of Organic Waste in Compost Fertilizer Production: Implications for Sustainable Agriculture and Nutrient Management’. </w:t>
      </w:r>
      <w:r w:rsidRPr="009C5CAA">
        <w:rPr>
          <w:rFonts w:ascii="Arial" w:hAnsi="Arial" w:cs="Arial"/>
          <w:i/>
          <w:iCs/>
          <w:color w:val="222222"/>
          <w:sz w:val="24"/>
          <w:szCs w:val="24"/>
          <w:shd w:val="clear" w:color="auto" w:fill="FFFFFF"/>
        </w:rPr>
        <w:t xml:space="preserve">Law and </w:t>
      </w:r>
      <w:r w:rsidRPr="009C5CAA">
        <w:rPr>
          <w:rFonts w:ascii="Arial" w:hAnsi="Arial" w:cs="Arial"/>
          <w:i/>
          <w:iCs/>
          <w:color w:val="222222"/>
          <w:sz w:val="24"/>
          <w:szCs w:val="24"/>
          <w:shd w:val="clear" w:color="auto" w:fill="FFFFFF"/>
        </w:rPr>
        <w:lastRenderedPageBreak/>
        <w:t>Economics</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18</w:t>
      </w:r>
      <w:r w:rsidRPr="009C5CAA">
        <w:rPr>
          <w:rFonts w:ascii="Arial" w:hAnsi="Arial" w:cs="Arial"/>
          <w:color w:val="222222"/>
          <w:sz w:val="24"/>
          <w:szCs w:val="24"/>
          <w:shd w:val="clear" w:color="auto" w:fill="FFFFFF"/>
        </w:rPr>
        <w:t xml:space="preserve">(2), pp.86-98. Online Available at: </w:t>
      </w:r>
      <w:hyperlink r:id="rId13" w:history="1">
        <w:r w:rsidRPr="009C5CAA">
          <w:rPr>
            <w:rStyle w:val="Hyperlink"/>
            <w:rFonts w:ascii="Arial" w:hAnsi="Arial" w:cs="Arial"/>
            <w:sz w:val="24"/>
            <w:szCs w:val="24"/>
            <w:shd w:val="clear" w:color="auto" w:fill="FFFFFF"/>
          </w:rPr>
          <w:t>https://journals.ristek.or.id/index.php/LE/article/download/87/83</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Pr="009C5CAA">
        <w:rPr>
          <w:rFonts w:ascii="Arial" w:hAnsi="Arial" w:cs="Arial"/>
          <w:color w:val="222222"/>
          <w:sz w:val="24"/>
          <w:szCs w:val="24"/>
          <w:shd w:val="clear" w:color="auto" w:fill="FFFFFF"/>
        </w:rPr>
        <w:t xml:space="preserve"> 2025.</w:t>
      </w:r>
    </w:p>
    <w:p w14:paraId="0B65E0BD" w14:textId="77777777"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Camilleri, M.A (2021) ‘Sustainable production and consumption of food’. Mise-</w:t>
      </w:r>
      <w:proofErr w:type="spellStart"/>
      <w:r w:rsidRPr="009C5CAA">
        <w:rPr>
          <w:rFonts w:ascii="Arial" w:hAnsi="Arial" w:cs="Arial"/>
          <w:color w:val="222222"/>
          <w:sz w:val="24"/>
          <w:szCs w:val="24"/>
          <w:shd w:val="clear" w:color="auto" w:fill="FFFFFF"/>
        </w:rPr>
        <w:t>en</w:t>
      </w:r>
      <w:proofErr w:type="spellEnd"/>
      <w:r w:rsidRPr="009C5CAA">
        <w:rPr>
          <w:rFonts w:ascii="Arial" w:hAnsi="Arial" w:cs="Arial"/>
          <w:color w:val="222222"/>
          <w:sz w:val="24"/>
          <w:szCs w:val="24"/>
          <w:shd w:val="clear" w:color="auto" w:fill="FFFFFF"/>
        </w:rPr>
        <w:t>-place circular economy policies and waste management practices in tourism cities. </w:t>
      </w:r>
      <w:r w:rsidRPr="009C5CAA">
        <w:rPr>
          <w:rFonts w:ascii="Arial" w:hAnsi="Arial" w:cs="Arial"/>
          <w:i/>
          <w:iCs/>
          <w:color w:val="222222"/>
          <w:sz w:val="24"/>
          <w:szCs w:val="24"/>
          <w:shd w:val="clear" w:color="auto" w:fill="FFFFFF"/>
        </w:rPr>
        <w:t>Sustainability</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13</w:t>
      </w:r>
      <w:r w:rsidRPr="009C5CAA">
        <w:rPr>
          <w:rFonts w:ascii="Arial" w:hAnsi="Arial" w:cs="Arial"/>
          <w:color w:val="222222"/>
          <w:sz w:val="24"/>
          <w:szCs w:val="24"/>
          <w:shd w:val="clear" w:color="auto" w:fill="FFFFFF"/>
        </w:rPr>
        <w:t xml:space="preserve">(17), p.9986. Online Available at: </w:t>
      </w:r>
      <w:hyperlink r:id="rId14" w:history="1">
        <w:r w:rsidRPr="009C5CAA">
          <w:rPr>
            <w:rStyle w:val="Hyperlink"/>
            <w:rFonts w:ascii="Arial" w:hAnsi="Arial" w:cs="Arial"/>
            <w:sz w:val="24"/>
            <w:szCs w:val="24"/>
            <w:shd w:val="clear" w:color="auto" w:fill="FFFFFF"/>
          </w:rPr>
          <w:t>https://www.mdpi.com/2071-1050/13/17/9986/pdf</w:t>
        </w:r>
      </w:hyperlink>
      <w:r w:rsidRPr="009C5CAA">
        <w:rPr>
          <w:rFonts w:ascii="Arial" w:hAnsi="Arial" w:cs="Arial"/>
          <w:color w:val="222222"/>
          <w:sz w:val="24"/>
          <w:szCs w:val="24"/>
          <w:shd w:val="clear" w:color="auto" w:fill="FFFFFF"/>
        </w:rPr>
        <w:t>. Last accessed on: 24</w:t>
      </w:r>
      <w:r w:rsidRPr="009C5CAA">
        <w:rPr>
          <w:rFonts w:ascii="Arial" w:hAnsi="Arial" w:cs="Arial"/>
          <w:color w:val="222222"/>
          <w:sz w:val="24"/>
          <w:szCs w:val="24"/>
          <w:shd w:val="clear" w:color="auto" w:fill="FFFFFF"/>
          <w:vertAlign w:val="superscript"/>
        </w:rPr>
        <w:t>th</w:t>
      </w:r>
      <w:r w:rsidRPr="009C5CAA">
        <w:rPr>
          <w:rFonts w:ascii="Arial" w:hAnsi="Arial" w:cs="Arial"/>
          <w:color w:val="222222"/>
          <w:sz w:val="24"/>
          <w:szCs w:val="24"/>
          <w:shd w:val="clear" w:color="auto" w:fill="FFFFFF"/>
        </w:rPr>
        <w:t xml:space="preserve"> Jan 2025.</w:t>
      </w:r>
    </w:p>
    <w:p w14:paraId="5E6B7CD6" w14:textId="133F71B6"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Goh, E., </w:t>
      </w:r>
      <w:proofErr w:type="spellStart"/>
      <w:r w:rsidRPr="009C5CAA">
        <w:rPr>
          <w:rFonts w:ascii="Arial" w:hAnsi="Arial" w:cs="Arial"/>
          <w:color w:val="222222"/>
          <w:sz w:val="24"/>
          <w:szCs w:val="24"/>
          <w:shd w:val="clear" w:color="auto" w:fill="FFFFFF"/>
        </w:rPr>
        <w:t>Okumus</w:t>
      </w:r>
      <w:proofErr w:type="spellEnd"/>
      <w:r w:rsidRPr="009C5CAA">
        <w:rPr>
          <w:rFonts w:ascii="Arial" w:hAnsi="Arial" w:cs="Arial"/>
          <w:color w:val="222222"/>
          <w:sz w:val="24"/>
          <w:szCs w:val="24"/>
          <w:shd w:val="clear" w:color="auto" w:fill="FFFFFF"/>
        </w:rPr>
        <w:t xml:space="preserve">, B., Jie, F., </w:t>
      </w:r>
      <w:proofErr w:type="spellStart"/>
      <w:r w:rsidRPr="009C5CAA">
        <w:rPr>
          <w:rFonts w:ascii="Arial" w:hAnsi="Arial" w:cs="Arial"/>
          <w:color w:val="222222"/>
          <w:sz w:val="24"/>
          <w:szCs w:val="24"/>
          <w:shd w:val="clear" w:color="auto" w:fill="FFFFFF"/>
        </w:rPr>
        <w:t>Djajadikerta</w:t>
      </w:r>
      <w:proofErr w:type="spellEnd"/>
      <w:r w:rsidRPr="009C5CAA">
        <w:rPr>
          <w:rFonts w:ascii="Arial" w:hAnsi="Arial" w:cs="Arial"/>
          <w:color w:val="222222"/>
          <w:sz w:val="24"/>
          <w:szCs w:val="24"/>
          <w:shd w:val="clear" w:color="auto" w:fill="FFFFFF"/>
        </w:rPr>
        <w:t xml:space="preserve">, H.G. and Lemy, D.M (2022) ‘Managing food wastage in hotels: discrepancies between injunctive and descriptive norms amongst hotel food and beverage </w:t>
      </w:r>
      <w:proofErr w:type="gramStart"/>
      <w:r w:rsidRPr="009C5CAA">
        <w:rPr>
          <w:rFonts w:ascii="Arial" w:hAnsi="Arial" w:cs="Arial"/>
          <w:color w:val="222222"/>
          <w:sz w:val="24"/>
          <w:szCs w:val="24"/>
          <w:shd w:val="clear" w:color="auto" w:fill="FFFFFF"/>
        </w:rPr>
        <w:t>managers’</w:t>
      </w:r>
      <w:proofErr w:type="gramEnd"/>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British Food Journal</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124</w:t>
      </w:r>
      <w:r w:rsidRPr="009C5CAA">
        <w:rPr>
          <w:rFonts w:ascii="Arial" w:hAnsi="Arial" w:cs="Arial"/>
          <w:color w:val="222222"/>
          <w:sz w:val="24"/>
          <w:szCs w:val="24"/>
          <w:shd w:val="clear" w:color="auto" w:fill="FFFFFF"/>
        </w:rPr>
        <w:t xml:space="preserve">(12), pp.4666-4685. Online Available at: </w:t>
      </w:r>
      <w:hyperlink r:id="rId15" w:history="1">
        <w:r w:rsidRPr="009C5CAA">
          <w:rPr>
            <w:rStyle w:val="Hyperlink"/>
            <w:rFonts w:ascii="Arial" w:hAnsi="Arial" w:cs="Arial"/>
            <w:sz w:val="24"/>
            <w:szCs w:val="24"/>
            <w:shd w:val="clear" w:color="auto" w:fill="FFFFFF"/>
          </w:rPr>
          <w:t>https://www.researchgate.net/profile/Bendegul-Okumus-2/publication/358749406_Managing_food_wastage_in_hotels_discrepancies_between_injunctive_and_descriptive_norms_amongst_hotel_food_and_beverage_managers/links/64a7ee2995bbbe0c6e1d37ce/Managing-food-wastage-in-hotels-discrepancies-between-injunctive-and-descriptive-norms-amongst-hotel-food-and-beverage-managers.pdf</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 xml:space="preserve">2025. </w:t>
      </w:r>
    </w:p>
    <w:p w14:paraId="5CA11733" w14:textId="283819C6" w:rsidR="009C5CAA" w:rsidRPr="009C5CAA" w:rsidRDefault="009C5CAA" w:rsidP="009C5CAA">
      <w:pPr>
        <w:spacing w:line="360" w:lineRule="auto"/>
        <w:jc w:val="both"/>
        <w:rPr>
          <w:rFonts w:ascii="Arial" w:hAnsi="Arial" w:cs="Arial"/>
          <w:color w:val="222222"/>
          <w:sz w:val="24"/>
          <w:szCs w:val="24"/>
          <w:shd w:val="clear" w:color="auto" w:fill="FFFFFF"/>
        </w:rPr>
      </w:pPr>
      <w:proofErr w:type="spellStart"/>
      <w:r w:rsidRPr="009C5CAA">
        <w:rPr>
          <w:rFonts w:ascii="Arial" w:hAnsi="Arial" w:cs="Arial"/>
          <w:color w:val="222222"/>
          <w:sz w:val="24"/>
          <w:szCs w:val="24"/>
          <w:shd w:val="clear" w:color="auto" w:fill="FFFFFF"/>
        </w:rPr>
        <w:t>Haldorai</w:t>
      </w:r>
      <w:proofErr w:type="spellEnd"/>
      <w:r w:rsidRPr="009C5CAA">
        <w:rPr>
          <w:rFonts w:ascii="Arial" w:hAnsi="Arial" w:cs="Arial"/>
          <w:color w:val="222222"/>
          <w:sz w:val="24"/>
          <w:szCs w:val="24"/>
          <w:shd w:val="clear" w:color="auto" w:fill="FFFFFF"/>
        </w:rPr>
        <w:t>, K., Kim, W.G. and Garcia, R.F (2022) ‘Top management green commitment and green intellectual capital as enablers of hotel environmental performance: The mediating role of green human resource management’. </w:t>
      </w:r>
      <w:r w:rsidRPr="009C5CAA">
        <w:rPr>
          <w:rFonts w:ascii="Arial" w:hAnsi="Arial" w:cs="Arial"/>
          <w:i/>
          <w:iCs/>
          <w:color w:val="222222"/>
          <w:sz w:val="24"/>
          <w:szCs w:val="24"/>
          <w:shd w:val="clear" w:color="auto" w:fill="FFFFFF"/>
        </w:rPr>
        <w:t>Tourism Management</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88</w:t>
      </w:r>
      <w:r w:rsidRPr="009C5CAA">
        <w:rPr>
          <w:rFonts w:ascii="Arial" w:hAnsi="Arial" w:cs="Arial"/>
          <w:color w:val="222222"/>
          <w:sz w:val="24"/>
          <w:szCs w:val="24"/>
          <w:shd w:val="clear" w:color="auto" w:fill="FFFFFF"/>
        </w:rPr>
        <w:t xml:space="preserve">, p.104431. Online Available at: </w:t>
      </w:r>
      <w:hyperlink r:id="rId16" w:history="1">
        <w:r w:rsidRPr="009C5CAA">
          <w:rPr>
            <w:rStyle w:val="Hyperlink"/>
            <w:rFonts w:ascii="Arial" w:hAnsi="Arial" w:cs="Arial"/>
            <w:sz w:val="24"/>
            <w:szCs w:val="24"/>
            <w:shd w:val="clear" w:color="auto" w:fill="FFFFFF"/>
          </w:rPr>
          <w:t>https://thuvienso.hoasen.edu.vn/bitstream/handle/123456789/15739/Top%20management%20green%20commitment%20and%20green%20intellectual%20capital%20as%20enablers%20of%20hotel%20environmental%20performance%20The%20mediating%20role%20of%20green%20human%20resource%20management.pdf?sequence=1</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Pr="009C5CAA">
        <w:rPr>
          <w:rFonts w:ascii="Arial" w:hAnsi="Arial" w:cs="Arial"/>
          <w:color w:val="222222"/>
          <w:sz w:val="24"/>
          <w:szCs w:val="24"/>
          <w:shd w:val="clear" w:color="auto" w:fill="FFFFFF"/>
        </w:rPr>
        <w:t xml:space="preserve"> 2025.</w:t>
      </w:r>
    </w:p>
    <w:p w14:paraId="2B03EA3A" w14:textId="77777777"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Han, H (2021) ‘Consumer behavior and environmental sustainability in tourism and hospitality: A review of theories, concepts, and latest research’. </w:t>
      </w:r>
      <w:r w:rsidRPr="009C5CAA">
        <w:rPr>
          <w:rFonts w:ascii="Arial" w:hAnsi="Arial" w:cs="Arial"/>
          <w:i/>
          <w:iCs/>
          <w:color w:val="222222"/>
          <w:sz w:val="24"/>
          <w:szCs w:val="24"/>
          <w:shd w:val="clear" w:color="auto" w:fill="FFFFFF"/>
        </w:rPr>
        <w:t xml:space="preserve">Sustainable Consumer </w:t>
      </w:r>
      <w:proofErr w:type="spellStart"/>
      <w:r w:rsidRPr="009C5CAA">
        <w:rPr>
          <w:rFonts w:ascii="Arial" w:hAnsi="Arial" w:cs="Arial"/>
          <w:i/>
          <w:iCs/>
          <w:color w:val="222222"/>
          <w:sz w:val="24"/>
          <w:szCs w:val="24"/>
          <w:shd w:val="clear" w:color="auto" w:fill="FFFFFF"/>
        </w:rPr>
        <w:t>Behaviour</w:t>
      </w:r>
      <w:proofErr w:type="spellEnd"/>
      <w:r w:rsidRPr="009C5CAA">
        <w:rPr>
          <w:rFonts w:ascii="Arial" w:hAnsi="Arial" w:cs="Arial"/>
          <w:i/>
          <w:iCs/>
          <w:color w:val="222222"/>
          <w:sz w:val="24"/>
          <w:szCs w:val="24"/>
          <w:shd w:val="clear" w:color="auto" w:fill="FFFFFF"/>
        </w:rPr>
        <w:t xml:space="preserve"> and the Environment</w:t>
      </w:r>
      <w:r w:rsidRPr="009C5CAA">
        <w:rPr>
          <w:rFonts w:ascii="Arial" w:hAnsi="Arial" w:cs="Arial"/>
          <w:color w:val="222222"/>
          <w:sz w:val="24"/>
          <w:szCs w:val="24"/>
          <w:shd w:val="clear" w:color="auto" w:fill="FFFFFF"/>
        </w:rPr>
        <w:t xml:space="preserve">, pp.1-22. Online Available at: </w:t>
      </w:r>
      <w:hyperlink r:id="rId17" w:history="1">
        <w:r w:rsidRPr="009C5CAA">
          <w:rPr>
            <w:rStyle w:val="Hyperlink"/>
            <w:rFonts w:ascii="Arial" w:hAnsi="Arial" w:cs="Arial"/>
            <w:sz w:val="24"/>
            <w:szCs w:val="24"/>
            <w:shd w:val="clear" w:color="auto" w:fill="FFFFFF"/>
          </w:rPr>
          <w:t>https://www.tandfonline.com/doi/pdf/10.1080/09669582.2021.1903019</w:t>
        </w:r>
      </w:hyperlink>
      <w:r w:rsidRPr="009C5CAA">
        <w:rPr>
          <w:rFonts w:ascii="Arial" w:hAnsi="Arial" w:cs="Arial"/>
          <w:color w:val="222222"/>
          <w:sz w:val="24"/>
          <w:szCs w:val="24"/>
          <w:shd w:val="clear" w:color="auto" w:fill="FFFFFF"/>
        </w:rPr>
        <w:t>. Last accessed on: 24</w:t>
      </w:r>
      <w:r w:rsidRPr="009C5CAA">
        <w:rPr>
          <w:rFonts w:ascii="Arial" w:hAnsi="Arial" w:cs="Arial"/>
          <w:color w:val="222222"/>
          <w:sz w:val="24"/>
          <w:szCs w:val="24"/>
          <w:shd w:val="clear" w:color="auto" w:fill="FFFFFF"/>
          <w:vertAlign w:val="superscript"/>
        </w:rPr>
        <w:t>th</w:t>
      </w:r>
      <w:r w:rsidRPr="009C5CAA">
        <w:rPr>
          <w:rFonts w:ascii="Arial" w:hAnsi="Arial" w:cs="Arial"/>
          <w:color w:val="222222"/>
          <w:sz w:val="24"/>
          <w:szCs w:val="24"/>
          <w:shd w:val="clear" w:color="auto" w:fill="FFFFFF"/>
        </w:rPr>
        <w:t xml:space="preserve"> Jan 2025.</w:t>
      </w:r>
    </w:p>
    <w:p w14:paraId="503D7FB9" w14:textId="6CF85EF6"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Henry, A (2021) ‘</w:t>
      </w:r>
      <w:r w:rsidRPr="009C5CAA">
        <w:rPr>
          <w:rFonts w:ascii="Arial" w:hAnsi="Arial" w:cs="Arial"/>
          <w:i/>
          <w:iCs/>
          <w:color w:val="222222"/>
          <w:sz w:val="24"/>
          <w:szCs w:val="24"/>
          <w:shd w:val="clear" w:color="auto" w:fill="FFFFFF"/>
        </w:rPr>
        <w:t>Understanding strategic management’</w:t>
      </w:r>
      <w:r w:rsidRPr="009C5CAA">
        <w:rPr>
          <w:rFonts w:ascii="Arial" w:hAnsi="Arial" w:cs="Arial"/>
          <w:color w:val="222222"/>
          <w:sz w:val="24"/>
          <w:szCs w:val="24"/>
          <w:shd w:val="clear" w:color="auto" w:fill="FFFFFF"/>
        </w:rPr>
        <w:t xml:space="preserve">. Oxford University Press. Online </w:t>
      </w:r>
      <w:proofErr w:type="spellStart"/>
      <w:r w:rsidRPr="009C5CAA">
        <w:rPr>
          <w:rFonts w:ascii="Arial" w:hAnsi="Arial" w:cs="Arial"/>
          <w:color w:val="222222"/>
          <w:sz w:val="24"/>
          <w:szCs w:val="24"/>
          <w:shd w:val="clear" w:color="auto" w:fill="FFFFFF"/>
        </w:rPr>
        <w:t>Avilable</w:t>
      </w:r>
      <w:proofErr w:type="spellEnd"/>
      <w:r w:rsidRPr="009C5CAA">
        <w:rPr>
          <w:rFonts w:ascii="Arial" w:hAnsi="Arial" w:cs="Arial"/>
          <w:color w:val="222222"/>
          <w:sz w:val="24"/>
          <w:szCs w:val="24"/>
          <w:shd w:val="clear" w:color="auto" w:fill="FFFFFF"/>
        </w:rPr>
        <w:t xml:space="preserve"> at: </w:t>
      </w:r>
      <w:hyperlink r:id="rId18" w:anchor="v=onepage&amp;q=strategic%20management&amp;f=false" w:history="1">
        <w:r w:rsidRPr="009C5CAA">
          <w:rPr>
            <w:rStyle w:val="Hyperlink"/>
            <w:rFonts w:ascii="Arial" w:hAnsi="Arial" w:cs="Arial"/>
            <w:sz w:val="24"/>
            <w:szCs w:val="24"/>
            <w:shd w:val="clear" w:color="auto" w:fill="FFFFFF"/>
          </w:rPr>
          <w:t>https://books.google.co.in/books?hl=en&amp;lr=&amp;id=M7wyEAAAQBAJ&amp;oi=fnd&amp;pg=PP1&amp;dq=strategic+management&amp;ots=Z4v6pkeEvy&amp;sig=LemNOOjSJNkX4Ax6l8Azew535B0&amp;redir_esc=y#v=onepage&amp;q=strategic%20management&amp;f=false</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Pr="009C5CAA">
        <w:rPr>
          <w:rFonts w:ascii="Arial" w:hAnsi="Arial" w:cs="Arial"/>
          <w:color w:val="222222"/>
          <w:sz w:val="24"/>
          <w:szCs w:val="24"/>
          <w:shd w:val="clear" w:color="auto" w:fill="FFFFFF"/>
        </w:rPr>
        <w:t xml:space="preserve"> 2025.</w:t>
      </w:r>
    </w:p>
    <w:p w14:paraId="6259AF13" w14:textId="71A98775"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Ingrassia, M., Bacarella, S., Bellia, C., Columba, P., Adamo, M.M., Altamore, L. and </w:t>
      </w:r>
      <w:proofErr w:type="spellStart"/>
      <w:r w:rsidRPr="009C5CAA">
        <w:rPr>
          <w:rFonts w:ascii="Arial" w:hAnsi="Arial" w:cs="Arial"/>
          <w:color w:val="222222"/>
          <w:sz w:val="24"/>
          <w:szCs w:val="24"/>
          <w:shd w:val="clear" w:color="auto" w:fill="FFFFFF"/>
        </w:rPr>
        <w:t>Chironi</w:t>
      </w:r>
      <w:proofErr w:type="spellEnd"/>
      <w:r w:rsidRPr="009C5CAA">
        <w:rPr>
          <w:rFonts w:ascii="Arial" w:hAnsi="Arial" w:cs="Arial"/>
          <w:color w:val="222222"/>
          <w:sz w:val="24"/>
          <w:szCs w:val="24"/>
          <w:shd w:val="clear" w:color="auto" w:fill="FFFFFF"/>
        </w:rPr>
        <w:t>, S (2023) ‘Circular economy and agritourism: a sustainable behavioral model for tourists and farmers in the post-COVID era’. </w:t>
      </w:r>
      <w:r w:rsidRPr="009C5CAA">
        <w:rPr>
          <w:rFonts w:ascii="Arial" w:hAnsi="Arial" w:cs="Arial"/>
          <w:i/>
          <w:iCs/>
          <w:color w:val="222222"/>
          <w:sz w:val="24"/>
          <w:szCs w:val="24"/>
          <w:shd w:val="clear" w:color="auto" w:fill="FFFFFF"/>
        </w:rPr>
        <w:t>Frontiers in Sustainable Food Systems</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7</w:t>
      </w:r>
      <w:r w:rsidRPr="009C5CAA">
        <w:rPr>
          <w:rFonts w:ascii="Arial" w:hAnsi="Arial" w:cs="Arial"/>
          <w:color w:val="222222"/>
          <w:sz w:val="24"/>
          <w:szCs w:val="24"/>
          <w:shd w:val="clear" w:color="auto" w:fill="FFFFFF"/>
        </w:rPr>
        <w:t xml:space="preserve">, p.1174623. Online Available at: </w:t>
      </w:r>
      <w:hyperlink r:id="rId19" w:history="1">
        <w:r w:rsidRPr="009C5CAA">
          <w:rPr>
            <w:rStyle w:val="Hyperlink"/>
            <w:rFonts w:ascii="Arial" w:hAnsi="Arial" w:cs="Arial"/>
            <w:sz w:val="24"/>
            <w:szCs w:val="24"/>
            <w:shd w:val="clear" w:color="auto" w:fill="FFFFFF"/>
          </w:rPr>
          <w:t>https://www.frontiersin.org/articles/10.3389/fsufs.2023.1174623/pdf</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259E680F" w14:textId="18D16AFF"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Jawabreh, O., </w:t>
      </w:r>
      <w:proofErr w:type="spellStart"/>
      <w:r w:rsidRPr="009C5CAA">
        <w:rPr>
          <w:rFonts w:ascii="Arial" w:hAnsi="Arial" w:cs="Arial"/>
          <w:color w:val="222222"/>
          <w:sz w:val="24"/>
          <w:szCs w:val="24"/>
          <w:shd w:val="clear" w:color="auto" w:fill="FFFFFF"/>
        </w:rPr>
        <w:t>Baadhem</w:t>
      </w:r>
      <w:proofErr w:type="spellEnd"/>
      <w:r w:rsidRPr="009C5CAA">
        <w:rPr>
          <w:rFonts w:ascii="Arial" w:hAnsi="Arial" w:cs="Arial"/>
          <w:color w:val="222222"/>
          <w:sz w:val="24"/>
          <w:szCs w:val="24"/>
          <w:shd w:val="clear" w:color="auto" w:fill="FFFFFF"/>
        </w:rPr>
        <w:t>, A.M., Ali, B.J., Atta, A.A.B., Ali, A., Al-</w:t>
      </w:r>
      <w:proofErr w:type="spellStart"/>
      <w:r w:rsidRPr="009C5CAA">
        <w:rPr>
          <w:rFonts w:ascii="Arial" w:hAnsi="Arial" w:cs="Arial"/>
          <w:color w:val="222222"/>
          <w:sz w:val="24"/>
          <w:szCs w:val="24"/>
          <w:shd w:val="clear" w:color="auto" w:fill="FFFFFF"/>
        </w:rPr>
        <w:t>Hosaini</w:t>
      </w:r>
      <w:proofErr w:type="spellEnd"/>
      <w:r w:rsidRPr="009C5CAA">
        <w:rPr>
          <w:rFonts w:ascii="Arial" w:hAnsi="Arial" w:cs="Arial"/>
          <w:color w:val="222222"/>
          <w:sz w:val="24"/>
          <w:szCs w:val="24"/>
          <w:shd w:val="clear" w:color="auto" w:fill="FFFFFF"/>
        </w:rPr>
        <w:t xml:space="preserve">, F.F. and </w:t>
      </w:r>
      <w:proofErr w:type="spellStart"/>
      <w:r w:rsidRPr="009C5CAA">
        <w:rPr>
          <w:rFonts w:ascii="Arial" w:hAnsi="Arial" w:cs="Arial"/>
          <w:color w:val="222222"/>
          <w:sz w:val="24"/>
          <w:szCs w:val="24"/>
          <w:shd w:val="clear" w:color="auto" w:fill="FFFFFF"/>
        </w:rPr>
        <w:t>Allahham</w:t>
      </w:r>
      <w:proofErr w:type="spellEnd"/>
      <w:r w:rsidRPr="009C5CAA">
        <w:rPr>
          <w:rFonts w:ascii="Arial" w:hAnsi="Arial" w:cs="Arial"/>
          <w:color w:val="222222"/>
          <w:sz w:val="24"/>
          <w:szCs w:val="24"/>
          <w:shd w:val="clear" w:color="auto" w:fill="FFFFFF"/>
        </w:rPr>
        <w:t xml:space="preserve">, M (2023) ‘The influence of supply chain management strategies on </w:t>
      </w:r>
      <w:proofErr w:type="spellStart"/>
      <w:r w:rsidRPr="009C5CAA">
        <w:rPr>
          <w:rFonts w:ascii="Arial" w:hAnsi="Arial" w:cs="Arial"/>
          <w:color w:val="222222"/>
          <w:sz w:val="24"/>
          <w:szCs w:val="24"/>
          <w:shd w:val="clear" w:color="auto" w:fill="FFFFFF"/>
        </w:rPr>
        <w:t>organisational</w:t>
      </w:r>
      <w:proofErr w:type="spellEnd"/>
      <w:r w:rsidRPr="009C5CAA">
        <w:rPr>
          <w:rFonts w:ascii="Arial" w:hAnsi="Arial" w:cs="Arial"/>
          <w:color w:val="222222"/>
          <w:sz w:val="24"/>
          <w:szCs w:val="24"/>
          <w:shd w:val="clear" w:color="auto" w:fill="FFFFFF"/>
        </w:rPr>
        <w:t xml:space="preserve"> performance in hospitality industry’. </w:t>
      </w:r>
      <w:r w:rsidRPr="009C5CAA">
        <w:rPr>
          <w:rFonts w:ascii="Arial" w:hAnsi="Arial" w:cs="Arial"/>
          <w:i/>
          <w:iCs/>
          <w:color w:val="222222"/>
          <w:sz w:val="24"/>
          <w:szCs w:val="24"/>
          <w:shd w:val="clear" w:color="auto" w:fill="FFFFFF"/>
        </w:rPr>
        <w:t>Appl. Math</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17</w:t>
      </w:r>
      <w:r w:rsidRPr="009C5CAA">
        <w:rPr>
          <w:rFonts w:ascii="Arial" w:hAnsi="Arial" w:cs="Arial"/>
          <w:color w:val="222222"/>
          <w:sz w:val="24"/>
          <w:szCs w:val="24"/>
          <w:shd w:val="clear" w:color="auto" w:fill="FFFFFF"/>
        </w:rPr>
        <w:t xml:space="preserve">(5), pp.851-858. Online </w:t>
      </w:r>
      <w:proofErr w:type="spellStart"/>
      <w:r w:rsidRPr="009C5CAA">
        <w:rPr>
          <w:rFonts w:ascii="Arial" w:hAnsi="Arial" w:cs="Arial"/>
          <w:color w:val="222222"/>
          <w:sz w:val="24"/>
          <w:szCs w:val="24"/>
          <w:shd w:val="clear" w:color="auto" w:fill="FFFFFF"/>
        </w:rPr>
        <w:t>Avilable</w:t>
      </w:r>
      <w:proofErr w:type="spellEnd"/>
      <w:r w:rsidRPr="009C5CAA">
        <w:rPr>
          <w:rFonts w:ascii="Arial" w:hAnsi="Arial" w:cs="Arial"/>
          <w:color w:val="222222"/>
          <w:sz w:val="24"/>
          <w:szCs w:val="24"/>
          <w:shd w:val="clear" w:color="auto" w:fill="FFFFFF"/>
        </w:rPr>
        <w:t xml:space="preserve"> at: </w:t>
      </w:r>
      <w:hyperlink r:id="rId20" w:history="1">
        <w:r w:rsidRPr="009C5CAA">
          <w:rPr>
            <w:rStyle w:val="Hyperlink"/>
            <w:rFonts w:ascii="Arial" w:hAnsi="Arial" w:cs="Arial"/>
            <w:sz w:val="24"/>
            <w:szCs w:val="24"/>
            <w:shd w:val="clear" w:color="auto" w:fill="FFFFFF"/>
          </w:rPr>
          <w:t>https://www.researchgate.net/profile/Abdullah-Baadhem-2/publication/374082925_The_Influence_of_Supply_Chain_Management_Strategies_on_Organisational_Performance_in_Hospitality_Industry/links/650c8871c05e6d1b1c21b5b3/The-Influence-of-Supply-Chain-Management-Strategies-on-Organisational-Performance-in-Hospitality-Industry.pdf</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490AE077" w14:textId="38EC06DB"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Kara, S., Hauschild, M., Sutherland, J. and </w:t>
      </w:r>
      <w:proofErr w:type="spellStart"/>
      <w:r w:rsidRPr="009C5CAA">
        <w:rPr>
          <w:rFonts w:ascii="Arial" w:hAnsi="Arial" w:cs="Arial"/>
          <w:color w:val="222222"/>
          <w:sz w:val="24"/>
          <w:szCs w:val="24"/>
          <w:shd w:val="clear" w:color="auto" w:fill="FFFFFF"/>
        </w:rPr>
        <w:t>McAloone</w:t>
      </w:r>
      <w:proofErr w:type="spellEnd"/>
      <w:r w:rsidRPr="009C5CAA">
        <w:rPr>
          <w:rFonts w:ascii="Arial" w:hAnsi="Arial" w:cs="Arial"/>
          <w:color w:val="222222"/>
          <w:sz w:val="24"/>
          <w:szCs w:val="24"/>
          <w:shd w:val="clear" w:color="auto" w:fill="FFFFFF"/>
        </w:rPr>
        <w:t>, T (2022) ‘Closed-loop systems to circular economy: A pathway to environmental sustainability?’ </w:t>
      </w:r>
      <w:r w:rsidRPr="009C5CAA">
        <w:rPr>
          <w:rFonts w:ascii="Arial" w:hAnsi="Arial" w:cs="Arial"/>
          <w:i/>
          <w:iCs/>
          <w:color w:val="222222"/>
          <w:sz w:val="24"/>
          <w:szCs w:val="24"/>
          <w:shd w:val="clear" w:color="auto" w:fill="FFFFFF"/>
        </w:rPr>
        <w:t>CIRP Annals</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71</w:t>
      </w:r>
      <w:r w:rsidRPr="009C5CAA">
        <w:rPr>
          <w:rFonts w:ascii="Arial" w:hAnsi="Arial" w:cs="Arial"/>
          <w:color w:val="222222"/>
          <w:sz w:val="24"/>
          <w:szCs w:val="24"/>
          <w:shd w:val="clear" w:color="auto" w:fill="FFFFFF"/>
        </w:rPr>
        <w:t xml:space="preserve">(2), pp.505-528. Online Available at: </w:t>
      </w:r>
      <w:hyperlink r:id="rId21" w:history="1">
        <w:r w:rsidRPr="009C5CAA">
          <w:rPr>
            <w:rStyle w:val="Hyperlink"/>
            <w:rFonts w:ascii="Arial" w:hAnsi="Arial" w:cs="Arial"/>
            <w:sz w:val="24"/>
            <w:szCs w:val="24"/>
            <w:shd w:val="clear" w:color="auto" w:fill="FFFFFF"/>
          </w:rPr>
          <w:t>https://orbit.dtu.dk/files/304491235/Kara_et_al._STC_LCE_A_2022_Key_note_POSTPRINT.pdf</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415206FA" w14:textId="3CD342FE"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Khalil, N., Che Abdullah, S.N., Haron, S.N. and Hamid, M.Y (2024) ‘A review of green practices and initiatives from stakeholder’s perspectives towards sustainable hotel </w:t>
      </w:r>
      <w:r w:rsidRPr="009C5CAA">
        <w:rPr>
          <w:rFonts w:ascii="Arial" w:hAnsi="Arial" w:cs="Arial"/>
          <w:color w:val="222222"/>
          <w:sz w:val="24"/>
          <w:szCs w:val="24"/>
          <w:shd w:val="clear" w:color="auto" w:fill="FFFFFF"/>
        </w:rPr>
        <w:lastRenderedPageBreak/>
        <w:t>operations and performance impact’. </w:t>
      </w:r>
      <w:r w:rsidRPr="009C5CAA">
        <w:rPr>
          <w:rFonts w:ascii="Arial" w:hAnsi="Arial" w:cs="Arial"/>
          <w:i/>
          <w:iCs/>
          <w:color w:val="222222"/>
          <w:sz w:val="24"/>
          <w:szCs w:val="24"/>
          <w:shd w:val="clear" w:color="auto" w:fill="FFFFFF"/>
        </w:rPr>
        <w:t>Journal of Facilities Management</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22</w:t>
      </w:r>
      <w:r w:rsidRPr="009C5CAA">
        <w:rPr>
          <w:rFonts w:ascii="Arial" w:hAnsi="Arial" w:cs="Arial"/>
          <w:color w:val="222222"/>
          <w:sz w:val="24"/>
          <w:szCs w:val="24"/>
          <w:shd w:val="clear" w:color="auto" w:fill="FFFFFF"/>
        </w:rPr>
        <w:t xml:space="preserve">(4), pp.653-682. Online Available at: </w:t>
      </w:r>
      <w:hyperlink r:id="rId22" w:history="1">
        <w:r w:rsidRPr="009C5CAA">
          <w:rPr>
            <w:rStyle w:val="Hyperlink"/>
            <w:rFonts w:ascii="Arial" w:hAnsi="Arial" w:cs="Arial"/>
            <w:sz w:val="24"/>
            <w:szCs w:val="24"/>
            <w:shd w:val="clear" w:color="auto" w:fill="FFFFFF"/>
          </w:rPr>
          <w:t>https://doi.org/10.1108/JFM-03-2022-0025</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02E2852F" w14:textId="03B11507"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Khan, M.R., Khan, H.U.R., Lim, C.K., Tan, K.L. and Ahmed, M.F (2021) ‘Sustainable tourism policy, destination management and sustainable tourism development: A moderated-mediation model’. </w:t>
      </w:r>
      <w:r w:rsidRPr="009C5CAA">
        <w:rPr>
          <w:rFonts w:ascii="Arial" w:hAnsi="Arial" w:cs="Arial"/>
          <w:i/>
          <w:iCs/>
          <w:color w:val="222222"/>
          <w:sz w:val="24"/>
          <w:szCs w:val="24"/>
          <w:shd w:val="clear" w:color="auto" w:fill="FFFFFF"/>
        </w:rPr>
        <w:t>Sustainability</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13</w:t>
      </w:r>
      <w:r w:rsidRPr="009C5CAA">
        <w:rPr>
          <w:rFonts w:ascii="Arial" w:hAnsi="Arial" w:cs="Arial"/>
          <w:color w:val="222222"/>
          <w:sz w:val="24"/>
          <w:szCs w:val="24"/>
          <w:shd w:val="clear" w:color="auto" w:fill="FFFFFF"/>
        </w:rPr>
        <w:t xml:space="preserve">(21), p.12156. Online Available at: </w:t>
      </w:r>
      <w:hyperlink r:id="rId23" w:history="1">
        <w:r w:rsidRPr="009C5CAA">
          <w:rPr>
            <w:rStyle w:val="Hyperlink"/>
            <w:rFonts w:ascii="Arial" w:hAnsi="Arial" w:cs="Arial"/>
            <w:sz w:val="24"/>
            <w:szCs w:val="24"/>
            <w:shd w:val="clear" w:color="auto" w:fill="FFFFFF"/>
          </w:rPr>
          <w:t>https://www.mdpi.com/2071-1050/13/21/12156/pdf</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471BFFD1" w14:textId="492A9690" w:rsidR="009C5CAA" w:rsidRPr="009C5CAA" w:rsidRDefault="009C5CAA" w:rsidP="009C5CAA">
      <w:pPr>
        <w:spacing w:line="360" w:lineRule="auto"/>
        <w:jc w:val="both"/>
        <w:rPr>
          <w:rFonts w:ascii="Arial" w:hAnsi="Arial" w:cs="Arial"/>
          <w:color w:val="222222"/>
          <w:sz w:val="24"/>
          <w:szCs w:val="24"/>
          <w:shd w:val="clear" w:color="auto" w:fill="FFFFFF"/>
        </w:rPr>
      </w:pPr>
      <w:proofErr w:type="spellStart"/>
      <w:r w:rsidRPr="009C5CAA">
        <w:rPr>
          <w:rFonts w:ascii="Arial" w:hAnsi="Arial" w:cs="Arial"/>
          <w:color w:val="222222"/>
          <w:sz w:val="24"/>
          <w:szCs w:val="24"/>
          <w:shd w:val="clear" w:color="auto" w:fill="FFFFFF"/>
        </w:rPr>
        <w:t>Kravariti</w:t>
      </w:r>
      <w:proofErr w:type="spellEnd"/>
      <w:r w:rsidRPr="009C5CAA">
        <w:rPr>
          <w:rFonts w:ascii="Arial" w:hAnsi="Arial" w:cs="Arial"/>
          <w:color w:val="222222"/>
          <w:sz w:val="24"/>
          <w:szCs w:val="24"/>
          <w:shd w:val="clear" w:color="auto" w:fill="FFFFFF"/>
        </w:rPr>
        <w:t xml:space="preserve">, F., </w:t>
      </w:r>
      <w:proofErr w:type="spellStart"/>
      <w:r w:rsidRPr="009C5CAA">
        <w:rPr>
          <w:rFonts w:ascii="Arial" w:hAnsi="Arial" w:cs="Arial"/>
          <w:color w:val="222222"/>
          <w:sz w:val="24"/>
          <w:szCs w:val="24"/>
          <w:shd w:val="clear" w:color="auto" w:fill="FFFFFF"/>
        </w:rPr>
        <w:t>Voutsina</w:t>
      </w:r>
      <w:proofErr w:type="spellEnd"/>
      <w:r w:rsidRPr="009C5CAA">
        <w:rPr>
          <w:rFonts w:ascii="Arial" w:hAnsi="Arial" w:cs="Arial"/>
          <w:color w:val="222222"/>
          <w:sz w:val="24"/>
          <w:szCs w:val="24"/>
          <w:shd w:val="clear" w:color="auto" w:fill="FFFFFF"/>
        </w:rPr>
        <w:t xml:space="preserve">, K., </w:t>
      </w:r>
      <w:proofErr w:type="spellStart"/>
      <w:r w:rsidRPr="009C5CAA">
        <w:rPr>
          <w:rFonts w:ascii="Arial" w:hAnsi="Arial" w:cs="Arial"/>
          <w:color w:val="222222"/>
          <w:sz w:val="24"/>
          <w:szCs w:val="24"/>
          <w:shd w:val="clear" w:color="auto" w:fill="FFFFFF"/>
        </w:rPr>
        <w:t>Tasoulis</w:t>
      </w:r>
      <w:proofErr w:type="spellEnd"/>
      <w:r w:rsidRPr="009C5CAA">
        <w:rPr>
          <w:rFonts w:ascii="Arial" w:hAnsi="Arial" w:cs="Arial"/>
          <w:color w:val="222222"/>
          <w:sz w:val="24"/>
          <w:szCs w:val="24"/>
          <w:shd w:val="clear" w:color="auto" w:fill="FFFFFF"/>
        </w:rPr>
        <w:t>, K., Dibia, C. and Johnston, K (2022) ‘Talent management in hospitality and tourism: a systematic literature review and research agenda’. </w:t>
      </w:r>
      <w:r w:rsidRPr="009C5CAA">
        <w:rPr>
          <w:rFonts w:ascii="Arial" w:hAnsi="Arial" w:cs="Arial"/>
          <w:i/>
          <w:iCs/>
          <w:color w:val="222222"/>
          <w:sz w:val="24"/>
          <w:szCs w:val="24"/>
          <w:shd w:val="clear" w:color="auto" w:fill="FFFFFF"/>
        </w:rPr>
        <w:t>International Journal of Contemporary Hospitality Management</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34</w:t>
      </w:r>
      <w:r w:rsidRPr="009C5CAA">
        <w:rPr>
          <w:rFonts w:ascii="Arial" w:hAnsi="Arial" w:cs="Arial"/>
          <w:color w:val="222222"/>
          <w:sz w:val="24"/>
          <w:szCs w:val="24"/>
          <w:shd w:val="clear" w:color="auto" w:fill="FFFFFF"/>
        </w:rPr>
        <w:t xml:space="preserve">(1), pp.321-360. Online Available at: </w:t>
      </w:r>
      <w:hyperlink r:id="rId24" w:history="1">
        <w:r w:rsidRPr="009C5CAA">
          <w:rPr>
            <w:rStyle w:val="Hyperlink"/>
            <w:rFonts w:ascii="Arial" w:hAnsi="Arial" w:cs="Arial"/>
            <w:sz w:val="24"/>
            <w:szCs w:val="24"/>
            <w:shd w:val="clear" w:color="auto" w:fill="FFFFFF"/>
          </w:rPr>
          <w:t>https://researchportal.port.ac.uk/files/51461614/Talent_Management_in_Hospitality_and_Tourism.pdf</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1831C10F" w14:textId="60BFFE35"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Lasserre, P. and Monteiro, F (2022) ‘</w:t>
      </w:r>
      <w:r w:rsidRPr="009C5CAA">
        <w:rPr>
          <w:rFonts w:ascii="Arial" w:hAnsi="Arial" w:cs="Arial"/>
          <w:i/>
          <w:iCs/>
          <w:color w:val="222222"/>
          <w:sz w:val="24"/>
          <w:szCs w:val="24"/>
          <w:shd w:val="clear" w:color="auto" w:fill="FFFFFF"/>
        </w:rPr>
        <w:t>Global strategic management’</w:t>
      </w:r>
      <w:r w:rsidRPr="009C5CAA">
        <w:rPr>
          <w:rFonts w:ascii="Arial" w:hAnsi="Arial" w:cs="Arial"/>
          <w:color w:val="222222"/>
          <w:sz w:val="24"/>
          <w:szCs w:val="24"/>
          <w:shd w:val="clear" w:color="auto" w:fill="FFFFFF"/>
        </w:rPr>
        <w:t xml:space="preserve">. Bloomsbury Publishing. Online Available at: </w:t>
      </w:r>
      <w:hyperlink r:id="rId25" w:history="1">
        <w:r w:rsidRPr="009C5CAA">
          <w:rPr>
            <w:rStyle w:val="Hyperlink"/>
            <w:rFonts w:ascii="Arial" w:hAnsi="Arial" w:cs="Arial"/>
            <w:sz w:val="24"/>
            <w:szCs w:val="24"/>
            <w:shd w:val="clear" w:color="auto" w:fill="FFFFFF"/>
          </w:rPr>
          <w:t>https://gsom.spbu.ru/files/upload/master_program/materials/international_business_strategy/lasserre_globalisation_indices.pdf</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47C8158B" w14:textId="42C1E354"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Leverenz, D., Hafner, G., </w:t>
      </w:r>
      <w:proofErr w:type="spellStart"/>
      <w:r w:rsidRPr="009C5CAA">
        <w:rPr>
          <w:rFonts w:ascii="Arial" w:hAnsi="Arial" w:cs="Arial"/>
          <w:color w:val="222222"/>
          <w:sz w:val="24"/>
          <w:szCs w:val="24"/>
          <w:shd w:val="clear" w:color="auto" w:fill="FFFFFF"/>
        </w:rPr>
        <w:t>Moussawel</w:t>
      </w:r>
      <w:proofErr w:type="spellEnd"/>
      <w:r w:rsidRPr="009C5CAA">
        <w:rPr>
          <w:rFonts w:ascii="Arial" w:hAnsi="Arial" w:cs="Arial"/>
          <w:color w:val="222222"/>
          <w:sz w:val="24"/>
          <w:szCs w:val="24"/>
          <w:shd w:val="clear" w:color="auto" w:fill="FFFFFF"/>
        </w:rPr>
        <w:t xml:space="preserve">, S., </w:t>
      </w:r>
      <w:proofErr w:type="spellStart"/>
      <w:r w:rsidRPr="009C5CAA">
        <w:rPr>
          <w:rFonts w:ascii="Arial" w:hAnsi="Arial" w:cs="Arial"/>
          <w:color w:val="222222"/>
          <w:sz w:val="24"/>
          <w:szCs w:val="24"/>
          <w:shd w:val="clear" w:color="auto" w:fill="FFFFFF"/>
        </w:rPr>
        <w:t>Kranert</w:t>
      </w:r>
      <w:proofErr w:type="spellEnd"/>
      <w:r w:rsidRPr="009C5CAA">
        <w:rPr>
          <w:rFonts w:ascii="Arial" w:hAnsi="Arial" w:cs="Arial"/>
          <w:color w:val="222222"/>
          <w:sz w:val="24"/>
          <w:szCs w:val="24"/>
          <w:shd w:val="clear" w:color="auto" w:fill="FFFFFF"/>
        </w:rPr>
        <w:t>, M., Goossens, Y. and Schmidt, T (2021) ‘Reducing food waste in hotel kitchens based on self-reported data’. </w:t>
      </w:r>
      <w:r w:rsidRPr="009C5CAA">
        <w:rPr>
          <w:rFonts w:ascii="Arial" w:hAnsi="Arial" w:cs="Arial"/>
          <w:i/>
          <w:iCs/>
          <w:color w:val="222222"/>
          <w:sz w:val="24"/>
          <w:szCs w:val="24"/>
          <w:shd w:val="clear" w:color="auto" w:fill="FFFFFF"/>
        </w:rPr>
        <w:t>Industrial Marketing Management</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93</w:t>
      </w:r>
      <w:r w:rsidRPr="009C5CAA">
        <w:rPr>
          <w:rFonts w:ascii="Arial" w:hAnsi="Arial" w:cs="Arial"/>
          <w:color w:val="222222"/>
          <w:sz w:val="24"/>
          <w:szCs w:val="24"/>
          <w:shd w:val="clear" w:color="auto" w:fill="FFFFFF"/>
        </w:rPr>
        <w:t xml:space="preserve">, pp.617-627. Online Available at: </w:t>
      </w:r>
      <w:hyperlink r:id="rId26" w:history="1">
        <w:r w:rsidRPr="009C5CAA">
          <w:rPr>
            <w:rStyle w:val="Hyperlink"/>
            <w:rFonts w:ascii="Arial" w:hAnsi="Arial" w:cs="Arial"/>
            <w:sz w:val="24"/>
            <w:szCs w:val="24"/>
            <w:shd w:val="clear" w:color="auto" w:fill="FFFFFF"/>
          </w:rPr>
          <w:t>https://www.sciencedirect.com/science/article/pii/S0019850120308038</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61EF5F11" w14:textId="25ADA107"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Molina-Collado, A., Santos-</w:t>
      </w:r>
      <w:proofErr w:type="spellStart"/>
      <w:r w:rsidRPr="009C5CAA">
        <w:rPr>
          <w:rFonts w:ascii="Arial" w:hAnsi="Arial" w:cs="Arial"/>
          <w:color w:val="222222"/>
          <w:sz w:val="24"/>
          <w:szCs w:val="24"/>
          <w:shd w:val="clear" w:color="auto" w:fill="FFFFFF"/>
        </w:rPr>
        <w:t>Vijande</w:t>
      </w:r>
      <w:proofErr w:type="spellEnd"/>
      <w:r w:rsidRPr="009C5CAA">
        <w:rPr>
          <w:rFonts w:ascii="Arial" w:hAnsi="Arial" w:cs="Arial"/>
          <w:color w:val="222222"/>
          <w:sz w:val="24"/>
          <w:szCs w:val="24"/>
          <w:shd w:val="clear" w:color="auto" w:fill="FFFFFF"/>
        </w:rPr>
        <w:t>, M.L., Gómez-Rico, M. and Madera, J.M (2022) ‘Sustainability in hospitality and tourism: a review of key research topics from 1994 to 2020’. </w:t>
      </w:r>
      <w:r w:rsidRPr="009C5CAA">
        <w:rPr>
          <w:rFonts w:ascii="Arial" w:hAnsi="Arial" w:cs="Arial"/>
          <w:i/>
          <w:iCs/>
          <w:color w:val="222222"/>
          <w:sz w:val="24"/>
          <w:szCs w:val="24"/>
          <w:shd w:val="clear" w:color="auto" w:fill="FFFFFF"/>
        </w:rPr>
        <w:t>International Journal of Contemporary Hospitality Management</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34</w:t>
      </w:r>
      <w:r w:rsidRPr="009C5CAA">
        <w:rPr>
          <w:rFonts w:ascii="Arial" w:hAnsi="Arial" w:cs="Arial"/>
          <w:color w:val="222222"/>
          <w:sz w:val="24"/>
          <w:szCs w:val="24"/>
          <w:shd w:val="clear" w:color="auto" w:fill="FFFFFF"/>
        </w:rPr>
        <w:t xml:space="preserve">(8), pp.3029-3064. Online Available at: </w:t>
      </w:r>
      <w:hyperlink r:id="rId27" w:history="1">
        <w:r w:rsidRPr="009C5CAA">
          <w:rPr>
            <w:rStyle w:val="Hyperlink"/>
            <w:rFonts w:ascii="Arial" w:hAnsi="Arial" w:cs="Arial"/>
            <w:sz w:val="24"/>
            <w:szCs w:val="24"/>
            <w:shd w:val="clear" w:color="auto" w:fill="FFFFFF"/>
          </w:rPr>
          <w:t>https://drive.google.com/file/d/19U9LJZ_SVlPvLUgHTA4OkE9ImDg5R4he/view</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371F0CC2" w14:textId="5E18B659" w:rsidR="009C5CAA" w:rsidRPr="009C5CAA" w:rsidRDefault="009C5CAA" w:rsidP="009C5CAA">
      <w:pPr>
        <w:spacing w:line="360" w:lineRule="auto"/>
        <w:jc w:val="both"/>
        <w:rPr>
          <w:rFonts w:ascii="Arial" w:hAnsi="Arial" w:cs="Arial"/>
          <w:color w:val="222222"/>
          <w:sz w:val="24"/>
          <w:szCs w:val="24"/>
          <w:shd w:val="clear" w:color="auto" w:fill="FFFFFF"/>
        </w:rPr>
      </w:pPr>
      <w:proofErr w:type="spellStart"/>
      <w:r w:rsidRPr="009C5CAA">
        <w:rPr>
          <w:rFonts w:ascii="Arial" w:hAnsi="Arial" w:cs="Arial"/>
          <w:color w:val="222222"/>
          <w:sz w:val="24"/>
          <w:szCs w:val="24"/>
          <w:shd w:val="clear" w:color="auto" w:fill="FFFFFF"/>
        </w:rPr>
        <w:lastRenderedPageBreak/>
        <w:t>Orîndaru</w:t>
      </w:r>
      <w:proofErr w:type="spellEnd"/>
      <w:r w:rsidRPr="009C5CAA">
        <w:rPr>
          <w:rFonts w:ascii="Arial" w:hAnsi="Arial" w:cs="Arial"/>
          <w:color w:val="222222"/>
          <w:sz w:val="24"/>
          <w:szCs w:val="24"/>
          <w:shd w:val="clear" w:color="auto" w:fill="FFFFFF"/>
        </w:rPr>
        <w:t xml:space="preserve">, A., Popescu, M.F., </w:t>
      </w:r>
      <w:proofErr w:type="spellStart"/>
      <w:r w:rsidRPr="009C5CAA">
        <w:rPr>
          <w:rFonts w:ascii="Arial" w:hAnsi="Arial" w:cs="Arial"/>
          <w:color w:val="222222"/>
          <w:sz w:val="24"/>
          <w:szCs w:val="24"/>
          <w:shd w:val="clear" w:color="auto" w:fill="FFFFFF"/>
        </w:rPr>
        <w:t>Alexoaei</w:t>
      </w:r>
      <w:proofErr w:type="spellEnd"/>
      <w:r w:rsidRPr="009C5CAA">
        <w:rPr>
          <w:rFonts w:ascii="Arial" w:hAnsi="Arial" w:cs="Arial"/>
          <w:color w:val="222222"/>
          <w:sz w:val="24"/>
          <w:szCs w:val="24"/>
          <w:shd w:val="clear" w:color="auto" w:fill="FFFFFF"/>
        </w:rPr>
        <w:t xml:space="preserve">, A.P., </w:t>
      </w:r>
      <w:proofErr w:type="spellStart"/>
      <w:r w:rsidRPr="009C5CAA">
        <w:rPr>
          <w:rFonts w:ascii="Arial" w:hAnsi="Arial" w:cs="Arial"/>
          <w:color w:val="222222"/>
          <w:sz w:val="24"/>
          <w:szCs w:val="24"/>
          <w:shd w:val="clear" w:color="auto" w:fill="FFFFFF"/>
        </w:rPr>
        <w:t>Căescu</w:t>
      </w:r>
      <w:proofErr w:type="spellEnd"/>
      <w:r w:rsidRPr="009C5CAA">
        <w:rPr>
          <w:rFonts w:ascii="Arial" w:hAnsi="Arial" w:cs="Arial"/>
          <w:color w:val="222222"/>
          <w:sz w:val="24"/>
          <w:szCs w:val="24"/>
          <w:shd w:val="clear" w:color="auto" w:fill="FFFFFF"/>
        </w:rPr>
        <w:t xml:space="preserve">, Ș.C., Florescu, M.S. and </w:t>
      </w:r>
      <w:proofErr w:type="spellStart"/>
      <w:r w:rsidRPr="009C5CAA">
        <w:rPr>
          <w:rFonts w:ascii="Arial" w:hAnsi="Arial" w:cs="Arial"/>
          <w:color w:val="222222"/>
          <w:sz w:val="24"/>
          <w:szCs w:val="24"/>
          <w:shd w:val="clear" w:color="auto" w:fill="FFFFFF"/>
        </w:rPr>
        <w:t>Orzan</w:t>
      </w:r>
      <w:proofErr w:type="spellEnd"/>
      <w:r w:rsidRPr="009C5CAA">
        <w:rPr>
          <w:rFonts w:ascii="Arial" w:hAnsi="Arial" w:cs="Arial"/>
          <w:color w:val="222222"/>
          <w:sz w:val="24"/>
          <w:szCs w:val="24"/>
          <w:shd w:val="clear" w:color="auto" w:fill="FFFFFF"/>
        </w:rPr>
        <w:t>, A.O (2021) ‘Tourism in a post-COVID-19 era: Sustainable strategies for industry’s recovery’. </w:t>
      </w:r>
      <w:r w:rsidRPr="009C5CAA">
        <w:rPr>
          <w:rFonts w:ascii="Arial" w:hAnsi="Arial" w:cs="Arial"/>
          <w:i/>
          <w:iCs/>
          <w:color w:val="222222"/>
          <w:sz w:val="24"/>
          <w:szCs w:val="24"/>
          <w:shd w:val="clear" w:color="auto" w:fill="FFFFFF"/>
        </w:rPr>
        <w:t>Sustainability</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13</w:t>
      </w:r>
      <w:r w:rsidRPr="009C5CAA">
        <w:rPr>
          <w:rFonts w:ascii="Arial" w:hAnsi="Arial" w:cs="Arial"/>
          <w:color w:val="222222"/>
          <w:sz w:val="24"/>
          <w:szCs w:val="24"/>
          <w:shd w:val="clear" w:color="auto" w:fill="FFFFFF"/>
        </w:rPr>
        <w:t xml:space="preserve">(12), p.6781. Online Available at: </w:t>
      </w:r>
      <w:hyperlink r:id="rId28" w:history="1">
        <w:r w:rsidRPr="009C5CAA">
          <w:rPr>
            <w:rStyle w:val="Hyperlink"/>
            <w:rFonts w:ascii="Arial" w:hAnsi="Arial" w:cs="Arial"/>
            <w:sz w:val="24"/>
            <w:szCs w:val="24"/>
            <w:shd w:val="clear" w:color="auto" w:fill="FFFFFF"/>
          </w:rPr>
          <w:t>https://www.mdpi.com/2071-1050/13/12/6781/pdf</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3D393270" w14:textId="43A65B30" w:rsidR="009C5CAA" w:rsidRPr="009C5CAA" w:rsidRDefault="009C5CAA" w:rsidP="009C5CAA">
      <w:pPr>
        <w:spacing w:line="360" w:lineRule="auto"/>
        <w:jc w:val="both"/>
        <w:rPr>
          <w:rFonts w:ascii="Arial" w:hAnsi="Arial" w:cs="Arial"/>
          <w:color w:val="222222"/>
          <w:sz w:val="24"/>
          <w:szCs w:val="24"/>
          <w:shd w:val="clear" w:color="auto" w:fill="FFFFFF"/>
        </w:rPr>
      </w:pPr>
      <w:proofErr w:type="spellStart"/>
      <w:r w:rsidRPr="009C5CAA">
        <w:rPr>
          <w:rFonts w:ascii="Arial" w:hAnsi="Arial" w:cs="Arial"/>
          <w:color w:val="222222"/>
          <w:sz w:val="24"/>
          <w:szCs w:val="24"/>
          <w:shd w:val="clear" w:color="auto" w:fill="FFFFFF"/>
        </w:rPr>
        <w:t>Pekdemir</w:t>
      </w:r>
      <w:proofErr w:type="spellEnd"/>
      <w:r w:rsidRPr="009C5CAA">
        <w:rPr>
          <w:rFonts w:ascii="Arial" w:hAnsi="Arial" w:cs="Arial"/>
          <w:color w:val="222222"/>
          <w:sz w:val="24"/>
          <w:szCs w:val="24"/>
          <w:shd w:val="clear" w:color="auto" w:fill="FFFFFF"/>
        </w:rPr>
        <w:t>, S (2021) ‘</w:t>
      </w:r>
      <w:r w:rsidRPr="009C5CAA">
        <w:rPr>
          <w:rFonts w:ascii="Arial" w:hAnsi="Arial" w:cs="Arial"/>
          <w:i/>
          <w:iCs/>
          <w:color w:val="222222"/>
          <w:sz w:val="24"/>
          <w:szCs w:val="24"/>
          <w:shd w:val="clear" w:color="auto" w:fill="FFFFFF"/>
        </w:rPr>
        <w:t>Development of sustainable cities by using circular economy: Circular cities</w:t>
      </w:r>
      <w:r w:rsidRPr="009C5CAA">
        <w:rPr>
          <w:rFonts w:ascii="Arial" w:hAnsi="Arial" w:cs="Arial"/>
          <w:color w:val="222222"/>
          <w:sz w:val="24"/>
          <w:szCs w:val="24"/>
          <w:shd w:val="clear" w:color="auto" w:fill="FFFFFF"/>
        </w:rPr>
        <w:t xml:space="preserve"> (Doctoral dissertation, </w:t>
      </w:r>
      <w:proofErr w:type="spellStart"/>
      <w:r w:rsidRPr="009C5CAA">
        <w:rPr>
          <w:rFonts w:ascii="Arial" w:hAnsi="Arial" w:cs="Arial"/>
          <w:color w:val="222222"/>
          <w:sz w:val="24"/>
          <w:szCs w:val="24"/>
          <w:shd w:val="clear" w:color="auto" w:fill="FFFFFF"/>
        </w:rPr>
        <w:t>Politecnico</w:t>
      </w:r>
      <w:proofErr w:type="spellEnd"/>
      <w:r w:rsidRPr="009C5CAA">
        <w:rPr>
          <w:rFonts w:ascii="Arial" w:hAnsi="Arial" w:cs="Arial"/>
          <w:color w:val="222222"/>
          <w:sz w:val="24"/>
          <w:szCs w:val="24"/>
          <w:shd w:val="clear" w:color="auto" w:fill="FFFFFF"/>
        </w:rPr>
        <w:t xml:space="preserve"> di Torino)’. Online Available at: </w:t>
      </w:r>
      <w:hyperlink r:id="rId29" w:history="1">
        <w:r w:rsidRPr="009C5CAA">
          <w:rPr>
            <w:rStyle w:val="Hyperlink"/>
            <w:rFonts w:ascii="Arial" w:hAnsi="Arial" w:cs="Arial"/>
            <w:sz w:val="24"/>
            <w:szCs w:val="24"/>
            <w:shd w:val="clear" w:color="auto" w:fill="FFFFFF"/>
          </w:rPr>
          <w:t>https://webthesis.biblio.polito.it/secure/21048/1/tesi.pdf</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5650C2DC" w14:textId="3D0D7BA4"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Putra, F.K.K. and Law, R (2024) ‘Critical success factors for virtual hotel operator partnership with small-and medium-sized hotels: perspectives of owners and </w:t>
      </w:r>
      <w:proofErr w:type="gramStart"/>
      <w:r w:rsidRPr="009C5CAA">
        <w:rPr>
          <w:rFonts w:ascii="Arial" w:hAnsi="Arial" w:cs="Arial"/>
          <w:color w:val="222222"/>
          <w:sz w:val="24"/>
          <w:szCs w:val="24"/>
          <w:shd w:val="clear" w:color="auto" w:fill="FFFFFF"/>
        </w:rPr>
        <w:t>operators’</w:t>
      </w:r>
      <w:proofErr w:type="gramEnd"/>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Journal of Hospitality and Tourism Insights</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7</w:t>
      </w:r>
      <w:r w:rsidRPr="009C5CAA">
        <w:rPr>
          <w:rFonts w:ascii="Arial" w:hAnsi="Arial" w:cs="Arial"/>
          <w:color w:val="222222"/>
          <w:sz w:val="24"/>
          <w:szCs w:val="24"/>
          <w:shd w:val="clear" w:color="auto" w:fill="FFFFFF"/>
        </w:rPr>
        <w:t xml:space="preserve">(3), pp.1391-1411. Online Available at: </w:t>
      </w:r>
      <w:hyperlink r:id="rId30" w:history="1">
        <w:r w:rsidRPr="009C5CAA">
          <w:rPr>
            <w:rStyle w:val="Hyperlink"/>
            <w:rFonts w:ascii="Arial" w:hAnsi="Arial" w:cs="Arial"/>
            <w:sz w:val="24"/>
            <w:szCs w:val="24"/>
            <w:shd w:val="clear" w:color="auto" w:fill="FFFFFF"/>
          </w:rPr>
          <w:t>http://repository.poltekpar-nhi.ac.id/2044/4/KORESPONDENSI_3825048501_JHTI.pdf</w:t>
        </w:r>
      </w:hyperlink>
      <w:r w:rsidRPr="009C5CAA">
        <w:rPr>
          <w:rFonts w:ascii="Arial" w:hAnsi="Arial" w:cs="Arial"/>
          <w:color w:val="222222"/>
          <w:sz w:val="24"/>
          <w:szCs w:val="24"/>
          <w:shd w:val="clear" w:color="auto" w:fill="FFFFFF"/>
        </w:rPr>
        <w:t xml:space="preserve">. Last accessed on: </w:t>
      </w:r>
      <w:r w:rsidR="00E7446D">
        <w:rPr>
          <w:rFonts w:ascii="Arial" w:hAnsi="Arial" w:cs="Arial"/>
          <w:color w:val="222222"/>
          <w:sz w:val="24"/>
          <w:szCs w:val="24"/>
          <w:shd w:val="clear" w:color="auto" w:fill="FFFFFF"/>
        </w:rPr>
        <w:t>6</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Pr="009C5CAA">
        <w:rPr>
          <w:rFonts w:ascii="Arial" w:hAnsi="Arial" w:cs="Arial"/>
          <w:color w:val="222222"/>
          <w:sz w:val="24"/>
          <w:szCs w:val="24"/>
          <w:shd w:val="clear" w:color="auto" w:fill="FFFFFF"/>
        </w:rPr>
        <w:t xml:space="preserve"> 2025.</w:t>
      </w:r>
    </w:p>
    <w:p w14:paraId="73505965" w14:textId="3BEC76EB"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Salama, W. and Abdelsalam, E (2021) ‘Impact of hotel guests’ trends to recycle food waste to obtain bioenergy’. </w:t>
      </w:r>
      <w:r w:rsidRPr="009C5CAA">
        <w:rPr>
          <w:rFonts w:ascii="Arial" w:hAnsi="Arial" w:cs="Arial"/>
          <w:i/>
          <w:iCs/>
          <w:color w:val="222222"/>
          <w:sz w:val="24"/>
          <w:szCs w:val="24"/>
          <w:shd w:val="clear" w:color="auto" w:fill="FFFFFF"/>
        </w:rPr>
        <w:t>Sustainability</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13</w:t>
      </w:r>
      <w:r w:rsidRPr="009C5CAA">
        <w:rPr>
          <w:rFonts w:ascii="Arial" w:hAnsi="Arial" w:cs="Arial"/>
          <w:color w:val="222222"/>
          <w:sz w:val="24"/>
          <w:szCs w:val="24"/>
          <w:shd w:val="clear" w:color="auto" w:fill="FFFFFF"/>
        </w:rPr>
        <w:t xml:space="preserve">(6), p.3094. Online Available at: </w:t>
      </w:r>
      <w:hyperlink r:id="rId31" w:history="1">
        <w:r w:rsidRPr="009C5CAA">
          <w:rPr>
            <w:rStyle w:val="Hyperlink"/>
            <w:rFonts w:ascii="Arial" w:hAnsi="Arial" w:cs="Arial"/>
            <w:sz w:val="24"/>
            <w:szCs w:val="24"/>
            <w:shd w:val="clear" w:color="auto" w:fill="FFFFFF"/>
          </w:rPr>
          <w:t>https://www.mdpi.com/2071-1050/13/6/3094/pdf</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6C8271F9" w14:textId="77777777"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Savoy (2025) ‘The Savoy’. Online Available at: </w:t>
      </w:r>
      <w:hyperlink r:id="rId32" w:history="1">
        <w:r w:rsidRPr="009C5CAA">
          <w:rPr>
            <w:rStyle w:val="Hyperlink"/>
            <w:rFonts w:ascii="Arial" w:hAnsi="Arial" w:cs="Arial"/>
            <w:sz w:val="24"/>
            <w:szCs w:val="24"/>
            <w:shd w:val="clear" w:color="auto" w:fill="FFFFFF"/>
          </w:rPr>
          <w:t>https://www.thesavoylondon.com/</w:t>
        </w:r>
      </w:hyperlink>
      <w:r w:rsidRPr="009C5CAA">
        <w:rPr>
          <w:rFonts w:ascii="Arial" w:hAnsi="Arial" w:cs="Arial"/>
          <w:color w:val="222222"/>
          <w:sz w:val="24"/>
          <w:szCs w:val="24"/>
          <w:shd w:val="clear" w:color="auto" w:fill="FFFFFF"/>
        </w:rPr>
        <w:t>. Last accessed on: 24</w:t>
      </w:r>
      <w:r w:rsidRPr="009C5CAA">
        <w:rPr>
          <w:rFonts w:ascii="Arial" w:hAnsi="Arial" w:cs="Arial"/>
          <w:color w:val="222222"/>
          <w:sz w:val="24"/>
          <w:szCs w:val="24"/>
          <w:shd w:val="clear" w:color="auto" w:fill="FFFFFF"/>
          <w:vertAlign w:val="superscript"/>
        </w:rPr>
        <w:t>th</w:t>
      </w:r>
      <w:r w:rsidRPr="009C5CAA">
        <w:rPr>
          <w:rFonts w:ascii="Arial" w:hAnsi="Arial" w:cs="Arial"/>
          <w:color w:val="222222"/>
          <w:sz w:val="24"/>
          <w:szCs w:val="24"/>
          <w:shd w:val="clear" w:color="auto" w:fill="FFFFFF"/>
        </w:rPr>
        <w:t xml:space="preserve"> Jan 2025.</w:t>
      </w:r>
    </w:p>
    <w:p w14:paraId="635B4814" w14:textId="46AFA99C" w:rsidR="009C5CAA" w:rsidRPr="009C5CAA" w:rsidRDefault="009C5CAA" w:rsidP="009C5CAA">
      <w:pPr>
        <w:spacing w:line="360" w:lineRule="auto"/>
        <w:jc w:val="both"/>
        <w:rPr>
          <w:rFonts w:ascii="Arial" w:hAnsi="Arial" w:cs="Arial"/>
          <w:color w:val="222222"/>
          <w:sz w:val="24"/>
          <w:szCs w:val="24"/>
          <w:shd w:val="clear" w:color="auto" w:fill="FFFFFF"/>
        </w:rPr>
      </w:pPr>
      <w:r w:rsidRPr="009C5CAA">
        <w:rPr>
          <w:rFonts w:ascii="Arial" w:hAnsi="Arial" w:cs="Arial"/>
          <w:color w:val="222222"/>
          <w:sz w:val="24"/>
          <w:szCs w:val="24"/>
          <w:shd w:val="clear" w:color="auto" w:fill="FFFFFF"/>
        </w:rPr>
        <w:t xml:space="preserve">Sigala, M., Kumar, S., </w:t>
      </w:r>
      <w:proofErr w:type="spellStart"/>
      <w:r w:rsidRPr="009C5CAA">
        <w:rPr>
          <w:rFonts w:ascii="Arial" w:hAnsi="Arial" w:cs="Arial"/>
          <w:color w:val="222222"/>
          <w:sz w:val="24"/>
          <w:szCs w:val="24"/>
          <w:shd w:val="clear" w:color="auto" w:fill="FFFFFF"/>
        </w:rPr>
        <w:t>Donthu</w:t>
      </w:r>
      <w:proofErr w:type="spellEnd"/>
      <w:r w:rsidRPr="009C5CAA">
        <w:rPr>
          <w:rFonts w:ascii="Arial" w:hAnsi="Arial" w:cs="Arial"/>
          <w:color w:val="222222"/>
          <w:sz w:val="24"/>
          <w:szCs w:val="24"/>
          <w:shd w:val="clear" w:color="auto" w:fill="FFFFFF"/>
        </w:rPr>
        <w:t>, N., Sureka, R. and Joshi, Y (2021) ‘A bibliometric overview of the Journal of Hospitality and Tourism Management: Research contributions and influence’. </w:t>
      </w:r>
      <w:r w:rsidRPr="009C5CAA">
        <w:rPr>
          <w:rFonts w:ascii="Arial" w:hAnsi="Arial" w:cs="Arial"/>
          <w:i/>
          <w:iCs/>
          <w:color w:val="222222"/>
          <w:sz w:val="24"/>
          <w:szCs w:val="24"/>
          <w:shd w:val="clear" w:color="auto" w:fill="FFFFFF"/>
        </w:rPr>
        <w:t>Journal of Hospitality and Tourism Management</w:t>
      </w:r>
      <w:r w:rsidRPr="009C5CAA">
        <w:rPr>
          <w:rFonts w:ascii="Arial" w:hAnsi="Arial" w:cs="Arial"/>
          <w:color w:val="222222"/>
          <w:sz w:val="24"/>
          <w:szCs w:val="24"/>
          <w:shd w:val="clear" w:color="auto" w:fill="FFFFFF"/>
        </w:rPr>
        <w:t>, </w:t>
      </w:r>
      <w:r w:rsidRPr="009C5CAA">
        <w:rPr>
          <w:rFonts w:ascii="Arial" w:hAnsi="Arial" w:cs="Arial"/>
          <w:i/>
          <w:iCs/>
          <w:color w:val="222222"/>
          <w:sz w:val="24"/>
          <w:szCs w:val="24"/>
          <w:shd w:val="clear" w:color="auto" w:fill="FFFFFF"/>
        </w:rPr>
        <w:t>47</w:t>
      </w:r>
      <w:r w:rsidRPr="009C5CAA">
        <w:rPr>
          <w:rFonts w:ascii="Arial" w:hAnsi="Arial" w:cs="Arial"/>
          <w:color w:val="222222"/>
          <w:sz w:val="24"/>
          <w:szCs w:val="24"/>
          <w:shd w:val="clear" w:color="auto" w:fill="FFFFFF"/>
        </w:rPr>
        <w:t xml:space="preserve">, pp.273-288. Online Available at: </w:t>
      </w:r>
      <w:hyperlink r:id="rId33" w:history="1">
        <w:r w:rsidRPr="009C5CAA">
          <w:rPr>
            <w:rStyle w:val="Hyperlink"/>
            <w:rFonts w:ascii="Arial" w:hAnsi="Arial" w:cs="Arial"/>
            <w:sz w:val="24"/>
            <w:szCs w:val="24"/>
            <w:shd w:val="clear" w:color="auto" w:fill="FFFFFF"/>
          </w:rPr>
          <w:t>https://thuvienso.hoasen.edu.vn/bitstream/handle/123456789/15229/A%20bibliometric%20overview%20of%20the%20Journal%20of%20Hospitality%20and%20Tourism%20Management%20Research%20contributions%20and%20influence.pdf?sequence=1&amp;isAllowed=y</w:t>
        </w:r>
      </w:hyperlink>
      <w:r w:rsidRPr="009C5CAA">
        <w:rPr>
          <w:rFonts w:ascii="Arial" w:hAnsi="Arial" w:cs="Arial"/>
          <w:color w:val="222222"/>
          <w:sz w:val="24"/>
          <w:szCs w:val="24"/>
          <w:shd w:val="clear" w:color="auto" w:fill="FFFFFF"/>
        </w:rPr>
        <w:t xml:space="preserve">. Last accessed on: </w:t>
      </w:r>
      <w:r w:rsidR="00870094">
        <w:rPr>
          <w:rFonts w:ascii="Arial" w:hAnsi="Arial" w:cs="Arial"/>
          <w:color w:val="222222"/>
          <w:sz w:val="24"/>
          <w:szCs w:val="24"/>
          <w:shd w:val="clear" w:color="auto" w:fill="FFFFFF"/>
        </w:rPr>
        <w:t>5</w:t>
      </w:r>
      <w:r w:rsidR="00870094" w:rsidRPr="009C5CAA">
        <w:rPr>
          <w:rFonts w:ascii="Arial" w:hAnsi="Arial" w:cs="Arial"/>
          <w:color w:val="222222"/>
          <w:sz w:val="24"/>
          <w:szCs w:val="24"/>
          <w:shd w:val="clear" w:color="auto" w:fill="FFFFFF"/>
          <w:vertAlign w:val="superscript"/>
        </w:rPr>
        <w:t>th</w:t>
      </w:r>
      <w:r w:rsidR="00870094" w:rsidRPr="009C5CAA">
        <w:rPr>
          <w:rFonts w:ascii="Arial" w:hAnsi="Arial" w:cs="Arial"/>
          <w:color w:val="222222"/>
          <w:sz w:val="24"/>
          <w:szCs w:val="24"/>
          <w:shd w:val="clear" w:color="auto" w:fill="FFFFFF"/>
        </w:rPr>
        <w:t xml:space="preserve"> </w:t>
      </w:r>
      <w:r w:rsidR="00870094">
        <w:rPr>
          <w:rFonts w:ascii="Arial" w:hAnsi="Arial" w:cs="Arial"/>
          <w:color w:val="222222"/>
          <w:sz w:val="24"/>
          <w:szCs w:val="24"/>
          <w:shd w:val="clear" w:color="auto" w:fill="FFFFFF"/>
        </w:rPr>
        <w:t>Feb</w:t>
      </w:r>
      <w:r w:rsidR="00870094" w:rsidRPr="009C5CAA">
        <w:rPr>
          <w:rFonts w:ascii="Arial" w:hAnsi="Arial" w:cs="Arial"/>
          <w:color w:val="222222"/>
          <w:sz w:val="24"/>
          <w:szCs w:val="24"/>
          <w:shd w:val="clear" w:color="auto" w:fill="FFFFFF"/>
        </w:rPr>
        <w:t xml:space="preserve"> </w:t>
      </w:r>
      <w:r w:rsidRPr="009C5CAA">
        <w:rPr>
          <w:rFonts w:ascii="Arial" w:hAnsi="Arial" w:cs="Arial"/>
          <w:color w:val="222222"/>
          <w:sz w:val="24"/>
          <w:szCs w:val="24"/>
          <w:shd w:val="clear" w:color="auto" w:fill="FFFFFF"/>
        </w:rPr>
        <w:t>2025.</w:t>
      </w:r>
    </w:p>
    <w:p w14:paraId="3F97D039" w14:textId="4E32669E" w:rsidR="00174852" w:rsidRPr="00174852" w:rsidRDefault="00174852" w:rsidP="009C5CAA">
      <w:pPr>
        <w:spacing w:line="360" w:lineRule="auto"/>
        <w:jc w:val="both"/>
        <w:rPr>
          <w:rFonts w:ascii="Arial" w:hAnsi="Arial" w:cs="Arial"/>
          <w:sz w:val="24"/>
          <w:szCs w:val="24"/>
        </w:rPr>
      </w:pPr>
    </w:p>
    <w:sectPr w:rsidR="00174852" w:rsidRPr="00174852">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C1733C" w14:textId="77777777" w:rsidR="0035691F" w:rsidRDefault="0035691F">
      <w:pPr>
        <w:spacing w:after="0" w:line="240" w:lineRule="auto"/>
      </w:pPr>
      <w:r>
        <w:separator/>
      </w:r>
    </w:p>
  </w:endnote>
  <w:endnote w:type="continuationSeparator" w:id="0">
    <w:p w14:paraId="1255530B" w14:textId="77777777" w:rsidR="0035691F" w:rsidRDefault="00356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7205285"/>
      <w:docPartObj>
        <w:docPartGallery w:val="Page Numbers (Bottom of Page)"/>
        <w:docPartUnique/>
      </w:docPartObj>
    </w:sdtPr>
    <w:sdtEndPr>
      <w:rPr>
        <w:noProof/>
      </w:rPr>
    </w:sdtEndPr>
    <w:sdtContent>
      <w:p w14:paraId="4720D668" w14:textId="77777777" w:rsidR="00C30A7B" w:rsidRDefault="00CE72A6">
        <w:pPr>
          <w:pStyle w:val="Footer"/>
          <w:jc w:val="right"/>
        </w:pPr>
        <w:r>
          <w:fldChar w:fldCharType="begin"/>
        </w:r>
        <w:r>
          <w:instrText xml:space="preserve"> PAGE   \* MERGEFORMAT </w:instrText>
        </w:r>
        <w:r>
          <w:fldChar w:fldCharType="separate"/>
        </w:r>
        <w:r w:rsidR="00A314EA">
          <w:rPr>
            <w:noProof/>
          </w:rPr>
          <w:t>1</w:t>
        </w:r>
        <w:r>
          <w:rPr>
            <w:noProof/>
          </w:rPr>
          <w:fldChar w:fldCharType="end"/>
        </w:r>
      </w:p>
    </w:sdtContent>
  </w:sdt>
  <w:p w14:paraId="51CE2AC6" w14:textId="77777777" w:rsidR="00C30A7B" w:rsidRDefault="00C30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31EEF2" w14:textId="77777777" w:rsidR="0035691F" w:rsidRDefault="0035691F">
      <w:pPr>
        <w:spacing w:after="0" w:line="240" w:lineRule="auto"/>
      </w:pPr>
      <w:r>
        <w:separator/>
      </w:r>
    </w:p>
  </w:footnote>
  <w:footnote w:type="continuationSeparator" w:id="0">
    <w:p w14:paraId="0B9E99D0" w14:textId="77777777" w:rsidR="0035691F" w:rsidRDefault="003569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30A7B"/>
    <w:rsid w:val="00045752"/>
    <w:rsid w:val="0007646D"/>
    <w:rsid w:val="000773DA"/>
    <w:rsid w:val="000E4AA8"/>
    <w:rsid w:val="000F76FF"/>
    <w:rsid w:val="00174852"/>
    <w:rsid w:val="00262A28"/>
    <w:rsid w:val="002A27EB"/>
    <w:rsid w:val="0035691F"/>
    <w:rsid w:val="00450BF5"/>
    <w:rsid w:val="004D27E0"/>
    <w:rsid w:val="00557DD9"/>
    <w:rsid w:val="0059618A"/>
    <w:rsid w:val="005B32DF"/>
    <w:rsid w:val="005F397C"/>
    <w:rsid w:val="005F748A"/>
    <w:rsid w:val="00672ED4"/>
    <w:rsid w:val="00675DA3"/>
    <w:rsid w:val="006E254C"/>
    <w:rsid w:val="007517D3"/>
    <w:rsid w:val="00844043"/>
    <w:rsid w:val="00870094"/>
    <w:rsid w:val="008D638D"/>
    <w:rsid w:val="008E527B"/>
    <w:rsid w:val="009817CF"/>
    <w:rsid w:val="009937AD"/>
    <w:rsid w:val="009C5CAA"/>
    <w:rsid w:val="009C712A"/>
    <w:rsid w:val="00A314EA"/>
    <w:rsid w:val="00AC5948"/>
    <w:rsid w:val="00B83BA1"/>
    <w:rsid w:val="00BF6C7A"/>
    <w:rsid w:val="00C30A7B"/>
    <w:rsid w:val="00CE72A6"/>
    <w:rsid w:val="00E07CDA"/>
    <w:rsid w:val="00E7446D"/>
    <w:rsid w:val="00EC4381"/>
    <w:rsid w:val="00F715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56E5B"/>
  <w15:docId w15:val="{3F349144-A2F2-4AC1-A822-B93C6B062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0A7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30A7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0A7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30A7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C30A7B"/>
    <w:pPr>
      <w:outlineLvl w:val="9"/>
    </w:pPr>
    <w:rPr>
      <w:lang w:eastAsia="ja-JP"/>
    </w:rPr>
  </w:style>
  <w:style w:type="paragraph" w:styleId="TOC1">
    <w:name w:val="toc 1"/>
    <w:basedOn w:val="Normal"/>
    <w:next w:val="Normal"/>
    <w:autoRedefine/>
    <w:uiPriority w:val="39"/>
    <w:unhideWhenUsed/>
    <w:rsid w:val="00C30A7B"/>
    <w:pPr>
      <w:spacing w:after="100"/>
    </w:pPr>
  </w:style>
  <w:style w:type="paragraph" w:styleId="TOC2">
    <w:name w:val="toc 2"/>
    <w:basedOn w:val="Normal"/>
    <w:next w:val="Normal"/>
    <w:autoRedefine/>
    <w:uiPriority w:val="39"/>
    <w:unhideWhenUsed/>
    <w:rsid w:val="00C30A7B"/>
    <w:pPr>
      <w:spacing w:after="100"/>
      <w:ind w:left="220"/>
    </w:pPr>
  </w:style>
  <w:style w:type="character" w:styleId="Hyperlink">
    <w:name w:val="Hyperlink"/>
    <w:basedOn w:val="DefaultParagraphFont"/>
    <w:uiPriority w:val="99"/>
    <w:unhideWhenUsed/>
    <w:rsid w:val="00C30A7B"/>
    <w:rPr>
      <w:color w:val="0000FF" w:themeColor="hyperlink"/>
      <w:u w:val="single"/>
    </w:rPr>
  </w:style>
  <w:style w:type="paragraph" w:styleId="BalloonText">
    <w:name w:val="Balloon Text"/>
    <w:basedOn w:val="Normal"/>
    <w:link w:val="BalloonTextChar"/>
    <w:uiPriority w:val="99"/>
    <w:semiHidden/>
    <w:unhideWhenUsed/>
    <w:rsid w:val="00C30A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0A7B"/>
    <w:rPr>
      <w:rFonts w:ascii="Tahoma" w:hAnsi="Tahoma" w:cs="Tahoma"/>
      <w:sz w:val="16"/>
      <w:szCs w:val="16"/>
    </w:rPr>
  </w:style>
  <w:style w:type="paragraph" w:styleId="Header">
    <w:name w:val="header"/>
    <w:basedOn w:val="Normal"/>
    <w:link w:val="HeaderChar"/>
    <w:uiPriority w:val="99"/>
    <w:unhideWhenUsed/>
    <w:rsid w:val="00C30A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0A7B"/>
  </w:style>
  <w:style w:type="paragraph" w:styleId="Footer">
    <w:name w:val="footer"/>
    <w:basedOn w:val="Normal"/>
    <w:link w:val="FooterChar"/>
    <w:uiPriority w:val="99"/>
    <w:unhideWhenUsed/>
    <w:rsid w:val="00C30A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A7B"/>
  </w:style>
  <w:style w:type="paragraph" w:styleId="Title">
    <w:name w:val="Title"/>
    <w:basedOn w:val="Normal"/>
    <w:next w:val="Normal"/>
    <w:link w:val="TitleChar"/>
    <w:uiPriority w:val="10"/>
    <w:qFormat/>
    <w:rsid w:val="0017485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74852"/>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174852"/>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174852"/>
    <w:rPr>
      <w:rFonts w:asciiTheme="majorHAnsi" w:eastAsiaTheme="majorEastAsia" w:hAnsiTheme="majorHAnsi" w:cstheme="majorBidi"/>
      <w:i/>
      <w:iCs/>
      <w:color w:val="4F81BD" w:themeColor="accent1"/>
      <w:spacing w:val="15"/>
      <w:sz w:val="24"/>
      <w:szCs w:val="24"/>
    </w:rPr>
  </w:style>
  <w:style w:type="character" w:styleId="UnresolvedMention">
    <w:name w:val="Unresolved Mention"/>
    <w:basedOn w:val="DefaultParagraphFont"/>
    <w:uiPriority w:val="99"/>
    <w:semiHidden/>
    <w:unhideWhenUsed/>
    <w:rsid w:val="009C5C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9556002">
      <w:bodyDiv w:val="1"/>
      <w:marLeft w:val="0"/>
      <w:marRight w:val="0"/>
      <w:marTop w:val="0"/>
      <w:marBottom w:val="0"/>
      <w:divBdr>
        <w:top w:val="none" w:sz="0" w:space="0" w:color="auto"/>
        <w:left w:val="none" w:sz="0" w:space="0" w:color="auto"/>
        <w:bottom w:val="none" w:sz="0" w:space="0" w:color="auto"/>
        <w:right w:val="none" w:sz="0" w:space="0" w:color="auto"/>
      </w:divBdr>
    </w:div>
    <w:div w:id="197089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ristek.or.id/index.php/LE/article/download/87/83" TargetMode="External"/><Relationship Id="rId18" Type="http://schemas.openxmlformats.org/officeDocument/2006/relationships/hyperlink" Target="https://books.google.co.in/books?hl=en&amp;lr=&amp;id=M7wyEAAAQBAJ&amp;oi=fnd&amp;pg=PP1&amp;dq=strategic+management&amp;ots=Z4v6pkeEvy&amp;sig=LemNOOjSJNkX4Ax6l8Azew535B0&amp;redir_esc=y" TargetMode="External"/><Relationship Id="rId26" Type="http://schemas.openxmlformats.org/officeDocument/2006/relationships/hyperlink" Target="https://www.sciencedirect.com/science/article/pii/S0019850120308038" TargetMode="External"/><Relationship Id="rId3" Type="http://schemas.openxmlformats.org/officeDocument/2006/relationships/settings" Target="settings.xml"/><Relationship Id="rId21" Type="http://schemas.openxmlformats.org/officeDocument/2006/relationships/hyperlink" Target="https://orbit.dtu.dk/files/304491235/Kara_et_al._STC_LCE_A_2022_Key_note_POSTPRINT.pdf" TargetMode="External"/><Relationship Id="rId34"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mdpi.com/2071-1050/16/19/8509" TargetMode="External"/><Relationship Id="rId17" Type="http://schemas.openxmlformats.org/officeDocument/2006/relationships/hyperlink" Target="https://www.tandfonline.com/doi/pdf/10.1080/09669582.2021.1903019" TargetMode="External"/><Relationship Id="rId25" Type="http://schemas.openxmlformats.org/officeDocument/2006/relationships/hyperlink" Target="https://gsom.spbu.ru/files/upload/master_program/materials/international_business_strategy/lasserre_globalisation_indices.pdf" TargetMode="External"/><Relationship Id="rId33" Type="http://schemas.openxmlformats.org/officeDocument/2006/relationships/hyperlink" Target="https://thuvienso.hoasen.edu.vn/bitstream/handle/123456789/15229/A%20bibliometric%20overview%20of%20the%20Journal%20of%20Hospitality%20and%20Tourism%20Management%20Research%20contributions%20and%20influence.pdf?sequence=1&amp;isAllowed=y" TargetMode="External"/><Relationship Id="rId2" Type="http://schemas.openxmlformats.org/officeDocument/2006/relationships/styles" Target="styles.xml"/><Relationship Id="rId16" Type="http://schemas.openxmlformats.org/officeDocument/2006/relationships/hyperlink" Target="https://thuvienso.hoasen.edu.vn/bitstream/handle/123456789/15739/Top%20management%20green%20commitment%20and%20green%20intellectual%20capital%20as%20enablers%20of%20hotel%20environmental%20performance%20The%20mediating%20role%20of%20green%20human%20resource%20management.pdf?sequence=1" TargetMode="External"/><Relationship Id="rId20" Type="http://schemas.openxmlformats.org/officeDocument/2006/relationships/hyperlink" Target="https://www.researchgate.net/profile/Abdullah-Baadhem-2/publication/374082925_The_Influence_of_Supply_Chain_Management_Strategies_on_Organizational_Performance_in_Hospitality_Industry/links/650c8871c05e6d1b1c21b5b3/The-Influence-of-Supply-Chain-Management-Strategies-on-Organizational-Performance-in-Hospitality-Industry.pdf" TargetMode="External"/><Relationship Id="rId29" Type="http://schemas.openxmlformats.org/officeDocument/2006/relationships/hyperlink" Target="https://webthesis.biblio.polito.it/secure/21048/1/tesi.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growingscience.com/msl/Vol11/msl_2020_345.pdf" TargetMode="External"/><Relationship Id="rId24" Type="http://schemas.openxmlformats.org/officeDocument/2006/relationships/hyperlink" Target="https://researchportal.port.ac.uk/files/51461614/Talent_Management_in_Hospitality_and_Tourism.pdf" TargetMode="External"/><Relationship Id="rId32" Type="http://schemas.openxmlformats.org/officeDocument/2006/relationships/hyperlink" Target="https://www.thesavoylondon.com/" TargetMode="External"/><Relationship Id="rId5" Type="http://schemas.openxmlformats.org/officeDocument/2006/relationships/footnotes" Target="footnotes.xml"/><Relationship Id="rId15" Type="http://schemas.openxmlformats.org/officeDocument/2006/relationships/hyperlink" Target="https://www.researchgate.net/profile/Bendegul-Okumus-2/publication/358749406_Managing_food_wastage_in_hotels_discrepancies_between_injunctive_and_descriptive_norms_amongst_hotel_food_and_beverage_managers/links/64a7ee2995bbbe0c6e1d37ce/Managing-food-wastage-in-hotels-discrepancies-between-injunctive-and-descriptive-norms-amongst-hotel-food-and-beverage-managers.pdf" TargetMode="External"/><Relationship Id="rId23" Type="http://schemas.openxmlformats.org/officeDocument/2006/relationships/hyperlink" Target="https://www.mdpi.com/2071-1050/13/21/12156/pdf" TargetMode="External"/><Relationship Id="rId28" Type="http://schemas.openxmlformats.org/officeDocument/2006/relationships/hyperlink" Target="https://www.mdpi.com/2071-1050/13/12/6781/pdf" TargetMode="External"/><Relationship Id="rId36" Type="http://schemas.openxmlformats.org/officeDocument/2006/relationships/theme" Target="theme/theme1.xml"/><Relationship Id="rId10" Type="http://schemas.openxmlformats.org/officeDocument/2006/relationships/hyperlink" Target="https://doi.org/10.1016/j.spc.2022.02.012" TargetMode="External"/><Relationship Id="rId19" Type="http://schemas.openxmlformats.org/officeDocument/2006/relationships/hyperlink" Target="https://www.frontiersin.org/articles/10.3389/fsufs.2023.1174623/pdf" TargetMode="External"/><Relationship Id="rId31" Type="http://schemas.openxmlformats.org/officeDocument/2006/relationships/hyperlink" Target="https://www.mdpi.com/2071-1050/13/6/3094/pdf" TargetMode="External"/><Relationship Id="rId4" Type="http://schemas.openxmlformats.org/officeDocument/2006/relationships/webSettings" Target="webSettings.xml"/><Relationship Id="rId9" Type="http://schemas.openxmlformats.org/officeDocument/2006/relationships/hyperlink" Target="https://westminsterresearch.westminster.ac.uk/download/7c73d164928a7b6a4ebfd1d4c9c32987a90e004cc6b05bb2ae37aa67ed0ff2b4/508275/How%20Corporate%20Social%20Responsibility%20Contributes%20to%20Strengthening%20Brand%20Loyalty.pdf" TargetMode="External"/><Relationship Id="rId14" Type="http://schemas.openxmlformats.org/officeDocument/2006/relationships/hyperlink" Target="https://www.mdpi.com/2071-1050/13/17/9986/pdf" TargetMode="External"/><Relationship Id="rId22" Type="http://schemas.openxmlformats.org/officeDocument/2006/relationships/hyperlink" Target="https://doi.org/10.1108/JFM-03-2022-0025" TargetMode="External"/><Relationship Id="rId27" Type="http://schemas.openxmlformats.org/officeDocument/2006/relationships/hyperlink" Target="https://drive.google.com/file/d/19U9LJZ_SVlPvLUgHTA4OkE9ImDg5R4he/view" TargetMode="External"/><Relationship Id="rId30" Type="http://schemas.openxmlformats.org/officeDocument/2006/relationships/hyperlink" Target="http://repository.poltekpar-nhi.ac.id/2044/4/KORESPONDENSI_3825048501_JHTI.pdf" TargetMode="External"/><Relationship Id="rId35" Type="http://schemas.openxmlformats.org/officeDocument/2006/relationships/fontTable" Target="fontTable.xml"/><Relationship Id="rId8" Type="http://schemas.openxmlformats.org/officeDocument/2006/relationships/hyperlink" Target="http://enrichment.iocspublisher.org/index.php/enrichment/article/download/447/3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C2A945-03B6-4213-9BD8-BD458E8A28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12</Pages>
  <Words>4060</Words>
  <Characters>23142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2232074@student.uwtsd.ac.uk</dc:creator>
  <cp:lastModifiedBy>Mihaita Ionut Manda (2232074)</cp:lastModifiedBy>
  <cp:revision>15</cp:revision>
  <dcterms:created xsi:type="dcterms:W3CDTF">2025-01-27T11:39:00Z</dcterms:created>
  <dcterms:modified xsi:type="dcterms:W3CDTF">2025-02-07T10:47:00Z</dcterms:modified>
</cp:coreProperties>
</file>